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6"/>
          <w:szCs w:val="26"/>
        </w:rPr>
      </w:pPr>
    </w:p>
    <w:p>
      <w:pPr>
        <w:tabs>
          <w:tab w:pos="6401" w:val="left" w:leader="none"/>
        </w:tabs>
        <w:spacing w:line="460" w:lineRule="exact" w:before="0"/>
        <w:ind w:left="100" w:right="0" w:firstLine="0"/>
        <w:jc w:val="left"/>
        <w:rPr>
          <w:rFonts w:ascii="宋体" w:hAnsi="宋体" w:cs="宋体" w:eastAsia="宋体" w:hint="default"/>
          <w:sz w:val="36"/>
          <w:szCs w:val="36"/>
        </w:rPr>
      </w:pPr>
      <w:r>
        <w:rPr>
          <w:rFonts w:ascii="宋体" w:hAnsi="宋体" w:cs="宋体" w:eastAsia="宋体" w:hint="default"/>
          <w:sz w:val="36"/>
          <w:szCs w:val="36"/>
        </w:rPr>
        <w:t>股票代码：</w:t>
      </w:r>
      <w:r>
        <w:rPr>
          <w:rFonts w:ascii="宋体" w:hAnsi="宋体" w:cs="宋体" w:eastAsia="宋体" w:hint="default"/>
          <w:sz w:val="36"/>
          <w:szCs w:val="36"/>
        </w:rPr>
        <w:t>002118</w:t>
        <w:tab/>
      </w:r>
      <w:r>
        <w:rPr>
          <w:rFonts w:ascii="宋体" w:hAnsi="宋体" w:cs="宋体" w:eastAsia="宋体" w:hint="default"/>
          <w:sz w:val="36"/>
          <w:szCs w:val="36"/>
        </w:rPr>
        <w:t>股票简称：紫鑫药业</w:t>
      </w: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0"/>
        <w:rPr>
          <w:rFonts w:ascii="宋体" w:hAnsi="宋体" w:cs="宋体" w:eastAsia="宋体" w:hint="default"/>
          <w:sz w:val="36"/>
          <w:szCs w:val="36"/>
        </w:rPr>
      </w:pPr>
    </w:p>
    <w:p>
      <w:pPr>
        <w:spacing w:line="240" w:lineRule="auto" w:before="4"/>
        <w:rPr>
          <w:rFonts w:ascii="宋体" w:hAnsi="宋体" w:cs="宋体" w:eastAsia="宋体" w:hint="default"/>
          <w:sz w:val="38"/>
          <w:szCs w:val="38"/>
        </w:rPr>
      </w:pPr>
    </w:p>
    <w:p>
      <w:pPr>
        <w:spacing w:before="0"/>
        <w:ind w:left="2057" w:right="2678" w:firstLine="0"/>
        <w:jc w:val="center"/>
        <w:rPr>
          <w:rFonts w:ascii="宋体" w:hAnsi="宋体" w:cs="宋体" w:eastAsia="宋体" w:hint="default"/>
          <w:sz w:val="52"/>
          <w:szCs w:val="52"/>
        </w:rPr>
      </w:pPr>
      <w:r>
        <w:rPr>
          <w:rFonts w:ascii="宋体" w:hAnsi="宋体" w:cs="宋体" w:eastAsia="宋体" w:hint="default"/>
          <w:b/>
          <w:bCs/>
          <w:sz w:val="52"/>
          <w:szCs w:val="52"/>
        </w:rPr>
        <w:t>吉林紫鑫药业股份有限公司</w:t>
      </w:r>
      <w:r>
        <w:rPr>
          <w:rFonts w:ascii="宋体" w:hAnsi="宋体" w:cs="宋体" w:eastAsia="宋体" w:hint="default"/>
          <w:sz w:val="52"/>
          <w:szCs w:val="52"/>
        </w:rPr>
      </w:r>
    </w:p>
    <w:p>
      <w:pPr>
        <w:spacing w:before="365"/>
        <w:ind w:left="2057" w:right="2676" w:firstLine="0"/>
        <w:jc w:val="center"/>
        <w:rPr>
          <w:rFonts w:ascii="宋体" w:hAnsi="宋体" w:cs="宋体" w:eastAsia="宋体" w:hint="default"/>
          <w:sz w:val="25"/>
          <w:szCs w:val="25"/>
        </w:rPr>
      </w:pPr>
      <w:r>
        <w:rPr>
          <w:rFonts w:ascii="宋体"/>
          <w:i/>
          <w:sz w:val="25"/>
        </w:rPr>
        <w:t>JILIN</w:t>
      </w:r>
      <w:r>
        <w:rPr>
          <w:rFonts w:ascii="宋体"/>
          <w:i/>
          <w:spacing w:val="-57"/>
          <w:sz w:val="25"/>
        </w:rPr>
        <w:t> </w:t>
      </w:r>
      <w:r>
        <w:rPr>
          <w:rFonts w:ascii="宋体"/>
          <w:i/>
          <w:sz w:val="25"/>
        </w:rPr>
        <w:t>ZIXIN</w:t>
      </w:r>
      <w:r>
        <w:rPr>
          <w:rFonts w:ascii="宋体"/>
          <w:i/>
          <w:spacing w:val="-57"/>
          <w:sz w:val="25"/>
        </w:rPr>
        <w:t> </w:t>
      </w:r>
      <w:r>
        <w:rPr>
          <w:rFonts w:ascii="宋体"/>
          <w:i/>
          <w:sz w:val="25"/>
        </w:rPr>
        <w:t>PHARMACEUTICAL</w:t>
      </w:r>
      <w:r>
        <w:rPr>
          <w:rFonts w:ascii="宋体"/>
          <w:i/>
          <w:spacing w:val="-57"/>
          <w:sz w:val="25"/>
        </w:rPr>
        <w:t> </w:t>
      </w:r>
      <w:r>
        <w:rPr>
          <w:rFonts w:ascii="宋体"/>
          <w:i/>
          <w:sz w:val="25"/>
        </w:rPr>
        <w:t>INDUSTRIAL</w:t>
      </w:r>
      <w:r>
        <w:rPr>
          <w:rFonts w:ascii="宋体"/>
          <w:i/>
          <w:spacing w:val="-57"/>
          <w:sz w:val="25"/>
        </w:rPr>
        <w:t> </w:t>
      </w:r>
      <w:r>
        <w:rPr>
          <w:rFonts w:ascii="宋体"/>
          <w:i/>
          <w:sz w:val="25"/>
        </w:rPr>
        <w:t>Co.,LTD</w:t>
      </w:r>
      <w:r>
        <w:rPr>
          <w:rFonts w:ascii="宋体"/>
          <w:sz w:val="25"/>
        </w:rPr>
      </w:r>
    </w:p>
    <w:p>
      <w:pPr>
        <w:spacing w:line="240" w:lineRule="auto" w:before="0"/>
        <w:rPr>
          <w:rFonts w:ascii="宋体" w:hAnsi="宋体" w:cs="宋体" w:eastAsia="宋体" w:hint="default"/>
          <w:i/>
          <w:sz w:val="24"/>
          <w:szCs w:val="24"/>
        </w:rPr>
      </w:pPr>
    </w:p>
    <w:p>
      <w:pPr>
        <w:spacing w:line="240" w:lineRule="auto" w:before="0"/>
        <w:rPr>
          <w:rFonts w:ascii="宋体" w:hAnsi="宋体" w:cs="宋体" w:eastAsia="宋体" w:hint="default"/>
          <w:i/>
          <w:sz w:val="24"/>
          <w:szCs w:val="24"/>
        </w:rPr>
      </w:pPr>
    </w:p>
    <w:p>
      <w:pPr>
        <w:spacing w:line="240" w:lineRule="auto" w:before="0"/>
        <w:rPr>
          <w:rFonts w:ascii="宋体" w:hAnsi="宋体" w:cs="宋体" w:eastAsia="宋体" w:hint="default"/>
          <w:i/>
          <w:sz w:val="24"/>
          <w:szCs w:val="24"/>
        </w:rPr>
      </w:pPr>
    </w:p>
    <w:p>
      <w:pPr>
        <w:spacing w:line="240" w:lineRule="auto" w:before="0"/>
        <w:rPr>
          <w:rFonts w:ascii="宋体" w:hAnsi="宋体" w:cs="宋体" w:eastAsia="宋体" w:hint="default"/>
          <w:i/>
          <w:sz w:val="24"/>
          <w:szCs w:val="24"/>
        </w:rPr>
      </w:pPr>
    </w:p>
    <w:p>
      <w:pPr>
        <w:spacing w:line="240" w:lineRule="auto" w:before="8"/>
        <w:rPr>
          <w:rFonts w:ascii="宋体" w:hAnsi="宋体" w:cs="宋体" w:eastAsia="宋体" w:hint="default"/>
          <w:i/>
          <w:sz w:val="16"/>
          <w:szCs w:val="16"/>
        </w:rPr>
      </w:pPr>
    </w:p>
    <w:p>
      <w:pPr>
        <w:spacing w:before="0"/>
        <w:ind w:left="2057" w:right="2684" w:firstLine="0"/>
        <w:jc w:val="center"/>
        <w:rPr>
          <w:rFonts w:ascii="宋体" w:hAnsi="宋体" w:cs="宋体" w:eastAsia="宋体" w:hint="default"/>
          <w:sz w:val="72"/>
          <w:szCs w:val="72"/>
        </w:rPr>
      </w:pPr>
      <w:r>
        <w:rPr>
          <w:rFonts w:ascii="宋体" w:hAnsi="宋体" w:cs="宋体" w:eastAsia="宋体" w:hint="default"/>
          <w:b/>
          <w:bCs/>
          <w:sz w:val="72"/>
          <w:szCs w:val="72"/>
        </w:rPr>
        <w:t>二○一○年年度报告</w:t>
      </w:r>
      <w:r>
        <w:rPr>
          <w:rFonts w:ascii="宋体" w:hAnsi="宋体" w:cs="宋体" w:eastAsia="宋体" w:hint="default"/>
          <w:sz w:val="72"/>
          <w:szCs w:val="7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1"/>
          <w:szCs w:val="11"/>
        </w:rPr>
      </w:pPr>
    </w:p>
    <w:p>
      <w:pPr>
        <w:spacing w:line="2881" w:lineRule="exact"/>
        <w:ind w:left="4149"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1510342" cy="182975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10342" cy="1829752"/>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line="539" w:lineRule="exact" w:before="0"/>
        <w:ind w:left="3124" w:right="0" w:firstLine="0"/>
        <w:jc w:val="left"/>
        <w:rPr>
          <w:rFonts w:ascii="宋体" w:hAnsi="宋体" w:cs="宋体" w:eastAsia="宋体" w:hint="default"/>
          <w:sz w:val="44"/>
          <w:szCs w:val="44"/>
        </w:rPr>
      </w:pPr>
      <w:r>
        <w:rPr/>
        <w:pict>
          <v:shape style="position:absolute;margin-left:494.049988pt;margin-top:102.391624pt;width:101.25pt;height:57.75pt;mso-position-horizontal-relative:page;mso-position-vertical-relative:paragraph;z-index:0" type="#_x0000_t75" stroked="false">
            <v:imagedata r:id="rId6" o:title=""/>
          </v:shape>
        </w:pict>
      </w:r>
      <w:r>
        <w:rPr>
          <w:rFonts w:ascii="宋体" w:hAnsi="宋体" w:cs="宋体" w:eastAsia="宋体" w:hint="default"/>
          <w:b/>
          <w:bCs/>
          <w:sz w:val="44"/>
          <w:szCs w:val="44"/>
        </w:rPr>
        <w:t>二○一一年三月三十日</w:t>
      </w:r>
      <w:r>
        <w:rPr>
          <w:rFonts w:ascii="宋体" w:hAnsi="宋体" w:cs="宋体" w:eastAsia="宋体" w:hint="default"/>
          <w:sz w:val="44"/>
          <w:szCs w:val="44"/>
        </w:rPr>
      </w:r>
    </w:p>
    <w:p>
      <w:pPr>
        <w:spacing w:after="0" w:line="539" w:lineRule="exact"/>
        <w:jc w:val="left"/>
        <w:rPr>
          <w:rFonts w:ascii="宋体" w:hAnsi="宋体" w:cs="宋体" w:eastAsia="宋体" w:hint="default"/>
          <w:sz w:val="44"/>
          <w:szCs w:val="44"/>
        </w:rPr>
        <w:sectPr>
          <w:type w:val="continuous"/>
          <w:pgSz w:w="11910" w:h="16840"/>
          <w:pgMar w:top="1580" w:bottom="0" w:left="620" w:right="0"/>
        </w:sectPr>
      </w:pPr>
    </w:p>
    <w:p>
      <w:pPr>
        <w:spacing w:line="240" w:lineRule="auto" w:before="6"/>
        <w:rPr>
          <w:rFonts w:ascii="宋体" w:hAnsi="宋体" w:cs="宋体" w:eastAsia="宋体" w:hint="default"/>
          <w:b/>
          <w:bCs/>
          <w:sz w:val="26"/>
          <w:szCs w:val="26"/>
        </w:rPr>
      </w:pPr>
      <w:r>
        <w:rPr/>
        <w:pict>
          <v:shape style="position:absolute;margin-left:494.049988pt;margin-top:784.099731pt;width:101.25pt;height:57.75pt;mso-position-horizontal-relative:page;mso-position-vertical-relative:page;z-index:1072" type="#_x0000_t75" stroked="false">
            <v:imagedata r:id="rId8" o:title=""/>
          </v:shape>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27.050pt;height:.75pt;mso-position-horizontal-relative:char;mso-position-vertical-relative:line" coordorigin="0,0" coordsize="10541,15">
            <v:group style="position:absolute;left:7;top:7;width:10526;height:2" coordorigin="7,7" coordsize="10526,2">
              <v:shape style="position:absolute;left:7;top:7;width:10526;height:2" coordorigin="7,7" coordsize="10526,0" path="m7,7l1053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85"/>
        <w:ind w:left="0" w:right="573" w:firstLine="0"/>
        <w:jc w:val="center"/>
        <w:rPr>
          <w:rFonts w:ascii="黑体" w:hAnsi="黑体" w:cs="黑体" w:eastAsia="黑体" w:hint="default"/>
          <w:sz w:val="52"/>
          <w:szCs w:val="52"/>
        </w:rPr>
      </w:pPr>
      <w:r>
        <w:rPr>
          <w:rFonts w:ascii="黑体" w:hAnsi="黑体" w:cs="黑体" w:eastAsia="黑体" w:hint="default"/>
          <w:sz w:val="52"/>
          <w:szCs w:val="52"/>
        </w:rPr>
        <w:t>重要提示</w:t>
      </w:r>
    </w:p>
    <w:p>
      <w:pPr>
        <w:spacing w:line="240" w:lineRule="auto" w:before="0"/>
        <w:rPr>
          <w:rFonts w:ascii="黑体" w:hAnsi="黑体" w:cs="黑体" w:eastAsia="黑体" w:hint="default"/>
          <w:sz w:val="52"/>
          <w:szCs w:val="52"/>
        </w:rPr>
      </w:pPr>
    </w:p>
    <w:p>
      <w:pPr>
        <w:spacing w:line="357" w:lineRule="auto" w:before="388"/>
        <w:ind w:left="140" w:right="711" w:firstLine="631"/>
        <w:jc w:val="both"/>
        <w:rPr>
          <w:rFonts w:ascii="宋体" w:hAnsi="宋体" w:cs="宋体" w:eastAsia="宋体" w:hint="default"/>
          <w:sz w:val="28"/>
          <w:szCs w:val="28"/>
        </w:rPr>
      </w:pPr>
      <w:r>
        <w:rPr>
          <w:rFonts w:ascii="宋体" w:hAnsi="宋体" w:cs="宋体" w:eastAsia="宋体" w:hint="default"/>
          <w:spacing w:val="-4"/>
          <w:sz w:val="28"/>
          <w:szCs w:val="28"/>
        </w:rPr>
        <w:t>1</w:t>
      </w:r>
      <w:r>
        <w:rPr>
          <w:rFonts w:ascii="宋体" w:hAnsi="宋体" w:cs="宋体" w:eastAsia="宋体" w:hint="default"/>
          <w:spacing w:val="-4"/>
          <w:sz w:val="28"/>
          <w:szCs w:val="28"/>
        </w:rPr>
        <w:t>、本公司董事会、监事会及董事、监事、高级管理人员保证本报告所载资料不存</w:t>
      </w:r>
      <w:r>
        <w:rPr>
          <w:rFonts w:ascii="宋体" w:hAnsi="宋体" w:cs="宋体" w:eastAsia="宋体" w:hint="default"/>
          <w:w w:val="100"/>
          <w:sz w:val="28"/>
          <w:szCs w:val="28"/>
        </w:rPr>
        <w:t> </w:t>
      </w:r>
      <w:r>
        <w:rPr>
          <w:rFonts w:ascii="宋体" w:hAnsi="宋体" w:cs="宋体" w:eastAsia="宋体" w:hint="default"/>
          <w:sz w:val="28"/>
          <w:szCs w:val="28"/>
        </w:rPr>
        <w:t>在任何虚假记载、误导性陈述或者重大遗漏，并对其内容的真实性、准确性和完整性</w:t>
      </w:r>
      <w:r>
        <w:rPr>
          <w:rFonts w:ascii="宋体" w:hAnsi="宋体" w:cs="宋体" w:eastAsia="宋体" w:hint="default"/>
          <w:spacing w:val="-49"/>
          <w:sz w:val="28"/>
          <w:szCs w:val="28"/>
        </w:rPr>
        <w:t> </w:t>
      </w:r>
      <w:r>
        <w:rPr>
          <w:rFonts w:ascii="宋体" w:hAnsi="宋体" w:cs="宋体" w:eastAsia="宋体" w:hint="default"/>
          <w:spacing w:val="-49"/>
          <w:sz w:val="28"/>
          <w:szCs w:val="28"/>
        </w:rPr>
      </w:r>
      <w:r>
        <w:rPr>
          <w:rFonts w:ascii="宋体" w:hAnsi="宋体" w:cs="宋体" w:eastAsia="宋体" w:hint="default"/>
          <w:sz w:val="28"/>
          <w:szCs w:val="28"/>
        </w:rPr>
        <w:t>承担个别及连带责任。</w:t>
      </w:r>
    </w:p>
    <w:p>
      <w:pPr>
        <w:spacing w:line="240" w:lineRule="auto" w:before="0"/>
        <w:rPr>
          <w:rFonts w:ascii="宋体" w:hAnsi="宋体" w:cs="宋体" w:eastAsia="宋体" w:hint="default"/>
          <w:sz w:val="28"/>
          <w:szCs w:val="28"/>
        </w:rPr>
      </w:pPr>
    </w:p>
    <w:p>
      <w:pPr>
        <w:spacing w:line="357" w:lineRule="auto" w:before="219"/>
        <w:ind w:left="140" w:right="713" w:firstLine="631"/>
        <w:jc w:val="both"/>
        <w:rPr>
          <w:rFonts w:ascii="宋体" w:hAnsi="宋体" w:cs="宋体" w:eastAsia="宋体" w:hint="default"/>
          <w:sz w:val="28"/>
          <w:szCs w:val="28"/>
        </w:rPr>
      </w:pPr>
      <w:r>
        <w:rPr>
          <w:rFonts w:ascii="宋体" w:hAnsi="宋体" w:cs="宋体" w:eastAsia="宋体" w:hint="default"/>
          <w:spacing w:val="-4"/>
          <w:sz w:val="28"/>
          <w:szCs w:val="28"/>
        </w:rPr>
        <w:t>2</w:t>
      </w:r>
      <w:r>
        <w:rPr>
          <w:rFonts w:ascii="宋体" w:hAnsi="宋体" w:cs="宋体" w:eastAsia="宋体" w:hint="default"/>
          <w:spacing w:val="-4"/>
          <w:sz w:val="28"/>
          <w:szCs w:val="28"/>
        </w:rPr>
        <w:t>、没有董事、监事、高级管理人员对本报告内容的真实性、准确性、完整性无法</w:t>
      </w:r>
      <w:r>
        <w:rPr>
          <w:rFonts w:ascii="宋体" w:hAnsi="宋体" w:cs="宋体" w:eastAsia="宋体" w:hint="default"/>
          <w:w w:val="100"/>
          <w:sz w:val="28"/>
          <w:szCs w:val="28"/>
        </w:rPr>
        <w:t> </w:t>
      </w:r>
      <w:r>
        <w:rPr>
          <w:rFonts w:ascii="宋体" w:hAnsi="宋体" w:cs="宋体" w:eastAsia="宋体" w:hint="default"/>
          <w:sz w:val="28"/>
          <w:szCs w:val="28"/>
        </w:rPr>
        <w:t>保证或存在异议。</w:t>
      </w:r>
    </w:p>
    <w:p>
      <w:pPr>
        <w:spacing w:line="240" w:lineRule="auto" w:before="0"/>
        <w:rPr>
          <w:rFonts w:ascii="宋体" w:hAnsi="宋体" w:cs="宋体" w:eastAsia="宋体" w:hint="default"/>
          <w:sz w:val="28"/>
          <w:szCs w:val="28"/>
        </w:rPr>
      </w:pPr>
    </w:p>
    <w:p>
      <w:pPr>
        <w:spacing w:line="357" w:lineRule="auto" w:before="217"/>
        <w:ind w:left="140" w:right="717" w:firstLine="631"/>
        <w:jc w:val="both"/>
        <w:rPr>
          <w:rFonts w:ascii="宋体" w:hAnsi="宋体" w:cs="宋体" w:eastAsia="宋体" w:hint="default"/>
          <w:sz w:val="28"/>
          <w:szCs w:val="28"/>
        </w:rPr>
      </w:pPr>
      <w:r>
        <w:rPr>
          <w:rFonts w:ascii="宋体" w:hAnsi="宋体" w:cs="宋体" w:eastAsia="宋体" w:hint="default"/>
          <w:sz w:val="28"/>
          <w:szCs w:val="28"/>
        </w:rPr>
        <w:t>3</w:t>
      </w:r>
      <w:r>
        <w:rPr>
          <w:rFonts w:ascii="宋体" w:hAnsi="宋体" w:cs="宋体" w:eastAsia="宋体" w:hint="default"/>
          <w:sz w:val="28"/>
          <w:szCs w:val="28"/>
        </w:rPr>
        <w:t>、本公司</w:t>
      </w:r>
      <w:r>
        <w:rPr>
          <w:rFonts w:ascii="宋体" w:hAnsi="宋体" w:cs="宋体" w:eastAsia="宋体" w:hint="default"/>
          <w:spacing w:val="-57"/>
          <w:sz w:val="28"/>
          <w:szCs w:val="28"/>
        </w:rPr>
        <w:t> </w:t>
      </w:r>
      <w:r>
        <w:rPr>
          <w:rFonts w:ascii="宋体" w:hAnsi="宋体" w:cs="宋体" w:eastAsia="宋体" w:hint="default"/>
          <w:sz w:val="28"/>
          <w:szCs w:val="28"/>
        </w:rPr>
        <w:t>2010</w:t>
      </w:r>
      <w:r>
        <w:rPr>
          <w:rFonts w:ascii="宋体" w:hAnsi="宋体" w:cs="宋体" w:eastAsia="宋体" w:hint="default"/>
          <w:spacing w:val="-56"/>
          <w:sz w:val="28"/>
          <w:szCs w:val="28"/>
        </w:rPr>
        <w:t> </w:t>
      </w:r>
      <w:r>
        <w:rPr>
          <w:rFonts w:ascii="宋体" w:hAnsi="宋体" w:cs="宋体" w:eastAsia="宋体" w:hint="default"/>
          <w:sz w:val="28"/>
          <w:szCs w:val="28"/>
        </w:rPr>
        <w:t>年年度财务报告已经中准会计师事务所有限公司审计并出具了标</w:t>
      </w:r>
      <w:r>
        <w:rPr>
          <w:rFonts w:ascii="宋体" w:hAnsi="宋体" w:cs="宋体" w:eastAsia="宋体" w:hint="default"/>
          <w:w w:val="100"/>
          <w:sz w:val="28"/>
          <w:szCs w:val="28"/>
        </w:rPr>
        <w:t> </w:t>
      </w:r>
      <w:r>
        <w:rPr>
          <w:rFonts w:ascii="宋体" w:hAnsi="宋体" w:cs="宋体" w:eastAsia="宋体" w:hint="default"/>
          <w:sz w:val="28"/>
          <w:szCs w:val="28"/>
        </w:rPr>
        <w:t>准无保留意见的审计报告。</w:t>
      </w:r>
    </w:p>
    <w:p>
      <w:pPr>
        <w:spacing w:line="240" w:lineRule="auto" w:before="0"/>
        <w:rPr>
          <w:rFonts w:ascii="宋体" w:hAnsi="宋体" w:cs="宋体" w:eastAsia="宋体" w:hint="default"/>
          <w:sz w:val="28"/>
          <w:szCs w:val="28"/>
        </w:rPr>
      </w:pPr>
    </w:p>
    <w:p>
      <w:pPr>
        <w:spacing w:line="357" w:lineRule="auto" w:before="220"/>
        <w:ind w:left="140" w:right="713" w:firstLine="631"/>
        <w:jc w:val="both"/>
        <w:rPr>
          <w:rFonts w:ascii="宋体" w:hAnsi="宋体" w:cs="宋体" w:eastAsia="宋体" w:hint="default"/>
          <w:sz w:val="28"/>
          <w:szCs w:val="28"/>
        </w:rPr>
      </w:pPr>
      <w:r>
        <w:rPr>
          <w:rFonts w:ascii="宋体" w:hAnsi="宋体" w:cs="宋体" w:eastAsia="宋体" w:hint="default"/>
          <w:spacing w:val="-4"/>
          <w:sz w:val="28"/>
          <w:szCs w:val="28"/>
        </w:rPr>
        <w:t>4</w:t>
      </w:r>
      <w:r>
        <w:rPr>
          <w:rFonts w:ascii="宋体" w:hAnsi="宋体" w:cs="宋体" w:eastAsia="宋体" w:hint="default"/>
          <w:spacing w:val="-4"/>
          <w:sz w:val="28"/>
          <w:szCs w:val="28"/>
        </w:rPr>
        <w:t>、本公司董事长及总经理郭春生先生、财务总监徐吉峰先生及会计机构负责人孙</w:t>
      </w:r>
      <w:r>
        <w:rPr>
          <w:rFonts w:ascii="宋体" w:hAnsi="宋体" w:cs="宋体" w:eastAsia="宋体" w:hint="default"/>
          <w:w w:val="100"/>
          <w:sz w:val="28"/>
          <w:szCs w:val="28"/>
        </w:rPr>
        <w:t> </w:t>
      </w:r>
      <w:r>
        <w:rPr>
          <w:rFonts w:ascii="宋体" w:hAnsi="宋体" w:cs="宋体" w:eastAsia="宋体" w:hint="default"/>
          <w:sz w:val="28"/>
          <w:szCs w:val="28"/>
        </w:rPr>
        <w:t>莉莉女士声明：保证</w:t>
      </w:r>
      <w:r>
        <w:rPr>
          <w:rFonts w:ascii="宋体" w:hAnsi="宋体" w:cs="宋体" w:eastAsia="宋体" w:hint="default"/>
          <w:spacing w:val="-74"/>
          <w:sz w:val="28"/>
          <w:szCs w:val="28"/>
        </w:rPr>
        <w:t> </w:t>
      </w:r>
      <w:r>
        <w:rPr>
          <w:rFonts w:ascii="宋体" w:hAnsi="宋体" w:cs="宋体" w:eastAsia="宋体" w:hint="default"/>
          <w:sz w:val="28"/>
          <w:szCs w:val="28"/>
        </w:rPr>
        <w:t>2010</w:t>
      </w:r>
      <w:r>
        <w:rPr>
          <w:rFonts w:ascii="宋体" w:hAnsi="宋体" w:cs="宋体" w:eastAsia="宋体" w:hint="default"/>
          <w:spacing w:val="-72"/>
          <w:sz w:val="28"/>
          <w:szCs w:val="28"/>
        </w:rPr>
        <w:t> </w:t>
      </w:r>
      <w:r>
        <w:rPr>
          <w:rFonts w:ascii="宋体" w:hAnsi="宋体" w:cs="宋体" w:eastAsia="宋体" w:hint="default"/>
          <w:sz w:val="28"/>
          <w:szCs w:val="28"/>
        </w:rPr>
        <w:t>年年度报告中财务报告的真实、完整。</w:t>
      </w:r>
    </w:p>
    <w:p>
      <w:pPr>
        <w:spacing w:after="0" w:line="357" w:lineRule="auto"/>
        <w:jc w:val="both"/>
        <w:rPr>
          <w:rFonts w:ascii="宋体" w:hAnsi="宋体" w:cs="宋体" w:eastAsia="宋体" w:hint="default"/>
          <w:sz w:val="28"/>
          <w:szCs w:val="28"/>
        </w:rPr>
        <w:sectPr>
          <w:headerReference w:type="default" r:id="rId7"/>
          <w:pgSz w:w="11910" w:h="16840"/>
          <w:pgMar w:header="720" w:footer="0" w:top="1300" w:bottom="0" w:left="580" w:right="0"/>
        </w:sectPr>
      </w:pPr>
    </w:p>
    <w:p>
      <w:pPr>
        <w:spacing w:line="240" w:lineRule="auto" w:before="5"/>
        <w:rPr>
          <w:rFonts w:ascii="宋体" w:hAnsi="宋体" w:cs="宋体" w:eastAsia="宋体" w:hint="default"/>
          <w:sz w:val="22"/>
          <w:szCs w:val="22"/>
        </w:rPr>
      </w:pPr>
      <w:r>
        <w:rPr/>
        <w:pict>
          <v:shape style="position:absolute;margin-left:494.049988pt;margin-top:784.099731pt;width:101.25pt;height:57.75pt;mso-position-horizontal-relative:page;mso-position-vertical-relative:page;z-index:1120" type="#_x0000_t75" stroked="false">
            <v:imagedata r:id="rId8" o:title=""/>
          </v:shape>
        </w:pict>
      </w: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27.050pt;height:.75pt;mso-position-horizontal-relative:char;mso-position-vertical-relative:line" coordorigin="0,0" coordsize="10541,15">
            <v:group style="position:absolute;left:7;top:7;width:10526;height:2" coordorigin="7,7" coordsize="10526,2">
              <v:shape style="position:absolute;left:7;top:7;width:10526;height:2" coordorigin="7,7" coordsize="10526,0" path="m7,7l1053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tabs>
          <w:tab w:pos="1327" w:val="left" w:leader="none"/>
        </w:tabs>
        <w:spacing w:line="539" w:lineRule="exact" w:before="0"/>
        <w:ind w:left="0" w:right="578"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7"/>
        <w:rPr>
          <w:rFonts w:ascii="宋体" w:hAnsi="宋体" w:cs="宋体" w:eastAsia="宋体" w:hint="default"/>
          <w:b/>
          <w:bCs/>
          <w:sz w:val="54"/>
          <w:szCs w:val="54"/>
        </w:rPr>
      </w:pPr>
    </w:p>
    <w:sdt>
      <w:sdtPr>
        <w:docPartObj>
          <w:docPartGallery w:val="Table of Contents"/>
          <w:docPartUnique/>
        </w:docPartObj>
      </w:sdtPr>
      <w:sdtEndPr/>
      <w:sdtContent>
        <w:p>
          <w:pPr>
            <w:pStyle w:val="TOC1"/>
            <w:tabs>
              <w:tab w:pos="1105" w:val="left" w:leader="none"/>
              <w:tab w:pos="10597" w:val="right" w:leader="dot"/>
            </w:tabs>
            <w:spacing w:line="240" w:lineRule="auto" w:before="0"/>
            <w:ind w:right="0"/>
            <w:jc w:val="left"/>
            <w:rPr>
              <w:rFonts w:ascii="Calibri" w:hAnsi="Calibri" w:cs="Calibri" w:eastAsia="Calibri" w:hint="default"/>
              <w:b w:val="0"/>
              <w:bCs w:val="0"/>
            </w:rPr>
          </w:pPr>
          <w:r>
            <w:fldChar w:fldCharType="begin"/>
          </w:r>
          <w:r>
            <w:instrText>TOC \o "1-1" \h \z \u </w:instrText>
          </w:r>
          <w:r>
            <w:fldChar w:fldCharType="separate"/>
          </w:r>
          <w:hyperlink w:history="true" w:anchor="_TOC_250010">
            <w:r>
              <w:rPr>
                <w:w w:val="95"/>
              </w:rPr>
              <w:t>第一节</w:t>
              <w:tab/>
            </w:r>
            <w:r>
              <w:rPr/>
              <w:t>公司基本情况简介</w:t>
            </w:r>
            <w:r>
              <w:rPr>
                <w:rFonts w:ascii="Calibri" w:hAnsi="Calibri" w:cs="Calibri" w:eastAsia="Calibri" w:hint="default"/>
              </w:rPr>
              <w:tab/>
              <w:t>1</w:t>
            </w:r>
            <w:r>
              <w:rPr>
                <w:rFonts w:ascii="Calibri" w:hAnsi="Calibri" w:cs="Calibri" w:eastAsia="Calibri" w:hint="default"/>
                <w:b w:val="0"/>
                <w:bCs w:val="0"/>
              </w:rPr>
            </w:r>
          </w:hyperlink>
        </w:p>
        <w:p>
          <w:pPr>
            <w:pStyle w:val="TOC1"/>
            <w:tabs>
              <w:tab w:pos="1105" w:val="left" w:leader="none"/>
              <w:tab w:pos="10597" w:val="right" w:leader="dot"/>
            </w:tabs>
            <w:spacing w:line="240" w:lineRule="auto" w:before="85"/>
            <w:ind w:right="0"/>
            <w:jc w:val="left"/>
            <w:rPr>
              <w:rFonts w:ascii="Calibri" w:hAnsi="Calibri" w:cs="Calibri" w:eastAsia="Calibri" w:hint="default"/>
              <w:b w:val="0"/>
              <w:bCs w:val="0"/>
            </w:rPr>
          </w:pPr>
          <w:hyperlink w:history="true" w:anchor="_TOC_250009">
            <w:r>
              <w:rPr>
                <w:w w:val="95"/>
              </w:rPr>
              <w:t>第二节</w:t>
              <w:tab/>
            </w:r>
            <w:r>
              <w:rPr/>
              <w:t>会计数据和业务数据摘要</w:t>
            </w:r>
            <w:r>
              <w:rPr>
                <w:rFonts w:ascii="Calibri" w:hAnsi="Calibri" w:cs="Calibri" w:eastAsia="Calibri" w:hint="default"/>
              </w:rPr>
              <w:tab/>
              <w:t>3</w:t>
            </w:r>
            <w:r>
              <w:rPr>
                <w:rFonts w:ascii="Calibri" w:hAnsi="Calibri" w:cs="Calibri" w:eastAsia="Calibri" w:hint="default"/>
                <w:b w:val="0"/>
                <w:bCs w:val="0"/>
              </w:rPr>
            </w:r>
          </w:hyperlink>
        </w:p>
        <w:p>
          <w:pPr>
            <w:pStyle w:val="TOC1"/>
            <w:tabs>
              <w:tab w:pos="1105" w:val="left" w:leader="none"/>
              <w:tab w:pos="10597" w:val="right" w:leader="dot"/>
            </w:tabs>
            <w:spacing w:line="240" w:lineRule="auto" w:before="88"/>
            <w:ind w:right="0"/>
            <w:jc w:val="left"/>
            <w:rPr>
              <w:rFonts w:ascii="Calibri" w:hAnsi="Calibri" w:cs="Calibri" w:eastAsia="Calibri" w:hint="default"/>
              <w:b w:val="0"/>
              <w:bCs w:val="0"/>
            </w:rPr>
          </w:pPr>
          <w:hyperlink w:history="true" w:anchor="_TOC_250008">
            <w:r>
              <w:rPr>
                <w:w w:val="95"/>
              </w:rPr>
              <w:t>第三节</w:t>
              <w:tab/>
            </w:r>
            <w:r>
              <w:rPr/>
              <w:t>股本变动及股东情况</w:t>
            </w:r>
            <w:r>
              <w:rPr>
                <w:rFonts w:ascii="Calibri" w:hAnsi="Calibri" w:cs="Calibri" w:eastAsia="Calibri" w:hint="default"/>
              </w:rPr>
              <w:tab/>
              <w:t>5</w:t>
            </w:r>
            <w:r>
              <w:rPr>
                <w:rFonts w:ascii="Calibri" w:hAnsi="Calibri" w:cs="Calibri" w:eastAsia="Calibri" w:hint="default"/>
                <w:b w:val="0"/>
                <w:bCs w:val="0"/>
              </w:rPr>
            </w:r>
          </w:hyperlink>
        </w:p>
        <w:p>
          <w:pPr>
            <w:pStyle w:val="TOC1"/>
            <w:tabs>
              <w:tab w:pos="1105" w:val="left" w:leader="none"/>
              <w:tab w:pos="10601" w:val="right" w:leader="dot"/>
            </w:tabs>
            <w:spacing w:line="240" w:lineRule="auto"/>
            <w:ind w:right="0"/>
            <w:jc w:val="left"/>
            <w:rPr>
              <w:rFonts w:ascii="Calibri" w:hAnsi="Calibri" w:cs="Calibri" w:eastAsia="Calibri" w:hint="default"/>
              <w:b w:val="0"/>
              <w:bCs w:val="0"/>
            </w:rPr>
          </w:pPr>
          <w:hyperlink w:history="true" w:anchor="_TOC_250007">
            <w:r>
              <w:rPr>
                <w:w w:val="95"/>
              </w:rPr>
              <w:t>第四节</w:t>
              <w:tab/>
            </w:r>
            <w:r>
              <w:rPr/>
              <w:t>董事、监事和高级管理人员情况</w:t>
            </w:r>
            <w:r>
              <w:rPr>
                <w:rFonts w:ascii="Calibri" w:hAnsi="Calibri" w:cs="Calibri" w:eastAsia="Calibri" w:hint="default"/>
              </w:rPr>
              <w:tab/>
              <w:t>10</w:t>
            </w:r>
            <w:r>
              <w:rPr>
                <w:rFonts w:ascii="Calibri" w:hAnsi="Calibri" w:cs="Calibri" w:eastAsia="Calibri" w:hint="default"/>
                <w:b w:val="0"/>
                <w:bCs w:val="0"/>
              </w:rPr>
            </w:r>
          </w:hyperlink>
        </w:p>
        <w:p>
          <w:pPr>
            <w:pStyle w:val="TOC1"/>
            <w:tabs>
              <w:tab w:pos="1105" w:val="left" w:leader="none"/>
              <w:tab w:pos="10601" w:val="right" w:leader="dot"/>
            </w:tabs>
            <w:spacing w:line="240" w:lineRule="auto" w:before="85"/>
            <w:ind w:right="0"/>
            <w:jc w:val="left"/>
            <w:rPr>
              <w:rFonts w:ascii="Calibri" w:hAnsi="Calibri" w:cs="Calibri" w:eastAsia="Calibri" w:hint="default"/>
              <w:b w:val="0"/>
              <w:bCs w:val="0"/>
            </w:rPr>
          </w:pPr>
          <w:hyperlink w:history="true" w:anchor="_TOC_250006">
            <w:r>
              <w:rPr>
                <w:w w:val="95"/>
              </w:rPr>
              <w:t>第五节</w:t>
              <w:tab/>
            </w:r>
            <w:r>
              <w:rPr/>
              <w:t>公司治理结构</w:t>
            </w:r>
            <w:r>
              <w:rPr>
                <w:rFonts w:ascii="Calibri" w:hAnsi="Calibri" w:cs="Calibri" w:eastAsia="Calibri" w:hint="default"/>
              </w:rPr>
              <w:tab/>
              <w:t>16</w:t>
            </w:r>
            <w:r>
              <w:rPr>
                <w:rFonts w:ascii="Calibri" w:hAnsi="Calibri" w:cs="Calibri" w:eastAsia="Calibri" w:hint="default"/>
                <w:b w:val="0"/>
                <w:bCs w:val="0"/>
              </w:rPr>
            </w:r>
          </w:hyperlink>
        </w:p>
        <w:p>
          <w:pPr>
            <w:pStyle w:val="TOC1"/>
            <w:tabs>
              <w:tab w:pos="1105" w:val="left" w:leader="none"/>
              <w:tab w:pos="10601" w:val="right" w:leader="dot"/>
            </w:tabs>
            <w:spacing w:line="240" w:lineRule="auto"/>
            <w:ind w:right="0"/>
            <w:jc w:val="left"/>
            <w:rPr>
              <w:rFonts w:ascii="Calibri" w:hAnsi="Calibri" w:cs="Calibri" w:eastAsia="Calibri" w:hint="default"/>
              <w:b w:val="0"/>
              <w:bCs w:val="0"/>
            </w:rPr>
          </w:pPr>
          <w:hyperlink w:history="true" w:anchor="_TOC_250005">
            <w:r>
              <w:rPr>
                <w:w w:val="95"/>
              </w:rPr>
              <w:t>第六节</w:t>
              <w:tab/>
            </w:r>
            <w:r>
              <w:rPr/>
              <w:t>股东大会情况简介</w:t>
            </w:r>
            <w:r>
              <w:rPr>
                <w:rFonts w:ascii="Calibri" w:hAnsi="Calibri" w:cs="Calibri" w:eastAsia="Calibri" w:hint="default"/>
              </w:rPr>
              <w:tab/>
              <w:t>20</w:t>
            </w:r>
            <w:r>
              <w:rPr>
                <w:rFonts w:ascii="Calibri" w:hAnsi="Calibri" w:cs="Calibri" w:eastAsia="Calibri" w:hint="default"/>
                <w:b w:val="0"/>
                <w:bCs w:val="0"/>
              </w:rPr>
            </w:r>
          </w:hyperlink>
        </w:p>
        <w:p>
          <w:pPr>
            <w:pStyle w:val="TOC1"/>
            <w:tabs>
              <w:tab w:pos="1105" w:val="left" w:leader="none"/>
              <w:tab w:pos="10601" w:val="right" w:leader="dot"/>
            </w:tabs>
            <w:spacing w:line="240" w:lineRule="auto"/>
            <w:ind w:right="0"/>
            <w:jc w:val="left"/>
            <w:rPr>
              <w:rFonts w:ascii="Calibri" w:hAnsi="Calibri" w:cs="Calibri" w:eastAsia="Calibri" w:hint="default"/>
              <w:b w:val="0"/>
              <w:bCs w:val="0"/>
            </w:rPr>
          </w:pPr>
          <w:hyperlink w:history="true" w:anchor="_TOC_250004">
            <w:r>
              <w:rPr>
                <w:w w:val="95"/>
              </w:rPr>
              <w:t>第七节</w:t>
              <w:tab/>
            </w:r>
            <w:r>
              <w:rPr/>
              <w:t>董事会工作报告</w:t>
            </w:r>
            <w:r>
              <w:rPr>
                <w:rFonts w:ascii="Calibri" w:hAnsi="Calibri" w:cs="Calibri" w:eastAsia="Calibri" w:hint="default"/>
              </w:rPr>
              <w:tab/>
              <w:t>22</w:t>
            </w:r>
            <w:r>
              <w:rPr>
                <w:rFonts w:ascii="Calibri" w:hAnsi="Calibri" w:cs="Calibri" w:eastAsia="Calibri" w:hint="default"/>
                <w:b w:val="0"/>
                <w:bCs w:val="0"/>
              </w:rPr>
            </w:r>
          </w:hyperlink>
        </w:p>
        <w:p>
          <w:pPr>
            <w:pStyle w:val="TOC1"/>
            <w:tabs>
              <w:tab w:pos="1105" w:val="left" w:leader="none"/>
              <w:tab w:pos="10601" w:val="right" w:leader="dot"/>
            </w:tabs>
            <w:spacing w:line="240" w:lineRule="auto" w:before="85"/>
            <w:ind w:right="0"/>
            <w:jc w:val="left"/>
            <w:rPr>
              <w:rFonts w:ascii="Calibri" w:hAnsi="Calibri" w:cs="Calibri" w:eastAsia="Calibri" w:hint="default"/>
              <w:b w:val="0"/>
              <w:bCs w:val="0"/>
            </w:rPr>
          </w:pPr>
          <w:hyperlink w:history="true" w:anchor="_TOC_250003">
            <w:r>
              <w:rPr>
                <w:w w:val="95"/>
              </w:rPr>
              <w:t>第八节</w:t>
              <w:tab/>
            </w:r>
            <w:r>
              <w:rPr/>
              <w:t>监事会报告</w:t>
            </w:r>
            <w:r>
              <w:rPr>
                <w:rFonts w:ascii="Calibri" w:hAnsi="Calibri" w:cs="Calibri" w:eastAsia="Calibri" w:hint="default"/>
              </w:rPr>
              <w:tab/>
              <w:t>38</w:t>
            </w:r>
            <w:r>
              <w:rPr>
                <w:rFonts w:ascii="Calibri" w:hAnsi="Calibri" w:cs="Calibri" w:eastAsia="Calibri" w:hint="default"/>
                <w:b w:val="0"/>
                <w:bCs w:val="0"/>
              </w:rPr>
            </w:r>
          </w:hyperlink>
        </w:p>
        <w:p>
          <w:pPr>
            <w:pStyle w:val="TOC1"/>
            <w:tabs>
              <w:tab w:pos="1105" w:val="left" w:leader="none"/>
              <w:tab w:pos="10601" w:val="right" w:leader="dot"/>
            </w:tabs>
            <w:spacing w:line="240" w:lineRule="auto"/>
            <w:ind w:right="0"/>
            <w:jc w:val="left"/>
            <w:rPr>
              <w:rFonts w:ascii="Calibri" w:hAnsi="Calibri" w:cs="Calibri" w:eastAsia="Calibri" w:hint="default"/>
              <w:b w:val="0"/>
              <w:bCs w:val="0"/>
            </w:rPr>
          </w:pPr>
          <w:hyperlink w:history="true" w:anchor="_TOC_250002">
            <w:r>
              <w:rPr>
                <w:w w:val="95"/>
              </w:rPr>
              <w:t>第九节</w:t>
              <w:tab/>
            </w:r>
            <w:r>
              <w:rPr/>
              <w:t>重要事项</w:t>
            </w:r>
            <w:r>
              <w:rPr>
                <w:rFonts w:ascii="Calibri" w:hAnsi="Calibri" w:cs="Calibri" w:eastAsia="Calibri" w:hint="default"/>
              </w:rPr>
              <w:tab/>
              <w:t>40</w:t>
            </w:r>
            <w:r>
              <w:rPr>
                <w:rFonts w:ascii="Calibri" w:hAnsi="Calibri" w:cs="Calibri" w:eastAsia="Calibri" w:hint="default"/>
                <w:b w:val="0"/>
                <w:bCs w:val="0"/>
              </w:rPr>
            </w:r>
          </w:hyperlink>
        </w:p>
        <w:p>
          <w:pPr>
            <w:pStyle w:val="TOC1"/>
            <w:tabs>
              <w:tab w:pos="1105" w:val="left" w:leader="none"/>
              <w:tab w:pos="10601" w:val="right" w:leader="dot"/>
            </w:tabs>
            <w:spacing w:line="240" w:lineRule="auto"/>
            <w:ind w:right="0"/>
            <w:jc w:val="left"/>
            <w:rPr>
              <w:rFonts w:ascii="Calibri" w:hAnsi="Calibri" w:cs="Calibri" w:eastAsia="Calibri" w:hint="default"/>
              <w:b w:val="0"/>
              <w:bCs w:val="0"/>
            </w:rPr>
          </w:pPr>
          <w:hyperlink w:history="true" w:anchor="_TOC_250001">
            <w:r>
              <w:rPr>
                <w:w w:val="95"/>
              </w:rPr>
              <w:t>第十节</w:t>
              <w:tab/>
            </w:r>
            <w:r>
              <w:rPr/>
              <w:t>财务报告</w:t>
            </w:r>
            <w:r>
              <w:rPr>
                <w:rFonts w:ascii="Calibri" w:hAnsi="Calibri" w:cs="Calibri" w:eastAsia="Calibri" w:hint="default"/>
              </w:rPr>
              <w:tab/>
              <w:t>43</w:t>
            </w:r>
            <w:r>
              <w:rPr>
                <w:rFonts w:ascii="Calibri" w:hAnsi="Calibri" w:cs="Calibri" w:eastAsia="Calibri" w:hint="default"/>
                <w:b w:val="0"/>
                <w:bCs w:val="0"/>
              </w:rPr>
            </w:r>
          </w:hyperlink>
        </w:p>
        <w:p>
          <w:pPr>
            <w:pStyle w:val="TOC1"/>
            <w:tabs>
              <w:tab w:pos="1345" w:val="left" w:leader="none"/>
              <w:tab w:pos="10601" w:val="right" w:leader="dot"/>
            </w:tabs>
            <w:spacing w:line="240" w:lineRule="auto" w:before="85"/>
            <w:ind w:right="0"/>
            <w:jc w:val="left"/>
            <w:rPr>
              <w:rFonts w:ascii="Calibri" w:hAnsi="Calibri" w:cs="Calibri" w:eastAsia="Calibri" w:hint="default"/>
              <w:b w:val="0"/>
              <w:bCs w:val="0"/>
            </w:rPr>
          </w:pPr>
          <w:hyperlink w:history="true" w:anchor="_TOC_250000">
            <w:r>
              <w:rPr/>
              <w:t>第十一节</w:t>
              <w:tab/>
              <w:t>备查文件目录</w:t>
            </w:r>
            <w:r>
              <w:rPr>
                <w:rFonts w:ascii="Calibri" w:hAnsi="Calibri" w:cs="Calibri" w:eastAsia="Calibri" w:hint="default"/>
              </w:rPr>
              <w:tab/>
              <w:t>110</w:t>
            </w:r>
            <w:r>
              <w:rPr>
                <w:rFonts w:ascii="Calibri" w:hAnsi="Calibri" w:cs="Calibri" w:eastAsia="Calibri" w:hint="default"/>
                <w:b w:val="0"/>
                <w:bCs w:val="0"/>
              </w:rPr>
            </w:r>
          </w:hyperlink>
        </w:p>
        <w:p>
          <w:pPr/>
          <w:r>
            <w:fldChar w:fldCharType="end"/>
          </w:r>
        </w:p>
      </w:sdtContent>
    </w:sdt>
    <w:p>
      <w:pPr>
        <w:spacing w:after="0"/>
        <w:sectPr>
          <w:pgSz w:w="11910" w:h="16840"/>
          <w:pgMar w:header="720" w:footer="0" w:top="1360" w:bottom="0" w:left="580" w:right="0"/>
        </w:sectPr>
      </w:pPr>
    </w:p>
    <w:p>
      <w:pPr>
        <w:spacing w:line="240" w:lineRule="auto" w:before="0"/>
        <w:rPr>
          <w:rFonts w:ascii="Calibri" w:hAnsi="Calibri" w:cs="Calibri" w:eastAsia="Calibri" w:hint="default"/>
          <w:b/>
          <w:bCs/>
          <w:sz w:val="32"/>
          <w:szCs w:val="32"/>
        </w:rPr>
      </w:pPr>
    </w:p>
    <w:p>
      <w:pPr>
        <w:spacing w:line="240" w:lineRule="auto" w:before="1"/>
        <w:rPr>
          <w:rFonts w:ascii="Calibri" w:hAnsi="Calibri" w:cs="Calibri" w:eastAsia="Calibri" w:hint="default"/>
          <w:b/>
          <w:bCs/>
          <w:sz w:val="36"/>
          <w:szCs w:val="36"/>
        </w:rPr>
      </w:pPr>
    </w:p>
    <w:p>
      <w:pPr>
        <w:pStyle w:val="Heading1"/>
        <w:tabs>
          <w:tab w:pos="4732" w:val="left" w:leader="none"/>
        </w:tabs>
        <w:spacing w:line="240" w:lineRule="auto"/>
        <w:ind w:left="3445" w:right="0"/>
        <w:jc w:val="left"/>
        <w:rPr>
          <w:b w:val="0"/>
          <w:bCs w:val="0"/>
        </w:rPr>
      </w:pPr>
      <w:bookmarkStart w:name="_TOC_250010" w:id="1"/>
      <w:r>
        <w:rPr>
          <w:w w:val="95"/>
        </w:rPr>
        <w:t>第一节</w:t>
        <w:tab/>
      </w:r>
      <w:r>
        <w:rPr/>
        <w:t>公司基本情况简介</w:t>
      </w:r>
      <w:bookmarkEnd w:id="1"/>
      <w:r>
        <w:rPr>
          <w:b w:val="0"/>
          <w:bCs w:val="0"/>
        </w:rPr>
      </w:r>
    </w:p>
    <w:p>
      <w:pPr>
        <w:spacing w:line="240" w:lineRule="auto" w:before="9"/>
        <w:rPr>
          <w:rFonts w:ascii="黑体" w:hAnsi="黑体" w:cs="黑体" w:eastAsia="黑体" w:hint="default"/>
          <w:b/>
          <w:bCs/>
          <w:sz w:val="41"/>
          <w:szCs w:val="41"/>
        </w:rPr>
      </w:pPr>
    </w:p>
    <w:p>
      <w:pPr>
        <w:pStyle w:val="Heading2"/>
        <w:spacing w:line="240" w:lineRule="auto"/>
        <w:ind w:left="140" w:right="0"/>
        <w:jc w:val="left"/>
        <w:rPr>
          <w:b w:val="0"/>
          <w:bCs w:val="0"/>
        </w:rPr>
      </w:pPr>
      <w:r>
        <w:rPr/>
        <w:t>一、公司名称</w:t>
      </w:r>
      <w:r>
        <w:rPr>
          <w:b w:val="0"/>
          <w:bCs w:val="0"/>
        </w:rPr>
      </w:r>
    </w:p>
    <w:p>
      <w:pPr>
        <w:spacing w:before="154"/>
        <w:ind w:left="612" w:right="0" w:firstLine="0"/>
        <w:jc w:val="left"/>
        <w:rPr>
          <w:rFonts w:ascii="宋体" w:hAnsi="宋体" w:cs="宋体" w:eastAsia="宋体" w:hint="default"/>
          <w:sz w:val="24"/>
          <w:szCs w:val="24"/>
        </w:rPr>
      </w:pPr>
      <w:r>
        <w:rPr>
          <w:rFonts w:ascii="宋体" w:hAnsi="宋体" w:cs="宋体" w:eastAsia="宋体" w:hint="default"/>
          <w:b/>
          <w:bCs/>
          <w:sz w:val="24"/>
          <w:szCs w:val="24"/>
        </w:rPr>
        <w:t>中文名称：</w:t>
      </w:r>
      <w:r>
        <w:rPr>
          <w:rFonts w:ascii="宋体" w:hAnsi="宋体" w:cs="宋体" w:eastAsia="宋体" w:hint="default"/>
          <w:sz w:val="24"/>
          <w:szCs w:val="24"/>
        </w:rPr>
        <w:t>吉林紫鑫药业股份有限公司</w:t>
      </w:r>
    </w:p>
    <w:p>
      <w:pPr>
        <w:pStyle w:val="Heading3"/>
        <w:spacing w:line="240" w:lineRule="auto" w:before="151"/>
        <w:ind w:left="612" w:right="0"/>
        <w:jc w:val="left"/>
        <w:rPr>
          <w:rFonts w:ascii="宋体" w:hAnsi="宋体" w:cs="宋体" w:eastAsia="宋体" w:hint="default"/>
        </w:rPr>
      </w:pPr>
      <w:r>
        <w:rPr>
          <w:rFonts w:ascii="宋体" w:hAnsi="宋体" w:cs="宋体" w:eastAsia="宋体" w:hint="default"/>
          <w:b/>
          <w:bCs/>
        </w:rPr>
        <w:t>英文名称：</w:t>
      </w:r>
      <w:r>
        <w:rPr>
          <w:rFonts w:ascii="宋体" w:hAnsi="宋体" w:cs="宋体" w:eastAsia="宋体" w:hint="default"/>
        </w:rPr>
        <w:t>JILIN ZIXIN PHARMACEUTICAL INDUSTRIAL CO.,LTD</w:t>
      </w:r>
    </w:p>
    <w:p>
      <w:pPr>
        <w:spacing w:line="712" w:lineRule="auto" w:before="154"/>
        <w:ind w:left="140" w:right="8037" w:firstLine="472"/>
        <w:jc w:val="left"/>
        <w:rPr>
          <w:rFonts w:ascii="宋体" w:hAnsi="宋体" w:cs="宋体" w:eastAsia="宋体" w:hint="default"/>
          <w:sz w:val="24"/>
          <w:szCs w:val="24"/>
        </w:rPr>
      </w:pPr>
      <w:r>
        <w:rPr/>
        <w:pict>
          <v:shape style="position:absolute;margin-left:57.84pt;margin-top:126.385628pt;width:428.4pt;height:145.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7"/>
                    <w:gridCol w:w="3046"/>
                    <w:gridCol w:w="3781"/>
                  </w:tblGrid>
                  <w:tr>
                    <w:trPr>
                      <w:trHeight w:val="487" w:hRule="exact"/>
                    </w:trPr>
                    <w:tc>
                      <w:tcPr>
                        <w:tcW w:w="1697" w:type="dxa"/>
                        <w:tcBorders>
                          <w:top w:val="single" w:sz="12" w:space="0" w:color="000000"/>
                          <w:left w:val="nil" w:sz="6" w:space="0" w:color="auto"/>
                          <w:bottom w:val="single" w:sz="4" w:space="0" w:color="000000"/>
                          <w:right w:val="single" w:sz="4" w:space="0" w:color="000000"/>
                        </w:tcBorders>
                      </w:tcPr>
                      <w:p>
                        <w:pPr/>
                      </w:p>
                    </w:tc>
                    <w:tc>
                      <w:tcPr>
                        <w:tcW w:w="3046" w:type="dxa"/>
                        <w:tcBorders>
                          <w:top w:val="single" w:sz="12"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董事会秘书</w:t>
                        </w:r>
                      </w:p>
                    </w:tc>
                    <w:tc>
                      <w:tcPr>
                        <w:tcW w:w="3781" w:type="dxa"/>
                        <w:tcBorders>
                          <w:top w:val="single" w:sz="12"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hAnsi="宋体" w:cs="宋体" w:eastAsia="宋体" w:hint="default"/>
                            <w:sz w:val="24"/>
                            <w:szCs w:val="24"/>
                          </w:rPr>
                          <w:t>投资者关系管理负责人</w:t>
                        </w:r>
                      </w:p>
                    </w:tc>
                  </w:tr>
                  <w:tr>
                    <w:trPr>
                      <w:trHeight w:val="478"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tabs>
                            <w:tab w:pos="1094" w:val="left" w:leader="none"/>
                          </w:tabs>
                          <w:spacing w:line="276" w:lineRule="exact"/>
                          <w:ind w:left="374" w:right="0"/>
                          <w:jc w:val="left"/>
                          <w:rPr>
                            <w:rFonts w:ascii="宋体" w:hAnsi="宋体" w:cs="宋体" w:eastAsia="宋体" w:hint="default"/>
                            <w:sz w:val="24"/>
                            <w:szCs w:val="24"/>
                          </w:rPr>
                        </w:pPr>
                        <w:r>
                          <w:rPr>
                            <w:rFonts w:ascii="宋体" w:hAnsi="宋体" w:cs="宋体" w:eastAsia="宋体" w:hint="default"/>
                            <w:sz w:val="24"/>
                            <w:szCs w:val="24"/>
                          </w:rPr>
                          <w:t>姓</w:t>
                          <w:tab/>
                          <w:t>名</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曹恩辉</w:t>
                        </w:r>
                      </w:p>
                    </w:tc>
                    <w:tc>
                      <w:tcPr>
                        <w:tcW w:w="3781"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right="5"/>
                          <w:jc w:val="center"/>
                          <w:rPr>
                            <w:rFonts w:ascii="宋体" w:hAnsi="宋体" w:cs="宋体" w:eastAsia="宋体" w:hint="default"/>
                            <w:sz w:val="24"/>
                            <w:szCs w:val="24"/>
                          </w:rPr>
                        </w:pPr>
                        <w:r>
                          <w:rPr>
                            <w:rFonts w:ascii="宋体" w:hAnsi="宋体" w:cs="宋体" w:eastAsia="宋体" w:hint="default"/>
                            <w:sz w:val="24"/>
                            <w:szCs w:val="24"/>
                          </w:rPr>
                          <w:t>曹恩辉</w:t>
                        </w:r>
                      </w:p>
                    </w:tc>
                  </w:tr>
                  <w:tr>
                    <w:trPr>
                      <w:trHeight w:val="478"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spacing w:line="274" w:lineRule="exact"/>
                          <w:ind w:left="374" w:right="0"/>
                          <w:jc w:val="left"/>
                          <w:rPr>
                            <w:rFonts w:ascii="宋体" w:hAnsi="宋体" w:cs="宋体" w:eastAsia="宋体" w:hint="default"/>
                            <w:sz w:val="24"/>
                            <w:szCs w:val="24"/>
                          </w:rPr>
                        </w:pPr>
                        <w:r>
                          <w:rPr>
                            <w:rFonts w:ascii="宋体" w:hAnsi="宋体" w:cs="宋体" w:eastAsia="宋体" w:hint="default"/>
                            <w:sz w:val="24"/>
                            <w:szCs w:val="24"/>
                          </w:rPr>
                          <w:t>联系方式</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长春市东头道街</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号</w:t>
                        </w:r>
                      </w:p>
                    </w:tc>
                    <w:tc>
                      <w:tcPr>
                        <w:tcW w:w="3781"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4"/>
                            <w:szCs w:val="24"/>
                          </w:rPr>
                        </w:pPr>
                        <w:r>
                          <w:rPr>
                            <w:rFonts w:ascii="宋体" w:hAnsi="宋体" w:cs="宋体" w:eastAsia="宋体" w:hint="default"/>
                            <w:sz w:val="24"/>
                            <w:szCs w:val="24"/>
                          </w:rPr>
                          <w:t>长春市东头道街</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478"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tabs>
                            <w:tab w:pos="1094" w:val="left" w:leader="none"/>
                          </w:tabs>
                          <w:spacing w:line="274" w:lineRule="exact"/>
                          <w:ind w:left="374" w:right="0"/>
                          <w:jc w:val="left"/>
                          <w:rPr>
                            <w:rFonts w:ascii="宋体" w:hAnsi="宋体" w:cs="宋体" w:eastAsia="宋体" w:hint="default"/>
                            <w:sz w:val="24"/>
                            <w:szCs w:val="24"/>
                          </w:rPr>
                        </w:pPr>
                        <w:r>
                          <w:rPr>
                            <w:rFonts w:ascii="宋体" w:hAnsi="宋体" w:cs="宋体" w:eastAsia="宋体" w:hint="default"/>
                            <w:sz w:val="24"/>
                            <w:szCs w:val="24"/>
                          </w:rPr>
                          <w:t>电</w:t>
                          <w:tab/>
                          <w:t>话</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0431-88661817</w:t>
                        </w:r>
                      </w:p>
                    </w:tc>
                    <w:tc>
                      <w:tcPr>
                        <w:tcW w:w="3781"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4"/>
                            <w:szCs w:val="24"/>
                          </w:rPr>
                        </w:pPr>
                        <w:r>
                          <w:rPr>
                            <w:rFonts w:ascii="宋体"/>
                            <w:sz w:val="24"/>
                          </w:rPr>
                          <w:t>0431-88661817</w:t>
                        </w:r>
                      </w:p>
                    </w:tc>
                  </w:tr>
                  <w:tr>
                    <w:trPr>
                      <w:trHeight w:val="476" w:hRule="exact"/>
                    </w:trPr>
                    <w:tc>
                      <w:tcPr>
                        <w:tcW w:w="1697" w:type="dxa"/>
                        <w:tcBorders>
                          <w:top w:val="single" w:sz="4" w:space="0" w:color="000000"/>
                          <w:left w:val="nil" w:sz="6" w:space="0" w:color="auto"/>
                          <w:bottom w:val="single" w:sz="4" w:space="0" w:color="000000"/>
                          <w:right w:val="single" w:sz="4" w:space="0" w:color="000000"/>
                        </w:tcBorders>
                      </w:tcPr>
                      <w:p>
                        <w:pPr>
                          <w:pStyle w:val="TableParagraph"/>
                          <w:tabs>
                            <w:tab w:pos="1094" w:val="left" w:leader="none"/>
                          </w:tabs>
                          <w:spacing w:line="274" w:lineRule="exact"/>
                          <w:ind w:left="374" w:right="0"/>
                          <w:jc w:val="left"/>
                          <w:rPr>
                            <w:rFonts w:ascii="宋体" w:hAnsi="宋体" w:cs="宋体" w:eastAsia="宋体" w:hint="default"/>
                            <w:sz w:val="24"/>
                            <w:szCs w:val="24"/>
                          </w:rPr>
                        </w:pPr>
                        <w:r>
                          <w:rPr>
                            <w:rFonts w:ascii="宋体" w:hAnsi="宋体" w:cs="宋体" w:eastAsia="宋体" w:hint="default"/>
                            <w:sz w:val="24"/>
                            <w:szCs w:val="24"/>
                          </w:rPr>
                          <w:t>传</w:t>
                          <w:tab/>
                          <w:t>真</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sz w:val="24"/>
                          </w:rPr>
                          <w:t>0431-88698366</w:t>
                        </w:r>
                      </w:p>
                    </w:tc>
                    <w:tc>
                      <w:tcPr>
                        <w:tcW w:w="3781" w:type="dxa"/>
                        <w:tcBorders>
                          <w:top w:val="single" w:sz="4" w:space="0" w:color="000000"/>
                          <w:left w:val="single" w:sz="4" w:space="0" w:color="000000"/>
                          <w:bottom w:val="single" w:sz="4" w:space="0" w:color="000000"/>
                          <w:right w:val="nil" w:sz="6" w:space="0" w:color="auto"/>
                        </w:tcBorders>
                      </w:tcPr>
                      <w:p>
                        <w:pPr>
                          <w:pStyle w:val="TableParagraph"/>
                          <w:spacing w:line="274" w:lineRule="exact"/>
                          <w:ind w:right="5"/>
                          <w:jc w:val="center"/>
                          <w:rPr>
                            <w:rFonts w:ascii="宋体" w:hAnsi="宋体" w:cs="宋体" w:eastAsia="宋体" w:hint="default"/>
                            <w:sz w:val="24"/>
                            <w:szCs w:val="24"/>
                          </w:rPr>
                        </w:pPr>
                        <w:r>
                          <w:rPr>
                            <w:rFonts w:ascii="宋体"/>
                            <w:sz w:val="24"/>
                          </w:rPr>
                          <w:t>0431-88698366</w:t>
                        </w:r>
                      </w:p>
                    </w:tc>
                  </w:tr>
                  <w:tr>
                    <w:trPr>
                      <w:trHeight w:val="487" w:hRule="exact"/>
                    </w:trPr>
                    <w:tc>
                      <w:tcPr>
                        <w:tcW w:w="1697" w:type="dxa"/>
                        <w:tcBorders>
                          <w:top w:val="single" w:sz="4" w:space="0" w:color="000000"/>
                          <w:left w:val="nil" w:sz="6" w:space="0" w:color="auto"/>
                          <w:bottom w:val="single" w:sz="12" w:space="0" w:color="000000"/>
                          <w:right w:val="single" w:sz="4" w:space="0" w:color="000000"/>
                        </w:tcBorders>
                      </w:tcPr>
                      <w:p>
                        <w:pPr>
                          <w:pStyle w:val="TableParagraph"/>
                          <w:spacing w:line="274" w:lineRule="exact"/>
                          <w:ind w:left="374" w:right="0"/>
                          <w:jc w:val="left"/>
                          <w:rPr>
                            <w:rFonts w:ascii="宋体" w:hAnsi="宋体" w:cs="宋体" w:eastAsia="宋体" w:hint="default"/>
                            <w:sz w:val="24"/>
                            <w:szCs w:val="24"/>
                          </w:rPr>
                        </w:pPr>
                        <w:r>
                          <w:rPr>
                            <w:rFonts w:ascii="宋体" w:hAnsi="宋体" w:cs="宋体" w:eastAsia="宋体" w:hint="default"/>
                            <w:sz w:val="24"/>
                            <w:szCs w:val="24"/>
                          </w:rPr>
                          <w:t>电子邮箱</w:t>
                        </w:r>
                      </w:p>
                    </w:tc>
                    <w:tc>
                      <w:tcPr>
                        <w:tcW w:w="3046" w:type="dxa"/>
                        <w:tcBorders>
                          <w:top w:val="single" w:sz="4" w:space="0" w:color="000000"/>
                          <w:left w:val="single" w:sz="4" w:space="0" w:color="000000"/>
                          <w:bottom w:val="single" w:sz="12"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hyperlink r:id="rId10">
                          <w:r>
                            <w:rPr>
                              <w:rFonts w:ascii="宋体"/>
                              <w:sz w:val="24"/>
                            </w:rPr>
                            <w:t>594cpa@163.com</w:t>
                          </w:r>
                        </w:hyperlink>
                      </w:p>
                    </w:tc>
                    <w:tc>
                      <w:tcPr>
                        <w:tcW w:w="3781" w:type="dxa"/>
                        <w:tcBorders>
                          <w:top w:val="single" w:sz="4" w:space="0" w:color="000000"/>
                          <w:left w:val="single" w:sz="4" w:space="0" w:color="000000"/>
                          <w:bottom w:val="single" w:sz="12" w:space="0" w:color="000000"/>
                          <w:right w:val="nil" w:sz="6" w:space="0" w:color="auto"/>
                        </w:tcBorders>
                      </w:tcPr>
                      <w:p>
                        <w:pPr>
                          <w:pStyle w:val="TableParagraph"/>
                          <w:spacing w:line="274" w:lineRule="exact"/>
                          <w:ind w:right="5"/>
                          <w:jc w:val="center"/>
                          <w:rPr>
                            <w:rFonts w:ascii="宋体" w:hAnsi="宋体" w:cs="宋体" w:eastAsia="宋体" w:hint="default"/>
                            <w:sz w:val="24"/>
                            <w:szCs w:val="24"/>
                          </w:rPr>
                        </w:pPr>
                        <w:hyperlink r:id="rId10">
                          <w:r>
                            <w:rPr>
                              <w:rFonts w:ascii="宋体"/>
                              <w:sz w:val="24"/>
                            </w:rPr>
                            <w:t>594cpa@163.com</w:t>
                          </w:r>
                        </w:hyperlink>
                      </w:p>
                    </w:tc>
                  </w:tr>
                </w:tbl>
                <w:p>
                  <w:pPr/>
                </w:p>
              </w:txbxContent>
            </v:textbox>
            <w10:wrap type="none"/>
          </v:shape>
        </w:pict>
      </w:r>
      <w:r>
        <w:rPr>
          <w:rFonts w:ascii="宋体" w:hAnsi="宋体" w:cs="宋体" w:eastAsia="宋体" w:hint="default"/>
          <w:b/>
          <w:bCs/>
          <w:sz w:val="24"/>
          <w:szCs w:val="24"/>
        </w:rPr>
        <w:t>中文简称：</w:t>
      </w:r>
      <w:r>
        <w:rPr>
          <w:rFonts w:ascii="宋体" w:hAnsi="宋体" w:cs="宋体" w:eastAsia="宋体" w:hint="default"/>
          <w:sz w:val="24"/>
          <w:szCs w:val="24"/>
        </w:rPr>
        <w:t>紫鑫药业 </w:t>
      </w:r>
      <w:r>
        <w:rPr>
          <w:rFonts w:ascii="宋体" w:hAnsi="宋体" w:cs="宋体" w:eastAsia="宋体" w:hint="default"/>
          <w:b/>
          <w:bCs/>
          <w:sz w:val="24"/>
          <w:szCs w:val="24"/>
        </w:rPr>
        <w:t>二、公司法定代表人：</w:t>
      </w:r>
      <w:r>
        <w:rPr>
          <w:rFonts w:ascii="宋体" w:hAnsi="宋体" w:cs="宋体" w:eastAsia="宋体" w:hint="default"/>
          <w:sz w:val="24"/>
          <w:szCs w:val="24"/>
        </w:rPr>
        <w:t>郭春生 </w:t>
      </w:r>
      <w:r>
        <w:rPr>
          <w:rFonts w:ascii="宋体" w:hAnsi="宋体" w:cs="宋体" w:eastAsia="宋体" w:hint="default"/>
          <w:b/>
          <w:bCs/>
          <w:sz w:val="24"/>
          <w:szCs w:val="24"/>
        </w:rPr>
        <w:t>三、公司联系人及联系方式</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tabs>
          <w:tab w:pos="1095" w:val="left" w:leader="none"/>
        </w:tabs>
        <w:spacing w:line="357" w:lineRule="auto" w:before="179"/>
        <w:ind w:left="612" w:right="6134" w:hanging="473"/>
        <w:jc w:val="left"/>
        <w:rPr>
          <w:rFonts w:ascii="宋体" w:hAnsi="宋体" w:cs="宋体" w:eastAsia="宋体" w:hint="default"/>
          <w:sz w:val="24"/>
          <w:szCs w:val="24"/>
        </w:rPr>
      </w:pPr>
      <w:r>
        <w:rPr>
          <w:rFonts w:ascii="宋体" w:hAnsi="宋体" w:cs="宋体" w:eastAsia="宋体" w:hint="default"/>
          <w:b/>
          <w:bCs/>
          <w:sz w:val="24"/>
          <w:szCs w:val="24"/>
        </w:rPr>
        <w:t>四、公司注册地址：</w:t>
      </w:r>
      <w:r>
        <w:rPr>
          <w:rFonts w:ascii="宋体" w:hAnsi="宋体" w:cs="宋体" w:eastAsia="宋体" w:hint="default"/>
          <w:sz w:val="24"/>
          <w:szCs w:val="24"/>
        </w:rPr>
        <w:t>吉林省柳河县英利路</w:t>
      </w:r>
      <w:r>
        <w:rPr>
          <w:rFonts w:ascii="宋体" w:hAnsi="宋体" w:cs="宋体" w:eastAsia="宋体" w:hint="default"/>
          <w:spacing w:val="-61"/>
          <w:sz w:val="24"/>
          <w:szCs w:val="24"/>
        </w:rPr>
        <w:t> </w:t>
      </w:r>
      <w:r>
        <w:rPr>
          <w:rFonts w:ascii="宋体" w:hAnsi="宋体" w:cs="宋体" w:eastAsia="宋体" w:hint="default"/>
          <w:sz w:val="24"/>
          <w:szCs w:val="24"/>
        </w:rPr>
        <w:t>88</w:t>
      </w:r>
      <w:r>
        <w:rPr>
          <w:rFonts w:ascii="宋体" w:hAnsi="宋体" w:cs="宋体" w:eastAsia="宋体" w:hint="default"/>
          <w:spacing w:val="-61"/>
          <w:sz w:val="24"/>
          <w:szCs w:val="24"/>
        </w:rPr>
        <w:t> </w:t>
      </w:r>
      <w:r>
        <w:rPr>
          <w:rFonts w:ascii="宋体" w:hAnsi="宋体" w:cs="宋体" w:eastAsia="宋体" w:hint="default"/>
          <w:sz w:val="24"/>
          <w:szCs w:val="24"/>
        </w:rPr>
        <w:t>号 </w:t>
      </w:r>
      <w:r>
        <w:rPr>
          <w:rFonts w:ascii="宋体" w:hAnsi="宋体" w:cs="宋体" w:eastAsia="宋体" w:hint="default"/>
          <w:b/>
          <w:bCs/>
          <w:sz w:val="24"/>
          <w:szCs w:val="24"/>
        </w:rPr>
        <w:t>公司办公地址：</w:t>
      </w:r>
      <w:r>
        <w:rPr>
          <w:rFonts w:ascii="宋体" w:hAnsi="宋体" w:cs="宋体" w:eastAsia="宋体" w:hint="default"/>
          <w:sz w:val="24"/>
          <w:szCs w:val="24"/>
        </w:rPr>
        <w:t>长春市南关区东头道街１号 </w:t>
      </w:r>
      <w:r>
        <w:rPr>
          <w:rFonts w:ascii="宋体" w:hAnsi="宋体" w:cs="宋体" w:eastAsia="宋体" w:hint="default"/>
          <w:b/>
          <w:bCs/>
          <w:w w:val="95"/>
          <w:sz w:val="24"/>
          <w:szCs w:val="24"/>
        </w:rPr>
        <w:t>邮</w:t>
        <w:tab/>
      </w:r>
      <w:r>
        <w:rPr>
          <w:rFonts w:ascii="宋体" w:hAnsi="宋体" w:cs="宋体" w:eastAsia="宋体" w:hint="default"/>
          <w:b/>
          <w:bCs/>
          <w:sz w:val="24"/>
          <w:szCs w:val="24"/>
        </w:rPr>
        <w:t>政 编 码：</w:t>
      </w:r>
      <w:r>
        <w:rPr>
          <w:rFonts w:ascii="宋体" w:hAnsi="宋体" w:cs="宋体" w:eastAsia="宋体" w:hint="default"/>
          <w:sz w:val="24"/>
          <w:szCs w:val="24"/>
        </w:rPr>
        <w:t>130041</w:t>
      </w:r>
    </w:p>
    <w:p>
      <w:pPr>
        <w:tabs>
          <w:tab w:pos="1105" w:val="left" w:leader="none"/>
        </w:tabs>
        <w:spacing w:line="355" w:lineRule="auto" w:before="36"/>
        <w:ind w:left="622" w:right="5653" w:firstLine="0"/>
        <w:jc w:val="left"/>
        <w:rPr>
          <w:rFonts w:ascii="宋体" w:hAnsi="宋体" w:cs="宋体" w:eastAsia="宋体" w:hint="default"/>
          <w:sz w:val="24"/>
          <w:szCs w:val="24"/>
        </w:rPr>
      </w:pPr>
      <w:r>
        <w:rPr>
          <w:rFonts w:ascii="宋体" w:hAnsi="宋体" w:cs="宋体" w:eastAsia="宋体" w:hint="default"/>
          <w:b/>
          <w:bCs/>
          <w:w w:val="95"/>
          <w:sz w:val="24"/>
          <w:szCs w:val="24"/>
        </w:rPr>
        <w:t>公</w:t>
        <w:tab/>
      </w:r>
      <w:r>
        <w:rPr>
          <w:rFonts w:ascii="宋体" w:hAnsi="宋体" w:cs="宋体" w:eastAsia="宋体" w:hint="default"/>
          <w:b/>
          <w:bCs/>
          <w:sz w:val="24"/>
          <w:szCs w:val="24"/>
        </w:rPr>
        <w:t>司 网</w:t>
      </w:r>
      <w:r>
        <w:rPr>
          <w:rFonts w:ascii="宋体" w:hAnsi="宋体" w:cs="宋体" w:eastAsia="宋体" w:hint="default"/>
          <w:b/>
          <w:bCs/>
          <w:spacing w:val="-3"/>
          <w:sz w:val="24"/>
          <w:szCs w:val="24"/>
        </w:rPr>
        <w:t> </w:t>
      </w:r>
      <w:r>
        <w:rPr>
          <w:rFonts w:ascii="宋体" w:hAnsi="宋体" w:cs="宋体" w:eastAsia="宋体" w:hint="default"/>
          <w:b/>
          <w:bCs/>
          <w:sz w:val="24"/>
          <w:szCs w:val="24"/>
        </w:rPr>
        <w:t>址：</w:t>
      </w:r>
      <w:hyperlink r:id="rId11">
        <w:r>
          <w:rPr>
            <w:rFonts w:ascii="宋体" w:hAnsi="宋体" w:cs="宋体" w:eastAsia="宋体" w:hint="default"/>
            <w:sz w:val="24"/>
            <w:szCs w:val="24"/>
          </w:rPr>
          <w:t>http://www.jilinzixin.com.cn</w:t>
        </w:r>
      </w:hyperlink>
      <w:r>
        <w:rPr>
          <w:rFonts w:ascii="宋体" w:hAnsi="宋体" w:cs="宋体" w:eastAsia="宋体" w:hint="default"/>
          <w:sz w:val="24"/>
          <w:szCs w:val="24"/>
        </w:rPr>
        <w:t> </w:t>
      </w:r>
      <w:r>
        <w:rPr>
          <w:rFonts w:ascii="宋体" w:hAnsi="宋体" w:cs="宋体" w:eastAsia="宋体" w:hint="default"/>
          <w:b/>
          <w:bCs/>
          <w:w w:val="95"/>
          <w:sz w:val="24"/>
          <w:szCs w:val="24"/>
        </w:rPr>
        <w:t>电</w:t>
        <w:tab/>
      </w:r>
      <w:r>
        <w:rPr>
          <w:rFonts w:ascii="宋体" w:hAnsi="宋体" w:cs="宋体" w:eastAsia="宋体" w:hint="default"/>
          <w:b/>
          <w:bCs/>
          <w:sz w:val="24"/>
          <w:szCs w:val="24"/>
        </w:rPr>
        <w:t>子 信</w:t>
      </w:r>
      <w:r>
        <w:rPr>
          <w:rFonts w:ascii="宋体" w:hAnsi="宋体" w:cs="宋体" w:eastAsia="宋体" w:hint="default"/>
          <w:b/>
          <w:bCs/>
          <w:spacing w:val="-3"/>
          <w:sz w:val="24"/>
          <w:szCs w:val="24"/>
        </w:rPr>
        <w:t> </w:t>
      </w:r>
      <w:r>
        <w:rPr>
          <w:rFonts w:ascii="宋体" w:hAnsi="宋体" w:cs="宋体" w:eastAsia="宋体" w:hint="default"/>
          <w:b/>
          <w:bCs/>
          <w:sz w:val="24"/>
          <w:szCs w:val="24"/>
        </w:rPr>
        <w:t>箱：</w:t>
      </w:r>
      <w:hyperlink r:id="rId12">
        <w:r>
          <w:rPr>
            <w:rFonts w:ascii="宋体" w:hAnsi="宋体" w:cs="宋体" w:eastAsia="宋体" w:hint="default"/>
            <w:color w:val="0000FF"/>
            <w:sz w:val="24"/>
            <w:szCs w:val="24"/>
          </w:rPr>
        </w:r>
        <w:r>
          <w:rPr>
            <w:rFonts w:ascii="宋体" w:hAnsi="宋体" w:cs="宋体" w:eastAsia="宋体" w:hint="default"/>
            <w:color w:val="0000FF"/>
            <w:sz w:val="24"/>
            <w:szCs w:val="24"/>
            <w:u w:val="single" w:color="0000FF"/>
          </w:rPr>
          <w:t>zixin@jilinzixin.com</w:t>
        </w:r>
        <w:r>
          <w:rPr>
            <w:rFonts w:ascii="宋体" w:hAnsi="宋体" w:cs="宋体" w:eastAsia="宋体" w:hint="default"/>
            <w:color w:val="0000FF"/>
            <w:sz w:val="24"/>
            <w:szCs w:val="24"/>
          </w:rPr>
        </w:r>
        <w:r>
          <w:rPr>
            <w:rFonts w:ascii="宋体" w:hAnsi="宋体" w:cs="宋体" w:eastAsia="宋体" w:hint="default"/>
            <w:sz w:val="24"/>
            <w:szCs w:val="24"/>
          </w:rPr>
        </w:r>
      </w:hyperlink>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line="357" w:lineRule="auto" w:before="26"/>
        <w:ind w:left="622" w:right="3357" w:hanging="483"/>
        <w:jc w:val="left"/>
        <w:rPr>
          <w:rFonts w:ascii="宋体" w:hAnsi="宋体" w:cs="宋体" w:eastAsia="宋体" w:hint="default"/>
          <w:sz w:val="24"/>
          <w:szCs w:val="24"/>
        </w:rPr>
      </w:pPr>
      <w:r>
        <w:rPr>
          <w:rFonts w:ascii="宋体" w:hAnsi="宋体" w:cs="宋体" w:eastAsia="宋体" w:hint="default"/>
          <w:b/>
          <w:bCs/>
          <w:spacing w:val="-13"/>
          <w:w w:val="99"/>
          <w:sz w:val="24"/>
          <w:szCs w:val="24"/>
        </w:rPr>
        <w:t>五、公司选定的信息披露报纸：</w:t>
      </w:r>
      <w:r>
        <w:rPr>
          <w:rFonts w:ascii="宋体" w:hAnsi="宋体" w:cs="宋体" w:eastAsia="宋体" w:hint="default"/>
          <w:spacing w:val="-13"/>
          <w:w w:val="99"/>
          <w:sz w:val="24"/>
          <w:szCs w:val="24"/>
        </w:rPr>
        <w:t>《证券时报》、《中国证券报》</w:t>
      </w:r>
      <w:r>
        <w:rPr>
          <w:rFonts w:ascii="宋体" w:hAnsi="宋体" w:cs="宋体" w:eastAsia="宋体" w:hint="default"/>
          <w:spacing w:val="-105"/>
          <w:w w:val="99"/>
          <w:sz w:val="24"/>
          <w:szCs w:val="24"/>
        </w:rPr>
        <w:t> </w:t>
      </w:r>
      <w:r>
        <w:rPr>
          <w:rFonts w:ascii="宋体" w:hAnsi="宋体" w:cs="宋体" w:eastAsia="宋体" w:hint="default"/>
          <w:spacing w:val="-105"/>
          <w:w w:val="99"/>
          <w:sz w:val="24"/>
          <w:szCs w:val="24"/>
        </w:rPr>
      </w:r>
      <w:r>
        <w:rPr>
          <w:rFonts w:ascii="宋体" w:hAnsi="宋体" w:cs="宋体" w:eastAsia="宋体" w:hint="default"/>
          <w:b/>
          <w:bCs/>
          <w:sz w:val="24"/>
          <w:szCs w:val="24"/>
        </w:rPr>
        <w:t>登载年度报告网站的网址：</w:t>
      </w:r>
      <w:hyperlink r:id="rId13">
        <w:r>
          <w:rPr>
            <w:rFonts w:ascii="宋体" w:hAnsi="宋体" w:cs="宋体" w:eastAsia="宋体" w:hint="default"/>
            <w:sz w:val="24"/>
            <w:szCs w:val="24"/>
          </w:rPr>
          <w:t>http://cninfo.com.cn</w:t>
        </w:r>
      </w:hyperlink>
      <w:r>
        <w:rPr>
          <w:rFonts w:ascii="宋体" w:hAnsi="宋体" w:cs="宋体" w:eastAsia="宋体" w:hint="default"/>
          <w:sz w:val="24"/>
          <w:szCs w:val="24"/>
        </w:rPr>
        <w:t> </w:t>
      </w:r>
      <w:r>
        <w:rPr>
          <w:rFonts w:ascii="宋体" w:hAnsi="宋体" w:cs="宋体" w:eastAsia="宋体" w:hint="default"/>
          <w:b/>
          <w:bCs/>
          <w:sz w:val="24"/>
          <w:szCs w:val="24"/>
        </w:rPr>
        <w:t>公司年度报告备置地点：</w:t>
      </w:r>
      <w:r>
        <w:rPr>
          <w:rFonts w:ascii="宋体" w:hAnsi="宋体" w:cs="宋体" w:eastAsia="宋体" w:hint="default"/>
          <w:sz w:val="24"/>
          <w:szCs w:val="24"/>
        </w:rPr>
        <w:t>公司董事会办公室</w:t>
      </w:r>
    </w:p>
    <w:p>
      <w:pPr>
        <w:spacing w:line="240" w:lineRule="auto" w:before="0"/>
        <w:rPr>
          <w:rFonts w:ascii="宋体" w:hAnsi="宋体" w:cs="宋体" w:eastAsia="宋体" w:hint="default"/>
          <w:sz w:val="24"/>
          <w:szCs w:val="24"/>
        </w:rPr>
      </w:pPr>
    </w:p>
    <w:p>
      <w:pPr>
        <w:spacing w:before="187"/>
        <w:ind w:left="140" w:right="0" w:firstLine="0"/>
        <w:jc w:val="left"/>
        <w:rPr>
          <w:rFonts w:ascii="宋体" w:hAnsi="宋体" w:cs="宋体" w:eastAsia="宋体" w:hint="default"/>
          <w:sz w:val="24"/>
          <w:szCs w:val="24"/>
        </w:rPr>
      </w:pPr>
      <w:r>
        <w:rPr>
          <w:rFonts w:ascii="宋体" w:hAnsi="宋体" w:cs="宋体" w:eastAsia="宋体" w:hint="default"/>
          <w:b/>
          <w:bCs/>
          <w:sz w:val="24"/>
          <w:szCs w:val="24"/>
        </w:rPr>
        <w:t>六、股票上市交易所：</w:t>
      </w:r>
      <w:r>
        <w:rPr>
          <w:rFonts w:ascii="宋体" w:hAnsi="宋体" w:cs="宋体" w:eastAsia="宋体" w:hint="default"/>
          <w:sz w:val="24"/>
          <w:szCs w:val="24"/>
        </w:rPr>
        <w:t>深圳证券交易所</w:t>
      </w:r>
    </w:p>
    <w:p>
      <w:pPr>
        <w:spacing w:after="0"/>
        <w:jc w:val="left"/>
        <w:rPr>
          <w:rFonts w:ascii="宋体" w:hAnsi="宋体" w:cs="宋体" w:eastAsia="宋体" w:hint="default"/>
          <w:sz w:val="24"/>
          <w:szCs w:val="24"/>
        </w:rPr>
        <w:sectPr>
          <w:footerReference w:type="default" r:id="rId9"/>
          <w:pgSz w:w="11910" w:h="16840"/>
          <w:pgMar w:footer="950" w:header="720" w:top="1360" w:bottom="1140" w:left="580" w:right="0"/>
          <w:pgNumType w:start="1"/>
        </w:sectPr>
      </w:pPr>
    </w:p>
    <w:p>
      <w:pPr>
        <w:spacing w:line="355" w:lineRule="auto" w:before="13"/>
        <w:ind w:left="622" w:right="8519" w:firstLine="0"/>
        <w:jc w:val="left"/>
        <w:rPr>
          <w:rFonts w:ascii="宋体" w:hAnsi="宋体" w:cs="宋体" w:eastAsia="宋体" w:hint="default"/>
          <w:sz w:val="24"/>
          <w:szCs w:val="24"/>
        </w:rPr>
      </w:pPr>
      <w:r>
        <w:rPr/>
        <w:pict>
          <v:group style="position:absolute;margin-left:34.560001pt;margin-top:2.305654pt;width:508.3pt;height:.1pt;mso-position-horizontal-relative:page;mso-position-vertical-relative:paragraph;z-index:-535000"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b/>
          <w:bCs/>
          <w:sz w:val="24"/>
          <w:szCs w:val="24"/>
        </w:rPr>
        <w:t>股票简称：</w:t>
      </w:r>
      <w:r>
        <w:rPr>
          <w:rFonts w:ascii="宋体" w:hAnsi="宋体" w:cs="宋体" w:eastAsia="宋体" w:hint="default"/>
          <w:sz w:val="24"/>
          <w:szCs w:val="24"/>
        </w:rPr>
        <w:t>紫鑫药业</w:t>
      </w:r>
      <w:r>
        <w:rPr>
          <w:rFonts w:ascii="宋体" w:hAnsi="宋体" w:cs="宋体" w:eastAsia="宋体" w:hint="default"/>
          <w:spacing w:val="-118"/>
          <w:sz w:val="24"/>
          <w:szCs w:val="24"/>
        </w:rPr>
        <w:t> </w:t>
      </w:r>
      <w:r>
        <w:rPr>
          <w:rFonts w:ascii="宋体" w:hAnsi="宋体" w:cs="宋体" w:eastAsia="宋体" w:hint="default"/>
          <w:b/>
          <w:bCs/>
          <w:sz w:val="24"/>
          <w:szCs w:val="24"/>
        </w:rPr>
        <w:t>股票代码：</w:t>
      </w:r>
      <w:r>
        <w:rPr>
          <w:rFonts w:ascii="宋体" w:hAnsi="宋体" w:cs="宋体" w:eastAsia="宋体" w:hint="default"/>
          <w:sz w:val="24"/>
          <w:szCs w:val="24"/>
        </w:rPr>
        <w:t>002118</w:t>
      </w:r>
    </w:p>
    <w:p>
      <w:pPr>
        <w:spacing w:line="240" w:lineRule="auto" w:before="0"/>
        <w:rPr>
          <w:rFonts w:ascii="宋体" w:hAnsi="宋体" w:cs="宋体" w:eastAsia="宋体" w:hint="default"/>
          <w:sz w:val="24"/>
          <w:szCs w:val="24"/>
        </w:rPr>
      </w:pPr>
    </w:p>
    <w:p>
      <w:pPr>
        <w:pStyle w:val="Heading2"/>
        <w:spacing w:line="240" w:lineRule="auto" w:before="190"/>
        <w:ind w:left="140" w:right="0"/>
        <w:jc w:val="left"/>
        <w:rPr>
          <w:b w:val="0"/>
          <w:bCs w:val="0"/>
        </w:rPr>
      </w:pPr>
      <w:r>
        <w:rPr/>
        <w:t>七、其他</w:t>
      </w:r>
      <w:r>
        <w:rPr>
          <w:b w:val="0"/>
          <w:bCs w:val="0"/>
        </w:rPr>
      </w:r>
    </w:p>
    <w:p>
      <w:pPr>
        <w:spacing w:line="357" w:lineRule="auto" w:before="154"/>
        <w:ind w:left="622" w:right="3357" w:firstLine="0"/>
        <w:jc w:val="left"/>
        <w:rPr>
          <w:rFonts w:ascii="宋体" w:hAnsi="宋体" w:cs="宋体" w:eastAsia="宋体" w:hint="default"/>
          <w:sz w:val="24"/>
          <w:szCs w:val="24"/>
        </w:rPr>
      </w:pPr>
      <w:r>
        <w:rPr>
          <w:rFonts w:ascii="宋体" w:hAnsi="宋体" w:cs="宋体" w:eastAsia="宋体" w:hint="default"/>
          <w:b/>
          <w:bCs/>
          <w:sz w:val="24"/>
          <w:szCs w:val="24"/>
        </w:rPr>
        <w:t>公司首次登记注册日期：</w:t>
      </w:r>
      <w:r>
        <w:rPr>
          <w:rFonts w:ascii="宋体" w:hAnsi="宋体" w:cs="宋体" w:eastAsia="宋体" w:hint="default"/>
          <w:sz w:val="24"/>
          <w:szCs w:val="24"/>
        </w:rPr>
        <w:t>1998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5</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25</w:t>
      </w:r>
      <w:r>
        <w:rPr>
          <w:rFonts w:ascii="宋体" w:hAnsi="宋体" w:cs="宋体" w:eastAsia="宋体" w:hint="default"/>
          <w:spacing w:val="-60"/>
          <w:sz w:val="24"/>
          <w:szCs w:val="24"/>
        </w:rPr>
        <w:t> </w:t>
      </w:r>
      <w:r>
        <w:rPr>
          <w:rFonts w:ascii="宋体" w:hAnsi="宋体" w:cs="宋体" w:eastAsia="宋体" w:hint="default"/>
          <w:sz w:val="24"/>
          <w:szCs w:val="24"/>
        </w:rPr>
        <w:t>日 </w:t>
      </w:r>
      <w:r>
        <w:rPr>
          <w:rFonts w:ascii="宋体" w:hAnsi="宋体" w:cs="宋体" w:eastAsia="宋体" w:hint="default"/>
          <w:b/>
          <w:bCs/>
          <w:sz w:val="24"/>
          <w:szCs w:val="24"/>
        </w:rPr>
        <w:t>公司首次注册登记地点：</w:t>
      </w:r>
      <w:r>
        <w:rPr>
          <w:rFonts w:ascii="宋体" w:hAnsi="宋体" w:cs="宋体" w:eastAsia="宋体" w:hint="default"/>
          <w:sz w:val="24"/>
          <w:szCs w:val="24"/>
        </w:rPr>
        <w:t>吉林省柳河县工商局 </w:t>
      </w:r>
      <w:r>
        <w:rPr>
          <w:rFonts w:ascii="宋体" w:hAnsi="宋体" w:cs="宋体" w:eastAsia="宋体" w:hint="default"/>
          <w:b/>
          <w:bCs/>
          <w:sz w:val="24"/>
          <w:szCs w:val="24"/>
        </w:rPr>
        <w:t>公司最近一次变更注册登记日期：</w:t>
      </w:r>
      <w:r>
        <w:rPr>
          <w:rFonts w:ascii="宋体" w:hAnsi="宋体" w:cs="宋体" w:eastAsia="宋体" w:hint="default"/>
          <w:sz w:val="24"/>
          <w:szCs w:val="24"/>
        </w:rPr>
        <w:t>2011</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2</w:t>
      </w:r>
      <w:r>
        <w:rPr>
          <w:rFonts w:ascii="宋体" w:hAnsi="宋体" w:cs="宋体" w:eastAsia="宋体" w:hint="default"/>
          <w:spacing w:val="-63"/>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日 </w:t>
      </w:r>
      <w:r>
        <w:rPr>
          <w:rFonts w:ascii="宋体" w:hAnsi="宋体" w:cs="宋体" w:eastAsia="宋体" w:hint="default"/>
          <w:b/>
          <w:bCs/>
          <w:sz w:val="24"/>
          <w:szCs w:val="24"/>
        </w:rPr>
        <w:t>公司变更注册登记地点：</w:t>
      </w:r>
      <w:r>
        <w:rPr>
          <w:rFonts w:ascii="宋体" w:hAnsi="宋体" w:cs="宋体" w:eastAsia="宋体" w:hint="default"/>
          <w:sz w:val="24"/>
          <w:szCs w:val="24"/>
        </w:rPr>
        <w:t>吉林省工商局 </w:t>
      </w:r>
      <w:r>
        <w:rPr>
          <w:rFonts w:ascii="宋体" w:hAnsi="宋体" w:cs="宋体" w:eastAsia="宋体" w:hint="default"/>
          <w:b/>
          <w:bCs/>
          <w:sz w:val="24"/>
          <w:szCs w:val="24"/>
        </w:rPr>
        <w:t>公司企业法人营业执照注册号：</w:t>
      </w:r>
      <w:r>
        <w:rPr>
          <w:rFonts w:ascii="宋体" w:hAnsi="宋体" w:cs="宋体" w:eastAsia="宋体" w:hint="default"/>
          <w:sz w:val="24"/>
          <w:szCs w:val="24"/>
        </w:rPr>
        <w:t>220000000052632 </w:t>
      </w:r>
      <w:r>
        <w:rPr>
          <w:rFonts w:ascii="宋体" w:hAnsi="宋体" w:cs="宋体" w:eastAsia="宋体" w:hint="default"/>
          <w:b/>
          <w:bCs/>
          <w:sz w:val="24"/>
          <w:szCs w:val="24"/>
        </w:rPr>
        <w:t>公司税务登记号码：</w:t>
      </w:r>
      <w:r>
        <w:rPr>
          <w:rFonts w:ascii="宋体" w:hAnsi="宋体" w:cs="宋体" w:eastAsia="宋体" w:hint="default"/>
          <w:sz w:val="24"/>
          <w:szCs w:val="24"/>
        </w:rPr>
        <w:t>22052470222720X </w:t>
      </w:r>
      <w:r>
        <w:rPr>
          <w:rFonts w:ascii="宋体" w:hAnsi="宋体" w:cs="宋体" w:eastAsia="宋体" w:hint="default"/>
          <w:b/>
          <w:bCs/>
          <w:sz w:val="24"/>
          <w:szCs w:val="24"/>
        </w:rPr>
        <w:t>公司聘请的会计师事务所：</w:t>
      </w:r>
      <w:r>
        <w:rPr>
          <w:rFonts w:ascii="宋体" w:hAnsi="宋体" w:cs="宋体" w:eastAsia="宋体" w:hint="default"/>
          <w:sz w:val="24"/>
          <w:szCs w:val="24"/>
        </w:rPr>
        <w:t>中准会计师事务所有限公司 </w:t>
      </w:r>
      <w:r>
        <w:rPr>
          <w:rFonts w:ascii="宋体" w:hAnsi="宋体" w:cs="宋体" w:eastAsia="宋体" w:hint="default"/>
          <w:b/>
          <w:bCs/>
          <w:sz w:val="24"/>
          <w:szCs w:val="24"/>
        </w:rPr>
        <w:t>会计师事务所的办公地址：</w:t>
      </w:r>
      <w:r>
        <w:rPr>
          <w:rFonts w:ascii="宋体" w:hAnsi="宋体" w:cs="宋体" w:eastAsia="宋体" w:hint="default"/>
          <w:sz w:val="24"/>
          <w:szCs w:val="24"/>
        </w:rPr>
        <w:t>北京市海淀区首体南路</w:t>
      </w:r>
      <w:r>
        <w:rPr>
          <w:rFonts w:ascii="宋体" w:hAnsi="宋体" w:cs="宋体" w:eastAsia="宋体" w:hint="default"/>
          <w:spacing w:val="-61"/>
          <w:sz w:val="24"/>
          <w:szCs w:val="24"/>
        </w:rPr>
        <w:t> </w:t>
      </w:r>
      <w:r>
        <w:rPr>
          <w:rFonts w:ascii="宋体" w:hAnsi="宋体" w:cs="宋体" w:eastAsia="宋体" w:hint="default"/>
          <w:sz w:val="24"/>
          <w:szCs w:val="24"/>
        </w:rPr>
        <w:t>22</w:t>
      </w:r>
      <w:r>
        <w:rPr>
          <w:rFonts w:ascii="宋体" w:hAnsi="宋体" w:cs="宋体" w:eastAsia="宋体" w:hint="default"/>
          <w:spacing w:val="-61"/>
          <w:sz w:val="24"/>
          <w:szCs w:val="24"/>
        </w:rPr>
        <w:t> </w:t>
      </w:r>
      <w:r>
        <w:rPr>
          <w:rFonts w:ascii="宋体" w:hAnsi="宋体" w:cs="宋体" w:eastAsia="宋体" w:hint="default"/>
          <w:sz w:val="24"/>
          <w:szCs w:val="24"/>
        </w:rPr>
        <w:t>号国兴大厦</w:t>
      </w:r>
      <w:r>
        <w:rPr>
          <w:rFonts w:ascii="宋体" w:hAnsi="宋体" w:cs="宋体" w:eastAsia="宋体" w:hint="default"/>
          <w:spacing w:val="-61"/>
          <w:sz w:val="24"/>
          <w:szCs w:val="24"/>
        </w:rPr>
        <w:t> </w:t>
      </w:r>
      <w:r>
        <w:rPr>
          <w:rFonts w:ascii="宋体" w:hAnsi="宋体" w:cs="宋体" w:eastAsia="宋体" w:hint="default"/>
          <w:sz w:val="24"/>
          <w:szCs w:val="24"/>
        </w:rPr>
        <w:t>4</w:t>
      </w:r>
      <w:r>
        <w:rPr>
          <w:rFonts w:ascii="宋体" w:hAnsi="宋体" w:cs="宋体" w:eastAsia="宋体" w:hint="default"/>
          <w:spacing w:val="-61"/>
          <w:sz w:val="24"/>
          <w:szCs w:val="24"/>
        </w:rPr>
        <w:t> </w:t>
      </w:r>
      <w:r>
        <w:rPr>
          <w:rFonts w:ascii="宋体" w:hAnsi="宋体" w:cs="宋体" w:eastAsia="宋体" w:hint="default"/>
          <w:sz w:val="24"/>
          <w:szCs w:val="24"/>
        </w:rPr>
        <w:t>层</w:t>
      </w:r>
    </w:p>
    <w:p>
      <w:pPr>
        <w:spacing w:after="0" w:line="357" w:lineRule="auto"/>
        <w:jc w:val="left"/>
        <w:rPr>
          <w:rFonts w:ascii="宋体" w:hAnsi="宋体" w:cs="宋体" w:eastAsia="宋体" w:hint="default"/>
          <w:sz w:val="24"/>
          <w:szCs w:val="24"/>
        </w:rPr>
        <w:sectPr>
          <w:pgSz w:w="11910" w:h="16840"/>
          <w:pgMar w:header="720" w:footer="950" w:top="1300" w:bottom="1140" w:left="580" w:right="0"/>
        </w:sectPr>
      </w:pPr>
    </w:p>
    <w:p>
      <w:pPr>
        <w:spacing w:line="240" w:lineRule="auto" w:before="13"/>
        <w:rPr>
          <w:rFonts w:ascii="宋体" w:hAnsi="宋体" w:cs="宋体" w:eastAsia="宋体" w:hint="default"/>
          <w:sz w:val="2"/>
          <w:szCs w:val="2"/>
        </w:rPr>
      </w:pPr>
    </w:p>
    <w:p>
      <w:pPr>
        <w:spacing w:line="20" w:lineRule="exact"/>
        <w:ind w:left="204" w:right="0" w:firstLine="0"/>
        <w:rPr>
          <w:rFonts w:ascii="宋体" w:hAnsi="宋体" w:cs="宋体" w:eastAsia="宋体" w:hint="default"/>
          <w:sz w:val="2"/>
          <w:szCs w:val="2"/>
        </w:rPr>
      </w:pPr>
      <w:r>
        <w:rPr>
          <w:rFonts w:ascii="宋体" w:hAnsi="宋体" w:cs="宋体" w:eastAsia="宋体"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1"/>
        <w:tabs>
          <w:tab w:pos="4349" w:val="left" w:leader="none"/>
        </w:tabs>
        <w:spacing w:line="240" w:lineRule="auto"/>
        <w:ind w:left="3062" w:right="606"/>
        <w:jc w:val="left"/>
        <w:rPr>
          <w:b w:val="0"/>
          <w:bCs w:val="0"/>
        </w:rPr>
      </w:pPr>
      <w:bookmarkStart w:name="_TOC_250009" w:id="2"/>
      <w:r>
        <w:rPr>
          <w:w w:val="95"/>
        </w:rPr>
        <w:t>第二节</w:t>
        <w:tab/>
      </w:r>
      <w:r>
        <w:rPr/>
        <w:t>会计数据和业务数据摘要</w:t>
      </w:r>
      <w:bookmarkEnd w:id="2"/>
      <w:r>
        <w:rPr>
          <w:b w:val="0"/>
          <w:bCs w:val="0"/>
        </w:rPr>
      </w:r>
    </w:p>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9"/>
          <w:szCs w:val="19"/>
        </w:rPr>
      </w:pPr>
    </w:p>
    <w:p>
      <w:pPr>
        <w:pStyle w:val="Heading2"/>
        <w:spacing w:line="240" w:lineRule="auto" w:before="26"/>
        <w:ind w:left="240" w:right="606"/>
        <w:jc w:val="left"/>
        <w:rPr>
          <w:b w:val="0"/>
          <w:bCs w:val="0"/>
        </w:rPr>
      </w:pPr>
      <w:r>
        <w:rPr/>
        <w:t>一、主要财务数据和指标</w:t>
      </w:r>
      <w:r>
        <w:rPr>
          <w:b w:val="0"/>
          <w:bCs w:val="0"/>
        </w:rPr>
      </w:r>
    </w:p>
    <w:p>
      <w:pPr>
        <w:spacing w:line="240" w:lineRule="auto" w:before="10"/>
        <w:rPr>
          <w:rFonts w:ascii="宋体" w:hAnsi="宋体" w:cs="宋体" w:eastAsia="宋体" w:hint="default"/>
          <w:b/>
          <w:bCs/>
          <w:sz w:val="8"/>
          <w:szCs w:val="8"/>
        </w:rPr>
      </w:pPr>
    </w:p>
    <w:p>
      <w:pPr>
        <w:spacing w:before="44"/>
        <w:ind w:left="0" w:right="776"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4"/>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6393"/>
        <w:gridCol w:w="4306"/>
      </w:tblGrid>
      <w:tr>
        <w:trPr>
          <w:trHeight w:val="389" w:hRule="exact"/>
        </w:trPr>
        <w:tc>
          <w:tcPr>
            <w:tcW w:w="6393" w:type="dxa"/>
            <w:tcBorders>
              <w:top w:val="single" w:sz="12" w:space="0" w:color="000000"/>
              <w:left w:val="nil" w:sz="6" w:space="0" w:color="auto"/>
              <w:bottom w:val="single" w:sz="4" w:space="0" w:color="000000"/>
              <w:right w:val="single" w:sz="4" w:space="0" w:color="000000"/>
            </w:tcBorders>
          </w:tcPr>
          <w:p>
            <w:pPr>
              <w:pStyle w:val="TableParagraph"/>
              <w:tabs>
                <w:tab w:pos="562" w:val="left" w:leader="none"/>
              </w:tabs>
              <w:spacing w:line="213" w:lineRule="exact"/>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306" w:type="dxa"/>
            <w:tcBorders>
              <w:top w:val="single" w:sz="12" w:space="0" w:color="000000"/>
              <w:left w:val="single" w:sz="4" w:space="0" w:color="000000"/>
              <w:bottom w:val="single" w:sz="4" w:space="0" w:color="000000"/>
              <w:right w:val="nil" w:sz="6" w:space="0" w:color="auto"/>
            </w:tcBorders>
          </w:tcPr>
          <w:p>
            <w:pPr>
              <w:pStyle w:val="TableParagraph"/>
              <w:tabs>
                <w:tab w:pos="542" w:val="left" w:leader="none"/>
              </w:tabs>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96" w:hRule="exact"/>
        </w:trPr>
        <w:tc>
          <w:tcPr>
            <w:tcW w:w="6393"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30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174,682,649.53</w:t>
            </w:r>
          </w:p>
        </w:tc>
      </w:tr>
      <w:tr>
        <w:trPr>
          <w:trHeight w:val="396" w:hRule="exact"/>
        </w:trPr>
        <w:tc>
          <w:tcPr>
            <w:tcW w:w="6393"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4306"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173,173,606.20</w:t>
            </w:r>
          </w:p>
        </w:tc>
      </w:tr>
      <w:tr>
        <w:trPr>
          <w:trHeight w:val="399" w:hRule="exact"/>
        </w:trPr>
        <w:tc>
          <w:tcPr>
            <w:tcW w:w="6393"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430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176,477,838.57</w:t>
            </w:r>
          </w:p>
        </w:tc>
      </w:tr>
      <w:tr>
        <w:trPr>
          <w:trHeight w:val="408" w:hRule="exact"/>
        </w:trPr>
        <w:tc>
          <w:tcPr>
            <w:tcW w:w="6393" w:type="dxa"/>
            <w:tcBorders>
              <w:top w:val="single" w:sz="4" w:space="0" w:color="000000"/>
              <w:left w:val="nil" w:sz="6" w:space="0" w:color="auto"/>
              <w:bottom w:val="single" w:sz="12" w:space="0" w:color="000000"/>
              <w:right w:val="single" w:sz="4"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4306" w:type="dxa"/>
            <w:tcBorders>
              <w:top w:val="single" w:sz="4" w:space="0" w:color="000000"/>
              <w:left w:val="single" w:sz="4" w:space="0" w:color="000000"/>
              <w:bottom w:val="single" w:sz="12"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-215,418,190.86</w:t>
            </w:r>
          </w:p>
        </w:tc>
      </w:tr>
    </w:tbl>
    <w:p>
      <w:pPr>
        <w:pStyle w:val="Heading3"/>
        <w:spacing w:line="274" w:lineRule="exact" w:before="0"/>
        <w:ind w:left="240" w:right="606"/>
        <w:jc w:val="left"/>
      </w:pPr>
      <w:r>
        <w:rPr/>
        <w:t>注：报告期内扣除非经常性损益的项目涉及金额如下：</w:t>
      </w:r>
    </w:p>
    <w:p>
      <w:pPr>
        <w:spacing w:line="240" w:lineRule="auto" w:before="10"/>
        <w:rPr>
          <w:rFonts w:ascii="宋体" w:hAnsi="宋体" w:cs="宋体" w:eastAsia="宋体" w:hint="default"/>
          <w:sz w:val="8"/>
          <w:szCs w:val="8"/>
        </w:rPr>
      </w:pPr>
    </w:p>
    <w:p>
      <w:pPr>
        <w:spacing w:before="44"/>
        <w:ind w:left="0" w:right="716"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2"/>
          <w:sz w:val="18"/>
          <w:szCs w:val="18"/>
        </w:rPr>
        <w:t>：</w:t>
      </w:r>
      <w:r>
        <w:rPr>
          <w:rFonts w:ascii="宋体" w:hAnsi="宋体" w:cs="宋体" w:eastAsia="宋体" w:hint="default"/>
          <w:sz w:val="18"/>
          <w:szCs w:val="18"/>
        </w:rPr>
        <w:t>（人民币）元</w:t>
      </w:r>
    </w:p>
    <w:p>
      <w:pPr>
        <w:spacing w:line="240" w:lineRule="auto" w:before="4"/>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7535"/>
        <w:gridCol w:w="3005"/>
      </w:tblGrid>
      <w:tr>
        <w:trPr>
          <w:trHeight w:val="389" w:hRule="exact"/>
        </w:trPr>
        <w:tc>
          <w:tcPr>
            <w:tcW w:w="7535" w:type="dxa"/>
            <w:tcBorders>
              <w:top w:val="single" w:sz="12" w:space="0" w:color="000000"/>
              <w:left w:val="nil" w:sz="6" w:space="0" w:color="auto"/>
              <w:bottom w:val="single" w:sz="4" w:space="0" w:color="000000"/>
              <w:right w:val="single" w:sz="4" w:space="0" w:color="000000"/>
            </w:tcBorders>
          </w:tcPr>
          <w:p>
            <w:pPr>
              <w:pStyle w:val="TableParagraph"/>
              <w:spacing w:line="213" w:lineRule="exact"/>
              <w:ind w:right="3032"/>
              <w:jc w:val="righ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3005" w:type="dxa"/>
            <w:tcBorders>
              <w:top w:val="single" w:sz="12" w:space="0" w:color="000000"/>
              <w:left w:val="single" w:sz="4" w:space="0" w:color="000000"/>
              <w:bottom w:val="single" w:sz="4" w:space="0" w:color="000000"/>
              <w:right w:val="nil" w:sz="6" w:space="0" w:color="auto"/>
            </w:tcBorders>
          </w:tcPr>
          <w:p>
            <w:pPr>
              <w:pStyle w:val="TableParagraph"/>
              <w:tabs>
                <w:tab w:pos="542" w:val="left" w:leader="none"/>
              </w:tabs>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96" w:hRule="exact"/>
        </w:trPr>
        <w:tc>
          <w:tcPr>
            <w:tcW w:w="7535"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4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26"/>
              <w:jc w:val="right"/>
              <w:rPr>
                <w:rFonts w:ascii="宋体" w:hAnsi="宋体" w:cs="宋体" w:eastAsia="宋体" w:hint="default"/>
                <w:sz w:val="18"/>
                <w:szCs w:val="18"/>
              </w:rPr>
            </w:pPr>
            <w:r>
              <w:rPr>
                <w:rFonts w:ascii="宋体"/>
                <w:spacing w:val="-1"/>
                <w:sz w:val="18"/>
              </w:rPr>
              <w:t>-47,396.48</w:t>
            </w:r>
          </w:p>
        </w:tc>
      </w:tr>
      <w:tr>
        <w:trPr>
          <w:trHeight w:val="780" w:hRule="exact"/>
        </w:trPr>
        <w:tc>
          <w:tcPr>
            <w:tcW w:w="7535"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
              <w:ind w:left="43" w:right="20"/>
              <w:jc w:val="left"/>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计入当期损益的政府补助，但与公司正常经营业务密切相关，符合国家政策规定、按照一定标</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准定额或定量持续享受的政府补助除外</w:t>
            </w:r>
          </w:p>
        </w:tc>
        <w:tc>
          <w:tcPr>
            <w:tcW w:w="3005" w:type="dxa"/>
            <w:tcBorders>
              <w:top w:val="single" w:sz="4" w:space="0" w:color="000000"/>
              <w:left w:val="single" w:sz="4" w:space="0" w:color="000000"/>
              <w:bottom w:val="single" w:sz="4" w:space="0" w:color="000000"/>
              <w:right w:val="nil" w:sz="6" w:space="0" w:color="auto"/>
            </w:tcBorders>
          </w:tcPr>
          <w:p>
            <w:pPr/>
          </w:p>
        </w:tc>
      </w:tr>
      <w:tr>
        <w:trPr>
          <w:trHeight w:val="398" w:hRule="exact"/>
        </w:trPr>
        <w:tc>
          <w:tcPr>
            <w:tcW w:w="7535"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pacing w:val="-1"/>
                <w:sz w:val="18"/>
              </w:rPr>
              <w:t>-3,839,855.69</w:t>
            </w:r>
          </w:p>
        </w:tc>
      </w:tr>
      <w:tr>
        <w:trPr>
          <w:trHeight w:val="396" w:hRule="exact"/>
        </w:trPr>
        <w:tc>
          <w:tcPr>
            <w:tcW w:w="7535" w:type="dxa"/>
            <w:tcBorders>
              <w:top w:val="single" w:sz="4" w:space="0" w:color="000000"/>
              <w:left w:val="nil" w:sz="6" w:space="0" w:color="auto"/>
              <w:bottom w:val="single" w:sz="4" w:space="0" w:color="000000"/>
              <w:right w:val="single" w:sz="4" w:space="0" w:color="000000"/>
            </w:tcBorders>
          </w:tcPr>
          <w:p>
            <w:pPr>
              <w:pStyle w:val="TableParagraph"/>
              <w:spacing w:line="223" w:lineRule="exact"/>
              <w:ind w:left="4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3005" w:type="dxa"/>
            <w:tcBorders>
              <w:top w:val="single" w:sz="4" w:space="0" w:color="000000"/>
              <w:left w:val="single" w:sz="4" w:space="0" w:color="000000"/>
              <w:bottom w:val="single" w:sz="4" w:space="0" w:color="000000"/>
              <w:right w:val="nil" w:sz="6" w:space="0" w:color="auto"/>
            </w:tcBorders>
          </w:tcPr>
          <w:p>
            <w:pPr>
              <w:pStyle w:val="TableParagraph"/>
              <w:spacing w:line="223" w:lineRule="exact"/>
              <w:ind w:right="26"/>
              <w:jc w:val="right"/>
              <w:rPr>
                <w:rFonts w:ascii="宋体" w:hAnsi="宋体" w:cs="宋体" w:eastAsia="宋体" w:hint="default"/>
                <w:sz w:val="18"/>
                <w:szCs w:val="18"/>
              </w:rPr>
            </w:pPr>
            <w:r>
              <w:rPr>
                <w:rFonts w:ascii="宋体"/>
                <w:spacing w:val="-1"/>
                <w:sz w:val="18"/>
              </w:rPr>
              <w:t>583,019.81</w:t>
            </w:r>
          </w:p>
        </w:tc>
      </w:tr>
      <w:tr>
        <w:trPr>
          <w:trHeight w:val="408" w:hRule="exact"/>
        </w:trPr>
        <w:tc>
          <w:tcPr>
            <w:tcW w:w="7535" w:type="dxa"/>
            <w:tcBorders>
              <w:top w:val="single" w:sz="4" w:space="0" w:color="000000"/>
              <w:left w:val="nil" w:sz="6" w:space="0" w:color="auto"/>
              <w:bottom w:val="single" w:sz="12" w:space="0" w:color="000000"/>
              <w:right w:val="single" w:sz="4" w:space="0" w:color="000000"/>
            </w:tcBorders>
          </w:tcPr>
          <w:p>
            <w:pPr>
              <w:pStyle w:val="TableParagraph"/>
              <w:tabs>
                <w:tab w:pos="1176" w:val="left" w:leader="none"/>
              </w:tabs>
              <w:spacing w:line="222" w:lineRule="exact"/>
              <w:ind w:right="3075"/>
              <w:jc w:val="right"/>
              <w:rPr>
                <w:rFonts w:ascii="宋体" w:hAnsi="宋体" w:cs="宋体" w:eastAsia="宋体" w:hint="default"/>
                <w:sz w:val="18"/>
                <w:szCs w:val="18"/>
              </w:rPr>
            </w:pPr>
            <w:r>
              <w:rPr>
                <w:rFonts w:ascii="宋体" w:hAnsi="宋体" w:cs="宋体" w:eastAsia="宋体" w:hint="default"/>
                <w:b/>
                <w:bCs/>
                <w:w w:val="95"/>
                <w:sz w:val="18"/>
                <w:szCs w:val="18"/>
              </w:rPr>
              <w:t>合</w:t>
              <w:tab/>
              <w:t>计</w:t>
            </w:r>
            <w:r>
              <w:rPr>
                <w:rFonts w:ascii="宋体" w:hAnsi="宋体" w:cs="宋体" w:eastAsia="宋体" w:hint="default"/>
                <w:sz w:val="18"/>
                <w:szCs w:val="18"/>
              </w:rPr>
            </w:r>
          </w:p>
        </w:tc>
        <w:tc>
          <w:tcPr>
            <w:tcW w:w="3005" w:type="dxa"/>
            <w:tcBorders>
              <w:top w:val="single" w:sz="4" w:space="0" w:color="000000"/>
              <w:left w:val="single" w:sz="4" w:space="0" w:color="000000"/>
              <w:bottom w:val="single" w:sz="12"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b/>
                <w:w w:val="95"/>
                <w:sz w:val="18"/>
              </w:rPr>
              <w:t>-3,304,232.36</w:t>
            </w:r>
            <w:r>
              <w:rPr>
                <w:rFonts w:ascii="宋体"/>
                <w:sz w:val="18"/>
              </w:rPr>
            </w:r>
          </w:p>
        </w:tc>
      </w:tr>
    </w:tbl>
    <w:p>
      <w:pPr>
        <w:spacing w:line="240" w:lineRule="auto" w:before="9"/>
        <w:rPr>
          <w:rFonts w:ascii="宋体" w:hAnsi="宋体" w:cs="宋体" w:eastAsia="宋体" w:hint="default"/>
          <w:sz w:val="21"/>
          <w:szCs w:val="21"/>
        </w:rPr>
      </w:pPr>
    </w:p>
    <w:p>
      <w:pPr>
        <w:pStyle w:val="Heading2"/>
        <w:spacing w:line="240" w:lineRule="auto" w:before="26"/>
        <w:ind w:left="240" w:right="606"/>
        <w:jc w:val="left"/>
        <w:rPr>
          <w:b w:val="0"/>
          <w:bCs w:val="0"/>
        </w:rPr>
      </w:pPr>
      <w:r>
        <w:rPr/>
        <w:t>二、截止</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日公司前三年的主要会计数据和财务指标</w:t>
      </w:r>
      <w:r>
        <w:rPr>
          <w:b w:val="0"/>
          <w:bCs w:val="0"/>
        </w:rPr>
      </w:r>
    </w:p>
    <w:p>
      <w:pPr>
        <w:pStyle w:val="Heading2"/>
        <w:spacing w:line="240" w:lineRule="auto" w:before="154"/>
        <w:ind w:left="240" w:right="606"/>
        <w:jc w:val="left"/>
        <w:rPr>
          <w:b w:val="0"/>
          <w:bCs w:val="0"/>
        </w:rPr>
      </w:pPr>
      <w:r>
        <w:rPr/>
        <w:t>（一）主要会计数据</w:t>
      </w:r>
      <w:r>
        <w:rPr>
          <w:b w:val="0"/>
          <w:bCs w:val="0"/>
        </w:rPr>
      </w:r>
    </w:p>
    <w:p>
      <w:pPr>
        <w:spacing w:line="240" w:lineRule="auto" w:before="10"/>
        <w:rPr>
          <w:rFonts w:ascii="宋体" w:hAnsi="宋体" w:cs="宋体" w:eastAsia="宋体" w:hint="default"/>
          <w:b/>
          <w:bCs/>
          <w:sz w:val="8"/>
          <w:szCs w:val="8"/>
        </w:rPr>
      </w:pPr>
    </w:p>
    <w:p>
      <w:pPr>
        <w:spacing w:before="44"/>
        <w:ind w:left="0" w:right="716"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4"/>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2316"/>
        <w:gridCol w:w="2146"/>
        <w:gridCol w:w="1798"/>
        <w:gridCol w:w="2194"/>
        <w:gridCol w:w="2086"/>
      </w:tblGrid>
      <w:tr>
        <w:trPr>
          <w:trHeight w:val="386" w:hRule="exact"/>
        </w:trPr>
        <w:tc>
          <w:tcPr>
            <w:tcW w:w="2316" w:type="dxa"/>
            <w:tcBorders>
              <w:top w:val="single" w:sz="12" w:space="0" w:color="000000"/>
              <w:left w:val="nil" w:sz="6" w:space="0" w:color="auto"/>
              <w:bottom w:val="single" w:sz="4" w:space="0" w:color="000000"/>
              <w:right w:val="single" w:sz="4" w:space="0" w:color="000000"/>
            </w:tcBorders>
          </w:tcPr>
          <w:p>
            <w:pPr>
              <w:pStyle w:val="TableParagraph"/>
              <w:tabs>
                <w:tab w:pos="835" w:val="left" w:leader="none"/>
              </w:tabs>
              <w:spacing w:line="213" w:lineRule="exact"/>
              <w:ind w:left="2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46"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798"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194"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191"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86" w:type="dxa"/>
            <w:tcBorders>
              <w:top w:val="single" w:sz="12" w:space="0" w:color="000000"/>
              <w:left w:val="single" w:sz="4" w:space="0" w:color="000000"/>
              <w:bottom w:val="single" w:sz="4" w:space="0" w:color="000000"/>
              <w:right w:val="nil" w:sz="6" w:space="0" w:color="auto"/>
            </w:tcBorders>
          </w:tcPr>
          <w:p>
            <w:pPr>
              <w:pStyle w:val="TableParagraph"/>
              <w:spacing w:line="213" w:lineRule="exact"/>
              <w:ind w:right="7"/>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98"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9" w:right="0"/>
              <w:jc w:val="center"/>
              <w:rPr>
                <w:rFonts w:ascii="宋体" w:hAnsi="宋体" w:cs="宋体" w:eastAsia="宋体" w:hint="default"/>
                <w:sz w:val="18"/>
                <w:szCs w:val="18"/>
              </w:rPr>
            </w:pPr>
            <w:r>
              <w:rPr>
                <w:rFonts w:ascii="宋体" w:hAnsi="宋体" w:cs="宋体" w:eastAsia="宋体" w:hint="default"/>
                <w:sz w:val="18"/>
                <w:szCs w:val="18"/>
              </w:rPr>
              <w:t>营业总收入</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642,417,445.93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256,287,604.81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3"/>
              <w:jc w:val="right"/>
              <w:rPr>
                <w:rFonts w:ascii="宋体" w:hAnsi="宋体" w:cs="宋体" w:eastAsia="宋体" w:hint="default"/>
                <w:sz w:val="18"/>
                <w:szCs w:val="18"/>
              </w:rPr>
            </w:pPr>
            <w:r>
              <w:rPr>
                <w:rFonts w:ascii="宋体"/>
                <w:sz w:val="18"/>
              </w:rPr>
              <w:t>150.66%</w:t>
            </w: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9"/>
              <w:jc w:val="right"/>
              <w:rPr>
                <w:rFonts w:ascii="宋体" w:hAnsi="宋体" w:cs="宋体" w:eastAsia="宋体" w:hint="default"/>
                <w:sz w:val="18"/>
                <w:szCs w:val="18"/>
              </w:rPr>
            </w:pPr>
            <w:r>
              <w:rPr>
                <w:rFonts w:ascii="宋体"/>
                <w:spacing w:val="-1"/>
                <w:sz w:val="18"/>
              </w:rPr>
              <w:t>223,332,334.13</w:t>
            </w:r>
          </w:p>
        </w:tc>
      </w:tr>
      <w:tr>
        <w:trPr>
          <w:trHeight w:val="396"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7"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174,682,649.53</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69,989,463.98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3"/>
              <w:jc w:val="right"/>
              <w:rPr>
                <w:rFonts w:ascii="宋体" w:hAnsi="宋体" w:cs="宋体" w:eastAsia="宋体" w:hint="default"/>
                <w:sz w:val="18"/>
                <w:szCs w:val="18"/>
              </w:rPr>
            </w:pPr>
            <w:r>
              <w:rPr>
                <w:rFonts w:ascii="宋体"/>
                <w:sz w:val="18"/>
              </w:rPr>
              <w:t>149.58%</w:t>
            </w: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9"/>
              <w:jc w:val="right"/>
              <w:rPr>
                <w:rFonts w:ascii="宋体" w:hAnsi="宋体" w:cs="宋体" w:eastAsia="宋体" w:hint="default"/>
                <w:sz w:val="18"/>
                <w:szCs w:val="18"/>
              </w:rPr>
            </w:pPr>
            <w:r>
              <w:rPr>
                <w:rFonts w:ascii="宋体"/>
                <w:spacing w:val="-1"/>
                <w:sz w:val="18"/>
              </w:rPr>
              <w:t>58,994,245.50</w:t>
            </w:r>
          </w:p>
        </w:tc>
      </w:tr>
      <w:tr>
        <w:trPr>
          <w:trHeight w:val="769"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357" w:lineRule="auto"/>
              <w:ind w:left="1075" w:right="65" w:hanging="992"/>
              <w:jc w:val="left"/>
              <w:rPr>
                <w:rFonts w:ascii="宋体" w:hAnsi="宋体" w:cs="宋体" w:eastAsia="宋体" w:hint="default"/>
                <w:sz w:val="18"/>
                <w:szCs w:val="18"/>
              </w:rPr>
            </w:pPr>
            <w:r>
              <w:rPr>
                <w:rFonts w:ascii="宋体" w:hAnsi="宋体" w:cs="宋体" w:eastAsia="宋体" w:hint="default"/>
                <w:sz w:val="18"/>
                <w:szCs w:val="18"/>
              </w:rPr>
              <w:t>归属于上市公司股东的净利 润</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173,173,606.20</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61,078,754.08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8"/>
                <w:szCs w:val="18"/>
              </w:rPr>
            </w:pPr>
            <w:r>
              <w:rPr>
                <w:rFonts w:ascii="宋体"/>
                <w:sz w:val="18"/>
              </w:rPr>
              <w:t>183.53%</w:t>
            </w: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53,339,721.09</w:t>
            </w:r>
          </w:p>
        </w:tc>
      </w:tr>
      <w:tr>
        <w:trPr>
          <w:trHeight w:val="835"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29"/>
              <w:ind w:left="263" w:right="65" w:hanging="180"/>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176,477,838.57</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60,303,663.01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192.65%</w:t>
            </w: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57,325,884.30</w:t>
            </w:r>
          </w:p>
        </w:tc>
      </w:tr>
      <w:tr>
        <w:trPr>
          <w:trHeight w:val="847"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357" w:lineRule="auto" w:before="34"/>
              <w:ind w:left="1075" w:right="65" w:hanging="992"/>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-215,418,190.86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12,807,145.81</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-1,782.02%</w:t>
            </w: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29"/>
              <w:jc w:val="right"/>
              <w:rPr>
                <w:rFonts w:ascii="宋体" w:hAnsi="宋体" w:cs="宋体" w:eastAsia="宋体" w:hint="default"/>
                <w:sz w:val="18"/>
                <w:szCs w:val="18"/>
              </w:rPr>
            </w:pPr>
            <w:r>
              <w:rPr>
                <w:rFonts w:ascii="宋体"/>
                <w:spacing w:val="-1"/>
                <w:sz w:val="18"/>
              </w:rPr>
              <w:t>25,668,569.73</w:t>
            </w:r>
          </w:p>
        </w:tc>
      </w:tr>
      <w:tr>
        <w:trPr>
          <w:trHeight w:val="396" w:hRule="exact"/>
        </w:trPr>
        <w:tc>
          <w:tcPr>
            <w:tcW w:w="231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9"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0"/>
              <w:jc w:val="right"/>
              <w:rPr>
                <w:rFonts w:ascii="宋体" w:hAnsi="宋体" w:cs="宋体" w:eastAsia="宋体" w:hint="default"/>
                <w:sz w:val="18"/>
                <w:szCs w:val="18"/>
              </w:rPr>
            </w:pPr>
            <w:r>
              <w:rPr>
                <w:rFonts w:ascii="宋体"/>
                <w:spacing w:val="-1"/>
                <w:sz w:val="18"/>
              </w:rPr>
              <w:t>2,569,265,077.05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655,193,783.69</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3"/>
              <w:jc w:val="right"/>
              <w:rPr>
                <w:rFonts w:ascii="宋体" w:hAnsi="宋体" w:cs="宋体" w:eastAsia="宋体" w:hint="default"/>
                <w:sz w:val="18"/>
                <w:szCs w:val="18"/>
              </w:rPr>
            </w:pPr>
            <w:r>
              <w:rPr>
                <w:rFonts w:ascii="宋体"/>
                <w:sz w:val="18"/>
              </w:rPr>
              <w:t>292.14%</w:t>
            </w:r>
          </w:p>
        </w:tc>
        <w:tc>
          <w:tcPr>
            <w:tcW w:w="2086"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9"/>
              <w:jc w:val="right"/>
              <w:rPr>
                <w:rFonts w:ascii="宋体" w:hAnsi="宋体" w:cs="宋体" w:eastAsia="宋体" w:hint="default"/>
                <w:sz w:val="18"/>
                <w:szCs w:val="18"/>
              </w:rPr>
            </w:pPr>
            <w:r>
              <w:rPr>
                <w:rFonts w:ascii="宋体"/>
                <w:spacing w:val="-1"/>
                <w:sz w:val="18"/>
              </w:rPr>
              <w:t>545,980,586.38</w:t>
            </w:r>
          </w:p>
        </w:tc>
      </w:tr>
    </w:tbl>
    <w:p>
      <w:pPr>
        <w:spacing w:after="0" w:line="222" w:lineRule="exact"/>
        <w:jc w:val="right"/>
        <w:rPr>
          <w:rFonts w:ascii="宋体" w:hAnsi="宋体" w:cs="宋体" w:eastAsia="宋体" w:hint="default"/>
          <w:sz w:val="18"/>
          <w:szCs w:val="18"/>
        </w:rPr>
        <w:sectPr>
          <w:pgSz w:w="11910" w:h="16840"/>
          <w:pgMar w:header="720" w:footer="950" w:top="1300" w:bottom="1140" w:left="480" w:right="0"/>
        </w:sectPr>
      </w:pPr>
    </w:p>
    <w:p>
      <w:pPr>
        <w:spacing w:line="240" w:lineRule="auto" w:before="8"/>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16"/>
        <w:gridCol w:w="2146"/>
        <w:gridCol w:w="1798"/>
        <w:gridCol w:w="2194"/>
        <w:gridCol w:w="2086"/>
      </w:tblGrid>
      <w:tr>
        <w:trPr>
          <w:trHeight w:val="752" w:hRule="exact"/>
        </w:trPr>
        <w:tc>
          <w:tcPr>
            <w:tcW w:w="2316" w:type="dxa"/>
            <w:tcBorders>
              <w:top w:val="single" w:sz="10" w:space="0" w:color="000000"/>
              <w:left w:val="nil" w:sz="6" w:space="0" w:color="auto"/>
              <w:bottom w:val="single" w:sz="4" w:space="0" w:color="000000"/>
              <w:right w:val="single" w:sz="4" w:space="0" w:color="000000"/>
            </w:tcBorders>
          </w:tcPr>
          <w:p>
            <w:pPr>
              <w:pStyle w:val="TableParagraph"/>
              <w:spacing w:line="222" w:lineRule="exact"/>
              <w:ind w:left="16" w:right="0"/>
              <w:jc w:val="center"/>
              <w:rPr>
                <w:rFonts w:ascii="宋体" w:hAnsi="宋体" w:cs="宋体" w:eastAsia="宋体" w:hint="default"/>
                <w:sz w:val="18"/>
                <w:szCs w:val="18"/>
              </w:rPr>
            </w:pPr>
            <w:r>
              <w:rPr>
                <w:rFonts w:ascii="宋体" w:hAnsi="宋体" w:cs="宋体" w:eastAsia="宋体" w:hint="default"/>
                <w:sz w:val="18"/>
                <w:szCs w:val="18"/>
              </w:rPr>
              <w:t>归属于上市公司股东的所有</w:t>
            </w:r>
          </w:p>
          <w:p>
            <w:pPr>
              <w:pStyle w:val="TableParagraph"/>
              <w:spacing w:line="240" w:lineRule="auto" w:before="115"/>
              <w:ind w:left="19" w:right="0"/>
              <w:jc w:val="center"/>
              <w:rPr>
                <w:rFonts w:ascii="宋体" w:hAnsi="宋体" w:cs="宋体" w:eastAsia="宋体" w:hint="default"/>
                <w:sz w:val="18"/>
                <w:szCs w:val="18"/>
              </w:rPr>
            </w:pPr>
            <w:r>
              <w:rPr>
                <w:rFonts w:ascii="宋体" w:hAnsi="宋体" w:cs="宋体" w:eastAsia="宋体" w:hint="default"/>
                <w:sz w:val="18"/>
                <w:szCs w:val="18"/>
              </w:rPr>
              <w:t>者权益</w:t>
            </w:r>
          </w:p>
        </w:tc>
        <w:tc>
          <w:tcPr>
            <w:tcW w:w="214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1"/>
              <w:ind w:right="20"/>
              <w:jc w:val="right"/>
              <w:rPr>
                <w:rFonts w:ascii="宋体" w:hAnsi="宋体" w:cs="宋体" w:eastAsia="宋体" w:hint="default"/>
                <w:sz w:val="18"/>
                <w:szCs w:val="18"/>
              </w:rPr>
            </w:pPr>
            <w:r>
              <w:rPr>
                <w:rFonts w:ascii="宋体"/>
                <w:spacing w:val="-1"/>
                <w:sz w:val="18"/>
              </w:rPr>
              <w:t>1,591,765,034.95</w:t>
            </w:r>
          </w:p>
        </w:tc>
        <w:tc>
          <w:tcPr>
            <w:tcW w:w="17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1"/>
              <w:ind w:right="22"/>
              <w:jc w:val="right"/>
              <w:rPr>
                <w:rFonts w:ascii="宋体" w:hAnsi="宋体" w:cs="宋体" w:eastAsia="宋体" w:hint="default"/>
                <w:sz w:val="18"/>
                <w:szCs w:val="18"/>
              </w:rPr>
            </w:pPr>
            <w:r>
              <w:rPr>
                <w:rFonts w:ascii="宋体"/>
                <w:spacing w:val="-1"/>
                <w:sz w:val="18"/>
              </w:rPr>
              <w:t>430,602,037.38</w:t>
            </w:r>
          </w:p>
        </w:tc>
        <w:tc>
          <w:tcPr>
            <w:tcW w:w="21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61"/>
              <w:ind w:right="23"/>
              <w:jc w:val="right"/>
              <w:rPr>
                <w:rFonts w:ascii="宋体" w:hAnsi="宋体" w:cs="宋体" w:eastAsia="宋体" w:hint="default"/>
                <w:sz w:val="18"/>
                <w:szCs w:val="18"/>
              </w:rPr>
            </w:pPr>
            <w:r>
              <w:rPr>
                <w:rFonts w:ascii="宋体"/>
                <w:sz w:val="18"/>
              </w:rPr>
              <w:t>269.66%</w:t>
            </w:r>
          </w:p>
        </w:tc>
        <w:tc>
          <w:tcPr>
            <w:tcW w:w="2086"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161"/>
              <w:ind w:right="29"/>
              <w:jc w:val="right"/>
              <w:rPr>
                <w:rFonts w:ascii="宋体" w:hAnsi="宋体" w:cs="宋体" w:eastAsia="宋体" w:hint="default"/>
                <w:sz w:val="18"/>
                <w:szCs w:val="18"/>
              </w:rPr>
            </w:pPr>
            <w:r>
              <w:rPr>
                <w:rFonts w:ascii="宋体"/>
                <w:spacing w:val="-1"/>
                <w:sz w:val="18"/>
              </w:rPr>
              <w:t>375,600,353.30</w:t>
            </w:r>
          </w:p>
        </w:tc>
      </w:tr>
      <w:tr>
        <w:trPr>
          <w:trHeight w:val="408" w:hRule="exact"/>
        </w:trPr>
        <w:tc>
          <w:tcPr>
            <w:tcW w:w="2316" w:type="dxa"/>
            <w:tcBorders>
              <w:top w:val="single" w:sz="4" w:space="0" w:color="000000"/>
              <w:left w:val="nil" w:sz="6" w:space="0" w:color="auto"/>
              <w:bottom w:val="single" w:sz="12" w:space="0" w:color="000000"/>
              <w:right w:val="single" w:sz="4" w:space="0" w:color="000000"/>
            </w:tcBorders>
          </w:tcPr>
          <w:p>
            <w:pPr>
              <w:pStyle w:val="TableParagraph"/>
              <w:spacing w:line="220" w:lineRule="exact"/>
              <w:ind w:left="715" w:right="0"/>
              <w:jc w:val="left"/>
              <w:rPr>
                <w:rFonts w:ascii="宋体" w:hAnsi="宋体" w:cs="宋体" w:eastAsia="宋体" w:hint="default"/>
                <w:sz w:val="18"/>
                <w:szCs w:val="18"/>
              </w:rPr>
            </w:pPr>
            <w:r>
              <w:rPr>
                <w:rFonts w:ascii="宋体" w:hAnsi="宋体" w:cs="宋体" w:eastAsia="宋体" w:hint="default"/>
                <w:sz w:val="18"/>
                <w:szCs w:val="18"/>
              </w:rPr>
              <w:t>股本（股）</w:t>
            </w:r>
          </w:p>
        </w:tc>
        <w:tc>
          <w:tcPr>
            <w:tcW w:w="2146" w:type="dxa"/>
            <w:tcBorders>
              <w:top w:val="single" w:sz="4" w:space="0" w:color="000000"/>
              <w:left w:val="single" w:sz="4" w:space="0" w:color="000000"/>
              <w:bottom w:val="single" w:sz="12" w:space="0" w:color="000000"/>
              <w:right w:val="single" w:sz="4" w:space="0" w:color="000000"/>
            </w:tcBorders>
          </w:tcPr>
          <w:p>
            <w:pPr>
              <w:pStyle w:val="TableParagraph"/>
              <w:spacing w:line="220" w:lineRule="exact"/>
              <w:ind w:right="19"/>
              <w:jc w:val="right"/>
              <w:rPr>
                <w:rFonts w:ascii="宋体" w:hAnsi="宋体" w:cs="宋体" w:eastAsia="宋体" w:hint="default"/>
                <w:sz w:val="18"/>
                <w:szCs w:val="18"/>
              </w:rPr>
            </w:pPr>
            <w:r>
              <w:rPr>
                <w:rFonts w:ascii="宋体"/>
                <w:spacing w:val="-1"/>
                <w:sz w:val="18"/>
              </w:rPr>
              <w:t>256,495,691.00</w:t>
            </w:r>
          </w:p>
        </w:tc>
        <w:tc>
          <w:tcPr>
            <w:tcW w:w="1798" w:type="dxa"/>
            <w:tcBorders>
              <w:top w:val="single" w:sz="4" w:space="0" w:color="000000"/>
              <w:left w:val="single" w:sz="4" w:space="0" w:color="000000"/>
              <w:bottom w:val="single" w:sz="12" w:space="0" w:color="000000"/>
              <w:right w:val="single" w:sz="4" w:space="0" w:color="000000"/>
            </w:tcBorders>
          </w:tcPr>
          <w:p>
            <w:pPr>
              <w:pStyle w:val="TableParagraph"/>
              <w:spacing w:line="220" w:lineRule="exact"/>
              <w:ind w:right="22"/>
              <w:jc w:val="right"/>
              <w:rPr>
                <w:rFonts w:ascii="宋体" w:hAnsi="宋体" w:cs="宋体" w:eastAsia="宋体" w:hint="default"/>
                <w:sz w:val="18"/>
                <w:szCs w:val="18"/>
              </w:rPr>
            </w:pPr>
            <w:r>
              <w:rPr>
                <w:rFonts w:ascii="宋体"/>
                <w:spacing w:val="-1"/>
                <w:sz w:val="18"/>
              </w:rPr>
              <w:t>121,541,400.00</w:t>
            </w:r>
          </w:p>
        </w:tc>
        <w:tc>
          <w:tcPr>
            <w:tcW w:w="2194" w:type="dxa"/>
            <w:tcBorders>
              <w:top w:val="single" w:sz="4" w:space="0" w:color="000000"/>
              <w:left w:val="single" w:sz="4" w:space="0" w:color="000000"/>
              <w:bottom w:val="single" w:sz="12"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111.04%</w:t>
            </w:r>
          </w:p>
        </w:tc>
        <w:tc>
          <w:tcPr>
            <w:tcW w:w="2086" w:type="dxa"/>
            <w:tcBorders>
              <w:top w:val="single" w:sz="4" w:space="0" w:color="000000"/>
              <w:left w:val="single" w:sz="4" w:space="0" w:color="000000"/>
              <w:bottom w:val="single" w:sz="12" w:space="0" w:color="000000"/>
              <w:right w:val="nil" w:sz="6" w:space="0" w:color="auto"/>
            </w:tcBorders>
          </w:tcPr>
          <w:p>
            <w:pPr>
              <w:pStyle w:val="TableParagraph"/>
              <w:spacing w:line="220" w:lineRule="exact"/>
              <w:ind w:right="29"/>
              <w:jc w:val="right"/>
              <w:rPr>
                <w:rFonts w:ascii="宋体" w:hAnsi="宋体" w:cs="宋体" w:eastAsia="宋体" w:hint="default"/>
                <w:sz w:val="18"/>
                <w:szCs w:val="18"/>
              </w:rPr>
            </w:pPr>
            <w:r>
              <w:rPr>
                <w:rFonts w:ascii="宋体"/>
                <w:spacing w:val="-1"/>
                <w:sz w:val="18"/>
              </w:rPr>
              <w:t>121,541,400.00</w:t>
            </w:r>
          </w:p>
        </w:tc>
      </w:tr>
    </w:tbl>
    <w:p>
      <w:pPr>
        <w:spacing w:line="240" w:lineRule="auto" w:before="0"/>
        <w:rPr>
          <w:rFonts w:ascii="宋体" w:hAnsi="宋体" w:cs="宋体" w:eastAsia="宋体" w:hint="default"/>
          <w:sz w:val="20"/>
          <w:szCs w:val="20"/>
        </w:rPr>
      </w:pPr>
    </w:p>
    <w:p>
      <w:pPr>
        <w:pStyle w:val="Heading2"/>
        <w:spacing w:line="240" w:lineRule="auto" w:before="163"/>
        <w:ind w:left="240" w:right="606"/>
        <w:jc w:val="left"/>
        <w:rPr>
          <w:b w:val="0"/>
          <w:bCs w:val="0"/>
        </w:rPr>
      </w:pPr>
      <w:r>
        <w:rPr/>
        <w:t>（二）主要财务指标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2938"/>
        <w:gridCol w:w="1635"/>
        <w:gridCol w:w="2081"/>
        <w:gridCol w:w="1913"/>
        <w:gridCol w:w="1973"/>
      </w:tblGrid>
      <w:tr>
        <w:trPr>
          <w:trHeight w:val="389" w:hRule="exact"/>
        </w:trPr>
        <w:tc>
          <w:tcPr>
            <w:tcW w:w="2938" w:type="dxa"/>
            <w:tcBorders>
              <w:top w:val="single" w:sz="12" w:space="0" w:color="000000"/>
              <w:left w:val="nil" w:sz="6" w:space="0" w:color="auto"/>
              <w:bottom w:val="single" w:sz="4" w:space="0" w:color="000000"/>
              <w:right w:val="single" w:sz="4" w:space="0" w:color="000000"/>
            </w:tcBorders>
          </w:tcPr>
          <w:p>
            <w:pPr>
              <w:pStyle w:val="TableParagraph"/>
              <w:tabs>
                <w:tab w:pos="1795" w:val="left" w:leader="none"/>
              </w:tabs>
              <w:spacing w:line="213" w:lineRule="exact"/>
              <w:ind w:left="98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635"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518"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081"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913" w:type="dxa"/>
            <w:tcBorders>
              <w:top w:val="single" w:sz="12" w:space="0" w:color="000000"/>
              <w:left w:val="single" w:sz="4" w:space="0" w:color="000000"/>
              <w:bottom w:val="single" w:sz="4" w:space="0" w:color="000000"/>
              <w:right w:val="single" w:sz="4" w:space="0" w:color="000000"/>
            </w:tcBorders>
          </w:tcPr>
          <w:p>
            <w:pPr>
              <w:pStyle w:val="TableParagraph"/>
              <w:spacing w:line="213" w:lineRule="exact"/>
              <w:ind w:right="51"/>
              <w:jc w:val="right"/>
              <w:rPr>
                <w:rFonts w:ascii="宋体" w:hAnsi="宋体" w:cs="宋体" w:eastAsia="宋体" w:hint="default"/>
                <w:sz w:val="18"/>
                <w:szCs w:val="18"/>
              </w:rPr>
            </w:pPr>
            <w:r>
              <w:rPr>
                <w:rFonts w:ascii="宋体" w:hAnsi="宋体" w:cs="宋体" w:eastAsia="宋体" w:hint="default"/>
                <w:sz w:val="18"/>
                <w:szCs w:val="18"/>
              </w:rPr>
              <w:t>本年比上年增减（％）</w:t>
            </w:r>
          </w:p>
        </w:tc>
        <w:tc>
          <w:tcPr>
            <w:tcW w:w="1973" w:type="dxa"/>
            <w:tcBorders>
              <w:top w:val="single" w:sz="12" w:space="0" w:color="000000"/>
              <w:left w:val="single" w:sz="4" w:space="0" w:color="000000"/>
              <w:bottom w:val="single" w:sz="4" w:space="0" w:color="000000"/>
              <w:right w:val="nil" w:sz="6" w:space="0" w:color="auto"/>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396"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4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0.84</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3"/>
              <w:jc w:val="right"/>
              <w:rPr>
                <w:rFonts w:ascii="宋体" w:hAnsi="宋体" w:cs="宋体" w:eastAsia="宋体" w:hint="default"/>
                <w:sz w:val="18"/>
                <w:szCs w:val="18"/>
              </w:rPr>
            </w:pPr>
            <w:r>
              <w:rPr>
                <w:rFonts w:ascii="宋体"/>
                <w:sz w:val="18"/>
              </w:rPr>
              <w:t>180.00%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z w:val="18"/>
              </w:rPr>
              <w:t>0.44</w:t>
            </w:r>
          </w:p>
        </w:tc>
      </w:tr>
      <w:tr>
        <w:trPr>
          <w:trHeight w:val="396"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3"/>
              <w:jc w:val="right"/>
              <w:rPr>
                <w:rFonts w:ascii="宋体" w:hAnsi="宋体" w:cs="宋体" w:eastAsia="宋体" w:hint="default"/>
                <w:sz w:val="18"/>
                <w:szCs w:val="18"/>
              </w:rPr>
            </w:pPr>
            <w:r>
              <w:rPr>
                <w:rFonts w:ascii="宋体"/>
                <w:spacing w:val="-1"/>
                <w:sz w:val="18"/>
              </w:rPr>
              <w:t>0.84</w:t>
            </w:r>
            <w:r>
              <w:rPr>
                <w:rFonts w:ascii="宋体"/>
                <w:sz w:val="18"/>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3"/>
              <w:jc w:val="right"/>
              <w:rPr>
                <w:rFonts w:ascii="宋体" w:hAnsi="宋体" w:cs="宋体" w:eastAsia="宋体" w:hint="default"/>
                <w:sz w:val="18"/>
                <w:szCs w:val="18"/>
              </w:rPr>
            </w:pPr>
            <w:r>
              <w:rPr>
                <w:rFonts w:ascii="宋体"/>
                <w:sz w:val="18"/>
              </w:rPr>
              <w:t>180.00%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5"/>
              <w:jc w:val="right"/>
              <w:rPr>
                <w:rFonts w:ascii="宋体" w:hAnsi="宋体" w:cs="宋体" w:eastAsia="宋体" w:hint="default"/>
                <w:sz w:val="18"/>
                <w:szCs w:val="18"/>
              </w:rPr>
            </w:pPr>
            <w:r>
              <w:rPr>
                <w:rFonts w:ascii="宋体"/>
                <w:sz w:val="18"/>
              </w:rPr>
              <w:t>0.44</w:t>
            </w:r>
          </w:p>
        </w:tc>
      </w:tr>
      <w:tr>
        <w:trPr>
          <w:trHeight w:val="711"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3" w:right="0"/>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扣除非经常性损益后的基本每股收</w:t>
            </w:r>
          </w:p>
          <w:p>
            <w:pPr>
              <w:pStyle w:val="TableParagraph"/>
              <w:spacing w:line="240" w:lineRule="auto" w:before="113"/>
              <w:ind w:left="43" w:right="0"/>
              <w:jc w:val="left"/>
              <w:rPr>
                <w:rFonts w:ascii="宋体" w:hAnsi="宋体" w:cs="宋体" w:eastAsia="宋体" w:hint="default"/>
                <w:sz w:val="18"/>
                <w:szCs w:val="18"/>
              </w:rPr>
            </w:pPr>
            <w:r>
              <w:rPr>
                <w:rFonts w:ascii="宋体" w:hAnsi="宋体" w:cs="宋体" w:eastAsia="宋体" w:hint="default"/>
                <w:sz w:val="18"/>
                <w:szCs w:val="18"/>
              </w:rPr>
              <w:t>益（元</w:t>
            </w:r>
            <w:r>
              <w:rPr>
                <w:rFonts w:ascii="宋体" w:hAnsi="宋体" w:cs="宋体" w:eastAsia="宋体" w:hint="default"/>
                <w:sz w:val="18"/>
                <w:szCs w:val="18"/>
              </w:rPr>
              <w:t>/</w:t>
            </w:r>
            <w:r>
              <w:rPr>
                <w:rFonts w:ascii="宋体" w:hAnsi="宋体" w:cs="宋体" w:eastAsia="宋体" w:hint="default"/>
                <w:sz w:val="18"/>
                <w:szCs w:val="18"/>
              </w:rPr>
              <w:t>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z w:val="18"/>
              </w:rPr>
              <w:t>0.85</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1"/>
              <w:jc w:val="right"/>
              <w:rPr>
                <w:rFonts w:ascii="宋体" w:hAnsi="宋体" w:cs="宋体" w:eastAsia="宋体" w:hint="default"/>
                <w:sz w:val="18"/>
                <w:szCs w:val="18"/>
              </w:rPr>
            </w:pPr>
            <w:r>
              <w:rPr>
                <w:rFonts w:ascii="宋体"/>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3"/>
              <w:jc w:val="right"/>
              <w:rPr>
                <w:rFonts w:ascii="宋体" w:hAnsi="宋体" w:cs="宋体" w:eastAsia="宋体" w:hint="default"/>
                <w:sz w:val="18"/>
                <w:szCs w:val="18"/>
              </w:rPr>
            </w:pPr>
            <w:r>
              <w:rPr>
                <w:rFonts w:ascii="宋体"/>
                <w:sz w:val="18"/>
              </w:rPr>
              <w:t>183.33%</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3"/>
              <w:ind w:right="25"/>
              <w:jc w:val="right"/>
              <w:rPr>
                <w:rFonts w:ascii="宋体" w:hAnsi="宋体" w:cs="宋体" w:eastAsia="宋体" w:hint="default"/>
                <w:sz w:val="18"/>
                <w:szCs w:val="18"/>
              </w:rPr>
            </w:pPr>
            <w:r>
              <w:rPr>
                <w:rFonts w:ascii="宋体"/>
                <w:sz w:val="18"/>
              </w:rPr>
              <w:t>0.47</w:t>
            </w:r>
          </w:p>
        </w:tc>
      </w:tr>
      <w:tr>
        <w:trPr>
          <w:trHeight w:val="398"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33.35%</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15.15%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18.20%</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pacing w:val="-1"/>
                <w:sz w:val="18"/>
              </w:rPr>
              <w:t>15.24%</w:t>
            </w:r>
          </w:p>
        </w:tc>
      </w:tr>
      <w:tr>
        <w:trPr>
          <w:trHeight w:val="71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43"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扣除非经常性损益后的加权平均净</w:t>
            </w:r>
          </w:p>
          <w:p>
            <w:pPr>
              <w:pStyle w:val="TableParagraph"/>
              <w:spacing w:line="240" w:lineRule="auto" w:before="115"/>
              <w:ind w:left="43" w:right="0"/>
              <w:jc w:val="left"/>
              <w:rPr>
                <w:rFonts w:ascii="宋体" w:hAnsi="宋体" w:cs="宋体" w:eastAsia="宋体" w:hint="default"/>
                <w:sz w:val="18"/>
                <w:szCs w:val="18"/>
              </w:rPr>
            </w:pPr>
            <w:r>
              <w:rPr>
                <w:rFonts w:ascii="宋体" w:hAnsi="宋体" w:cs="宋体" w:eastAsia="宋体" w:hint="default"/>
                <w:sz w:val="18"/>
                <w:szCs w:val="18"/>
              </w:rPr>
              <w:t>资产收益率（</w:t>
            </w:r>
            <w:r>
              <w:rPr>
                <w:rFonts w:ascii="宋体" w:hAnsi="宋体" w:cs="宋体" w:eastAsia="宋体" w:hint="default"/>
                <w:sz w:val="18"/>
                <w:szCs w:val="18"/>
              </w:rPr>
              <w:t>%</w:t>
            </w:r>
            <w:r>
              <w:rPr>
                <w:rFonts w:ascii="宋体" w:hAnsi="宋体" w:cs="宋体" w:eastAsia="宋体" w:hint="default"/>
                <w:sz w:val="18"/>
                <w:szCs w:val="18"/>
              </w:rPr>
              <w:t>）</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33.98%</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14.96%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19.02%</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26"/>
              <w:jc w:val="right"/>
              <w:rPr>
                <w:rFonts w:ascii="宋体" w:hAnsi="宋体" w:cs="宋体" w:eastAsia="宋体" w:hint="default"/>
                <w:sz w:val="18"/>
                <w:szCs w:val="18"/>
              </w:rPr>
            </w:pPr>
            <w:r>
              <w:rPr>
                <w:rFonts w:ascii="宋体"/>
                <w:spacing w:val="-1"/>
                <w:sz w:val="18"/>
              </w:rPr>
              <w:t>16.38%</w:t>
            </w:r>
          </w:p>
        </w:tc>
      </w:tr>
      <w:tr>
        <w:trPr>
          <w:trHeight w:val="710" w:hRule="exact"/>
        </w:trPr>
        <w:tc>
          <w:tcPr>
            <w:tcW w:w="293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43" w:right="0"/>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每股经营活动产生的现金流量净额</w:t>
            </w:r>
          </w:p>
          <w:p>
            <w:pPr>
              <w:pStyle w:val="TableParagraph"/>
              <w:spacing w:line="240" w:lineRule="auto" w:before="115"/>
              <w:ind w:left="4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z w:val="18"/>
              </w:rPr>
              <w:t>-0.84</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-863.64%</w:t>
            </w:r>
          </w:p>
        </w:tc>
        <w:tc>
          <w:tcPr>
            <w:tcW w:w="197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0.21</w:t>
            </w:r>
          </w:p>
        </w:tc>
      </w:tr>
      <w:tr>
        <w:trPr>
          <w:trHeight w:val="720" w:hRule="exact"/>
        </w:trPr>
        <w:tc>
          <w:tcPr>
            <w:tcW w:w="2938" w:type="dxa"/>
            <w:tcBorders>
              <w:top w:val="single" w:sz="4" w:space="0" w:color="000000"/>
              <w:left w:val="nil" w:sz="6" w:space="0" w:color="auto"/>
              <w:bottom w:val="single" w:sz="12" w:space="0" w:color="000000"/>
              <w:right w:val="single" w:sz="4" w:space="0" w:color="000000"/>
            </w:tcBorders>
          </w:tcPr>
          <w:p>
            <w:pPr>
              <w:pStyle w:val="TableParagraph"/>
              <w:spacing w:line="203" w:lineRule="exact"/>
              <w:ind w:left="43" w:right="0"/>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归属于上市公司股东的每股净资产</w:t>
            </w:r>
          </w:p>
          <w:p>
            <w:pPr>
              <w:pStyle w:val="TableParagraph"/>
              <w:spacing w:line="240" w:lineRule="auto" w:before="115"/>
              <w:ind w:left="43" w:right="0"/>
              <w:jc w:val="lef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63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z w:val="18"/>
              </w:rPr>
              <w:t>6.21</w:t>
            </w:r>
          </w:p>
        </w:tc>
        <w:tc>
          <w:tcPr>
            <w:tcW w:w="2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z w:val="18"/>
              </w:rPr>
              <w:t>3.54</w:t>
            </w: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42"/>
              <w:ind w:right="21"/>
              <w:jc w:val="right"/>
              <w:rPr>
                <w:rFonts w:ascii="宋体" w:hAnsi="宋体" w:cs="宋体" w:eastAsia="宋体" w:hint="default"/>
                <w:sz w:val="18"/>
                <w:szCs w:val="18"/>
              </w:rPr>
            </w:pPr>
            <w:r>
              <w:rPr>
                <w:rFonts w:ascii="宋体"/>
                <w:spacing w:val="-1"/>
                <w:sz w:val="18"/>
              </w:rPr>
              <w:t>75.42%</w:t>
            </w:r>
          </w:p>
        </w:tc>
        <w:tc>
          <w:tcPr>
            <w:tcW w:w="197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42"/>
              <w:ind w:right="25"/>
              <w:jc w:val="right"/>
              <w:rPr>
                <w:rFonts w:ascii="宋体" w:hAnsi="宋体" w:cs="宋体" w:eastAsia="宋体" w:hint="default"/>
                <w:sz w:val="18"/>
                <w:szCs w:val="18"/>
              </w:rPr>
            </w:pPr>
            <w:r>
              <w:rPr>
                <w:rFonts w:ascii="宋体"/>
                <w:sz w:val="18"/>
              </w:rPr>
              <w:t>3.09</w:t>
            </w:r>
          </w:p>
        </w:tc>
      </w:tr>
    </w:tbl>
    <w:p>
      <w:pPr>
        <w:spacing w:line="240" w:lineRule="auto" w:before="0"/>
        <w:rPr>
          <w:rFonts w:ascii="宋体" w:hAnsi="宋体" w:cs="宋体" w:eastAsia="宋体" w:hint="default"/>
          <w:b/>
          <w:bCs/>
          <w:sz w:val="20"/>
          <w:szCs w:val="20"/>
        </w:rPr>
      </w:pPr>
    </w:p>
    <w:p>
      <w:pPr>
        <w:pStyle w:val="Heading2"/>
        <w:spacing w:line="355" w:lineRule="auto" w:before="166"/>
        <w:ind w:left="240" w:right="606"/>
        <w:jc w:val="left"/>
        <w:rPr>
          <w:b w:val="0"/>
          <w:bCs w:val="0"/>
        </w:rPr>
      </w:pPr>
      <w:r>
        <w:rPr>
          <w:spacing w:val="3"/>
          <w:w w:val="95"/>
        </w:rPr>
        <w:t>（三）根据中国证监会《公开发行证券的公司信息披露编报规则第九号—净产收益率和每股收益的</w:t>
      </w:r>
      <w:r>
        <w:rPr>
          <w:spacing w:val="8"/>
          <w:w w:val="95"/>
        </w:rPr>
        <w:t> </w:t>
      </w:r>
      <w:r>
        <w:rPr>
          <w:spacing w:val="8"/>
          <w:w w:val="95"/>
        </w:rPr>
      </w:r>
      <w:r>
        <w:rPr/>
        <w:t>计算及披露》的要求，净资产收益率及每股收益计算如下：</w:t>
      </w:r>
      <w:r>
        <w:rPr>
          <w:b w:val="0"/>
          <w:bCs w:val="0"/>
        </w:rPr>
      </w:r>
    </w:p>
    <w:p>
      <w:pPr>
        <w:spacing w:line="240" w:lineRule="auto" w:before="1"/>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3291"/>
        <w:gridCol w:w="1368"/>
        <w:gridCol w:w="1176"/>
        <w:gridCol w:w="1114"/>
        <w:gridCol w:w="1731"/>
        <w:gridCol w:w="1010"/>
        <w:gridCol w:w="1008"/>
      </w:tblGrid>
      <w:tr>
        <w:trPr>
          <w:trHeight w:val="485" w:hRule="exact"/>
        </w:trPr>
        <w:tc>
          <w:tcPr>
            <w:tcW w:w="3291"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658"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749"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25"/>
              <w:ind w:right="8"/>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3291" w:type="dxa"/>
            <w:vMerge/>
            <w:tcBorders>
              <w:left w:val="nil" w:sz="6" w:space="0" w:color="auto"/>
              <w:right w:val="single" w:sz="6" w:space="0" w:color="000000"/>
            </w:tcBorders>
          </w:tcPr>
          <w:p>
            <w:pPr/>
          </w:p>
        </w:tc>
        <w:tc>
          <w:tcPr>
            <w:tcW w:w="136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57" w:lineRule="auto"/>
              <w:ind w:left="100" w:right="79" w:firstLine="36"/>
              <w:jc w:val="left"/>
              <w:rPr>
                <w:rFonts w:ascii="宋体" w:hAnsi="宋体" w:cs="宋体" w:eastAsia="宋体" w:hint="default"/>
                <w:sz w:val="18"/>
                <w:szCs w:val="18"/>
              </w:rPr>
            </w:pPr>
            <w:r>
              <w:rPr>
                <w:rFonts w:ascii="宋体" w:hAnsi="宋体" w:cs="宋体" w:eastAsia="宋体" w:hint="default"/>
                <w:sz w:val="18"/>
                <w:szCs w:val="18"/>
              </w:rPr>
              <w:t>加权平均净资 产收益率（</w:t>
            </w:r>
            <w:r>
              <w:rPr>
                <w:rFonts w:ascii="宋体" w:hAnsi="宋体" w:cs="宋体" w:eastAsia="宋体" w:hint="default"/>
                <w:sz w:val="18"/>
                <w:szCs w:val="18"/>
              </w:rPr>
              <w:t>%</w:t>
            </w:r>
            <w:r>
              <w:rPr>
                <w:rFonts w:ascii="宋体" w:hAnsi="宋体" w:cs="宋体" w:eastAsia="宋体" w:hint="default"/>
                <w:sz w:val="18"/>
                <w:szCs w:val="18"/>
              </w:rPr>
              <w:t>）</w:t>
            </w:r>
          </w:p>
        </w:tc>
        <w:tc>
          <w:tcPr>
            <w:tcW w:w="229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每股收益</w:t>
            </w:r>
          </w:p>
        </w:tc>
        <w:tc>
          <w:tcPr>
            <w:tcW w:w="1731"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57" w:lineRule="auto"/>
              <w:ind w:left="451" w:right="137" w:hanging="315"/>
              <w:jc w:val="left"/>
              <w:rPr>
                <w:rFonts w:ascii="宋体" w:hAnsi="宋体" w:cs="宋体" w:eastAsia="宋体" w:hint="default"/>
                <w:sz w:val="18"/>
                <w:szCs w:val="18"/>
              </w:rPr>
            </w:pPr>
            <w:r>
              <w:rPr>
                <w:rFonts w:ascii="宋体" w:hAnsi="宋体" w:cs="宋体" w:eastAsia="宋体" w:hint="default"/>
                <w:sz w:val="18"/>
                <w:szCs w:val="18"/>
              </w:rPr>
              <w:t>加权平均净资产收 益率（</w:t>
            </w:r>
            <w:r>
              <w:rPr>
                <w:rFonts w:ascii="宋体" w:hAnsi="宋体" w:cs="宋体" w:eastAsia="宋体" w:hint="default"/>
                <w:sz w:val="18"/>
                <w:szCs w:val="18"/>
              </w:rPr>
              <w:t>%</w:t>
            </w:r>
            <w:r>
              <w:rPr>
                <w:rFonts w:ascii="宋体" w:hAnsi="宋体" w:cs="宋体" w:eastAsia="宋体" w:hint="default"/>
                <w:sz w:val="18"/>
                <w:szCs w:val="18"/>
              </w:rPr>
              <w:t>）</w:t>
            </w:r>
          </w:p>
        </w:tc>
        <w:tc>
          <w:tcPr>
            <w:tcW w:w="201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640" w:right="0"/>
              <w:jc w:val="left"/>
              <w:rPr>
                <w:rFonts w:ascii="宋体" w:hAnsi="宋体" w:cs="宋体" w:eastAsia="宋体" w:hint="default"/>
                <w:sz w:val="18"/>
                <w:szCs w:val="18"/>
              </w:rPr>
            </w:pPr>
            <w:r>
              <w:rPr>
                <w:rFonts w:ascii="宋体" w:hAnsi="宋体" w:cs="宋体" w:eastAsia="宋体" w:hint="default"/>
                <w:sz w:val="18"/>
                <w:szCs w:val="18"/>
              </w:rPr>
              <w:t>每股收益</w:t>
            </w:r>
          </w:p>
        </w:tc>
      </w:tr>
      <w:tr>
        <w:trPr>
          <w:trHeight w:val="715" w:hRule="exact"/>
        </w:trPr>
        <w:tc>
          <w:tcPr>
            <w:tcW w:w="3291" w:type="dxa"/>
            <w:vMerge/>
            <w:tcBorders>
              <w:left w:val="nil" w:sz="6" w:space="0" w:color="auto"/>
              <w:bottom w:val="single" w:sz="6" w:space="0" w:color="000000"/>
              <w:right w:val="single" w:sz="6" w:space="0" w:color="000000"/>
            </w:tcBorders>
          </w:tcPr>
          <w:p>
            <w:pPr/>
          </w:p>
        </w:tc>
        <w:tc>
          <w:tcPr>
            <w:tcW w:w="1368" w:type="dxa"/>
            <w:vMerge/>
            <w:tcBorders>
              <w:left w:val="single" w:sz="6" w:space="0" w:color="000000"/>
              <w:bottom w:val="single" w:sz="6" w:space="0" w:color="000000"/>
              <w:right w:val="single" w:sz="6" w:space="0" w:color="000000"/>
            </w:tcBorders>
          </w:tcPr>
          <w:p>
            <w:pP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09" w:right="0"/>
              <w:jc w:val="left"/>
              <w:rPr>
                <w:rFonts w:ascii="宋体" w:hAnsi="宋体" w:cs="宋体" w:eastAsia="宋体" w:hint="default"/>
                <w:sz w:val="18"/>
                <w:szCs w:val="18"/>
              </w:rPr>
            </w:pPr>
            <w:r>
              <w:rPr>
                <w:rFonts w:ascii="宋体" w:hAnsi="宋体" w:cs="宋体" w:eastAsia="宋体" w:hint="default"/>
                <w:sz w:val="18"/>
                <w:szCs w:val="18"/>
              </w:rPr>
              <w:t>基本每</w:t>
            </w:r>
          </w:p>
          <w:p>
            <w:pPr>
              <w:pStyle w:val="TableParagraph"/>
              <w:spacing w:line="240" w:lineRule="auto" w:before="112"/>
              <w:ind w:left="309" w:right="0"/>
              <w:jc w:val="left"/>
              <w:rPr>
                <w:rFonts w:ascii="宋体" w:hAnsi="宋体" w:cs="宋体" w:eastAsia="宋体" w:hint="default"/>
                <w:sz w:val="18"/>
                <w:szCs w:val="18"/>
              </w:rPr>
            </w:pPr>
            <w:r>
              <w:rPr>
                <w:rFonts w:ascii="宋体" w:hAnsi="宋体" w:cs="宋体" w:eastAsia="宋体" w:hint="default"/>
                <w:sz w:val="18"/>
                <w:szCs w:val="18"/>
              </w:rPr>
              <w:t>股收益</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z w:val="18"/>
                <w:szCs w:val="18"/>
              </w:rPr>
              <w:t>稀释每</w:t>
            </w:r>
          </w:p>
          <w:p>
            <w:pPr>
              <w:pStyle w:val="TableParagraph"/>
              <w:spacing w:line="240" w:lineRule="auto" w:before="112"/>
              <w:ind w:left="278" w:right="0"/>
              <w:jc w:val="left"/>
              <w:rPr>
                <w:rFonts w:ascii="宋体" w:hAnsi="宋体" w:cs="宋体" w:eastAsia="宋体" w:hint="default"/>
                <w:sz w:val="18"/>
                <w:szCs w:val="18"/>
              </w:rPr>
            </w:pPr>
            <w:r>
              <w:rPr>
                <w:rFonts w:ascii="宋体" w:hAnsi="宋体" w:cs="宋体" w:eastAsia="宋体" w:hint="default"/>
                <w:sz w:val="18"/>
                <w:szCs w:val="18"/>
              </w:rPr>
              <w:t>股收益</w:t>
            </w:r>
          </w:p>
        </w:tc>
        <w:tc>
          <w:tcPr>
            <w:tcW w:w="1731" w:type="dxa"/>
            <w:vMerge/>
            <w:tcBorders>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27" w:right="0"/>
              <w:jc w:val="left"/>
              <w:rPr>
                <w:rFonts w:ascii="宋体" w:hAnsi="宋体" w:cs="宋体" w:eastAsia="宋体" w:hint="default"/>
                <w:sz w:val="18"/>
                <w:szCs w:val="18"/>
              </w:rPr>
            </w:pPr>
            <w:r>
              <w:rPr>
                <w:rFonts w:ascii="宋体" w:hAnsi="宋体" w:cs="宋体" w:eastAsia="宋体" w:hint="default"/>
                <w:sz w:val="18"/>
                <w:szCs w:val="18"/>
              </w:rPr>
              <w:t>基本每</w:t>
            </w:r>
          </w:p>
          <w:p>
            <w:pPr>
              <w:pStyle w:val="TableParagraph"/>
              <w:spacing w:line="240" w:lineRule="auto" w:before="112"/>
              <w:ind w:left="227" w:right="0"/>
              <w:jc w:val="left"/>
              <w:rPr>
                <w:rFonts w:ascii="宋体" w:hAnsi="宋体" w:cs="宋体" w:eastAsia="宋体" w:hint="default"/>
                <w:sz w:val="18"/>
                <w:szCs w:val="18"/>
              </w:rPr>
            </w:pPr>
            <w:r>
              <w:rPr>
                <w:rFonts w:ascii="宋体" w:hAnsi="宋体" w:cs="宋体" w:eastAsia="宋体" w:hint="default"/>
                <w:sz w:val="18"/>
                <w:szCs w:val="18"/>
              </w:rPr>
              <w:t>股收益</w:t>
            </w:r>
          </w:p>
        </w:tc>
        <w:tc>
          <w:tcPr>
            <w:tcW w:w="1008"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225" w:right="0"/>
              <w:jc w:val="left"/>
              <w:rPr>
                <w:rFonts w:ascii="宋体" w:hAnsi="宋体" w:cs="宋体" w:eastAsia="宋体" w:hint="default"/>
                <w:sz w:val="18"/>
                <w:szCs w:val="18"/>
              </w:rPr>
            </w:pPr>
            <w:r>
              <w:rPr>
                <w:rFonts w:ascii="宋体" w:hAnsi="宋体" w:cs="宋体" w:eastAsia="宋体" w:hint="default"/>
                <w:sz w:val="18"/>
                <w:szCs w:val="18"/>
              </w:rPr>
              <w:t>稀释每</w:t>
            </w:r>
          </w:p>
          <w:p>
            <w:pPr>
              <w:pStyle w:val="TableParagraph"/>
              <w:spacing w:line="240" w:lineRule="auto" w:before="112"/>
              <w:ind w:left="225" w:right="0"/>
              <w:jc w:val="left"/>
              <w:rPr>
                <w:rFonts w:ascii="宋体" w:hAnsi="宋体" w:cs="宋体" w:eastAsia="宋体" w:hint="default"/>
                <w:sz w:val="18"/>
                <w:szCs w:val="18"/>
              </w:rPr>
            </w:pPr>
            <w:r>
              <w:rPr>
                <w:rFonts w:ascii="宋体" w:hAnsi="宋体" w:cs="宋体" w:eastAsia="宋体" w:hint="default"/>
                <w:sz w:val="18"/>
                <w:szCs w:val="18"/>
              </w:rPr>
              <w:t>股收益</w:t>
            </w:r>
          </w:p>
        </w:tc>
      </w:tr>
      <w:tr>
        <w:trPr>
          <w:trHeight w:val="480" w:hRule="exact"/>
        </w:trPr>
        <w:tc>
          <w:tcPr>
            <w:tcW w:w="3291"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33.35</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0.84</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宋体" w:hAnsi="宋体" w:cs="宋体" w:eastAsia="宋体" w:hint="default"/>
                <w:sz w:val="18"/>
                <w:szCs w:val="18"/>
              </w:rPr>
            </w:pPr>
            <w:r>
              <w:rPr>
                <w:rFonts w:ascii="宋体"/>
                <w:sz w:val="18"/>
              </w:rPr>
              <w:t>0.84</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8"/>
              <w:jc w:val="right"/>
              <w:rPr>
                <w:rFonts w:ascii="宋体" w:hAnsi="宋体" w:cs="宋体" w:eastAsia="宋体" w:hint="default"/>
                <w:sz w:val="18"/>
                <w:szCs w:val="18"/>
              </w:rPr>
            </w:pPr>
            <w:r>
              <w:rPr>
                <w:rFonts w:ascii="宋体"/>
                <w:sz w:val="18"/>
              </w:rPr>
              <w:t>15.15</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97"/>
              <w:jc w:val="right"/>
              <w:rPr>
                <w:rFonts w:ascii="宋体" w:hAnsi="宋体" w:cs="宋体" w:eastAsia="宋体" w:hint="default"/>
                <w:sz w:val="18"/>
                <w:szCs w:val="18"/>
              </w:rPr>
            </w:pPr>
            <w:r>
              <w:rPr>
                <w:rFonts w:ascii="宋体"/>
                <w:sz w:val="18"/>
              </w:rPr>
              <w:t>0.30</w:t>
            </w:r>
          </w:p>
        </w:tc>
        <w:tc>
          <w:tcPr>
            <w:tcW w:w="10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0.30</w:t>
            </w:r>
          </w:p>
        </w:tc>
      </w:tr>
      <w:tr>
        <w:trPr>
          <w:trHeight w:val="723" w:hRule="exact"/>
        </w:trPr>
        <w:tc>
          <w:tcPr>
            <w:tcW w:w="3291" w:type="dxa"/>
            <w:tcBorders>
              <w:top w:val="single" w:sz="6" w:space="0" w:color="000000"/>
              <w:left w:val="nil" w:sz="6" w:space="0" w:color="auto"/>
              <w:bottom w:val="single" w:sz="12"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z w:val="18"/>
              </w:rPr>
              <w:t>33.98</w:t>
            </w:r>
          </w:p>
        </w:tc>
        <w:tc>
          <w:tcPr>
            <w:tcW w:w="11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z w:val="18"/>
              </w:rPr>
              <w:t>0.85</w:t>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97"/>
              <w:jc w:val="right"/>
              <w:rPr>
                <w:rFonts w:ascii="宋体" w:hAnsi="宋体" w:cs="宋体" w:eastAsia="宋体" w:hint="default"/>
                <w:sz w:val="18"/>
                <w:szCs w:val="18"/>
              </w:rPr>
            </w:pPr>
            <w:r>
              <w:rPr>
                <w:rFonts w:ascii="宋体"/>
                <w:sz w:val="18"/>
              </w:rPr>
              <w:t>0.85</w:t>
            </w:r>
          </w:p>
        </w:tc>
        <w:tc>
          <w:tcPr>
            <w:tcW w:w="17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z w:val="18"/>
              </w:rPr>
              <w:t>14.96</w:t>
            </w:r>
          </w:p>
        </w:tc>
        <w:tc>
          <w:tcPr>
            <w:tcW w:w="10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97"/>
              <w:jc w:val="right"/>
              <w:rPr>
                <w:rFonts w:ascii="宋体" w:hAnsi="宋体" w:cs="宋体" w:eastAsia="宋体" w:hint="default"/>
                <w:sz w:val="18"/>
                <w:szCs w:val="18"/>
              </w:rPr>
            </w:pPr>
            <w:r>
              <w:rPr>
                <w:rFonts w:ascii="宋体"/>
                <w:sz w:val="18"/>
              </w:rPr>
              <w:t>0.30</w:t>
            </w:r>
          </w:p>
        </w:tc>
        <w:tc>
          <w:tcPr>
            <w:tcW w:w="10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z w:val="18"/>
              </w:rPr>
              <w:t>0.30</w:t>
            </w:r>
          </w:p>
        </w:tc>
      </w:tr>
    </w:tbl>
    <w:p>
      <w:pPr>
        <w:spacing w:after="0" w:line="240" w:lineRule="auto"/>
        <w:jc w:val="right"/>
        <w:rPr>
          <w:rFonts w:ascii="宋体" w:hAnsi="宋体" w:cs="宋体" w:eastAsia="宋体" w:hint="default"/>
          <w:sz w:val="18"/>
          <w:szCs w:val="18"/>
        </w:rPr>
        <w:sectPr>
          <w:pgSz w:w="11910" w:h="16840"/>
          <w:pgMar w:header="720" w:footer="950" w:top="1300" w:bottom="1140" w:left="480" w:right="0"/>
        </w:sectPr>
      </w:pPr>
    </w:p>
    <w:p>
      <w:pPr>
        <w:spacing w:line="240" w:lineRule="auto" w:before="13"/>
        <w:rPr>
          <w:rFonts w:ascii="宋体" w:hAnsi="宋体" w:cs="宋体" w:eastAsia="宋体" w:hint="default"/>
          <w:b/>
          <w:bCs/>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tabs>
          <w:tab w:pos="4591" w:val="left" w:leader="none"/>
        </w:tabs>
        <w:spacing w:line="240" w:lineRule="auto" w:before="165"/>
        <w:ind w:left="3305" w:right="587"/>
        <w:jc w:val="left"/>
        <w:rPr>
          <w:b w:val="0"/>
          <w:bCs w:val="0"/>
        </w:rPr>
      </w:pPr>
      <w:bookmarkStart w:name="_TOC_250008" w:id="3"/>
      <w:r>
        <w:rPr>
          <w:w w:val="95"/>
        </w:rPr>
        <w:t>第三节</w:t>
        <w:tab/>
      </w:r>
      <w:r>
        <w:rPr/>
        <w:t>股本变动及股东情况</w:t>
      </w:r>
      <w:bookmarkEnd w:id="3"/>
      <w:r>
        <w:rPr>
          <w:b w:val="0"/>
          <w:bCs w:val="0"/>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9"/>
          <w:szCs w:val="19"/>
        </w:rPr>
      </w:pPr>
    </w:p>
    <w:p>
      <w:pPr>
        <w:pStyle w:val="Heading2"/>
        <w:tabs>
          <w:tab w:pos="880" w:val="left" w:leader="none"/>
        </w:tabs>
        <w:spacing w:line="240" w:lineRule="auto" w:before="26"/>
        <w:ind w:left="160" w:right="587"/>
        <w:jc w:val="left"/>
        <w:rPr>
          <w:b w:val="0"/>
          <w:bCs w:val="0"/>
        </w:rPr>
      </w:pPr>
      <w:r>
        <w:rPr/>
        <w:t>一、</w:t>
        <w:tab/>
        <w:t>股份变动情况表</w:t>
      </w:r>
      <w:r>
        <w:rPr>
          <w:b w:val="0"/>
          <w:bCs w:val="0"/>
        </w:rPr>
      </w:r>
    </w:p>
    <w:p>
      <w:pPr>
        <w:spacing w:line="240" w:lineRule="auto" w:before="12"/>
        <w:rPr>
          <w:rFonts w:ascii="宋体" w:hAnsi="宋体" w:cs="宋体" w:eastAsia="宋体" w:hint="default"/>
          <w:b/>
          <w:bCs/>
          <w:sz w:val="8"/>
          <w:szCs w:val="8"/>
        </w:rPr>
      </w:pPr>
    </w:p>
    <w:p>
      <w:pPr>
        <w:spacing w:before="44"/>
        <w:ind w:left="0" w:right="82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2098"/>
        <w:gridCol w:w="1047"/>
        <w:gridCol w:w="686"/>
        <w:gridCol w:w="955"/>
        <w:gridCol w:w="958"/>
        <w:gridCol w:w="955"/>
        <w:gridCol w:w="1046"/>
        <w:gridCol w:w="1047"/>
        <w:gridCol w:w="1044"/>
        <w:gridCol w:w="703"/>
      </w:tblGrid>
      <w:tr>
        <w:trPr>
          <w:trHeight w:val="386" w:hRule="exact"/>
        </w:trPr>
        <w:tc>
          <w:tcPr>
            <w:tcW w:w="2098"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tabs>
                <w:tab w:pos="1375" w:val="left" w:leader="none"/>
              </w:tabs>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3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41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962" w:type="dxa"/>
            <w:gridSpan w:val="5"/>
            <w:tcBorders>
              <w:top w:val="single" w:sz="12" w:space="0" w:color="000000"/>
              <w:left w:val="single" w:sz="4" w:space="0" w:color="000000"/>
              <w:bottom w:val="single" w:sz="4" w:space="0" w:color="000000"/>
              <w:right w:val="single" w:sz="4" w:space="0" w:color="000000"/>
            </w:tcBorders>
          </w:tcPr>
          <w:p>
            <w:pPr>
              <w:pStyle w:val="TableParagraph"/>
              <w:spacing w:line="213" w:lineRule="exact"/>
              <w:ind w:left="157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747" w:type="dxa"/>
            <w:gridSpan w:val="2"/>
            <w:tcBorders>
              <w:top w:val="single" w:sz="12" w:space="0" w:color="000000"/>
              <w:left w:val="single" w:sz="4" w:space="0" w:color="000000"/>
              <w:bottom w:val="single" w:sz="4" w:space="0" w:color="000000"/>
              <w:right w:val="nil" w:sz="6" w:space="0" w:color="auto"/>
            </w:tcBorders>
          </w:tcPr>
          <w:p>
            <w:pPr>
              <w:pStyle w:val="TableParagraph"/>
              <w:spacing w:line="213" w:lineRule="exact"/>
              <w:ind w:left="41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98" w:hRule="exact"/>
        </w:trPr>
        <w:tc>
          <w:tcPr>
            <w:tcW w:w="2098" w:type="dxa"/>
            <w:vMerge/>
            <w:tcBorders>
              <w:left w:val="nil" w:sz="6" w:space="0" w:color="auto"/>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3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5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1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9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3"/>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96"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83,075,380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68.35%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49,875,311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16,615,076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41,537,690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-15,490,638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92,537,439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175,612,819</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pacing w:val="-1"/>
                <w:sz w:val="18"/>
              </w:rPr>
              <w:t>68.47%</w:t>
            </w:r>
          </w:p>
        </w:tc>
      </w:tr>
      <w:tr>
        <w:trPr>
          <w:trHeight w:val="399"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9"/>
              <w:jc w:val="right"/>
              <w:rPr>
                <w:rFonts w:ascii="宋体" w:hAnsi="宋体" w:cs="宋体" w:eastAsia="宋体" w:hint="default"/>
                <w:sz w:val="18"/>
                <w:szCs w:val="18"/>
              </w:rPr>
            </w:pPr>
            <w:r>
              <w:rPr>
                <w:rFonts w:ascii="宋体"/>
                <w:spacing w:val="-1"/>
                <w:sz w:val="18"/>
              </w:rPr>
              <w:t>13,000,000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2"/>
              <w:jc w:val="right"/>
              <w:rPr>
                <w:rFonts w:ascii="宋体" w:hAnsi="宋体" w:cs="宋体" w:eastAsia="宋体" w:hint="default"/>
                <w:sz w:val="18"/>
                <w:szCs w:val="18"/>
              </w:rPr>
            </w:pPr>
            <w:r>
              <w:rPr>
                <w:rFonts w:ascii="宋体"/>
                <w:spacing w:val="-1"/>
                <w:sz w:val="18"/>
              </w:rPr>
              <w:t>13,000,000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9"/>
              <w:jc w:val="right"/>
              <w:rPr>
                <w:rFonts w:ascii="宋体" w:hAnsi="宋体" w:cs="宋体" w:eastAsia="宋体" w:hint="default"/>
                <w:sz w:val="18"/>
                <w:szCs w:val="18"/>
              </w:rPr>
            </w:pPr>
            <w:r>
              <w:rPr>
                <w:rFonts w:ascii="宋体"/>
                <w:spacing w:val="-1"/>
                <w:sz w:val="18"/>
              </w:rPr>
              <w:t>13,000,000</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26"/>
              <w:jc w:val="right"/>
              <w:rPr>
                <w:rFonts w:ascii="宋体" w:hAnsi="宋体" w:cs="宋体" w:eastAsia="宋体" w:hint="default"/>
                <w:sz w:val="18"/>
                <w:szCs w:val="18"/>
              </w:rPr>
            </w:pPr>
            <w:r>
              <w:rPr>
                <w:rFonts w:ascii="宋体"/>
                <w:sz w:val="18"/>
              </w:rPr>
              <w:t>5.07%</w:t>
            </w:r>
          </w:p>
        </w:tc>
      </w:tr>
      <w:tr>
        <w:trPr>
          <w:trHeight w:val="396"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83,075,380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68.35%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36,875,311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16,615,076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41,537,690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-15,490,638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79,537,439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162,612,819</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pacing w:val="-1"/>
                <w:sz w:val="18"/>
              </w:rPr>
              <w:t>63.40%</w:t>
            </w:r>
          </w:p>
        </w:tc>
      </w:tr>
      <w:tr>
        <w:trPr>
          <w:trHeight w:val="398"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43" w:right="0"/>
              <w:jc w:val="left"/>
              <w:rPr>
                <w:rFonts w:ascii="宋体" w:hAnsi="宋体" w:cs="宋体" w:eastAsia="宋体" w:hint="default"/>
                <w:sz w:val="18"/>
                <w:szCs w:val="18"/>
              </w:rPr>
            </w:pPr>
            <w:r>
              <w:rPr>
                <w:rFonts w:ascii="宋体" w:hAnsi="宋体" w:cs="宋体" w:eastAsia="宋体" w:hint="default"/>
                <w:sz w:val="18"/>
                <w:szCs w:val="18"/>
              </w:rPr>
              <w:t>其中：境内非国有法人持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73,963,240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60.85%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33,000,000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14,792,648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36,981,620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84,774,268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158,737,508</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pacing w:val="-1"/>
                <w:sz w:val="18"/>
              </w:rPr>
              <w:t>61.89%</w:t>
            </w:r>
          </w:p>
        </w:tc>
      </w:tr>
      <w:tr>
        <w:trPr>
          <w:trHeight w:val="396"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96"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9,112,140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z w:val="18"/>
              </w:rPr>
              <w:t>7.50%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3,875,311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1,822,428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4,556,070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-15,490,638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-5,236,829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3,875,311</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z w:val="18"/>
              </w:rPr>
              <w:t>1.51%</w:t>
            </w:r>
          </w:p>
        </w:tc>
      </w:tr>
      <w:tr>
        <w:trPr>
          <w:trHeight w:val="398"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13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96"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398"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、高管股份</w:t>
            </w: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38,466,020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31.65%</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7,693,204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19,233,010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15,490,638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42,416,852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80,882,872</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pacing w:val="-1"/>
                <w:sz w:val="18"/>
              </w:rPr>
              <w:t>31.53%</w:t>
            </w:r>
          </w:p>
        </w:tc>
      </w:tr>
      <w:tr>
        <w:trPr>
          <w:trHeight w:val="398"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38,466,020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31.65%</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7,693,204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19,233,010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15,490,638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42,416,852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80,882,872</w:t>
            </w:r>
          </w:p>
        </w:tc>
        <w:tc>
          <w:tcPr>
            <w:tcW w:w="703"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pacing w:val="-1"/>
                <w:sz w:val="18"/>
              </w:rPr>
              <w:t>31.53%</w:t>
            </w:r>
          </w:p>
        </w:tc>
      </w:tr>
      <w:tr>
        <w:trPr>
          <w:trHeight w:val="396"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398"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2098"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4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4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098" w:type="dxa"/>
            <w:tcBorders>
              <w:top w:val="single" w:sz="4" w:space="0" w:color="000000"/>
              <w:left w:val="nil" w:sz="6" w:space="0" w:color="auto"/>
              <w:bottom w:val="single" w:sz="12" w:space="0" w:color="000000"/>
              <w:right w:val="single" w:sz="4" w:space="0" w:color="000000"/>
            </w:tcBorders>
          </w:tcPr>
          <w:p>
            <w:pPr>
              <w:pStyle w:val="TableParagraph"/>
              <w:spacing w:line="222" w:lineRule="exact"/>
              <w:ind w:left="4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7"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121,541,400</w:t>
            </w:r>
          </w:p>
        </w:tc>
        <w:tc>
          <w:tcPr>
            <w:tcW w:w="686"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20"/>
              <w:jc w:val="right"/>
              <w:rPr>
                <w:rFonts w:ascii="宋体" w:hAnsi="宋体" w:cs="宋体" w:eastAsia="宋体" w:hint="default"/>
                <w:sz w:val="18"/>
                <w:szCs w:val="18"/>
              </w:rPr>
            </w:pPr>
            <w:r>
              <w:rPr>
                <w:rFonts w:ascii="宋体"/>
                <w:sz w:val="18"/>
              </w:rPr>
              <w:t>100.00%</w:t>
            </w:r>
          </w:p>
        </w:tc>
        <w:tc>
          <w:tcPr>
            <w:tcW w:w="955"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49,875,311</w:t>
            </w:r>
          </w:p>
        </w:tc>
        <w:tc>
          <w:tcPr>
            <w:tcW w:w="958"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24,308,280</w:t>
            </w:r>
          </w:p>
        </w:tc>
        <w:tc>
          <w:tcPr>
            <w:tcW w:w="955"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60,770,700</w:t>
            </w:r>
          </w:p>
        </w:tc>
        <w:tc>
          <w:tcPr>
            <w:tcW w:w="1046" w:type="dxa"/>
            <w:tcBorders>
              <w:top w:val="single" w:sz="4" w:space="0" w:color="000000"/>
              <w:left w:val="single" w:sz="4" w:space="0" w:color="000000"/>
              <w:bottom w:val="single" w:sz="12" w:space="0" w:color="000000"/>
              <w:right w:val="single" w:sz="4" w:space="0" w:color="000000"/>
            </w:tcBorders>
          </w:tcPr>
          <w:p>
            <w:pPr/>
          </w:p>
        </w:tc>
        <w:tc>
          <w:tcPr>
            <w:tcW w:w="1047"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134,954,291</w:t>
            </w:r>
          </w:p>
        </w:tc>
        <w:tc>
          <w:tcPr>
            <w:tcW w:w="1044"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256,495,691</w:t>
            </w:r>
          </w:p>
        </w:tc>
        <w:tc>
          <w:tcPr>
            <w:tcW w:w="703" w:type="dxa"/>
            <w:tcBorders>
              <w:top w:val="single" w:sz="4" w:space="0" w:color="000000"/>
              <w:left w:val="single" w:sz="4" w:space="0" w:color="000000"/>
              <w:bottom w:val="single" w:sz="12"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z w:val="18"/>
              </w:rPr>
              <w:t>100.00%</w:t>
            </w:r>
          </w:p>
        </w:tc>
      </w:tr>
    </w:tbl>
    <w:p>
      <w:pPr>
        <w:pStyle w:val="Heading2"/>
        <w:spacing w:line="274" w:lineRule="exact"/>
        <w:ind w:left="160" w:right="587"/>
        <w:jc w:val="left"/>
        <w:rPr>
          <w:b w:val="0"/>
          <w:bCs w:val="0"/>
        </w:rPr>
      </w:pPr>
      <w:r>
        <w:rPr/>
        <w:t>二、股票发行与上市情况</w:t>
      </w:r>
      <w:r>
        <w:rPr>
          <w:b w:val="0"/>
          <w:bCs w:val="0"/>
        </w:rPr>
      </w:r>
    </w:p>
    <w:p>
      <w:pPr>
        <w:pStyle w:val="Heading3"/>
        <w:spacing w:line="240" w:lineRule="auto" w:before="151"/>
        <w:ind w:left="580" w:right="587"/>
        <w:jc w:val="left"/>
        <w:rPr>
          <w:rFonts w:ascii="宋体" w:hAnsi="宋体" w:cs="宋体" w:eastAsia="宋体" w:hint="default"/>
        </w:rPr>
      </w:pPr>
      <w:r>
        <w:rPr>
          <w:rFonts w:ascii="宋体" w:hAnsi="宋体" w:cs="宋体" w:eastAsia="宋体" w:hint="default"/>
          <w:spacing w:val="-4"/>
        </w:rPr>
        <w:t>1</w:t>
      </w:r>
      <w:r>
        <w:rPr>
          <w:spacing w:val="-4"/>
        </w:rPr>
        <w:t>、经中国证监会证监发行字</w:t>
      </w:r>
      <w:r>
        <w:rPr>
          <w:rFonts w:ascii="宋体" w:hAnsi="宋体" w:cs="宋体" w:eastAsia="宋体" w:hint="default"/>
          <w:spacing w:val="-4"/>
        </w:rPr>
        <w:t>[2007]25</w:t>
      </w:r>
      <w:r>
        <w:rPr>
          <w:rFonts w:ascii="宋体" w:hAnsi="宋体" w:cs="宋体" w:eastAsia="宋体" w:hint="default"/>
          <w:spacing w:val="-58"/>
        </w:rPr>
        <w:t> </w:t>
      </w:r>
      <w:r>
        <w:rPr>
          <w:spacing w:val="-8"/>
        </w:rPr>
        <w:t>号文件核准，公司于</w:t>
      </w:r>
      <w:r>
        <w:rPr>
          <w:spacing w:val="-58"/>
        </w:rPr>
        <w:t> </w:t>
      </w:r>
      <w:r>
        <w:rPr>
          <w:rFonts w:ascii="宋体" w:hAnsi="宋体" w:cs="宋体" w:eastAsia="宋体" w:hint="default"/>
        </w:rPr>
        <w:t>2007</w:t>
      </w:r>
      <w:r>
        <w:rPr>
          <w:rFonts w:ascii="宋体" w:hAnsi="宋体" w:cs="宋体" w:eastAsia="宋体" w:hint="default"/>
          <w:spacing w:val="-58"/>
        </w:rPr>
        <w:t> </w:t>
      </w:r>
      <w:r>
        <w:rPr/>
        <w:t>年</w:t>
      </w:r>
      <w:r>
        <w:rPr>
          <w:spacing w:val="-58"/>
        </w:rPr>
        <w:t> </w:t>
      </w:r>
      <w:r>
        <w:rPr>
          <w:rFonts w:ascii="宋体" w:hAnsi="宋体" w:cs="宋体" w:eastAsia="宋体" w:hint="default"/>
        </w:rPr>
        <w:t>2</w:t>
      </w:r>
      <w:r>
        <w:rPr>
          <w:rFonts w:ascii="宋体" w:hAnsi="宋体" w:cs="宋体" w:eastAsia="宋体" w:hint="default"/>
          <w:spacing w:val="-58"/>
        </w:rPr>
        <w:t> </w:t>
      </w:r>
      <w:r>
        <w:rPr/>
        <w:t>月</w:t>
      </w:r>
      <w:r>
        <w:rPr>
          <w:spacing w:val="-58"/>
        </w:rPr>
        <w:t> </w:t>
      </w:r>
      <w:r>
        <w:rPr>
          <w:rFonts w:ascii="宋体" w:hAnsi="宋体" w:cs="宋体" w:eastAsia="宋体" w:hint="default"/>
        </w:rPr>
        <w:t>8</w:t>
      </w:r>
      <w:r>
        <w:rPr>
          <w:rFonts w:ascii="宋体" w:hAnsi="宋体" w:cs="宋体" w:eastAsia="宋体" w:hint="default"/>
          <w:spacing w:val="-58"/>
        </w:rPr>
        <w:t> </w:t>
      </w:r>
      <w:r>
        <w:rPr>
          <w:spacing w:val="-7"/>
        </w:rPr>
        <w:t>日发行人民币普通股（</w:t>
      </w:r>
      <w:r>
        <w:rPr>
          <w:rFonts w:ascii="宋体" w:hAnsi="宋体" w:cs="宋体" w:eastAsia="宋体" w:hint="default"/>
          <w:spacing w:val="-7"/>
        </w:rPr>
        <w:t>A</w:t>
      </w:r>
    </w:p>
    <w:p>
      <w:pPr>
        <w:pStyle w:val="Heading3"/>
        <w:spacing w:line="240" w:lineRule="auto"/>
        <w:ind w:left="160" w:right="587"/>
        <w:jc w:val="left"/>
      </w:pPr>
      <w:r>
        <w:rPr/>
        <w:t>股）</w:t>
      </w:r>
      <w:r>
        <w:rPr>
          <w:rFonts w:ascii="宋体" w:hAnsi="宋体" w:cs="宋体" w:eastAsia="宋体" w:hint="default"/>
        </w:rPr>
        <w:t>1690</w:t>
      </w:r>
      <w:r>
        <w:rPr>
          <w:rFonts w:ascii="宋体" w:hAnsi="宋体" w:cs="宋体" w:eastAsia="宋体" w:hint="default"/>
          <w:spacing w:val="-61"/>
        </w:rPr>
        <w:t> </w:t>
      </w:r>
      <w:r>
        <w:rPr/>
        <w:t>万股，其中网下向询价对象配售</w:t>
      </w:r>
      <w:r>
        <w:rPr>
          <w:spacing w:val="-61"/>
        </w:rPr>
        <w:t> </w:t>
      </w:r>
      <w:r>
        <w:rPr>
          <w:rFonts w:ascii="宋体" w:hAnsi="宋体" w:cs="宋体" w:eastAsia="宋体" w:hint="default"/>
        </w:rPr>
        <w:t>338</w:t>
      </w:r>
      <w:r>
        <w:rPr>
          <w:rFonts w:ascii="宋体" w:hAnsi="宋体" w:cs="宋体" w:eastAsia="宋体" w:hint="default"/>
          <w:spacing w:val="-61"/>
        </w:rPr>
        <w:t> </w:t>
      </w:r>
      <w:r>
        <w:rPr/>
        <w:t>万股，网上向社会公众投资者按市值配售</w:t>
      </w:r>
      <w:r>
        <w:rPr>
          <w:spacing w:val="-60"/>
        </w:rPr>
        <w:t> </w:t>
      </w:r>
      <w:r>
        <w:rPr>
          <w:rFonts w:ascii="宋体" w:hAnsi="宋体" w:cs="宋体" w:eastAsia="宋体" w:hint="default"/>
        </w:rPr>
        <w:t>1352</w:t>
      </w:r>
      <w:r>
        <w:rPr>
          <w:rFonts w:ascii="宋体" w:hAnsi="宋体" w:cs="宋体" w:eastAsia="宋体" w:hint="default"/>
          <w:spacing w:val="-61"/>
        </w:rPr>
        <w:t> </w:t>
      </w:r>
      <w:r>
        <w:rPr/>
        <w:t>万股，</w:t>
      </w:r>
    </w:p>
    <w:p>
      <w:pPr>
        <w:pStyle w:val="Heading3"/>
        <w:spacing w:line="240" w:lineRule="auto" w:before="152"/>
        <w:ind w:left="160" w:right="587"/>
        <w:jc w:val="left"/>
      </w:pPr>
      <w:r>
        <w:rPr/>
        <w:t>每股发行价为</w:t>
      </w:r>
      <w:r>
        <w:rPr>
          <w:spacing w:val="-60"/>
        </w:rPr>
        <w:t> </w:t>
      </w:r>
      <w:r>
        <w:rPr>
          <w:rFonts w:ascii="宋体" w:hAnsi="宋体" w:cs="宋体" w:eastAsia="宋体" w:hint="default"/>
        </w:rPr>
        <w:t>9.56</w:t>
      </w:r>
      <w:r>
        <w:rPr>
          <w:rFonts w:ascii="宋体" w:hAnsi="宋体" w:cs="宋体" w:eastAsia="宋体" w:hint="default"/>
          <w:spacing w:val="-60"/>
        </w:rPr>
        <w:t> </w:t>
      </w:r>
      <w:r>
        <w:rPr/>
        <w:t>元。</w:t>
      </w:r>
    </w:p>
    <w:p>
      <w:pPr>
        <w:pStyle w:val="Heading3"/>
        <w:spacing w:line="240" w:lineRule="auto"/>
        <w:ind w:left="580" w:right="587"/>
        <w:jc w:val="left"/>
        <w:rPr>
          <w:rFonts w:ascii="宋体" w:hAnsi="宋体" w:cs="宋体" w:eastAsia="宋体" w:hint="default"/>
        </w:rPr>
      </w:pPr>
      <w:r>
        <w:rPr>
          <w:rFonts w:ascii="宋体" w:hAnsi="宋体" w:cs="宋体" w:eastAsia="宋体" w:hint="default"/>
        </w:rPr>
        <w:t>2</w:t>
      </w:r>
      <w:r>
        <w:rPr/>
        <w:t>、经深圳证券交易所深证上</w:t>
      </w:r>
      <w:r>
        <w:rPr>
          <w:rFonts w:ascii="宋体" w:hAnsi="宋体" w:cs="宋体" w:eastAsia="宋体" w:hint="default"/>
        </w:rPr>
        <w:t>[2007]21</w:t>
      </w:r>
      <w:r>
        <w:rPr>
          <w:rFonts w:ascii="宋体" w:hAnsi="宋体" w:cs="宋体" w:eastAsia="宋体" w:hint="default"/>
          <w:spacing w:val="-69"/>
        </w:rPr>
        <w:t> </w:t>
      </w:r>
      <w:r>
        <w:rPr/>
        <w:t>号文件核准，本公司公开发行的人民币普通股自</w:t>
      </w:r>
      <w:r>
        <w:rPr>
          <w:spacing w:val="-69"/>
        </w:rPr>
        <w:t> </w:t>
      </w:r>
      <w:r>
        <w:rPr>
          <w:rFonts w:ascii="宋体" w:hAnsi="宋体" w:cs="宋体" w:eastAsia="宋体" w:hint="default"/>
        </w:rPr>
        <w:t>2007</w:t>
      </w:r>
      <w:r>
        <w:rPr>
          <w:rFonts w:ascii="宋体" w:hAnsi="宋体" w:cs="宋体" w:eastAsia="宋体" w:hint="default"/>
          <w:spacing w:val="-69"/>
        </w:rPr>
        <w:t> </w:t>
      </w:r>
      <w:r>
        <w:rPr/>
        <w:t>年</w:t>
      </w:r>
      <w:r>
        <w:rPr>
          <w:spacing w:val="-69"/>
        </w:rPr>
        <w:t> </w:t>
      </w:r>
      <w:r>
        <w:rPr>
          <w:rFonts w:ascii="宋体" w:hAnsi="宋体" w:cs="宋体" w:eastAsia="宋体" w:hint="default"/>
        </w:rPr>
        <w:t>3</w:t>
      </w:r>
    </w:p>
    <w:p>
      <w:pPr>
        <w:pStyle w:val="Heading3"/>
        <w:spacing w:line="355" w:lineRule="auto"/>
        <w:ind w:left="160" w:right="720"/>
        <w:jc w:val="left"/>
      </w:pPr>
      <w:r>
        <w:rPr/>
        <w:t>月 </w:t>
      </w:r>
      <w:r>
        <w:rPr>
          <w:rFonts w:ascii="宋体" w:hAnsi="宋体" w:cs="宋体" w:eastAsia="宋体" w:hint="default"/>
        </w:rPr>
        <w:t>2</w:t>
      </w:r>
      <w:r>
        <w:rPr>
          <w:rFonts w:ascii="宋体" w:hAnsi="宋体" w:cs="宋体" w:eastAsia="宋体" w:hint="default"/>
          <w:spacing w:val="3"/>
        </w:rPr>
        <w:t> </w:t>
      </w:r>
      <w:r>
        <w:rPr>
          <w:spacing w:val="3"/>
        </w:rPr>
        <w:t>日起在深圳证券交易所中小企业板上市交易</w:t>
      </w:r>
      <w:r>
        <w:rPr>
          <w:rFonts w:ascii="宋体" w:hAnsi="宋体" w:cs="宋体" w:eastAsia="宋体" w:hint="default"/>
          <w:spacing w:val="3"/>
        </w:rPr>
        <w:t>,</w:t>
      </w:r>
      <w:r>
        <w:rPr>
          <w:spacing w:val="3"/>
        </w:rPr>
        <w:t>其余股票的可上市交易时间按照有关法律法规规</w:t>
      </w:r>
      <w:r>
        <w:rPr/>
        <w:t> 章、深交所业务规则及公司相关股东的承诺执行。</w:t>
      </w:r>
    </w:p>
    <w:p>
      <w:pPr>
        <w:pStyle w:val="Heading3"/>
        <w:spacing w:line="355" w:lineRule="auto" w:before="38"/>
        <w:ind w:left="160" w:right="587" w:firstLine="480"/>
        <w:jc w:val="left"/>
      </w:pPr>
      <w:r>
        <w:rPr>
          <w:rFonts w:ascii="宋体" w:hAnsi="宋体" w:cs="宋体" w:eastAsia="宋体" w:hint="default"/>
        </w:rPr>
        <w:t>3</w:t>
      </w:r>
      <w:r>
        <w:rPr/>
        <w:t>、经中国证监会证监许可</w:t>
      </w:r>
      <w:r>
        <w:rPr>
          <w:rFonts w:ascii="宋体" w:hAnsi="宋体" w:cs="宋体" w:eastAsia="宋体" w:hint="default"/>
        </w:rPr>
        <w:t>[2010]1815</w:t>
      </w:r>
      <w:r>
        <w:rPr>
          <w:rFonts w:ascii="宋体" w:hAnsi="宋体" w:cs="宋体" w:eastAsia="宋体" w:hint="default"/>
          <w:spacing w:val="-51"/>
        </w:rPr>
        <w:t> </w:t>
      </w:r>
      <w:r>
        <w:rPr/>
        <w:t>号文件核准，公司与</w:t>
      </w:r>
      <w:r>
        <w:rPr>
          <w:spacing w:val="-50"/>
        </w:rPr>
        <w:t> </w:t>
      </w:r>
      <w:r>
        <w:rPr>
          <w:rFonts w:ascii="宋体" w:hAnsi="宋体" w:cs="宋体" w:eastAsia="宋体" w:hint="default"/>
        </w:rPr>
        <w:t>2010</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0"/>
        </w:rPr>
        <w:t> </w:t>
      </w:r>
      <w:r>
        <w:rPr>
          <w:rFonts w:ascii="宋体" w:hAnsi="宋体" w:cs="宋体" w:eastAsia="宋体" w:hint="default"/>
        </w:rPr>
        <w:t>29</w:t>
      </w:r>
      <w:r>
        <w:rPr>
          <w:rFonts w:ascii="宋体" w:hAnsi="宋体" w:cs="宋体" w:eastAsia="宋体" w:hint="default"/>
          <w:spacing w:val="-51"/>
        </w:rPr>
        <w:t> </w:t>
      </w:r>
      <w:r>
        <w:rPr/>
        <w:t>日向</w:t>
      </w:r>
      <w:r>
        <w:rPr>
          <w:spacing w:val="-51"/>
        </w:rPr>
        <w:t> </w:t>
      </w:r>
      <w:r>
        <w:rPr>
          <w:rFonts w:ascii="宋体" w:hAnsi="宋体" w:cs="宋体" w:eastAsia="宋体" w:hint="default"/>
        </w:rPr>
        <w:t>6</w:t>
      </w:r>
      <w:r>
        <w:rPr>
          <w:rFonts w:ascii="宋体" w:hAnsi="宋体" w:cs="宋体" w:eastAsia="宋体" w:hint="default"/>
          <w:spacing w:val="-51"/>
        </w:rPr>
        <w:t> </w:t>
      </w:r>
      <w:r>
        <w:rPr/>
        <w:t>位特定投资 者非公开发行人民币普通股（</w:t>
      </w:r>
      <w:r>
        <w:rPr>
          <w:rFonts w:ascii="宋体" w:hAnsi="宋体" w:cs="宋体" w:eastAsia="宋体" w:hint="default"/>
        </w:rPr>
        <w:t>A</w:t>
      </w:r>
      <w:r>
        <w:rPr>
          <w:rFonts w:ascii="宋体" w:hAnsi="宋体" w:cs="宋体" w:eastAsia="宋体" w:hint="default"/>
          <w:spacing w:val="-65"/>
        </w:rPr>
        <w:t> </w:t>
      </w:r>
      <w:r>
        <w:rPr/>
        <w:t>股）</w:t>
      </w:r>
      <w:r>
        <w:rPr>
          <w:rFonts w:ascii="宋体" w:hAnsi="宋体" w:cs="宋体" w:eastAsia="宋体" w:hint="default"/>
        </w:rPr>
        <w:t>4,987.5311</w:t>
      </w:r>
      <w:r>
        <w:rPr>
          <w:rFonts w:ascii="宋体" w:hAnsi="宋体" w:cs="宋体" w:eastAsia="宋体" w:hint="default"/>
          <w:spacing w:val="-65"/>
        </w:rPr>
        <w:t> </w:t>
      </w:r>
      <w:r>
        <w:rPr/>
        <w:t>万股，每股发行价格</w:t>
      </w:r>
      <w:r>
        <w:rPr>
          <w:spacing w:val="-63"/>
        </w:rPr>
        <w:t> </w:t>
      </w:r>
      <w:r>
        <w:rPr>
          <w:rFonts w:ascii="宋体" w:hAnsi="宋体" w:cs="宋体" w:eastAsia="宋体" w:hint="default"/>
        </w:rPr>
        <w:t>20.05</w:t>
      </w:r>
      <w:r>
        <w:rPr>
          <w:rFonts w:ascii="宋体" w:hAnsi="宋体" w:cs="宋体" w:eastAsia="宋体" w:hint="default"/>
          <w:spacing w:val="-65"/>
        </w:rPr>
        <w:t> </w:t>
      </w:r>
      <w:r>
        <w:rPr/>
        <w:t>元。</w:t>
      </w:r>
      <w:r>
        <w:rPr>
          <w:rFonts w:ascii="宋体" w:hAnsi="宋体" w:cs="宋体" w:eastAsia="宋体" w:hint="default"/>
        </w:rPr>
        <w:t>2010</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3"/>
        </w:rPr>
        <w:t> </w:t>
      </w:r>
      <w:r>
        <w:rPr/>
        <w:t>月</w:t>
      </w:r>
      <w:r>
        <w:rPr>
          <w:spacing w:val="-65"/>
        </w:rPr>
        <w:t> </w:t>
      </w:r>
      <w:r>
        <w:rPr>
          <w:rFonts w:ascii="宋体" w:hAnsi="宋体" w:cs="宋体" w:eastAsia="宋体" w:hint="default"/>
        </w:rPr>
        <w:t>30</w:t>
      </w:r>
      <w:r>
        <w:rPr>
          <w:rFonts w:ascii="宋体" w:hAnsi="宋体" w:cs="宋体" w:eastAsia="宋体" w:hint="default"/>
          <w:spacing w:val="-65"/>
        </w:rPr>
        <w:t> </w:t>
      </w:r>
      <w:r>
        <w:rPr/>
        <w:t>日，</w:t>
      </w:r>
    </w:p>
    <w:p>
      <w:pPr>
        <w:spacing w:after="0" w:line="355" w:lineRule="auto"/>
        <w:jc w:val="left"/>
        <w:sectPr>
          <w:pgSz w:w="11910" w:h="16840"/>
          <w:pgMar w:header="720" w:footer="950" w:top="1300" w:bottom="1140" w:left="560" w:right="0"/>
        </w:sectPr>
      </w:pPr>
    </w:p>
    <w:p>
      <w:pPr>
        <w:pStyle w:val="Heading3"/>
        <w:spacing w:line="355" w:lineRule="auto" w:before="13"/>
        <w:ind w:left="160" w:right="587"/>
        <w:jc w:val="left"/>
      </w:pPr>
      <w:r>
        <w:rPr/>
        <w:pict>
          <v:group style="position:absolute;margin-left:34.560001pt;margin-top:2.305654pt;width:508.3pt;height:.1pt;mso-position-horizontal-relative:page;mso-position-vertical-relative:paragraph;z-index:-534856" coordorigin="691,46" coordsize="10166,2">
            <v:shape style="position:absolute;left:691;top:46;width:10166;height:2" coordorigin="691,46" coordsize="10166,0" path="m691,46l10857,46e" filled="false" stroked="true" strokeweight=".72pt" strokecolor="#000000">
              <v:path arrowok="t"/>
            </v:shape>
            <w10:wrap type="none"/>
          </v:group>
        </w:pict>
      </w:r>
      <w:r>
        <w:rPr>
          <w:spacing w:val="2"/>
        </w:rPr>
        <w:t>公司已在中国证券登记结算有限责任公司深圳分公司办理完毕本次发行新增股份登记托管及股份限</w:t>
      </w:r>
      <w:r>
        <w:rPr>
          <w:spacing w:val="-85"/>
        </w:rPr>
        <w:t> </w:t>
      </w:r>
      <w:r>
        <w:rPr>
          <w:spacing w:val="-85"/>
        </w:rPr>
      </w:r>
      <w:r>
        <w:rPr/>
        <w:t>售手续，限售时间为</w:t>
      </w:r>
      <w:r>
        <w:rPr>
          <w:spacing w:val="-61"/>
        </w:rPr>
        <w:t> </w:t>
      </w:r>
      <w:r>
        <w:rPr>
          <w:rFonts w:ascii="宋体" w:hAnsi="宋体" w:cs="宋体" w:eastAsia="宋体" w:hint="default"/>
        </w:rPr>
        <w:t>12</w:t>
      </w:r>
      <w:r>
        <w:rPr>
          <w:rFonts w:ascii="宋体" w:hAnsi="宋体" w:cs="宋体" w:eastAsia="宋体" w:hint="default"/>
          <w:spacing w:val="-60"/>
        </w:rPr>
        <w:t> </w:t>
      </w:r>
      <w:r>
        <w:rPr/>
        <w:t>个月。</w:t>
      </w:r>
    </w:p>
    <w:p>
      <w:pPr>
        <w:pStyle w:val="Heading2"/>
        <w:spacing w:line="355" w:lineRule="auto" w:before="38"/>
        <w:ind w:left="160" w:right="8515" w:firstLine="422"/>
        <w:jc w:val="left"/>
        <w:rPr>
          <w:b w:val="0"/>
          <w:bCs w:val="0"/>
        </w:rPr>
      </w:pPr>
      <w:r>
        <w:rPr/>
        <w:t>三、股东情况</w:t>
      </w:r>
      <w:r>
        <w:rPr>
          <w:w w:val="99"/>
        </w:rPr>
        <w:t> </w:t>
      </w:r>
      <w:r>
        <w:rPr>
          <w:rFonts w:ascii="宋体" w:hAnsi="宋体" w:cs="宋体" w:eastAsia="宋体" w:hint="default"/>
        </w:rPr>
        <w:t>(</w:t>
      </w:r>
      <w:r>
        <w:rPr/>
        <w:t>一</w:t>
      </w:r>
      <w:r>
        <w:rPr>
          <w:rFonts w:ascii="宋体" w:hAnsi="宋体" w:cs="宋体" w:eastAsia="宋体" w:hint="default"/>
        </w:rPr>
        <w:t>)</w:t>
      </w:r>
      <w:r>
        <w:rPr/>
        <w:t>股东数量和持股情况</w:t>
      </w:r>
      <w:r>
        <w:rPr>
          <w:b w:val="0"/>
          <w:bCs w:val="0"/>
        </w:rPr>
      </w:r>
    </w:p>
    <w:p>
      <w:pPr>
        <w:spacing w:line="240" w:lineRule="auto" w:before="1"/>
        <w:rPr>
          <w:rFonts w:ascii="宋体" w:hAnsi="宋体" w:cs="宋体" w:eastAsia="宋体" w:hint="default"/>
          <w:b/>
          <w:bCs/>
          <w:sz w:val="6"/>
          <w:szCs w:val="6"/>
        </w:rPr>
      </w:pPr>
    </w:p>
    <w:p>
      <w:pPr>
        <w:spacing w:line="393"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527.75pt;height:19.7pt;mso-position-horizontal-relative:char;mso-position-vertical-relative:line" coordorigin="0,0" coordsize="10555,394">
            <v:group style="position:absolute;left:14;top:14;width:2881;height:2" coordorigin="14,14" coordsize="2881,2">
              <v:shape style="position:absolute;left:14;top:14;width:2881;height:2" coordorigin="14,14" coordsize="2881,0" path="m14,14l2895,14e" filled="false" stroked="true" strokeweight="1.44pt" strokecolor="#000000">
                <v:path arrowok="t"/>
              </v:shape>
            </v:group>
            <v:group style="position:absolute;left:2895;top:14;width:29;height:2" coordorigin="2895,14" coordsize="29,2">
              <v:shape style="position:absolute;left:2895;top:14;width:29;height:2" coordorigin="2895,14" coordsize="29,0" path="m2895,14l2924,14e" filled="false" stroked="true" strokeweight="1.44pt" strokecolor="#000000">
                <v:path arrowok="t"/>
              </v:shape>
            </v:group>
            <v:group style="position:absolute;left:2924;top:14;width:7617;height:2" coordorigin="2924,14" coordsize="7617,2">
              <v:shape style="position:absolute;left:2924;top:14;width:7617;height:2" coordorigin="2924,14" coordsize="7617,0" path="m2924,14l10540,14e" filled="false" stroked="true" strokeweight="1.44pt" strokecolor="#000000">
                <v:path arrowok="t"/>
              </v:shape>
            </v:group>
            <v:group style="position:absolute;left:2900;top:29;width:2;height:360" coordorigin="2900,29" coordsize="2,360">
              <v:shape style="position:absolute;left:2900;top:29;width:2;height:360" coordorigin="2900,29" coordsize="0,360" path="m2900,29l2900,389e" filled="false" stroked="true" strokeweight=".48pt" strokecolor="#000000">
                <v:path arrowok="t"/>
              </v:shape>
            </v:group>
            <v:group style="position:absolute;left:14;top:384;width:2881;height:2" coordorigin="14,384" coordsize="2881,2">
              <v:shape style="position:absolute;left:14;top:384;width:2881;height:2" coordorigin="14,384" coordsize="2881,0" path="m14,384l2895,384e" filled="false" stroked="true" strokeweight=".48pt" strokecolor="#000000">
                <v:path arrowok="t"/>
              </v:shape>
            </v:group>
            <v:group style="position:absolute;left:2904;top:384;width:7636;height:2" coordorigin="2904,384" coordsize="7636,2">
              <v:shape style="position:absolute;left:2904;top:384;width:7636;height:2" coordorigin="2904,384" coordsize="7636,0" path="m2904,384l10540,384e" filled="false" stroked="true" strokeweight=".48pt" strokecolor="#000000">
                <v:path arrowok="t"/>
              </v:shape>
              <v:shape style="position:absolute;left:1097;top:5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股东总数</w:t>
                      </w:r>
                    </w:p>
                  </w:txbxContent>
                </v:textbox>
                <w10:wrap type="none"/>
              </v:shape>
              <v:shape style="position:absolute;left:6448;top:52;width:54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sz w:val="18"/>
                        </w:rPr>
                        <w:t>14,136</w:t>
                      </w:r>
                    </w:p>
                  </w:txbxContent>
                </v:textbox>
                <w10:wrap type="none"/>
              </v:shape>
            </v:group>
          </v:group>
        </w:pict>
      </w:r>
      <w:r>
        <w:rPr>
          <w:rFonts w:ascii="宋体" w:hAnsi="宋体" w:cs="宋体" w:eastAsia="宋体" w:hint="default"/>
          <w:position w:val="-7"/>
          <w:sz w:val="20"/>
          <w:szCs w:val="20"/>
        </w:rPr>
      </w:r>
    </w:p>
    <w:p>
      <w:pPr>
        <w:spacing w:line="199" w:lineRule="exact" w:before="0"/>
        <w:ind w:left="0" w:right="553" w:firstLine="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名股东持股情况</w:t>
      </w:r>
    </w:p>
    <w:p>
      <w:pPr>
        <w:spacing w:line="240" w:lineRule="auto" w:before="4"/>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3639"/>
        <w:gridCol w:w="1670"/>
        <w:gridCol w:w="1064"/>
        <w:gridCol w:w="1368"/>
        <w:gridCol w:w="1517"/>
        <w:gridCol w:w="1267"/>
      </w:tblGrid>
      <w:tr>
        <w:trPr>
          <w:trHeight w:val="710"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19"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持有有限售条件股</w:t>
            </w: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份数量</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7"/>
              <w:jc w:val="center"/>
              <w:rPr>
                <w:rFonts w:ascii="宋体" w:hAnsi="宋体" w:cs="宋体" w:eastAsia="宋体" w:hint="default"/>
                <w:sz w:val="18"/>
                <w:szCs w:val="18"/>
              </w:rPr>
            </w:pPr>
            <w:r>
              <w:rPr>
                <w:rFonts w:ascii="宋体" w:hAnsi="宋体" w:cs="宋体" w:eastAsia="宋体" w:hint="default"/>
                <w:sz w:val="18"/>
                <w:szCs w:val="18"/>
              </w:rPr>
              <w:t>质押或冻结的</w:t>
            </w:r>
          </w:p>
          <w:p>
            <w:pPr>
              <w:pStyle w:val="TableParagraph"/>
              <w:spacing w:line="240" w:lineRule="auto" w:before="115"/>
              <w:ind w:right="7"/>
              <w:jc w:val="center"/>
              <w:rPr>
                <w:rFonts w:ascii="宋体" w:hAnsi="宋体" w:cs="宋体" w:eastAsia="宋体" w:hint="default"/>
                <w:sz w:val="18"/>
                <w:szCs w:val="18"/>
              </w:rPr>
            </w:pPr>
            <w:r>
              <w:rPr>
                <w:rFonts w:ascii="宋体" w:hAnsi="宋体" w:cs="宋体" w:eastAsia="宋体" w:hint="default"/>
                <w:sz w:val="18"/>
                <w:szCs w:val="18"/>
              </w:rPr>
              <w:t>股份数量</w:t>
            </w:r>
          </w:p>
        </w:tc>
      </w:tr>
      <w:tr>
        <w:trPr>
          <w:trHeight w:val="39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7" w:right="0"/>
              <w:jc w:val="center"/>
              <w:rPr>
                <w:rFonts w:ascii="宋体" w:hAnsi="宋体" w:cs="宋体" w:eastAsia="宋体" w:hint="default"/>
                <w:sz w:val="18"/>
                <w:szCs w:val="18"/>
              </w:rPr>
            </w:pPr>
            <w:r>
              <w:rPr>
                <w:rFonts w:ascii="宋体" w:hAnsi="宋体" w:cs="宋体" w:eastAsia="宋体" w:hint="default"/>
                <w:sz w:val="18"/>
                <w:szCs w:val="18"/>
              </w:rPr>
              <w:t>敦化市康平投资有限责任公司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49.02%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82" w:right="0"/>
              <w:jc w:val="left"/>
              <w:rPr>
                <w:rFonts w:ascii="宋体" w:hAnsi="宋体" w:cs="宋体" w:eastAsia="宋体" w:hint="default"/>
                <w:sz w:val="18"/>
                <w:szCs w:val="18"/>
              </w:rPr>
            </w:pPr>
            <w:r>
              <w:rPr>
                <w:rFonts w:ascii="宋体"/>
                <w:sz w:val="18"/>
              </w:rPr>
              <w:t>125,737,508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56" w:right="0"/>
              <w:jc w:val="left"/>
              <w:rPr>
                <w:rFonts w:ascii="宋体" w:hAnsi="宋体" w:cs="宋体" w:eastAsia="宋体" w:hint="default"/>
                <w:sz w:val="18"/>
                <w:szCs w:val="18"/>
              </w:rPr>
            </w:pPr>
            <w:r>
              <w:rPr>
                <w:rFonts w:ascii="宋体"/>
                <w:sz w:val="18"/>
              </w:rPr>
              <w:t>125,737,508</w:t>
            </w: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4"/>
              <w:jc w:val="center"/>
              <w:rPr>
                <w:rFonts w:ascii="宋体" w:hAnsi="宋体" w:cs="宋体" w:eastAsia="宋体" w:hint="default"/>
                <w:sz w:val="18"/>
                <w:szCs w:val="18"/>
              </w:rPr>
            </w:pPr>
            <w:r>
              <w:rPr>
                <w:rFonts w:ascii="宋体"/>
                <w:sz w:val="18"/>
              </w:rPr>
              <w:t>123,060,000</w:t>
            </w:r>
          </w:p>
        </w:tc>
      </w:tr>
      <w:tr>
        <w:trPr>
          <w:trHeight w:val="397"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7" w:right="0"/>
              <w:jc w:val="center"/>
              <w:rPr>
                <w:rFonts w:ascii="宋体" w:hAnsi="宋体" w:cs="宋体" w:eastAsia="宋体" w:hint="default"/>
                <w:sz w:val="18"/>
                <w:szCs w:val="18"/>
              </w:rPr>
            </w:pPr>
            <w:r>
              <w:rPr>
                <w:rFonts w:ascii="宋体" w:hAnsi="宋体" w:cs="宋体" w:eastAsia="宋体" w:hint="default"/>
                <w:sz w:val="18"/>
                <w:szCs w:val="18"/>
              </w:rPr>
              <w:t>仲维光</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3" w:right="0"/>
              <w:jc w:val="center"/>
              <w:rPr>
                <w:rFonts w:ascii="宋体" w:hAnsi="宋体" w:cs="宋体" w:eastAsia="宋体" w:hint="default"/>
                <w:sz w:val="18"/>
                <w:szCs w:val="18"/>
              </w:rPr>
            </w:pPr>
            <w:r>
              <w:rPr>
                <w:rFonts w:ascii="宋体"/>
                <w:sz w:val="18"/>
              </w:rPr>
              <w:t>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27" w:right="0"/>
              <w:jc w:val="left"/>
              <w:rPr>
                <w:rFonts w:ascii="宋体" w:hAnsi="宋体" w:cs="宋体" w:eastAsia="宋体" w:hint="default"/>
                <w:sz w:val="18"/>
                <w:szCs w:val="18"/>
              </w:rPr>
            </w:pPr>
            <w:r>
              <w:rPr>
                <w:rFonts w:ascii="宋体"/>
                <w:sz w:val="18"/>
              </w:rPr>
              <w:t>15,480,638</w:t>
            </w:r>
          </w:p>
        </w:tc>
        <w:tc>
          <w:tcPr>
            <w:tcW w:w="151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4"/>
              <w:jc w:val="center"/>
              <w:rPr>
                <w:rFonts w:ascii="宋体" w:hAnsi="宋体" w:cs="宋体" w:eastAsia="宋体" w:hint="default"/>
                <w:sz w:val="18"/>
                <w:szCs w:val="18"/>
              </w:rPr>
            </w:pPr>
            <w:r>
              <w:rPr>
                <w:rFonts w:ascii="宋体"/>
                <w:sz w:val="18"/>
              </w:rPr>
              <w:t>15,000,000</w:t>
            </w:r>
          </w:p>
        </w:tc>
      </w:tr>
      <w:tr>
        <w:trPr>
          <w:trHeight w:val="396"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6" w:right="0"/>
              <w:jc w:val="center"/>
              <w:rPr>
                <w:rFonts w:ascii="宋体" w:hAnsi="宋体" w:cs="宋体" w:eastAsia="宋体" w:hint="default"/>
                <w:sz w:val="18"/>
                <w:szCs w:val="18"/>
              </w:rPr>
            </w:pPr>
            <w:r>
              <w:rPr>
                <w:rFonts w:ascii="宋体" w:hAnsi="宋体" w:cs="宋体" w:eastAsia="宋体" w:hint="default"/>
                <w:sz w:val="18"/>
                <w:szCs w:val="18"/>
              </w:rPr>
              <w:t>吉林长白山股权投资管理有限公司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 w:right="0"/>
              <w:jc w:val="center"/>
              <w:rPr>
                <w:rFonts w:ascii="宋体" w:hAnsi="宋体" w:cs="宋体" w:eastAsia="宋体" w:hint="default"/>
                <w:sz w:val="18"/>
                <w:szCs w:val="18"/>
              </w:rPr>
            </w:pPr>
            <w:r>
              <w:rPr>
                <w:rFonts w:ascii="宋体"/>
                <w:sz w:val="18"/>
              </w:rPr>
              <w:t>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27" w:right="0"/>
              <w:jc w:val="left"/>
              <w:rPr>
                <w:rFonts w:ascii="宋体" w:hAnsi="宋体" w:cs="宋体" w:eastAsia="宋体" w:hint="default"/>
                <w:sz w:val="18"/>
                <w:szCs w:val="18"/>
              </w:rPr>
            </w:pPr>
            <w:r>
              <w:rPr>
                <w:rFonts w:ascii="宋体"/>
                <w:sz w:val="18"/>
              </w:rPr>
              <w:t>13,000,000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02" w:right="0"/>
              <w:jc w:val="left"/>
              <w:rPr>
                <w:rFonts w:ascii="宋体" w:hAnsi="宋体" w:cs="宋体" w:eastAsia="宋体" w:hint="default"/>
                <w:sz w:val="18"/>
                <w:szCs w:val="18"/>
              </w:rPr>
            </w:pPr>
            <w:r>
              <w:rPr>
                <w:rFonts w:ascii="宋体"/>
                <w:sz w:val="18"/>
              </w:rPr>
              <w:t>13,000,000</w:t>
            </w: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398"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7" w:right="0"/>
              <w:jc w:val="center"/>
              <w:rPr>
                <w:rFonts w:ascii="宋体" w:hAnsi="宋体" w:cs="宋体" w:eastAsia="宋体" w:hint="default"/>
                <w:sz w:val="18"/>
                <w:szCs w:val="18"/>
              </w:rPr>
            </w:pPr>
            <w:r>
              <w:rPr>
                <w:rFonts w:ascii="宋体" w:hAnsi="宋体" w:cs="宋体" w:eastAsia="宋体" w:hint="default"/>
                <w:sz w:val="18"/>
                <w:szCs w:val="18"/>
              </w:rPr>
              <w:t>百年化妆护理品有限公司</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 w:right="0"/>
              <w:jc w:val="center"/>
              <w:rPr>
                <w:rFonts w:ascii="宋体" w:hAnsi="宋体" w:cs="宋体" w:eastAsia="宋体" w:hint="default"/>
                <w:sz w:val="18"/>
                <w:szCs w:val="18"/>
              </w:rPr>
            </w:pPr>
            <w:r>
              <w:rPr>
                <w:rFonts w:ascii="宋体"/>
                <w:sz w:val="18"/>
              </w:rPr>
              <w:t>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73" w:right="0"/>
              <w:jc w:val="left"/>
              <w:rPr>
                <w:rFonts w:ascii="宋体" w:hAnsi="宋体" w:cs="宋体" w:eastAsia="宋体" w:hint="default"/>
                <w:sz w:val="18"/>
                <w:szCs w:val="18"/>
              </w:rPr>
            </w:pPr>
            <w:r>
              <w:rPr>
                <w:rFonts w:ascii="宋体"/>
                <w:sz w:val="18"/>
              </w:rPr>
              <w:t>8,000,000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345" w:right="0"/>
              <w:jc w:val="left"/>
              <w:rPr>
                <w:rFonts w:ascii="宋体" w:hAnsi="宋体" w:cs="宋体" w:eastAsia="宋体" w:hint="default"/>
                <w:sz w:val="18"/>
                <w:szCs w:val="18"/>
              </w:rPr>
            </w:pPr>
            <w:r>
              <w:rPr>
                <w:rFonts w:ascii="宋体"/>
                <w:sz w:val="18"/>
              </w:rPr>
              <w:t>8,000,000</w:t>
            </w: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6" w:right="0"/>
              <w:jc w:val="center"/>
              <w:rPr>
                <w:rFonts w:ascii="宋体" w:hAnsi="宋体" w:cs="宋体" w:eastAsia="宋体" w:hint="default"/>
                <w:sz w:val="18"/>
                <w:szCs w:val="18"/>
              </w:rPr>
            </w:pPr>
            <w:r>
              <w:rPr>
                <w:rFonts w:ascii="宋体" w:hAnsi="宋体" w:cs="宋体" w:eastAsia="宋体" w:hint="default"/>
                <w:spacing w:val="-1"/>
                <w:sz w:val="18"/>
                <w:szCs w:val="18"/>
              </w:rPr>
              <w:t>天津硅谷天堂鲲鹏股权投资基金合伙企业（有</w:t>
            </w: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z w:val="18"/>
                <w:szCs w:val="18"/>
              </w:rPr>
              <w:t>限合伙）</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 w:right="0"/>
              <w:jc w:val="center"/>
              <w:rPr>
                <w:rFonts w:ascii="宋体" w:hAnsi="宋体" w:cs="宋体" w:eastAsia="宋体" w:hint="default"/>
                <w:sz w:val="18"/>
                <w:szCs w:val="18"/>
              </w:rPr>
            </w:pPr>
            <w:r>
              <w:rPr>
                <w:rFonts w:ascii="宋体"/>
                <w:sz w:val="18"/>
              </w:rPr>
              <w:t>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73" w:right="0"/>
              <w:jc w:val="left"/>
              <w:rPr>
                <w:rFonts w:ascii="宋体" w:hAnsi="宋体" w:cs="宋体" w:eastAsia="宋体" w:hint="default"/>
                <w:sz w:val="18"/>
                <w:szCs w:val="18"/>
              </w:rPr>
            </w:pPr>
            <w:r>
              <w:rPr>
                <w:rFonts w:ascii="宋体"/>
                <w:sz w:val="18"/>
              </w:rPr>
              <w:t>8,000,000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45" w:right="0"/>
              <w:jc w:val="left"/>
              <w:rPr>
                <w:rFonts w:ascii="宋体" w:hAnsi="宋体" w:cs="宋体" w:eastAsia="宋体" w:hint="default"/>
                <w:sz w:val="18"/>
                <w:szCs w:val="18"/>
              </w:rPr>
            </w:pPr>
            <w:r>
              <w:rPr>
                <w:rFonts w:ascii="宋体"/>
                <w:sz w:val="18"/>
              </w:rPr>
              <w:t>8,000,000</w:t>
            </w: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6" w:right="0"/>
              <w:jc w:val="center"/>
              <w:rPr>
                <w:rFonts w:ascii="宋体" w:hAnsi="宋体" w:cs="宋体" w:eastAsia="宋体" w:hint="default"/>
                <w:sz w:val="18"/>
                <w:szCs w:val="18"/>
              </w:rPr>
            </w:pPr>
            <w:r>
              <w:rPr>
                <w:rFonts w:ascii="宋体" w:hAnsi="宋体" w:cs="宋体" w:eastAsia="宋体" w:hint="default"/>
                <w:sz w:val="18"/>
                <w:szCs w:val="18"/>
              </w:rPr>
              <w:t>太平人寿保险有限公司－传统－普通保险产</w:t>
            </w:r>
          </w:p>
          <w:p>
            <w:pPr>
              <w:pStyle w:val="TableParagraph"/>
              <w:spacing w:line="240" w:lineRule="auto" w:before="115"/>
              <w:ind w:left="9" w:right="0"/>
              <w:jc w:val="center"/>
              <w:rPr>
                <w:rFonts w:ascii="宋体" w:hAnsi="宋体" w:cs="宋体" w:eastAsia="宋体" w:hint="default"/>
                <w:sz w:val="18"/>
                <w:szCs w:val="18"/>
              </w:rPr>
            </w:pPr>
            <w:r>
              <w:rPr>
                <w:rFonts w:ascii="宋体" w:hAnsi="宋体" w:cs="宋体" w:eastAsia="宋体" w:hint="default"/>
                <w:sz w:val="18"/>
                <w:szCs w:val="18"/>
              </w:rPr>
              <w:t>品</w:t>
            </w:r>
            <w:r>
              <w:rPr>
                <w:rFonts w:ascii="宋体" w:hAnsi="宋体" w:cs="宋体" w:eastAsia="宋体" w:hint="default"/>
                <w:sz w:val="18"/>
                <w:szCs w:val="18"/>
              </w:rPr>
              <w:t>-022L-CT001</w:t>
            </w:r>
            <w:r>
              <w:rPr>
                <w:rFonts w:ascii="宋体" w:hAnsi="宋体" w:cs="宋体" w:eastAsia="宋体" w:hint="default"/>
                <w:spacing w:val="-47"/>
                <w:sz w:val="18"/>
                <w:szCs w:val="18"/>
              </w:rPr>
              <w:t> </w:t>
            </w:r>
            <w:r>
              <w:rPr>
                <w:rFonts w:ascii="宋体" w:hAnsi="宋体" w:cs="宋体" w:eastAsia="宋体" w:hint="default"/>
                <w:sz w:val="18"/>
                <w:szCs w:val="18"/>
              </w:rPr>
              <w:t>深</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 w:right="0"/>
              <w:jc w:val="center"/>
              <w:rPr>
                <w:rFonts w:ascii="宋体" w:hAnsi="宋体" w:cs="宋体" w:eastAsia="宋体" w:hint="default"/>
                <w:sz w:val="18"/>
                <w:szCs w:val="18"/>
              </w:rPr>
            </w:pPr>
            <w:r>
              <w:rPr>
                <w:rFonts w:ascii="宋体"/>
                <w:sz w:val="18"/>
              </w:rPr>
              <w:t>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73" w:right="0"/>
              <w:jc w:val="left"/>
              <w:rPr>
                <w:rFonts w:ascii="宋体" w:hAnsi="宋体" w:cs="宋体" w:eastAsia="宋体" w:hint="default"/>
                <w:sz w:val="18"/>
                <w:szCs w:val="18"/>
              </w:rPr>
            </w:pPr>
            <w:r>
              <w:rPr>
                <w:rFonts w:ascii="宋体"/>
                <w:sz w:val="18"/>
              </w:rPr>
              <w:t>8,000,000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45" w:right="0"/>
              <w:jc w:val="left"/>
              <w:rPr>
                <w:rFonts w:ascii="宋体" w:hAnsi="宋体" w:cs="宋体" w:eastAsia="宋体" w:hint="default"/>
                <w:sz w:val="18"/>
                <w:szCs w:val="18"/>
              </w:rPr>
            </w:pPr>
            <w:r>
              <w:rPr>
                <w:rFonts w:ascii="宋体"/>
                <w:sz w:val="18"/>
              </w:rPr>
              <w:t>8,000,000</w:t>
            </w: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6" w:right="0"/>
              <w:jc w:val="center"/>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w:t>
            </w:r>
            <w:r>
              <w:rPr>
                <w:rFonts w:ascii="宋体" w:hAnsi="宋体" w:cs="宋体" w:eastAsia="宋体" w:hint="default"/>
                <w:sz w:val="18"/>
                <w:szCs w:val="18"/>
              </w:rPr>
              <w:t>兴业有机增长灵活配置混合型证券</w:t>
            </w: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z w:val="18"/>
                <w:szCs w:val="18"/>
              </w:rPr>
              <w:t>投资基金</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 w:right="0"/>
              <w:jc w:val="center"/>
              <w:rPr>
                <w:rFonts w:ascii="宋体" w:hAnsi="宋体" w:cs="宋体" w:eastAsia="宋体" w:hint="default"/>
                <w:sz w:val="18"/>
                <w:szCs w:val="18"/>
              </w:rPr>
            </w:pPr>
            <w:r>
              <w:rPr>
                <w:rFonts w:ascii="宋体"/>
                <w:sz w:val="18"/>
              </w:rPr>
              <w:t>1.97%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73" w:right="0"/>
              <w:jc w:val="left"/>
              <w:rPr>
                <w:rFonts w:ascii="宋体" w:hAnsi="宋体" w:cs="宋体" w:eastAsia="宋体" w:hint="default"/>
                <w:sz w:val="18"/>
                <w:szCs w:val="18"/>
              </w:rPr>
            </w:pPr>
            <w:r>
              <w:rPr>
                <w:rFonts w:ascii="宋体"/>
                <w:sz w:val="18"/>
              </w:rPr>
              <w:t>5,047,116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45" w:right="0"/>
              <w:jc w:val="left"/>
              <w:rPr>
                <w:rFonts w:ascii="宋体" w:hAnsi="宋体" w:cs="宋体" w:eastAsia="宋体" w:hint="default"/>
                <w:sz w:val="18"/>
                <w:szCs w:val="18"/>
              </w:rPr>
            </w:pPr>
            <w:r>
              <w:rPr>
                <w:rFonts w:ascii="宋体"/>
                <w:sz w:val="18"/>
              </w:rPr>
              <w:t>2,000,000</w:t>
            </w: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6" w:right="0"/>
              <w:jc w:val="center"/>
              <w:rPr>
                <w:rFonts w:ascii="宋体" w:hAnsi="宋体" w:cs="宋体" w:eastAsia="宋体" w:hint="default"/>
                <w:sz w:val="18"/>
                <w:szCs w:val="18"/>
              </w:rPr>
            </w:pPr>
            <w:r>
              <w:rPr>
                <w:rFonts w:ascii="宋体" w:hAnsi="宋体" w:cs="宋体" w:eastAsia="宋体" w:hint="default"/>
                <w:sz w:val="18"/>
                <w:szCs w:val="18"/>
              </w:rPr>
              <w:t>中国工商银行－兴业可转债混合型证券投资</w:t>
            </w:r>
          </w:p>
          <w:p>
            <w:pPr>
              <w:pStyle w:val="TableParagraph"/>
              <w:spacing w:line="240" w:lineRule="auto" w:before="115"/>
              <w:ind w:left="4" w:right="0"/>
              <w:jc w:val="center"/>
              <w:rPr>
                <w:rFonts w:ascii="宋体" w:hAnsi="宋体" w:cs="宋体" w:eastAsia="宋体" w:hint="default"/>
                <w:sz w:val="18"/>
                <w:szCs w:val="18"/>
              </w:rPr>
            </w:pPr>
            <w:r>
              <w:rPr>
                <w:rFonts w:ascii="宋体" w:hAnsi="宋体" w:cs="宋体" w:eastAsia="宋体" w:hint="default"/>
                <w:sz w:val="18"/>
                <w:szCs w:val="18"/>
              </w:rPr>
              <w:t>基金</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 w:right="0"/>
              <w:jc w:val="center"/>
              <w:rPr>
                <w:rFonts w:ascii="宋体" w:hAnsi="宋体" w:cs="宋体" w:eastAsia="宋体" w:hint="default"/>
                <w:sz w:val="18"/>
                <w:szCs w:val="18"/>
              </w:rPr>
            </w:pPr>
            <w:r>
              <w:rPr>
                <w:rFonts w:ascii="宋体"/>
                <w:sz w:val="18"/>
              </w:rPr>
              <w:t>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73" w:right="0"/>
              <w:jc w:val="left"/>
              <w:rPr>
                <w:rFonts w:ascii="宋体" w:hAnsi="宋体" w:cs="宋体" w:eastAsia="宋体" w:hint="default"/>
                <w:sz w:val="18"/>
                <w:szCs w:val="18"/>
              </w:rPr>
            </w:pPr>
            <w:r>
              <w:rPr>
                <w:rFonts w:ascii="宋体"/>
                <w:sz w:val="18"/>
              </w:rPr>
              <w:t>3,878,066</w:t>
            </w:r>
          </w:p>
        </w:tc>
        <w:tc>
          <w:tcPr>
            <w:tcW w:w="151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442"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 w:right="0"/>
              <w:jc w:val="center"/>
              <w:rPr>
                <w:rFonts w:ascii="宋体" w:hAnsi="宋体" w:cs="宋体" w:eastAsia="宋体" w:hint="default"/>
                <w:sz w:val="18"/>
                <w:szCs w:val="18"/>
              </w:rPr>
            </w:pPr>
            <w:r>
              <w:rPr>
                <w:rFonts w:ascii="宋体" w:hAnsi="宋体" w:cs="宋体" w:eastAsia="宋体" w:hint="default"/>
                <w:sz w:val="18"/>
                <w:szCs w:val="18"/>
              </w:rPr>
              <w:t>杨录军</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0"/>
              <w:jc w:val="center"/>
              <w:rPr>
                <w:rFonts w:ascii="宋体" w:hAnsi="宋体" w:cs="宋体" w:eastAsia="宋体" w:hint="default"/>
                <w:sz w:val="18"/>
                <w:szCs w:val="18"/>
              </w:rPr>
            </w:pPr>
            <w:r>
              <w:rPr>
                <w:rFonts w:ascii="宋体"/>
                <w:sz w:val="18"/>
              </w:rPr>
              <w:t>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73" w:right="0"/>
              <w:jc w:val="left"/>
              <w:rPr>
                <w:rFonts w:ascii="宋体" w:hAnsi="宋体" w:cs="宋体" w:eastAsia="宋体" w:hint="default"/>
                <w:sz w:val="18"/>
                <w:szCs w:val="18"/>
              </w:rPr>
            </w:pPr>
            <w:r>
              <w:rPr>
                <w:rFonts w:ascii="宋体"/>
                <w:sz w:val="18"/>
              </w:rPr>
              <w:t>3,875,311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45" w:right="0"/>
              <w:jc w:val="left"/>
              <w:rPr>
                <w:rFonts w:ascii="宋体" w:hAnsi="宋体" w:cs="宋体" w:eastAsia="宋体" w:hint="default"/>
                <w:sz w:val="18"/>
                <w:szCs w:val="18"/>
              </w:rPr>
            </w:pPr>
            <w:r>
              <w:rPr>
                <w:rFonts w:ascii="宋体"/>
                <w:sz w:val="18"/>
              </w:rPr>
              <w:t>3,875,311</w:t>
            </w:r>
          </w:p>
        </w:tc>
        <w:tc>
          <w:tcPr>
            <w:tcW w:w="1267"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363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6" w:right="0"/>
              <w:jc w:val="center"/>
              <w:rPr>
                <w:rFonts w:ascii="宋体" w:hAnsi="宋体" w:cs="宋体" w:eastAsia="宋体" w:hint="default"/>
                <w:sz w:val="18"/>
                <w:szCs w:val="18"/>
              </w:rPr>
            </w:pPr>
            <w:r>
              <w:rPr>
                <w:rFonts w:ascii="宋体" w:hAnsi="宋体" w:cs="宋体" w:eastAsia="宋体" w:hint="default"/>
                <w:sz w:val="18"/>
                <w:szCs w:val="18"/>
              </w:rPr>
              <w:t>中国银行－嘉实主题精选混合型证券投资基</w:t>
            </w:r>
          </w:p>
          <w:p>
            <w:pPr>
              <w:pStyle w:val="TableParagraph"/>
              <w:spacing w:line="240" w:lineRule="auto" w:before="112"/>
              <w:ind w:left="7" w:right="0"/>
              <w:jc w:val="center"/>
              <w:rPr>
                <w:rFonts w:ascii="宋体" w:hAnsi="宋体" w:cs="宋体" w:eastAsia="宋体" w:hint="default"/>
                <w:sz w:val="18"/>
                <w:szCs w:val="18"/>
              </w:rPr>
            </w:pPr>
            <w:r>
              <w:rPr>
                <w:rFonts w:ascii="宋体" w:hAnsi="宋体" w:cs="宋体" w:eastAsia="宋体" w:hint="default"/>
                <w:sz w:val="18"/>
                <w:szCs w:val="18"/>
              </w:rPr>
              <w:t>金</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境内非国有法人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 w:right="0"/>
              <w:jc w:val="center"/>
              <w:rPr>
                <w:rFonts w:ascii="宋体" w:hAnsi="宋体" w:cs="宋体" w:eastAsia="宋体" w:hint="default"/>
                <w:sz w:val="18"/>
                <w:szCs w:val="18"/>
              </w:rPr>
            </w:pPr>
            <w:r>
              <w:rPr>
                <w:rFonts w:ascii="宋体"/>
                <w:sz w:val="18"/>
              </w:rPr>
              <w:t>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73" w:right="0"/>
              <w:jc w:val="left"/>
              <w:rPr>
                <w:rFonts w:ascii="宋体" w:hAnsi="宋体" w:cs="宋体" w:eastAsia="宋体" w:hint="default"/>
                <w:sz w:val="18"/>
                <w:szCs w:val="18"/>
              </w:rPr>
            </w:pPr>
            <w:r>
              <w:rPr>
                <w:rFonts w:ascii="宋体"/>
                <w:sz w:val="18"/>
              </w:rPr>
              <w:t>3,779,549</w:t>
            </w:r>
          </w:p>
        </w:tc>
        <w:tc>
          <w:tcPr>
            <w:tcW w:w="1517"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nil" w:sz="6" w:space="0" w:color="auto"/>
            </w:tcBorders>
          </w:tcPr>
          <w:p>
            <w:pPr/>
          </w:p>
        </w:tc>
      </w:tr>
    </w:tbl>
    <w:p>
      <w:pPr>
        <w:spacing w:line="203" w:lineRule="exact" w:before="0"/>
        <w:ind w:left="0" w:right="558" w:firstLine="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p>
      <w:pPr>
        <w:spacing w:line="240" w:lineRule="auto" w:before="4"/>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4297"/>
        <w:gridCol w:w="3968"/>
        <w:gridCol w:w="2275"/>
      </w:tblGrid>
      <w:tr>
        <w:trPr>
          <w:trHeight w:val="398" w:hRule="exact"/>
        </w:trPr>
        <w:tc>
          <w:tcPr>
            <w:tcW w:w="4297"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275"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96" w:hRule="exact"/>
        </w:trPr>
        <w:tc>
          <w:tcPr>
            <w:tcW w:w="4297"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6" w:right="0"/>
              <w:jc w:val="center"/>
              <w:rPr>
                <w:rFonts w:ascii="宋体" w:hAnsi="宋体" w:cs="宋体" w:eastAsia="宋体" w:hint="default"/>
                <w:sz w:val="18"/>
                <w:szCs w:val="18"/>
              </w:rPr>
            </w:pPr>
            <w:r>
              <w:rPr>
                <w:rFonts w:ascii="宋体" w:hAnsi="宋体" w:cs="宋体" w:eastAsia="宋体" w:hint="default"/>
                <w:sz w:val="18"/>
                <w:szCs w:val="18"/>
              </w:rPr>
              <w:t>仲维光</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宋体" w:hAnsi="宋体" w:cs="宋体" w:eastAsia="宋体" w:hint="default"/>
                <w:sz w:val="18"/>
                <w:szCs w:val="18"/>
              </w:rPr>
            </w:pPr>
            <w:r>
              <w:rPr>
                <w:rFonts w:ascii="宋体"/>
                <w:sz w:val="18"/>
              </w:rPr>
              <w:t>15,480,638</w:t>
            </w:r>
          </w:p>
        </w:tc>
        <w:tc>
          <w:tcPr>
            <w:tcW w:w="2275"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8" w:hRule="exact"/>
        </w:trPr>
        <w:tc>
          <w:tcPr>
            <w:tcW w:w="4297"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355" w:right="0"/>
              <w:jc w:val="left"/>
              <w:rPr>
                <w:rFonts w:ascii="宋体" w:hAnsi="宋体" w:cs="宋体" w:eastAsia="宋体" w:hint="default"/>
                <w:sz w:val="18"/>
                <w:szCs w:val="18"/>
              </w:rPr>
            </w:pPr>
            <w:r>
              <w:rPr>
                <w:rFonts w:ascii="宋体" w:hAnsi="宋体" w:cs="宋体" w:eastAsia="宋体" w:hint="default"/>
                <w:sz w:val="18"/>
                <w:szCs w:val="18"/>
              </w:rPr>
              <w:t>中国银行－嘉实主题精选混合型证券投资基金</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3,779,549</w:t>
            </w:r>
          </w:p>
        </w:tc>
        <w:tc>
          <w:tcPr>
            <w:tcW w:w="2275"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6" w:hRule="exact"/>
        </w:trPr>
        <w:tc>
          <w:tcPr>
            <w:tcW w:w="429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9" w:right="0"/>
              <w:jc w:val="lef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w:t>
            </w:r>
            <w:r>
              <w:rPr>
                <w:rFonts w:ascii="宋体" w:hAnsi="宋体" w:cs="宋体" w:eastAsia="宋体" w:hint="default"/>
                <w:sz w:val="18"/>
                <w:szCs w:val="18"/>
              </w:rPr>
              <w:t>兴业有机增长灵活配置混合型证券投资基</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sz w:val="18"/>
              </w:rPr>
              <w:t>3,047,116</w:t>
            </w:r>
          </w:p>
        </w:tc>
        <w:tc>
          <w:tcPr>
            <w:tcW w:w="2275"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7" w:hRule="exact"/>
        </w:trPr>
        <w:tc>
          <w:tcPr>
            <w:tcW w:w="4297"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535" w:right="0"/>
              <w:jc w:val="left"/>
              <w:rPr>
                <w:rFonts w:ascii="宋体" w:hAnsi="宋体" w:cs="宋体" w:eastAsia="宋体" w:hint="default"/>
                <w:sz w:val="18"/>
                <w:szCs w:val="18"/>
              </w:rPr>
            </w:pPr>
            <w:r>
              <w:rPr>
                <w:rFonts w:ascii="宋体" w:hAnsi="宋体" w:cs="宋体" w:eastAsia="宋体" w:hint="default"/>
                <w:sz w:val="18"/>
                <w:szCs w:val="18"/>
              </w:rPr>
              <w:t>山东省国际信托有限公司－泽熙瑞金</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1,906,721</w:t>
            </w:r>
          </w:p>
        </w:tc>
        <w:tc>
          <w:tcPr>
            <w:tcW w:w="2275"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8" w:hRule="exact"/>
        </w:trPr>
        <w:tc>
          <w:tcPr>
            <w:tcW w:w="4297"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75" w:right="0"/>
              <w:jc w:val="left"/>
              <w:rPr>
                <w:rFonts w:ascii="宋体" w:hAnsi="宋体" w:cs="宋体" w:eastAsia="宋体" w:hint="default"/>
                <w:sz w:val="18"/>
                <w:szCs w:val="18"/>
              </w:rPr>
            </w:pPr>
            <w:r>
              <w:rPr>
                <w:rFonts w:ascii="宋体" w:hAnsi="宋体" w:cs="宋体" w:eastAsia="宋体" w:hint="default"/>
                <w:sz w:val="18"/>
                <w:szCs w:val="18"/>
              </w:rPr>
              <w:t>中国工商银行－广发策略优选混合型证券投资基金</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1,499,976</w:t>
            </w:r>
          </w:p>
        </w:tc>
        <w:tc>
          <w:tcPr>
            <w:tcW w:w="2275"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6" w:hRule="exact"/>
        </w:trPr>
        <w:tc>
          <w:tcPr>
            <w:tcW w:w="4297"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83" w:right="0"/>
              <w:jc w:val="left"/>
              <w:rPr>
                <w:rFonts w:ascii="宋体" w:hAnsi="宋体" w:cs="宋体" w:eastAsia="宋体" w:hint="default"/>
                <w:sz w:val="18"/>
                <w:szCs w:val="18"/>
              </w:rPr>
            </w:pPr>
            <w:r>
              <w:rPr>
                <w:rFonts w:ascii="宋体" w:hAnsi="宋体" w:cs="宋体" w:eastAsia="宋体" w:hint="default"/>
                <w:sz w:val="18"/>
                <w:szCs w:val="18"/>
              </w:rPr>
              <w:t>中国工商银行－汇添富医药保健股票型证券投资基金</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宋体" w:hAnsi="宋体" w:cs="宋体" w:eastAsia="宋体" w:hint="default"/>
                <w:sz w:val="18"/>
                <w:szCs w:val="18"/>
              </w:rPr>
            </w:pPr>
            <w:r>
              <w:rPr>
                <w:rFonts w:ascii="宋体"/>
                <w:sz w:val="18"/>
              </w:rPr>
              <w:t>999,975</w:t>
            </w:r>
          </w:p>
        </w:tc>
        <w:tc>
          <w:tcPr>
            <w:tcW w:w="2275"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8" w:hRule="exact"/>
        </w:trPr>
        <w:tc>
          <w:tcPr>
            <w:tcW w:w="4297"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63" w:right="0"/>
              <w:jc w:val="left"/>
              <w:rPr>
                <w:rFonts w:ascii="宋体" w:hAnsi="宋体" w:cs="宋体" w:eastAsia="宋体" w:hint="default"/>
                <w:sz w:val="18"/>
                <w:szCs w:val="18"/>
              </w:rPr>
            </w:pPr>
            <w:r>
              <w:rPr>
                <w:rFonts w:ascii="宋体" w:hAnsi="宋体" w:cs="宋体" w:eastAsia="宋体" w:hint="default"/>
                <w:sz w:val="18"/>
                <w:szCs w:val="18"/>
              </w:rPr>
              <w:t>中国工商银行－兴业可转债混合型证券投资基金</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878,066</w:t>
            </w:r>
          </w:p>
        </w:tc>
        <w:tc>
          <w:tcPr>
            <w:tcW w:w="2275"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6" w:hRule="exact"/>
        </w:trPr>
        <w:tc>
          <w:tcPr>
            <w:tcW w:w="4297"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6" w:right="0"/>
              <w:jc w:val="center"/>
              <w:rPr>
                <w:rFonts w:ascii="宋体" w:hAnsi="宋体" w:cs="宋体" w:eastAsia="宋体" w:hint="default"/>
                <w:sz w:val="18"/>
                <w:szCs w:val="18"/>
              </w:rPr>
            </w:pPr>
            <w:r>
              <w:rPr>
                <w:rFonts w:ascii="宋体" w:hAnsi="宋体" w:cs="宋体" w:eastAsia="宋体" w:hint="default"/>
                <w:sz w:val="18"/>
                <w:szCs w:val="18"/>
              </w:rPr>
              <w:t>蔡大富</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宋体" w:hAnsi="宋体" w:cs="宋体" w:eastAsia="宋体" w:hint="default"/>
                <w:sz w:val="18"/>
                <w:szCs w:val="18"/>
              </w:rPr>
            </w:pPr>
            <w:r>
              <w:rPr>
                <w:rFonts w:ascii="宋体"/>
                <w:sz w:val="18"/>
              </w:rPr>
              <w:t>827,803</w:t>
            </w:r>
          </w:p>
        </w:tc>
        <w:tc>
          <w:tcPr>
            <w:tcW w:w="2275"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8" w:hRule="exact"/>
        </w:trPr>
        <w:tc>
          <w:tcPr>
            <w:tcW w:w="4297"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83" w:right="0"/>
              <w:jc w:val="left"/>
              <w:rPr>
                <w:rFonts w:ascii="宋体" w:hAnsi="宋体" w:cs="宋体" w:eastAsia="宋体" w:hint="default"/>
                <w:sz w:val="18"/>
                <w:szCs w:val="18"/>
              </w:rPr>
            </w:pPr>
            <w:r>
              <w:rPr>
                <w:rFonts w:ascii="宋体" w:hAnsi="宋体" w:cs="宋体" w:eastAsia="宋体" w:hint="default"/>
                <w:sz w:val="18"/>
                <w:szCs w:val="18"/>
              </w:rPr>
              <w:t>招商银行股份有限公司－华富成长趋势股票型证券投</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
              <w:jc w:val="center"/>
              <w:rPr>
                <w:rFonts w:ascii="宋体" w:hAnsi="宋体" w:cs="宋体" w:eastAsia="宋体" w:hint="default"/>
                <w:sz w:val="18"/>
                <w:szCs w:val="18"/>
              </w:rPr>
            </w:pPr>
            <w:r>
              <w:rPr>
                <w:rFonts w:ascii="宋体"/>
                <w:sz w:val="18"/>
              </w:rPr>
              <w:t>749,875</w:t>
            </w:r>
          </w:p>
        </w:tc>
        <w:tc>
          <w:tcPr>
            <w:tcW w:w="2275"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96" w:hRule="exact"/>
        </w:trPr>
        <w:tc>
          <w:tcPr>
            <w:tcW w:w="4297"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895" w:right="0"/>
              <w:jc w:val="left"/>
              <w:rPr>
                <w:rFonts w:ascii="宋体" w:hAnsi="宋体" w:cs="宋体" w:eastAsia="宋体" w:hint="default"/>
                <w:sz w:val="18"/>
                <w:szCs w:val="18"/>
              </w:rPr>
            </w:pPr>
            <w:r>
              <w:rPr>
                <w:rFonts w:ascii="宋体" w:hAnsi="宋体" w:cs="宋体" w:eastAsia="宋体" w:hint="default"/>
                <w:sz w:val="18"/>
                <w:szCs w:val="18"/>
              </w:rPr>
              <w:t>湖南康视医疗投资管理有限公司</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18"/>
                <w:szCs w:val="18"/>
              </w:rPr>
            </w:pPr>
            <w:r>
              <w:rPr>
                <w:rFonts w:ascii="宋体"/>
                <w:sz w:val="18"/>
              </w:rPr>
              <w:t>739,600</w:t>
            </w:r>
          </w:p>
        </w:tc>
        <w:tc>
          <w:tcPr>
            <w:tcW w:w="2275"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2"/>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72" w:hRule="exact"/>
        </w:trPr>
        <w:tc>
          <w:tcPr>
            <w:tcW w:w="4297" w:type="dxa"/>
            <w:tcBorders>
              <w:top w:val="single" w:sz="4" w:space="0" w:color="000000"/>
              <w:left w:val="nil" w:sz="6" w:space="0" w:color="auto"/>
              <w:bottom w:val="single" w:sz="12" w:space="0" w:color="000000"/>
              <w:right w:val="single" w:sz="4" w:space="0" w:color="000000"/>
            </w:tcBorders>
          </w:tcPr>
          <w:p>
            <w:pPr>
              <w:pStyle w:val="TableParagraph"/>
              <w:spacing w:line="203" w:lineRule="exact"/>
              <w:ind w:left="715"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243" w:type="dxa"/>
            <w:gridSpan w:val="2"/>
            <w:tcBorders>
              <w:top w:val="single" w:sz="4" w:space="0" w:color="000000"/>
              <w:left w:val="single" w:sz="4" w:space="0" w:color="000000"/>
              <w:bottom w:val="single" w:sz="12" w:space="0" w:color="000000"/>
              <w:right w:val="nil" w:sz="6" w:space="0" w:color="auto"/>
            </w:tcBorders>
          </w:tcPr>
          <w:p>
            <w:pPr>
              <w:pStyle w:val="TableParagraph"/>
              <w:spacing w:line="203" w:lineRule="exact"/>
              <w:ind w:left="21" w:right="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、本公司董事长郭春生先生通过其亲属持有敦化市康平投资有限责任公司</w:t>
            </w:r>
          </w:p>
        </w:tc>
      </w:tr>
    </w:tbl>
    <w:p>
      <w:pPr>
        <w:spacing w:after="0" w:line="203" w:lineRule="exact"/>
        <w:jc w:val="left"/>
        <w:rPr>
          <w:rFonts w:ascii="宋体" w:hAnsi="宋体" w:cs="宋体" w:eastAsia="宋体" w:hint="default"/>
          <w:sz w:val="18"/>
          <w:szCs w:val="18"/>
        </w:rPr>
        <w:sectPr>
          <w:pgSz w:w="11910" w:h="16840"/>
          <w:pgMar w:header="720" w:footer="950" w:top="1300" w:bottom="1140" w:left="560" w:right="0"/>
        </w:sectPr>
      </w:pPr>
    </w:p>
    <w:p>
      <w:pPr>
        <w:spacing w:line="240" w:lineRule="auto" w:before="13"/>
        <w:rPr>
          <w:rFonts w:ascii="宋体" w:hAnsi="宋体" w:cs="宋体" w:eastAsia="宋体" w:hint="default"/>
          <w:sz w:val="2"/>
          <w:szCs w:val="2"/>
        </w:rPr>
      </w:pPr>
    </w:p>
    <w:p>
      <w:pPr>
        <w:spacing w:line="1474" w:lineRule="exact"/>
        <w:ind w:left="102"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528.5pt;height:73.7pt;mso-position-horizontal-relative:char;mso-position-vertical-relative:line" coordorigin="0,0" coordsize="10570,1474">
            <v:group style="position:absolute;left:29;top:7;width:10166;height:2" coordorigin="29,7" coordsize="10166,2">
              <v:shape style="position:absolute;left:29;top:7;width:10166;height:2" coordorigin="29,7" coordsize="10166,0" path="m29,7l10195,7e" filled="false" stroked="true" strokeweight=".72pt" strokecolor="#000000">
                <v:path arrowok="t"/>
              </v:shape>
            </v:group>
            <v:group style="position:absolute;left:29;top:29;width:4278;height:2" coordorigin="29,29" coordsize="4278,2">
              <v:shape style="position:absolute;left:29;top:29;width:4278;height:2" coordorigin="29,29" coordsize="4278,0" path="m29,29l4307,29e" filled="false" stroked="true" strokeweight="1.44pt" strokecolor="#000000">
                <v:path arrowok="t"/>
              </v:shape>
            </v:group>
            <v:group style="position:absolute;left:4307;top:29;width:29;height:2" coordorigin="4307,29" coordsize="29,2">
              <v:shape style="position:absolute;left:4307;top:29;width:29;height:2" coordorigin="4307,29" coordsize="29,0" path="m4307,29l4335,29e" filled="false" stroked="true" strokeweight="1.44pt" strokecolor="#000000">
                <v:path arrowok="t"/>
              </v:shape>
            </v:group>
            <v:group style="position:absolute;left:4335;top:29;width:6220;height:2" coordorigin="4335,29" coordsize="6220,2">
              <v:shape style="position:absolute;left:4335;top:29;width:6220;height:2" coordorigin="4335,29" coordsize="6220,0" path="m4335,29l10555,29e" filled="false" stroked="true" strokeweight="1.44pt" strokecolor="#000000">
                <v:path arrowok="t"/>
              </v:shape>
            </v:group>
            <v:group style="position:absolute;left:14;top:1460;width:4293;height:2" coordorigin="14,1460" coordsize="4293,2">
              <v:shape style="position:absolute;left:14;top:1460;width:4293;height:2" coordorigin="14,1460" coordsize="4293,0" path="m14,1460l4307,1460e" filled="false" stroked="true" strokeweight="1.44pt" strokecolor="#000000">
                <v:path arrowok="t"/>
              </v:shape>
            </v:group>
            <v:group style="position:absolute;left:4311;top:43;width:2;height:1402" coordorigin="4311,43" coordsize="2,1402">
              <v:shape style="position:absolute;left:4311;top:43;width:2;height:1402" coordorigin="4311,43" coordsize="0,1402" path="m4311,43l4311,1445e" filled="false" stroked="true" strokeweight=".48001pt" strokecolor="#000000">
                <v:path arrowok="t"/>
              </v:shape>
            </v:group>
            <v:group style="position:absolute;left:4307;top:1460;width:29;height:2" coordorigin="4307,1460" coordsize="29,2">
              <v:shape style="position:absolute;left:4307;top:1460;width:29;height:2" coordorigin="4307,1460" coordsize="29,0" path="m4307,1460l4335,1460e" filled="false" stroked="true" strokeweight="1.44pt" strokecolor="#000000">
                <v:path arrowok="t"/>
              </v:shape>
            </v:group>
            <v:group style="position:absolute;left:4335;top:1460;width:6220;height:2" coordorigin="4335,1460" coordsize="6220,2">
              <v:shape style="position:absolute;left:4335;top:1460;width:6220;height:2" coordorigin="4335,1460" coordsize="6220,0" path="m4335,1460l10555,1460e" filled="false" stroked="true" strokeweight="1.44pt" strokecolor="#000000">
                <v:path arrowok="t"/>
              </v:shape>
              <v:shape style="position:absolute;left:0;top:0;width:10570;height:1474" type="#_x0000_t202" filled="false" stroked="false">
                <v:textbox inset="0,0,0,0">
                  <w:txbxContent>
                    <w:p>
                      <w:pPr>
                        <w:spacing w:line="357" w:lineRule="auto" w:before="10"/>
                        <w:ind w:left="4517" w:right="43" w:firstLine="0"/>
                        <w:jc w:val="left"/>
                        <w:rPr>
                          <w:rFonts w:ascii="宋体" w:hAnsi="宋体" w:cs="宋体" w:eastAsia="宋体" w:hint="default"/>
                          <w:sz w:val="18"/>
                          <w:szCs w:val="18"/>
                        </w:rPr>
                      </w:pPr>
                      <w:r>
                        <w:rPr>
                          <w:rFonts w:ascii="宋体" w:hAnsi="宋体" w:cs="宋体" w:eastAsia="宋体" w:hint="default"/>
                          <w:spacing w:val="-4"/>
                          <w:sz w:val="18"/>
                          <w:szCs w:val="18"/>
                        </w:rPr>
                        <w:t>77.26%</w:t>
                      </w:r>
                      <w:r>
                        <w:rPr>
                          <w:rFonts w:ascii="宋体" w:hAnsi="宋体" w:cs="宋体" w:eastAsia="宋体" w:hint="default"/>
                          <w:spacing w:val="-4"/>
                          <w:sz w:val="18"/>
                          <w:szCs w:val="18"/>
                        </w:rPr>
                        <w:t>的股份，存在关联关系，持有本公司</w:t>
                      </w:r>
                      <w:r>
                        <w:rPr>
                          <w:rFonts w:ascii="宋体" w:hAnsi="宋体" w:cs="宋体" w:eastAsia="宋体" w:hint="default"/>
                          <w:spacing w:val="-35"/>
                          <w:sz w:val="18"/>
                          <w:szCs w:val="18"/>
                        </w:rPr>
                        <w:t> </w:t>
                      </w:r>
                      <w:r>
                        <w:rPr>
                          <w:rFonts w:ascii="宋体" w:hAnsi="宋体" w:cs="宋体" w:eastAsia="宋体" w:hint="default"/>
                          <w:sz w:val="18"/>
                          <w:szCs w:val="18"/>
                        </w:rPr>
                        <w:t>6.04%</w:t>
                      </w:r>
                      <w:r>
                        <w:rPr>
                          <w:rFonts w:ascii="宋体" w:hAnsi="宋体" w:cs="宋体" w:eastAsia="宋体" w:hint="default"/>
                          <w:sz w:val="18"/>
                          <w:szCs w:val="18"/>
                        </w:rPr>
                        <w:t>股份的自然人股东仲维光为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郭春生先生亲属</w:t>
                      </w:r>
                      <w:r>
                        <w:rPr>
                          <w:rFonts w:ascii="宋体" w:hAnsi="宋体" w:cs="宋体" w:eastAsia="宋体" w:hint="default"/>
                          <w:sz w:val="18"/>
                          <w:szCs w:val="18"/>
                        </w:rPr>
                        <w:t>,</w:t>
                      </w:r>
                      <w:r>
                        <w:rPr>
                          <w:rFonts w:ascii="宋体" w:hAnsi="宋体" w:cs="宋体" w:eastAsia="宋体" w:hint="default"/>
                          <w:sz w:val="18"/>
                          <w:szCs w:val="18"/>
                        </w:rPr>
                        <w:t>存在关联关系。</w:t>
                      </w:r>
                    </w:p>
                    <w:p>
                      <w:pPr>
                        <w:spacing w:line="357" w:lineRule="auto" w:before="26"/>
                        <w:ind w:left="4517" w:right="42" w:hanging="18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、前 </w:t>
                      </w:r>
                      <w:r>
                        <w:rPr>
                          <w:rFonts w:ascii="宋体" w:hAnsi="宋体" w:cs="宋体" w:eastAsia="宋体" w:hint="default"/>
                          <w:sz w:val="18"/>
                          <w:szCs w:val="18"/>
                        </w:rPr>
                        <w:t>10</w:t>
                      </w:r>
                      <w:r>
                        <w:rPr>
                          <w:rFonts w:ascii="宋体" w:hAnsi="宋体" w:cs="宋体" w:eastAsia="宋体" w:hint="default"/>
                          <w:spacing w:val="-25"/>
                          <w:sz w:val="18"/>
                          <w:szCs w:val="18"/>
                        </w:rPr>
                        <w:t> </w:t>
                      </w:r>
                      <w:r>
                        <w:rPr>
                          <w:rFonts w:ascii="宋体" w:hAnsi="宋体" w:cs="宋体" w:eastAsia="宋体" w:hint="default"/>
                          <w:sz w:val="18"/>
                          <w:szCs w:val="18"/>
                        </w:rPr>
                        <w:t>名无限售条件的流通股股东之间未知是否存在关联关系，也未知是否 属于《上市公司股东持股变动信息披露管理办法》规定的一致行动人。</w:t>
                      </w:r>
                    </w:p>
                  </w:txbxContent>
                </v:textbox>
                <w10:wrap type="none"/>
              </v:shape>
            </v:group>
          </v:group>
        </w:pict>
      </w:r>
      <w:r>
        <w:rPr>
          <w:rFonts w:ascii="宋体" w:hAnsi="宋体" w:cs="宋体" w:eastAsia="宋体" w:hint="default"/>
          <w:position w:val="-28"/>
          <w:sz w:val="20"/>
          <w:szCs w:val="20"/>
        </w:rPr>
      </w:r>
    </w:p>
    <w:p>
      <w:pPr>
        <w:pStyle w:val="Heading2"/>
        <w:spacing w:line="274" w:lineRule="exact"/>
        <w:ind w:left="160" w:right="587"/>
        <w:jc w:val="left"/>
        <w:rPr>
          <w:b w:val="0"/>
          <w:bCs w:val="0"/>
        </w:rPr>
      </w:pPr>
      <w:r>
        <w:rPr>
          <w:rFonts w:ascii="宋体" w:hAnsi="宋体" w:cs="宋体" w:eastAsia="宋体" w:hint="default"/>
        </w:rPr>
        <w:t>(</w:t>
      </w:r>
      <w:r>
        <w:rPr/>
        <w:t>二</w:t>
      </w:r>
      <w:r>
        <w:rPr>
          <w:rFonts w:ascii="宋体" w:hAnsi="宋体" w:cs="宋体" w:eastAsia="宋体" w:hint="default"/>
        </w:rPr>
        <w:t>)</w:t>
      </w:r>
      <w:r>
        <w:rPr/>
        <w:t>公司控股股东情况及实际控制人情况</w:t>
      </w:r>
      <w:r>
        <w:rPr>
          <w:b w:val="0"/>
          <w:bCs w:val="0"/>
        </w:rPr>
      </w:r>
    </w:p>
    <w:p>
      <w:pPr>
        <w:spacing w:line="357" w:lineRule="auto" w:before="154"/>
        <w:ind w:left="683" w:right="5843" w:hanging="209"/>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w:t>
      </w:r>
      <w:r>
        <w:rPr>
          <w:rFonts w:ascii="宋体" w:hAnsi="宋体" w:cs="宋体" w:eastAsia="宋体" w:hint="default"/>
          <w:b/>
          <w:bCs/>
          <w:spacing w:val="41"/>
          <w:sz w:val="24"/>
          <w:szCs w:val="24"/>
        </w:rPr>
        <w:t> </w:t>
      </w:r>
      <w:r>
        <w:rPr>
          <w:rFonts w:ascii="宋体" w:hAnsi="宋体" w:cs="宋体" w:eastAsia="宋体" w:hint="default"/>
          <w:b/>
          <w:bCs/>
          <w:sz w:val="24"/>
          <w:szCs w:val="24"/>
        </w:rPr>
        <w:t>控股股东情况：</w:t>
      </w:r>
      <w:r>
        <w:rPr>
          <w:rFonts w:ascii="宋体" w:hAnsi="宋体" w:cs="宋体" w:eastAsia="宋体" w:hint="default"/>
          <w:b/>
          <w:bCs/>
          <w:w w:val="99"/>
          <w:sz w:val="24"/>
          <w:szCs w:val="24"/>
        </w:rPr>
        <w:t> </w:t>
      </w:r>
      <w:r>
        <w:rPr>
          <w:rFonts w:ascii="宋体" w:hAnsi="宋体" w:cs="宋体" w:eastAsia="宋体" w:hint="default"/>
          <w:sz w:val="24"/>
          <w:szCs w:val="24"/>
        </w:rPr>
        <w:t>控股股东名称：敦化市康平投资有限责任公司 设立日期：</w:t>
      </w:r>
      <w:r>
        <w:rPr>
          <w:rFonts w:ascii="宋体" w:hAnsi="宋体" w:cs="宋体" w:eastAsia="宋体" w:hint="default"/>
          <w:sz w:val="24"/>
          <w:szCs w:val="24"/>
        </w:rPr>
        <w:t>1996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4</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8</w:t>
      </w:r>
      <w:r>
        <w:rPr>
          <w:rFonts w:ascii="宋体" w:hAnsi="宋体" w:cs="宋体" w:eastAsia="宋体" w:hint="default"/>
          <w:spacing w:val="-60"/>
          <w:sz w:val="24"/>
          <w:szCs w:val="24"/>
        </w:rPr>
        <w:t> </w:t>
      </w:r>
      <w:r>
        <w:rPr>
          <w:rFonts w:ascii="宋体" w:hAnsi="宋体" w:cs="宋体" w:eastAsia="宋体" w:hint="default"/>
          <w:sz w:val="24"/>
          <w:szCs w:val="24"/>
        </w:rPr>
        <w:t>日</w:t>
      </w:r>
    </w:p>
    <w:p>
      <w:pPr>
        <w:pStyle w:val="Heading3"/>
        <w:spacing w:line="357" w:lineRule="auto" w:before="34"/>
        <w:ind w:left="683" w:right="6563"/>
        <w:jc w:val="left"/>
      </w:pPr>
      <w:r>
        <w:rPr/>
        <w:t>注册资本：</w:t>
      </w:r>
      <w:r>
        <w:rPr>
          <w:rFonts w:ascii="宋体" w:hAnsi="宋体" w:cs="宋体" w:eastAsia="宋体" w:hint="default"/>
        </w:rPr>
        <w:t>4,735</w:t>
      </w:r>
      <w:r>
        <w:rPr>
          <w:rFonts w:ascii="宋体" w:hAnsi="宋体" w:cs="宋体" w:eastAsia="宋体" w:hint="default"/>
          <w:spacing w:val="-60"/>
        </w:rPr>
        <w:t> </w:t>
      </w:r>
      <w:r>
        <w:rPr/>
        <w:t>万元人民币 注册地址：敦化市胜利南大街</w:t>
      </w:r>
      <w:r>
        <w:rPr>
          <w:spacing w:val="-60"/>
        </w:rPr>
        <w:t> </w:t>
      </w:r>
      <w:r>
        <w:rPr>
          <w:rFonts w:ascii="宋体" w:hAnsi="宋体" w:cs="宋体" w:eastAsia="宋体" w:hint="default"/>
        </w:rPr>
        <w:t>104</w:t>
      </w:r>
      <w:r>
        <w:rPr>
          <w:rFonts w:ascii="宋体" w:hAnsi="宋体" w:cs="宋体" w:eastAsia="宋体" w:hint="default"/>
          <w:spacing w:val="-60"/>
        </w:rPr>
        <w:t> </w:t>
      </w:r>
      <w:r>
        <w:rPr/>
        <w:t>号 公司目前的经营范围主要是对外投资。</w:t>
      </w:r>
    </w:p>
    <w:p>
      <w:pPr>
        <w:pStyle w:val="Heading2"/>
        <w:spacing w:line="240" w:lineRule="auto" w:before="36"/>
        <w:ind w:left="474" w:right="587"/>
        <w:jc w:val="left"/>
        <w:rPr>
          <w:b w:val="0"/>
          <w:bCs w:val="0"/>
        </w:rPr>
      </w:pPr>
      <w:r>
        <w:rPr>
          <w:rFonts w:ascii="宋体" w:hAnsi="宋体" w:cs="宋体" w:eastAsia="宋体" w:hint="default"/>
        </w:rPr>
        <w:t>2</w:t>
      </w:r>
      <w:r>
        <w:rPr/>
        <w:t>、实际控制人</w:t>
      </w:r>
      <w:r>
        <w:rPr>
          <w:b w:val="0"/>
          <w:bCs w:val="0"/>
        </w:rPr>
      </w:r>
    </w:p>
    <w:p>
      <w:pPr>
        <w:pStyle w:val="Heading3"/>
        <w:spacing w:line="240" w:lineRule="auto"/>
        <w:ind w:left="683" w:right="587"/>
        <w:jc w:val="left"/>
      </w:pPr>
      <w:r>
        <w:rPr/>
        <w:t>郭春生，男，中国国籍，未拥有永久境外居留权，出生于</w:t>
      </w:r>
      <w:r>
        <w:rPr>
          <w:spacing w:val="-44"/>
        </w:rPr>
        <w:t> </w:t>
      </w:r>
      <w:r>
        <w:rPr>
          <w:rFonts w:ascii="宋体" w:hAnsi="宋体" w:cs="宋体" w:eastAsia="宋体" w:hint="default"/>
        </w:rPr>
        <w:t>1971</w:t>
      </w:r>
      <w:r>
        <w:rPr>
          <w:rFonts w:ascii="宋体" w:hAnsi="宋体" w:cs="宋体" w:eastAsia="宋体" w:hint="default"/>
          <w:spacing w:val="-44"/>
        </w:rPr>
        <w:t> </w:t>
      </w:r>
      <w:r>
        <w:rPr/>
        <w:t>年</w:t>
      </w:r>
      <w:r>
        <w:rPr>
          <w:spacing w:val="-44"/>
        </w:rPr>
        <w:t> </w:t>
      </w:r>
      <w:r>
        <w:rPr>
          <w:rFonts w:ascii="宋体" w:hAnsi="宋体" w:cs="宋体" w:eastAsia="宋体" w:hint="default"/>
        </w:rPr>
        <w:t>3</w:t>
      </w:r>
      <w:r>
        <w:rPr>
          <w:rFonts w:ascii="宋体" w:hAnsi="宋体" w:cs="宋体" w:eastAsia="宋体" w:hint="default"/>
          <w:spacing w:val="-41"/>
        </w:rPr>
        <w:t> </w:t>
      </w:r>
      <w:r>
        <w:rPr/>
        <w:t>月</w:t>
      </w:r>
      <w:r>
        <w:rPr>
          <w:spacing w:val="-44"/>
        </w:rPr>
        <w:t> </w:t>
      </w:r>
      <w:r>
        <w:rPr>
          <w:rFonts w:ascii="宋体" w:hAnsi="宋体" w:cs="宋体" w:eastAsia="宋体" w:hint="default"/>
        </w:rPr>
        <w:t>19</w:t>
      </w:r>
      <w:r>
        <w:rPr>
          <w:rFonts w:ascii="宋体" w:hAnsi="宋体" w:cs="宋体" w:eastAsia="宋体" w:hint="default"/>
          <w:spacing w:val="-43"/>
        </w:rPr>
        <w:t> </w:t>
      </w:r>
      <w:r>
        <w:rPr/>
        <w:t>日；户口所在地：吉</w:t>
      </w:r>
    </w:p>
    <w:p>
      <w:pPr>
        <w:pStyle w:val="Heading3"/>
        <w:spacing w:line="240" w:lineRule="auto" w:before="151"/>
        <w:ind w:left="160" w:right="587"/>
        <w:jc w:val="left"/>
      </w:pPr>
      <w:r>
        <w:rPr/>
        <w:t>林省敦化市长安路 </w:t>
      </w:r>
      <w:r>
        <w:rPr>
          <w:rFonts w:ascii="宋体" w:hAnsi="宋体" w:cs="宋体" w:eastAsia="宋体" w:hint="default"/>
        </w:rPr>
        <w:t>14-4-46</w:t>
      </w:r>
      <w:r>
        <w:rPr>
          <w:rFonts w:ascii="宋体" w:hAnsi="宋体" w:cs="宋体" w:eastAsia="宋体" w:hint="default"/>
          <w:spacing w:val="-96"/>
        </w:rPr>
        <w:t> </w:t>
      </w:r>
      <w:r>
        <w:rPr>
          <w:spacing w:val="-3"/>
        </w:rPr>
        <w:t>号，身份证号：</w:t>
      </w:r>
      <w:r>
        <w:rPr>
          <w:rFonts w:ascii="宋体" w:hAnsi="宋体" w:cs="宋体" w:eastAsia="宋体" w:hint="default"/>
          <w:spacing w:val="-3"/>
        </w:rPr>
        <w:t>222403197103190413</w:t>
      </w:r>
      <w:r>
        <w:rPr>
          <w:spacing w:val="-3"/>
        </w:rPr>
        <w:t>。本科学历，高级工程师，高级经济</w:t>
      </w:r>
    </w:p>
    <w:p>
      <w:pPr>
        <w:pStyle w:val="Heading3"/>
        <w:spacing w:line="240" w:lineRule="auto"/>
        <w:ind w:left="160" w:right="587"/>
        <w:jc w:val="left"/>
        <w:rPr>
          <w:rFonts w:ascii="宋体" w:hAnsi="宋体" w:cs="宋体" w:eastAsia="宋体" w:hint="default"/>
        </w:rPr>
      </w:pPr>
      <w:r>
        <w:rPr/>
        <w:t>师，吉林省人大代表。</w:t>
      </w:r>
      <w:r>
        <w:rPr>
          <w:rFonts w:ascii="宋体" w:hAnsi="宋体" w:cs="宋体" w:eastAsia="宋体" w:hint="default"/>
        </w:rPr>
        <w:t>1990</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月至</w:t>
      </w:r>
      <w:r>
        <w:rPr>
          <w:spacing w:val="-64"/>
        </w:rPr>
        <w:t> </w:t>
      </w:r>
      <w:r>
        <w:rPr>
          <w:rFonts w:ascii="宋体" w:hAnsi="宋体" w:cs="宋体" w:eastAsia="宋体" w:hint="default"/>
        </w:rPr>
        <w:t>1992</w:t>
      </w:r>
      <w:r>
        <w:rPr>
          <w:rFonts w:ascii="宋体" w:hAnsi="宋体" w:cs="宋体" w:eastAsia="宋体" w:hint="default"/>
          <w:spacing w:val="-64"/>
        </w:rPr>
        <w:t> </w:t>
      </w:r>
      <w:r>
        <w:rPr/>
        <w:t>年</w:t>
      </w:r>
      <w:r>
        <w:rPr>
          <w:spacing w:val="-64"/>
        </w:rPr>
        <w:t> </w:t>
      </w:r>
      <w:r>
        <w:rPr>
          <w:rFonts w:ascii="宋体" w:hAnsi="宋体" w:cs="宋体" w:eastAsia="宋体" w:hint="default"/>
        </w:rPr>
        <w:t>6</w:t>
      </w:r>
      <w:r>
        <w:rPr>
          <w:rFonts w:ascii="宋体" w:hAnsi="宋体" w:cs="宋体" w:eastAsia="宋体" w:hint="default"/>
          <w:spacing w:val="-64"/>
        </w:rPr>
        <w:t> </w:t>
      </w:r>
      <w:r>
        <w:rPr/>
        <w:t>月任吉林敖东集团彩印厂设备维修班班长；</w:t>
      </w:r>
      <w:r>
        <w:rPr>
          <w:rFonts w:ascii="宋体" w:hAnsi="宋体" w:cs="宋体" w:eastAsia="宋体" w:hint="default"/>
        </w:rPr>
        <w:t>1992</w:t>
      </w:r>
      <w:r>
        <w:rPr>
          <w:rFonts w:ascii="宋体" w:hAnsi="宋体" w:cs="宋体" w:eastAsia="宋体" w:hint="default"/>
          <w:spacing w:val="-64"/>
        </w:rPr>
        <w:t> </w:t>
      </w:r>
      <w:r>
        <w:rPr/>
        <w:t>年</w:t>
      </w:r>
      <w:r>
        <w:rPr>
          <w:spacing w:val="-64"/>
        </w:rPr>
        <w:t> </w:t>
      </w:r>
      <w:r>
        <w:rPr>
          <w:rFonts w:ascii="宋体" w:hAnsi="宋体" w:cs="宋体" w:eastAsia="宋体" w:hint="default"/>
        </w:rPr>
        <w:t>7</w:t>
      </w:r>
    </w:p>
    <w:p>
      <w:pPr>
        <w:pStyle w:val="Heading3"/>
        <w:spacing w:line="240" w:lineRule="auto" w:before="151"/>
        <w:ind w:left="160" w:right="587"/>
        <w:jc w:val="left"/>
      </w:pPr>
      <w:r>
        <w:rPr/>
        <w:t>月至</w:t>
      </w:r>
      <w:r>
        <w:rPr>
          <w:spacing w:val="-53"/>
        </w:rPr>
        <w:t> </w:t>
      </w:r>
      <w:r>
        <w:rPr>
          <w:rFonts w:ascii="宋体" w:hAnsi="宋体" w:cs="宋体" w:eastAsia="宋体" w:hint="default"/>
        </w:rPr>
        <w:t>1997</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月任吉林敖东药业集团股份有限公司产品经理；</w:t>
      </w:r>
      <w:r>
        <w:rPr>
          <w:rFonts w:ascii="宋体" w:hAnsi="宋体" w:cs="宋体" w:eastAsia="宋体" w:hint="default"/>
        </w:rPr>
        <w:t>1996</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月至</w:t>
      </w:r>
      <w:r>
        <w:rPr>
          <w:spacing w:val="-53"/>
        </w:rPr>
        <w:t> </w:t>
      </w:r>
      <w:r>
        <w:rPr>
          <w:rFonts w:ascii="宋体" w:hAnsi="宋体" w:cs="宋体" w:eastAsia="宋体" w:hint="default"/>
        </w:rPr>
        <w:t>1997</w:t>
      </w:r>
      <w:r>
        <w:rPr>
          <w:rFonts w:ascii="宋体" w:hAnsi="宋体" w:cs="宋体" w:eastAsia="宋体" w:hint="default"/>
          <w:spacing w:val="-51"/>
        </w:rPr>
        <w:t> </w:t>
      </w:r>
      <w:r>
        <w:rPr/>
        <w:t>年</w:t>
      </w:r>
      <w:r>
        <w:rPr>
          <w:spacing w:val="-53"/>
        </w:rPr>
        <w:t> </w:t>
      </w:r>
      <w:r>
        <w:rPr>
          <w:rFonts w:ascii="宋体" w:hAnsi="宋体" w:cs="宋体" w:eastAsia="宋体" w:hint="default"/>
        </w:rPr>
        <w:t>3</w:t>
      </w:r>
      <w:r>
        <w:rPr>
          <w:rFonts w:ascii="宋体" w:hAnsi="宋体" w:cs="宋体" w:eastAsia="宋体" w:hint="default"/>
          <w:spacing w:val="-51"/>
        </w:rPr>
        <w:t> </w:t>
      </w:r>
      <w:r>
        <w:rPr/>
        <w:t>月任吉林敖</w:t>
      </w:r>
    </w:p>
    <w:p>
      <w:pPr>
        <w:pStyle w:val="Heading3"/>
        <w:spacing w:line="240" w:lineRule="auto"/>
        <w:ind w:left="160" w:right="587"/>
        <w:jc w:val="left"/>
        <w:rPr>
          <w:rFonts w:ascii="宋体" w:hAnsi="宋体" w:cs="宋体" w:eastAsia="宋体" w:hint="default"/>
        </w:rPr>
      </w:pPr>
      <w:r>
        <w:rPr/>
        <w:t>东鹿筋壮骨酒公司总经理</w:t>
      </w:r>
      <w:r>
        <w:rPr>
          <w:spacing w:val="-120"/>
        </w:rPr>
        <w:t>；</w:t>
      </w:r>
      <w:r>
        <w:rPr>
          <w:rFonts w:ascii="宋体" w:hAnsi="宋体" w:cs="宋体" w:eastAsia="宋体" w:hint="default"/>
        </w:rPr>
        <w:t>1997</w:t>
      </w:r>
      <w:r>
        <w:rPr>
          <w:rFonts w:ascii="宋体" w:hAnsi="宋体" w:cs="宋体" w:eastAsia="宋体" w:hint="default"/>
          <w:spacing w:val="-65"/>
        </w:rPr>
        <w:t> </w:t>
      </w:r>
      <w:r>
        <w:rPr/>
        <w:t>年</w:t>
      </w:r>
      <w:r>
        <w:rPr>
          <w:spacing w:val="-65"/>
        </w:rPr>
        <w:t> </w:t>
      </w:r>
      <w:r>
        <w:rPr>
          <w:rFonts w:ascii="宋体" w:hAnsi="宋体" w:cs="宋体" w:eastAsia="宋体" w:hint="default"/>
        </w:rPr>
        <w:t>3</w:t>
      </w:r>
      <w:r>
        <w:rPr>
          <w:rFonts w:ascii="宋体" w:hAnsi="宋体" w:cs="宋体" w:eastAsia="宋体" w:hint="default"/>
          <w:spacing w:val="-65"/>
        </w:rPr>
        <w:t> </w:t>
      </w:r>
      <w:r>
        <w:rPr/>
        <w:t>月至</w:t>
      </w:r>
      <w:r>
        <w:rPr>
          <w:spacing w:val="-65"/>
        </w:rPr>
        <w:t> </w:t>
      </w:r>
      <w:r>
        <w:rPr>
          <w:rFonts w:ascii="宋体" w:hAnsi="宋体" w:cs="宋体" w:eastAsia="宋体" w:hint="default"/>
        </w:rPr>
        <w:t>1998</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月任延边敖东新药特药有限责任公司总经理</w:t>
      </w:r>
      <w:r>
        <w:rPr>
          <w:spacing w:val="-119"/>
        </w:rPr>
        <w:t>；</w:t>
      </w:r>
      <w:r>
        <w:rPr>
          <w:rFonts w:ascii="宋体" w:hAnsi="宋体" w:cs="宋体" w:eastAsia="宋体" w:hint="default"/>
        </w:rPr>
        <w:t>1998</w:t>
      </w:r>
    </w:p>
    <w:p>
      <w:pPr>
        <w:pStyle w:val="Heading3"/>
        <w:spacing w:line="357" w:lineRule="auto" w:before="152"/>
        <w:ind w:left="160" w:right="700"/>
        <w:jc w:val="left"/>
      </w:pPr>
      <w:r>
        <w:rPr/>
        <w:t>年 </w:t>
      </w:r>
      <w:r>
        <w:rPr>
          <w:rFonts w:ascii="宋体" w:hAnsi="宋体" w:cs="宋体" w:eastAsia="宋体" w:hint="default"/>
        </w:rPr>
        <w:t>5</w:t>
      </w:r>
      <w:r>
        <w:rPr>
          <w:rFonts w:ascii="宋体" w:hAnsi="宋体" w:cs="宋体" w:eastAsia="宋体" w:hint="default"/>
          <w:spacing w:val="-88"/>
        </w:rPr>
        <w:t> </w:t>
      </w:r>
      <w:r>
        <w:rPr>
          <w:spacing w:val="-3"/>
        </w:rPr>
        <w:t>月起任通化紫金药业有限责任公司董事长兼总经理，现任吉林紫鑫药业股份有限公司董事长兼总</w:t>
      </w:r>
      <w:r>
        <w:rPr/>
        <w:t> 经理。</w:t>
      </w:r>
    </w:p>
    <w:p>
      <w:pPr>
        <w:spacing w:line="357" w:lineRule="auto" w:before="34"/>
        <w:ind w:left="832" w:right="5454" w:hanging="359"/>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、控股股东及实际控制人变更情况</w:t>
      </w:r>
      <w:r>
        <w:rPr>
          <w:rFonts w:ascii="宋体" w:hAnsi="宋体" w:cs="宋体" w:eastAsia="宋体" w:hint="default"/>
          <w:b/>
          <w:bCs/>
          <w:w w:val="99"/>
          <w:sz w:val="24"/>
          <w:szCs w:val="24"/>
        </w:rPr>
        <w:t> </w:t>
      </w:r>
      <w:r>
        <w:rPr>
          <w:rFonts w:ascii="宋体" w:hAnsi="宋体" w:cs="宋体" w:eastAsia="宋体" w:hint="default"/>
          <w:sz w:val="24"/>
          <w:szCs w:val="24"/>
        </w:rPr>
        <w:t>报告期内，控股股东及实际控制人未发生变更。</w:t>
      </w:r>
    </w:p>
    <w:p>
      <w:pPr>
        <w:pStyle w:val="Heading2"/>
        <w:spacing w:line="240" w:lineRule="auto" w:before="34"/>
        <w:ind w:left="520" w:right="587"/>
        <w:jc w:val="left"/>
        <w:rPr>
          <w:b w:val="0"/>
          <w:bCs w:val="0"/>
        </w:rPr>
      </w:pPr>
      <w:r>
        <w:rPr>
          <w:rFonts w:ascii="宋体" w:hAnsi="宋体" w:cs="宋体" w:eastAsia="宋体" w:hint="default"/>
        </w:rPr>
        <w:t>4</w:t>
      </w:r>
      <w:r>
        <w:rPr/>
        <w:t>、公司与实际控制人之间的产权及控制关系的方框图</w:t>
      </w:r>
      <w:r>
        <w:rPr>
          <w:b w:val="0"/>
          <w:bCs w:val="0"/>
        </w:rPr>
      </w:r>
    </w:p>
    <w:p>
      <w:pPr>
        <w:spacing w:after="0" w:line="240" w:lineRule="auto"/>
        <w:jc w:val="left"/>
        <w:sectPr>
          <w:pgSz w:w="11910" w:h="16840"/>
          <w:pgMar w:header="720" w:footer="950" w:top="1300" w:bottom="1140" w:left="560" w:right="0"/>
        </w:sectPr>
      </w:pPr>
    </w:p>
    <w:p>
      <w:pPr>
        <w:spacing w:line="240" w:lineRule="auto" w:before="13"/>
        <w:rPr>
          <w:rFonts w:ascii="宋体" w:hAnsi="宋体" w:cs="宋体" w:eastAsia="宋体" w:hint="default"/>
          <w:b/>
          <w:bCs/>
          <w:sz w:val="2"/>
          <w:szCs w:val="2"/>
        </w:rPr>
      </w:pPr>
    </w:p>
    <w:p>
      <w:pPr>
        <w:spacing w:line="5125" w:lineRule="exact"/>
        <w:ind w:left="104" w:right="0" w:firstLine="0"/>
        <w:rPr>
          <w:rFonts w:ascii="宋体" w:hAnsi="宋体" w:cs="宋体" w:eastAsia="宋体" w:hint="default"/>
          <w:sz w:val="20"/>
          <w:szCs w:val="20"/>
        </w:rPr>
      </w:pPr>
      <w:r>
        <w:rPr>
          <w:rFonts w:ascii="宋体" w:hAnsi="宋体" w:cs="宋体" w:eastAsia="宋体" w:hint="default"/>
          <w:position w:val="-102"/>
          <w:sz w:val="20"/>
          <w:szCs w:val="20"/>
        </w:rPr>
        <w:pict>
          <v:group style="width:509.05pt;height:256.25pt;mso-position-horizontal-relative:char;mso-position-vertical-relative:line" coordorigin="0,0" coordsize="10181,5125">
            <v:group style="position:absolute;left:7;top:7;width:10166;height:2" coordorigin="7,7" coordsize="10166,2">
              <v:shape style="position:absolute;left:7;top:7;width:10166;height:2" coordorigin="7,7" coordsize="10166,0" path="m7,7l10173,7e" filled="false" stroked="true" strokeweight=".72pt" strokecolor="#000000">
                <v:path arrowok="t"/>
              </v:shape>
              <v:shape style="position:absolute;left:350;top:12;width:8784;height:5113" type="#_x0000_t75" stroked="false">
                <v:imagedata r:id="rId14" o:title=""/>
              </v:shape>
            </v:group>
          </v:group>
        </w:pict>
      </w:r>
      <w:r>
        <w:rPr>
          <w:rFonts w:ascii="宋体" w:hAnsi="宋体" w:cs="宋体" w:eastAsia="宋体" w:hint="default"/>
          <w:position w:val="-102"/>
          <w:sz w:val="20"/>
          <w:szCs w:val="20"/>
        </w:rPr>
      </w:r>
    </w:p>
    <w:p>
      <w:pPr>
        <w:spacing w:line="240" w:lineRule="auto" w:before="3"/>
        <w:rPr>
          <w:rFonts w:ascii="宋体" w:hAnsi="宋体" w:cs="宋体" w:eastAsia="宋体" w:hint="default"/>
          <w:b/>
          <w:bCs/>
          <w:sz w:val="15"/>
          <w:szCs w:val="15"/>
        </w:rPr>
      </w:pPr>
    </w:p>
    <w:p>
      <w:pPr>
        <w:spacing w:line="357" w:lineRule="auto" w:before="44"/>
        <w:ind w:left="140" w:right="715" w:firstLine="480"/>
        <w:jc w:val="both"/>
        <w:rPr>
          <w:rFonts w:ascii="宋体" w:hAnsi="宋体" w:cs="宋体" w:eastAsia="宋体" w:hint="default"/>
          <w:sz w:val="18"/>
          <w:szCs w:val="18"/>
        </w:rPr>
      </w:pPr>
      <w:r>
        <w:rPr>
          <w:rFonts w:ascii="宋体" w:hAnsi="宋体" w:cs="宋体" w:eastAsia="宋体" w:hint="default"/>
          <w:sz w:val="18"/>
          <w:szCs w:val="18"/>
        </w:rPr>
        <w:t>（备注：康平投资直接持有本公司</w:t>
      </w:r>
      <w:r>
        <w:rPr>
          <w:rFonts w:ascii="宋体" w:hAnsi="宋体" w:cs="宋体" w:eastAsia="宋体" w:hint="default"/>
          <w:spacing w:val="-50"/>
          <w:sz w:val="18"/>
          <w:szCs w:val="18"/>
        </w:rPr>
        <w:t> </w:t>
      </w:r>
      <w:r>
        <w:rPr>
          <w:rFonts w:ascii="宋体" w:hAnsi="宋体" w:cs="宋体" w:eastAsia="宋体" w:hint="default"/>
          <w:sz w:val="18"/>
          <w:szCs w:val="18"/>
        </w:rPr>
        <w:t>49.02%</w:t>
      </w:r>
      <w:r>
        <w:rPr>
          <w:rFonts w:ascii="宋体" w:hAnsi="宋体" w:cs="宋体" w:eastAsia="宋体" w:hint="default"/>
          <w:sz w:val="18"/>
          <w:szCs w:val="18"/>
        </w:rPr>
        <w:t>的股份，在康平投资的股东中，持有康平投资</w:t>
      </w:r>
      <w:r>
        <w:rPr>
          <w:rFonts w:ascii="宋体" w:hAnsi="宋体" w:cs="宋体" w:eastAsia="宋体" w:hint="default"/>
          <w:spacing w:val="-51"/>
          <w:sz w:val="18"/>
          <w:szCs w:val="18"/>
        </w:rPr>
        <w:t> </w:t>
      </w:r>
      <w:r>
        <w:rPr>
          <w:rFonts w:ascii="宋体" w:hAnsi="宋体" w:cs="宋体" w:eastAsia="宋体" w:hint="default"/>
          <w:sz w:val="18"/>
          <w:szCs w:val="18"/>
        </w:rPr>
        <w:t>42.42%</w:t>
      </w:r>
      <w:r>
        <w:rPr>
          <w:rFonts w:ascii="宋体" w:hAnsi="宋体" w:cs="宋体" w:eastAsia="宋体" w:hint="default"/>
          <w:sz w:val="18"/>
          <w:szCs w:val="18"/>
        </w:rPr>
        <w:t>股权的自然人股东关立影与本公 司董事长郭春生是夫妻关系，持有康平投资</w:t>
      </w:r>
      <w:r>
        <w:rPr>
          <w:rFonts w:ascii="宋体" w:hAnsi="宋体" w:cs="宋体" w:eastAsia="宋体" w:hint="default"/>
          <w:spacing w:val="-63"/>
          <w:sz w:val="18"/>
          <w:szCs w:val="18"/>
        </w:rPr>
        <w:t> </w:t>
      </w:r>
      <w:r>
        <w:rPr>
          <w:rFonts w:ascii="宋体" w:hAnsi="宋体" w:cs="宋体" w:eastAsia="宋体" w:hint="default"/>
          <w:sz w:val="18"/>
          <w:szCs w:val="18"/>
        </w:rPr>
        <w:t>34.84%</w:t>
      </w:r>
      <w:r>
        <w:rPr>
          <w:rFonts w:ascii="宋体" w:hAnsi="宋体" w:cs="宋体" w:eastAsia="宋体" w:hint="default"/>
          <w:sz w:val="18"/>
          <w:szCs w:val="18"/>
        </w:rPr>
        <w:t>股权的自然人股东仲桂兰与本公司董事长郭春生是母子关系，因此，本公司董事长 郭春生先生通过其亲属直接持有康平投资</w:t>
      </w:r>
      <w:r>
        <w:rPr>
          <w:rFonts w:ascii="宋体" w:hAnsi="宋体" w:cs="宋体" w:eastAsia="宋体" w:hint="default"/>
          <w:spacing w:val="-53"/>
          <w:sz w:val="18"/>
          <w:szCs w:val="18"/>
        </w:rPr>
        <w:t> </w:t>
      </w:r>
      <w:r>
        <w:rPr>
          <w:rFonts w:ascii="宋体" w:hAnsi="宋体" w:cs="宋体" w:eastAsia="宋体" w:hint="default"/>
          <w:sz w:val="18"/>
          <w:szCs w:val="18"/>
        </w:rPr>
        <w:t>77.26%</w:t>
      </w:r>
      <w:r>
        <w:rPr>
          <w:rFonts w:ascii="宋体" w:hAnsi="宋体" w:cs="宋体" w:eastAsia="宋体" w:hint="default"/>
          <w:sz w:val="18"/>
          <w:szCs w:val="18"/>
        </w:rPr>
        <w:t>的股份，故间接持有本公司</w:t>
      </w:r>
      <w:r>
        <w:rPr>
          <w:rFonts w:ascii="宋体" w:hAnsi="宋体" w:cs="宋体" w:eastAsia="宋体" w:hint="default"/>
          <w:spacing w:val="-54"/>
          <w:sz w:val="18"/>
          <w:szCs w:val="18"/>
        </w:rPr>
        <w:t> </w:t>
      </w:r>
      <w:r>
        <w:rPr>
          <w:rFonts w:ascii="宋体" w:hAnsi="宋体" w:cs="宋体" w:eastAsia="宋体" w:hint="default"/>
          <w:sz w:val="18"/>
          <w:szCs w:val="18"/>
        </w:rPr>
        <w:t>37.87%</w:t>
      </w:r>
      <w:r>
        <w:rPr>
          <w:rFonts w:ascii="宋体" w:hAnsi="宋体" w:cs="宋体" w:eastAsia="宋体" w:hint="default"/>
          <w:sz w:val="18"/>
          <w:szCs w:val="18"/>
        </w:rPr>
        <w:t>的股份，加上持有本公司</w:t>
      </w:r>
      <w:r>
        <w:rPr>
          <w:rFonts w:ascii="宋体" w:hAnsi="宋体" w:cs="宋体" w:eastAsia="宋体" w:hint="default"/>
          <w:spacing w:val="-53"/>
          <w:sz w:val="18"/>
          <w:szCs w:val="18"/>
        </w:rPr>
        <w:t> </w:t>
      </w:r>
      <w:r>
        <w:rPr>
          <w:rFonts w:ascii="宋体" w:hAnsi="宋体" w:cs="宋体" w:eastAsia="宋体" w:hint="default"/>
          <w:sz w:val="18"/>
          <w:szCs w:val="18"/>
        </w:rPr>
        <w:t>6.04%</w:t>
      </w:r>
      <w:r>
        <w:rPr>
          <w:rFonts w:ascii="宋体" w:hAnsi="宋体" w:cs="宋体" w:eastAsia="宋体" w:hint="default"/>
          <w:sz w:val="18"/>
          <w:szCs w:val="18"/>
        </w:rPr>
        <w:t>股份的自然人股东 仲维光为郭春生先生亲属，因此，郭春生先生通过其亲属共计持有本公司</w:t>
      </w:r>
      <w:r>
        <w:rPr>
          <w:rFonts w:ascii="宋体" w:hAnsi="宋体" w:cs="宋体" w:eastAsia="宋体" w:hint="default"/>
          <w:spacing w:val="-28"/>
          <w:sz w:val="18"/>
          <w:szCs w:val="18"/>
        </w:rPr>
        <w:t> </w:t>
      </w:r>
      <w:r>
        <w:rPr>
          <w:rFonts w:ascii="宋体" w:hAnsi="宋体" w:cs="宋体" w:eastAsia="宋体" w:hint="default"/>
          <w:spacing w:val="-5"/>
          <w:sz w:val="18"/>
          <w:szCs w:val="18"/>
        </w:rPr>
        <w:t>43.91%</w:t>
      </w:r>
      <w:r>
        <w:rPr>
          <w:rFonts w:ascii="宋体" w:hAnsi="宋体" w:cs="宋体" w:eastAsia="宋体" w:hint="default"/>
          <w:spacing w:val="-5"/>
          <w:sz w:val="18"/>
          <w:szCs w:val="18"/>
        </w:rPr>
        <w:t>的股份，为本公司的实际控制人。）</w:t>
      </w:r>
    </w:p>
    <w:p>
      <w:pPr>
        <w:spacing w:line="357" w:lineRule="auto" w:before="139"/>
        <w:ind w:left="574" w:right="6384" w:firstLine="48"/>
        <w:jc w:val="left"/>
        <w:rPr>
          <w:rFonts w:ascii="宋体" w:hAnsi="宋体" w:cs="宋体" w:eastAsia="宋体" w:hint="default"/>
          <w:sz w:val="24"/>
          <w:szCs w:val="24"/>
        </w:rPr>
      </w:pPr>
      <w:r>
        <w:rPr>
          <w:rFonts w:ascii="宋体" w:hAnsi="宋体" w:cs="宋体" w:eastAsia="宋体" w:hint="default"/>
          <w:b/>
          <w:bCs/>
          <w:sz w:val="24"/>
          <w:szCs w:val="24"/>
        </w:rPr>
        <w:t>5</w:t>
      </w:r>
      <w:r>
        <w:rPr>
          <w:rFonts w:ascii="宋体" w:hAnsi="宋体" w:cs="宋体" w:eastAsia="宋体" w:hint="default"/>
          <w:b/>
          <w:bCs/>
          <w:sz w:val="24"/>
          <w:szCs w:val="24"/>
        </w:rPr>
        <w:t>、其他持股在</w:t>
      </w:r>
      <w:r>
        <w:rPr>
          <w:rFonts w:ascii="宋体" w:hAnsi="宋体" w:cs="宋体" w:eastAsia="宋体" w:hint="default"/>
          <w:b/>
          <w:bCs/>
          <w:spacing w:val="-62"/>
          <w:sz w:val="24"/>
          <w:szCs w:val="24"/>
        </w:rPr>
        <w:t> </w:t>
      </w:r>
      <w:r>
        <w:rPr>
          <w:rFonts w:ascii="宋体" w:hAnsi="宋体" w:cs="宋体" w:eastAsia="宋体" w:hint="default"/>
          <w:b/>
          <w:bCs/>
          <w:sz w:val="24"/>
          <w:szCs w:val="24"/>
        </w:rPr>
        <w:t>5%</w:t>
      </w:r>
      <w:r>
        <w:rPr>
          <w:rFonts w:ascii="宋体" w:hAnsi="宋体" w:cs="宋体" w:eastAsia="宋体" w:hint="default"/>
          <w:b/>
          <w:bCs/>
          <w:sz w:val="24"/>
          <w:szCs w:val="24"/>
        </w:rPr>
        <w:t>以上的法人股东情况</w:t>
      </w:r>
      <w:r>
        <w:rPr>
          <w:rFonts w:ascii="宋体" w:hAnsi="宋体" w:cs="宋体" w:eastAsia="宋体" w:hint="default"/>
          <w:b/>
          <w:bCs/>
          <w:w w:val="99"/>
          <w:sz w:val="24"/>
          <w:szCs w:val="24"/>
        </w:rPr>
        <w:t> </w:t>
      </w:r>
      <w:r>
        <w:rPr>
          <w:rFonts w:ascii="宋体" w:hAnsi="宋体" w:cs="宋体" w:eastAsia="宋体" w:hint="default"/>
          <w:sz w:val="24"/>
          <w:szCs w:val="24"/>
        </w:rPr>
        <w:t>持股在</w:t>
      </w:r>
      <w:r>
        <w:rPr>
          <w:rFonts w:ascii="宋体" w:hAnsi="宋体" w:cs="宋体" w:eastAsia="宋体" w:hint="default"/>
          <w:spacing w:val="-61"/>
          <w:sz w:val="24"/>
          <w:szCs w:val="24"/>
        </w:rPr>
        <w:t> </w:t>
      </w:r>
      <w:r>
        <w:rPr>
          <w:rFonts w:ascii="宋体" w:hAnsi="宋体" w:cs="宋体" w:eastAsia="宋体" w:hint="default"/>
          <w:sz w:val="24"/>
          <w:szCs w:val="24"/>
        </w:rPr>
        <w:t>5%</w:t>
      </w:r>
      <w:r>
        <w:rPr>
          <w:rFonts w:ascii="宋体" w:hAnsi="宋体" w:cs="宋体" w:eastAsia="宋体" w:hint="default"/>
          <w:sz w:val="24"/>
          <w:szCs w:val="24"/>
        </w:rPr>
        <w:t>以上的法人股东： 名称：吉林长白山股权投资管理有限公司 企业性质：有限责任公司 注册地址：长春市朝阳区西安大路</w:t>
      </w:r>
      <w:r>
        <w:rPr>
          <w:rFonts w:ascii="宋体" w:hAnsi="宋体" w:cs="宋体" w:eastAsia="宋体" w:hint="default"/>
          <w:spacing w:val="-60"/>
          <w:sz w:val="24"/>
          <w:szCs w:val="24"/>
        </w:rPr>
        <w:t> </w:t>
      </w:r>
      <w:r>
        <w:rPr>
          <w:rFonts w:ascii="宋体" w:hAnsi="宋体" w:cs="宋体" w:eastAsia="宋体" w:hint="default"/>
          <w:sz w:val="24"/>
          <w:szCs w:val="24"/>
        </w:rPr>
        <w:t>58</w:t>
      </w:r>
      <w:r>
        <w:rPr>
          <w:rFonts w:ascii="宋体" w:hAnsi="宋体" w:cs="宋体" w:eastAsia="宋体" w:hint="default"/>
          <w:spacing w:val="-60"/>
          <w:sz w:val="24"/>
          <w:szCs w:val="24"/>
        </w:rPr>
        <w:t> </w:t>
      </w:r>
      <w:r>
        <w:rPr>
          <w:rFonts w:ascii="宋体" w:hAnsi="宋体" w:cs="宋体" w:eastAsia="宋体" w:hint="default"/>
          <w:sz w:val="24"/>
          <w:szCs w:val="24"/>
        </w:rPr>
        <w:t>号 注册资本：</w:t>
      </w:r>
      <w:r>
        <w:rPr>
          <w:rFonts w:ascii="宋体" w:hAnsi="宋体" w:cs="宋体" w:eastAsia="宋体" w:hint="default"/>
          <w:sz w:val="24"/>
          <w:szCs w:val="24"/>
        </w:rPr>
        <w:t>10,000</w:t>
      </w:r>
      <w:r>
        <w:rPr>
          <w:rFonts w:ascii="宋体" w:hAnsi="宋体" w:cs="宋体" w:eastAsia="宋体" w:hint="default"/>
          <w:spacing w:val="-60"/>
          <w:sz w:val="24"/>
          <w:szCs w:val="24"/>
        </w:rPr>
        <w:t> </w:t>
      </w:r>
      <w:r>
        <w:rPr>
          <w:rFonts w:ascii="宋体" w:hAnsi="宋体" w:cs="宋体" w:eastAsia="宋体" w:hint="default"/>
          <w:sz w:val="24"/>
          <w:szCs w:val="24"/>
        </w:rPr>
        <w:t>万 法定代表人：张志新 经营范围：股权投资管理；投资咨询 </w:t>
      </w:r>
      <w:r>
        <w:rPr>
          <w:rFonts w:ascii="宋体" w:hAnsi="宋体" w:cs="宋体" w:eastAsia="宋体" w:hint="default"/>
          <w:b/>
          <w:bCs/>
          <w:sz w:val="24"/>
          <w:szCs w:val="24"/>
        </w:rPr>
        <w:t>6</w:t>
      </w:r>
      <w:r>
        <w:rPr>
          <w:rFonts w:ascii="宋体" w:hAnsi="宋体" w:cs="宋体" w:eastAsia="宋体" w:hint="default"/>
          <w:b/>
          <w:bCs/>
          <w:sz w:val="24"/>
          <w:szCs w:val="24"/>
        </w:rPr>
        <w:t>、限售股份变动情况表</w:t>
      </w:r>
      <w:r>
        <w:rPr>
          <w:rFonts w:ascii="宋体" w:hAnsi="宋体" w:cs="宋体" w:eastAsia="宋体" w:hint="default"/>
          <w:sz w:val="24"/>
          <w:szCs w:val="24"/>
        </w:rPr>
      </w:r>
    </w:p>
    <w:p>
      <w:pPr>
        <w:spacing w:before="42"/>
        <w:ind w:left="0" w:right="71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733"/>
        <w:gridCol w:w="1561"/>
        <w:gridCol w:w="1416"/>
        <w:gridCol w:w="1416"/>
        <w:gridCol w:w="1392"/>
        <w:gridCol w:w="1503"/>
        <w:gridCol w:w="1505"/>
      </w:tblGrid>
      <w:tr>
        <w:trPr>
          <w:trHeight w:val="71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年初限售股数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本年解除限售股</w:t>
            </w: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本年增加限售股</w:t>
            </w: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49"/>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敦化市康平投资有限</w:t>
            </w: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责任公司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73,963,240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4"/>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51,774,268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4"/>
              <w:jc w:val="right"/>
              <w:rPr>
                <w:rFonts w:ascii="宋体" w:hAnsi="宋体" w:cs="宋体" w:eastAsia="宋体" w:hint="default"/>
                <w:sz w:val="18"/>
                <w:szCs w:val="18"/>
              </w:rPr>
            </w:pPr>
            <w:r>
              <w:rPr>
                <w:rFonts w:ascii="宋体"/>
                <w:spacing w:val="-1"/>
                <w:sz w:val="18"/>
              </w:rPr>
              <w:t>125,737,508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股份追加限售</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仲维光</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9,112,140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sz w:val="18"/>
              </w:rPr>
              <w:t>9,112,140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6" w:right="0"/>
              <w:jc w:val="left"/>
              <w:rPr>
                <w:rFonts w:ascii="宋体" w:hAnsi="宋体" w:cs="宋体" w:eastAsia="宋体" w:hint="default"/>
                <w:sz w:val="18"/>
                <w:szCs w:val="18"/>
              </w:rPr>
            </w:pPr>
            <w:r>
              <w:rPr>
                <w:rFonts w:ascii="宋体" w:hAnsi="宋体" w:cs="宋体" w:eastAsia="宋体" w:hint="default"/>
                <w:sz w:val="18"/>
                <w:szCs w:val="18"/>
              </w:rPr>
              <w:t>有限售条件股东承</w:t>
            </w:r>
          </w:p>
          <w:p>
            <w:pPr>
              <w:pStyle w:val="TableParagraph"/>
              <w:spacing w:line="240" w:lineRule="auto" w:before="115"/>
              <w:ind w:left="26" w:right="0"/>
              <w:jc w:val="left"/>
              <w:rPr>
                <w:rFonts w:ascii="宋体" w:hAnsi="宋体" w:cs="宋体" w:eastAsia="宋体" w:hint="default"/>
                <w:sz w:val="18"/>
                <w:szCs w:val="18"/>
              </w:rPr>
            </w:pPr>
            <w:r>
              <w:rPr>
                <w:rFonts w:ascii="宋体" w:hAnsi="宋体" w:cs="宋体" w:eastAsia="宋体" w:hint="default"/>
                <w:sz w:val="18"/>
                <w:szCs w:val="18"/>
              </w:rPr>
              <w:t>诺的有关限售条件</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03</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02</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71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吉林长白山股权投资</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管理有限公司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4"/>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13,000,000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40"/>
              <w:jc w:val="right"/>
              <w:rPr>
                <w:rFonts w:ascii="宋体" w:hAnsi="宋体" w:cs="宋体" w:eastAsia="宋体" w:hint="default"/>
                <w:sz w:val="18"/>
                <w:szCs w:val="18"/>
              </w:rPr>
            </w:pPr>
            <w:r>
              <w:rPr>
                <w:rFonts w:ascii="宋体"/>
                <w:spacing w:val="-1"/>
                <w:sz w:val="18"/>
              </w:rPr>
              <w:t>13,000,000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年非公开发</w:t>
            </w:r>
          </w:p>
          <w:p>
            <w:pPr>
              <w:pStyle w:val="TableParagraph"/>
              <w:spacing w:line="240" w:lineRule="auto" w:before="115"/>
              <w:ind w:left="1" w:right="0"/>
              <w:jc w:val="center"/>
              <w:rPr>
                <w:rFonts w:ascii="宋体" w:hAnsi="宋体" w:cs="宋体" w:eastAsia="宋体" w:hint="default"/>
                <w:sz w:val="18"/>
                <w:szCs w:val="18"/>
              </w:rPr>
            </w:pPr>
            <w:r>
              <w:rPr>
                <w:rFonts w:ascii="宋体" w:hAnsi="宋体" w:cs="宋体" w:eastAsia="宋体" w:hint="default"/>
                <w:sz w:val="18"/>
                <w:szCs w:val="18"/>
              </w:rPr>
              <w:t>行股票锁定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20" w:footer="950" w:top="1300" w:bottom="1140" w:left="580" w:right="0"/>
        </w:sectPr>
      </w:pPr>
    </w:p>
    <w:tbl>
      <w:tblPr>
        <w:tblW w:w="0" w:type="auto"/>
        <w:jc w:val="left"/>
        <w:tblInd w:w="106" w:type="dxa"/>
        <w:tblLayout w:type="fixed"/>
        <w:tblCellMar>
          <w:top w:w="0" w:type="dxa"/>
          <w:left w:w="0" w:type="dxa"/>
          <w:bottom w:w="0" w:type="dxa"/>
          <w:right w:w="0" w:type="dxa"/>
        </w:tblCellMar>
        <w:tblLook w:val="01E0"/>
      </w:tblPr>
      <w:tblGrid>
        <w:gridCol w:w="1733"/>
        <w:gridCol w:w="1561"/>
        <w:gridCol w:w="1416"/>
        <w:gridCol w:w="1416"/>
        <w:gridCol w:w="1392"/>
        <w:gridCol w:w="1503"/>
        <w:gridCol w:w="1505"/>
      </w:tblGrid>
      <w:tr>
        <w:trPr>
          <w:trHeight w:val="723" w:hRule="exact"/>
        </w:trPr>
        <w:tc>
          <w:tcPr>
            <w:tcW w:w="1733" w:type="dxa"/>
            <w:tcBorders>
              <w:top w:val="single" w:sz="10"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百年化妆护理品有限</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5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0</w:t>
            </w:r>
          </w:p>
        </w:tc>
        <w:tc>
          <w:tcPr>
            <w:tcW w:w="14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2"/>
              <w:ind w:right="4"/>
              <w:jc w:val="center"/>
              <w:rPr>
                <w:rFonts w:ascii="宋体" w:hAnsi="宋体" w:cs="宋体" w:eastAsia="宋体" w:hint="default"/>
                <w:sz w:val="18"/>
                <w:szCs w:val="18"/>
              </w:rPr>
            </w:pPr>
            <w:r>
              <w:rPr>
                <w:rFonts w:ascii="宋体"/>
                <w:sz w:val="18"/>
              </w:rPr>
              <w:t>0</w:t>
            </w:r>
          </w:p>
        </w:tc>
        <w:tc>
          <w:tcPr>
            <w:tcW w:w="14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8,000,000</w:t>
            </w:r>
          </w:p>
        </w:tc>
        <w:tc>
          <w:tcPr>
            <w:tcW w:w="13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8,000,000</w:t>
            </w:r>
          </w:p>
        </w:tc>
        <w:tc>
          <w:tcPr>
            <w:tcW w:w="1503" w:type="dxa"/>
            <w:tcBorders>
              <w:top w:val="single" w:sz="10" w:space="0" w:color="000000"/>
              <w:left w:val="single" w:sz="4" w:space="0" w:color="000000"/>
              <w:bottom w:val="single" w:sz="4" w:space="0" w:color="000000"/>
              <w:right w:val="single" w:sz="4" w:space="0" w:color="000000"/>
            </w:tcBorders>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年非公开发</w:t>
            </w:r>
          </w:p>
          <w:p>
            <w:pPr>
              <w:pStyle w:val="TableParagraph"/>
              <w:spacing w:line="240" w:lineRule="auto" w:before="115"/>
              <w:ind w:left="1" w:right="0"/>
              <w:jc w:val="center"/>
              <w:rPr>
                <w:rFonts w:ascii="宋体" w:hAnsi="宋体" w:cs="宋体" w:eastAsia="宋体" w:hint="default"/>
                <w:sz w:val="18"/>
                <w:szCs w:val="18"/>
              </w:rPr>
            </w:pPr>
            <w:r>
              <w:rPr>
                <w:rFonts w:ascii="宋体" w:hAnsi="宋体" w:cs="宋体" w:eastAsia="宋体" w:hint="default"/>
                <w:sz w:val="18"/>
                <w:szCs w:val="18"/>
              </w:rPr>
              <w:t>行股票锁定</w:t>
            </w:r>
          </w:p>
        </w:tc>
        <w:tc>
          <w:tcPr>
            <w:tcW w:w="150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106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天津硅谷天堂鲲鹏股</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权投资基金合伙企业</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4"/>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8,000,000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8,000,000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37"/>
              <w:ind w:left="297" w:right="89" w:hanging="20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年非公开发 行股票锁定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1058"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50" w:right="0"/>
              <w:jc w:val="left"/>
              <w:rPr>
                <w:rFonts w:ascii="宋体" w:hAnsi="宋体" w:cs="宋体" w:eastAsia="宋体" w:hint="default"/>
                <w:sz w:val="18"/>
                <w:szCs w:val="18"/>
              </w:rPr>
            </w:pPr>
            <w:r>
              <w:rPr>
                <w:rFonts w:ascii="宋体" w:hAnsi="宋体" w:cs="宋体" w:eastAsia="宋体" w:hint="default"/>
                <w:sz w:val="18"/>
                <w:szCs w:val="18"/>
              </w:rPr>
              <w:t>太平人寿保险有限公</w:t>
            </w:r>
          </w:p>
          <w:p>
            <w:pPr>
              <w:pStyle w:val="TableParagraph"/>
              <w:spacing w:line="355" w:lineRule="auto" w:before="115"/>
              <w:ind w:left="74" w:right="51" w:hanging="24"/>
              <w:jc w:val="left"/>
              <w:rPr>
                <w:rFonts w:ascii="宋体" w:hAnsi="宋体" w:cs="宋体" w:eastAsia="宋体" w:hint="default"/>
                <w:sz w:val="18"/>
                <w:szCs w:val="18"/>
              </w:rPr>
            </w:pPr>
            <w:r>
              <w:rPr>
                <w:rFonts w:ascii="宋体" w:hAnsi="宋体" w:cs="宋体" w:eastAsia="宋体" w:hint="default"/>
                <w:sz w:val="18"/>
                <w:szCs w:val="18"/>
              </w:rPr>
              <w:t>司－传统－普通保险 产品</w:t>
            </w:r>
            <w:r>
              <w:rPr>
                <w:rFonts w:ascii="宋体" w:hAnsi="宋体" w:cs="宋体" w:eastAsia="宋体" w:hint="default"/>
                <w:sz w:val="18"/>
                <w:szCs w:val="18"/>
              </w:rPr>
              <w:t>-022L-CT001</w:t>
            </w:r>
            <w:r>
              <w:rPr>
                <w:rFonts w:ascii="宋体" w:hAnsi="宋体" w:cs="宋体" w:eastAsia="宋体" w:hint="default"/>
                <w:spacing w:val="-47"/>
                <w:sz w:val="18"/>
                <w:szCs w:val="18"/>
              </w:rPr>
              <w:t> </w:t>
            </w:r>
            <w:r>
              <w:rPr>
                <w:rFonts w:ascii="宋体" w:hAnsi="宋体" w:cs="宋体" w:eastAsia="宋体" w:hint="default"/>
                <w:sz w:val="18"/>
                <w:szCs w:val="18"/>
              </w:rPr>
              <w:t>深</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4"/>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8,000,000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8,000,000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37"/>
              <w:ind w:left="297" w:right="89" w:hanging="20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年非公开发 行股票锁定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71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杨录军</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4"/>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3,875,311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3,875,311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年非公开发</w:t>
            </w:r>
          </w:p>
          <w:p>
            <w:pPr>
              <w:pStyle w:val="TableParagraph"/>
              <w:spacing w:line="240" w:lineRule="auto" w:before="112"/>
              <w:ind w:left="1" w:right="0"/>
              <w:jc w:val="center"/>
              <w:rPr>
                <w:rFonts w:ascii="宋体" w:hAnsi="宋体" w:cs="宋体" w:eastAsia="宋体" w:hint="default"/>
                <w:sz w:val="18"/>
                <w:szCs w:val="18"/>
              </w:rPr>
            </w:pPr>
            <w:r>
              <w:rPr>
                <w:rFonts w:ascii="宋体" w:hAnsi="宋体" w:cs="宋体" w:eastAsia="宋体" w:hint="default"/>
                <w:sz w:val="18"/>
                <w:szCs w:val="18"/>
              </w:rPr>
              <w:t>行股票锁定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106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50" w:right="0"/>
              <w:jc w:val="left"/>
              <w:rPr>
                <w:rFonts w:ascii="宋体" w:hAnsi="宋体" w:cs="宋体" w:eastAsia="宋体" w:hint="default"/>
                <w:sz w:val="18"/>
                <w:szCs w:val="18"/>
              </w:rPr>
            </w:pPr>
            <w:r>
              <w:rPr>
                <w:rFonts w:ascii="宋体" w:hAnsi="宋体" w:cs="宋体" w:eastAsia="宋体" w:hint="default"/>
                <w:sz w:val="18"/>
                <w:szCs w:val="18"/>
              </w:rPr>
              <w:t>中国工商银行－兴业</w:t>
            </w:r>
          </w:p>
          <w:p>
            <w:pPr>
              <w:pStyle w:val="TableParagraph"/>
              <w:spacing w:line="357" w:lineRule="auto" w:before="115"/>
              <w:ind w:left="590" w:right="51" w:hanging="541"/>
              <w:jc w:val="left"/>
              <w:rPr>
                <w:rFonts w:ascii="宋体" w:hAnsi="宋体" w:cs="宋体" w:eastAsia="宋体" w:hint="default"/>
                <w:sz w:val="18"/>
                <w:szCs w:val="18"/>
              </w:rPr>
            </w:pPr>
            <w:r>
              <w:rPr>
                <w:rFonts w:ascii="宋体" w:hAnsi="宋体" w:cs="宋体" w:eastAsia="宋体" w:hint="default"/>
                <w:sz w:val="18"/>
                <w:szCs w:val="18"/>
              </w:rPr>
              <w:t>可转债混合型证券投 资基金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4"/>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3,000,000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3,000,000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37"/>
              <w:ind w:left="297" w:right="89" w:hanging="20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年非公开发 行股票锁定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106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50" w:right="0" w:firstLine="45"/>
              <w:jc w:val="left"/>
              <w:rPr>
                <w:rFonts w:ascii="宋体" w:hAnsi="宋体" w:cs="宋体" w:eastAsia="宋体" w:hint="default"/>
                <w:sz w:val="18"/>
                <w:szCs w:val="18"/>
              </w:rPr>
            </w:pPr>
            <w:r>
              <w:rPr>
                <w:rFonts w:ascii="宋体" w:hAnsi="宋体" w:cs="宋体" w:eastAsia="宋体" w:hint="default"/>
                <w:sz w:val="18"/>
                <w:szCs w:val="18"/>
              </w:rPr>
              <w:t>中国建设银行</w:t>
            </w:r>
            <w:r>
              <w:rPr>
                <w:rFonts w:ascii="宋体" w:hAnsi="宋体" w:cs="宋体" w:eastAsia="宋体" w:hint="default"/>
                <w:sz w:val="18"/>
                <w:szCs w:val="18"/>
              </w:rPr>
              <w:t>-</w:t>
            </w:r>
            <w:r>
              <w:rPr>
                <w:rFonts w:ascii="宋体" w:hAnsi="宋体" w:cs="宋体" w:eastAsia="宋体" w:hint="default"/>
                <w:sz w:val="18"/>
                <w:szCs w:val="18"/>
              </w:rPr>
              <w:t>兴业</w:t>
            </w:r>
          </w:p>
          <w:p>
            <w:pPr>
              <w:pStyle w:val="TableParagraph"/>
              <w:spacing w:line="357" w:lineRule="auto" w:before="115"/>
              <w:ind w:left="501" w:right="51" w:hanging="452"/>
              <w:jc w:val="left"/>
              <w:rPr>
                <w:rFonts w:ascii="宋体" w:hAnsi="宋体" w:cs="宋体" w:eastAsia="宋体" w:hint="default"/>
                <w:sz w:val="18"/>
                <w:szCs w:val="18"/>
              </w:rPr>
            </w:pPr>
            <w:r>
              <w:rPr>
                <w:rFonts w:ascii="宋体" w:hAnsi="宋体" w:cs="宋体" w:eastAsia="宋体" w:hint="default"/>
                <w:sz w:val="18"/>
                <w:szCs w:val="18"/>
              </w:rPr>
              <w:t>社会责任股票型证券 投资基金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4"/>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2,000,000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sz w:val="18"/>
              </w:rPr>
              <w:t>2,000,000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37"/>
              <w:ind w:left="297" w:right="89" w:hanging="20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年非公开发 行股票锁定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106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50" w:right="0" w:firstLine="45"/>
              <w:jc w:val="left"/>
              <w:rPr>
                <w:rFonts w:ascii="宋体" w:hAnsi="宋体" w:cs="宋体" w:eastAsia="宋体" w:hint="default"/>
                <w:sz w:val="18"/>
                <w:szCs w:val="18"/>
              </w:rPr>
            </w:pPr>
            <w:r>
              <w:rPr>
                <w:rFonts w:ascii="宋体" w:hAnsi="宋体" w:cs="宋体" w:eastAsia="宋体" w:hint="default"/>
                <w:sz w:val="18"/>
                <w:szCs w:val="18"/>
              </w:rPr>
              <w:t>兴业银行</w:t>
            </w:r>
            <w:r>
              <w:rPr>
                <w:rFonts w:ascii="宋体" w:hAnsi="宋体" w:cs="宋体" w:eastAsia="宋体" w:hint="default"/>
                <w:sz w:val="18"/>
                <w:szCs w:val="18"/>
              </w:rPr>
              <w:t>-</w:t>
            </w:r>
            <w:r>
              <w:rPr>
                <w:rFonts w:ascii="宋体" w:hAnsi="宋体" w:cs="宋体" w:eastAsia="宋体" w:hint="default"/>
                <w:sz w:val="18"/>
                <w:szCs w:val="18"/>
              </w:rPr>
              <w:t>兴业有机</w:t>
            </w:r>
          </w:p>
          <w:p>
            <w:pPr>
              <w:pStyle w:val="TableParagraph"/>
              <w:spacing w:line="357" w:lineRule="auto" w:before="115"/>
              <w:ind w:left="321" w:right="51" w:hanging="272"/>
              <w:jc w:val="left"/>
              <w:rPr>
                <w:rFonts w:ascii="宋体" w:hAnsi="宋体" w:cs="宋体" w:eastAsia="宋体" w:hint="default"/>
                <w:sz w:val="18"/>
                <w:szCs w:val="18"/>
              </w:rPr>
            </w:pPr>
            <w:r>
              <w:rPr>
                <w:rFonts w:ascii="宋体" w:hAnsi="宋体" w:cs="宋体" w:eastAsia="宋体" w:hint="default"/>
                <w:sz w:val="18"/>
                <w:szCs w:val="18"/>
              </w:rPr>
              <w:t>增长灵活配置混合型 证券投资基金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4"/>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2,000,000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2,000,000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37"/>
              <w:ind w:left="297" w:right="89" w:hanging="20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年非公开发 行股票锁定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71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1"/>
              <w:jc w:val="center"/>
              <w:rPr>
                <w:rFonts w:ascii="宋体" w:hAnsi="宋体" w:cs="宋体" w:eastAsia="宋体" w:hint="default"/>
                <w:sz w:val="18"/>
                <w:szCs w:val="18"/>
              </w:rPr>
            </w:pPr>
            <w:r>
              <w:rPr>
                <w:rFonts w:ascii="宋体" w:hAnsi="宋体" w:cs="宋体" w:eastAsia="宋体" w:hint="default"/>
                <w:sz w:val="18"/>
                <w:szCs w:val="18"/>
              </w:rPr>
              <w:t>兴业全球基金公司</w:t>
            </w:r>
            <w:r>
              <w:rPr>
                <w:rFonts w:ascii="宋体" w:hAnsi="宋体" w:cs="宋体" w:eastAsia="宋体" w:hint="default"/>
                <w:sz w:val="18"/>
                <w:szCs w:val="18"/>
              </w:rPr>
              <w:t>-</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兴业</w:t>
            </w:r>
            <w:r>
              <w:rPr>
                <w:rFonts w:ascii="宋体" w:hAnsi="宋体" w:cs="宋体" w:eastAsia="宋体" w:hint="default"/>
                <w:sz w:val="18"/>
                <w:szCs w:val="18"/>
              </w:rPr>
              <w:t>-</w:t>
            </w:r>
            <w:r>
              <w:rPr>
                <w:rFonts w:ascii="宋体" w:hAnsi="宋体" w:cs="宋体" w:eastAsia="宋体" w:hint="default"/>
                <w:sz w:val="18"/>
                <w:szCs w:val="18"/>
              </w:rPr>
              <w:t>白新亮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4"/>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1,000,000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1,000,000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1"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年非公开发</w:t>
            </w:r>
          </w:p>
          <w:p>
            <w:pPr>
              <w:pStyle w:val="TableParagraph"/>
              <w:spacing w:line="240" w:lineRule="auto" w:before="115"/>
              <w:ind w:left="1" w:right="0"/>
              <w:jc w:val="center"/>
              <w:rPr>
                <w:rFonts w:ascii="宋体" w:hAnsi="宋体" w:cs="宋体" w:eastAsia="宋体" w:hint="default"/>
                <w:sz w:val="18"/>
                <w:szCs w:val="18"/>
              </w:rPr>
            </w:pPr>
            <w:r>
              <w:rPr>
                <w:rFonts w:ascii="宋体" w:hAnsi="宋体" w:cs="宋体" w:eastAsia="宋体" w:hint="default"/>
                <w:sz w:val="18"/>
                <w:szCs w:val="18"/>
              </w:rPr>
              <w:t>行股票锁定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141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兴业全球基金公司－</w:t>
            </w:r>
          </w:p>
          <w:p>
            <w:pPr>
              <w:pStyle w:val="TableParagraph"/>
              <w:spacing w:line="357" w:lineRule="auto" w:before="115"/>
              <w:ind w:left="50" w:right="51"/>
              <w:jc w:val="center"/>
              <w:rPr>
                <w:rFonts w:ascii="宋体" w:hAnsi="宋体" w:cs="宋体" w:eastAsia="宋体" w:hint="default"/>
                <w:sz w:val="18"/>
                <w:szCs w:val="18"/>
              </w:rPr>
            </w:pPr>
            <w:r>
              <w:rPr>
                <w:rFonts w:ascii="宋体" w:hAnsi="宋体" w:cs="宋体" w:eastAsia="宋体" w:hint="default"/>
                <w:sz w:val="18"/>
                <w:szCs w:val="18"/>
              </w:rPr>
              <w:t>兴业－兴业全球趋势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号特定多客户资产 管理</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350,000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350,000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57" w:lineRule="auto"/>
              <w:ind w:left="297" w:right="89" w:hanging="20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年非公开发 行股票锁定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1409"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兴业全球基金公司－</w:t>
            </w:r>
          </w:p>
          <w:p>
            <w:pPr>
              <w:pStyle w:val="TableParagraph"/>
              <w:spacing w:line="357" w:lineRule="auto" w:before="115"/>
              <w:ind w:left="50" w:right="48" w:hanging="3"/>
              <w:jc w:val="center"/>
              <w:rPr>
                <w:rFonts w:ascii="宋体" w:hAnsi="宋体" w:cs="宋体" w:eastAsia="宋体" w:hint="default"/>
                <w:sz w:val="18"/>
                <w:szCs w:val="18"/>
              </w:rPr>
            </w:pPr>
            <w:r>
              <w:rPr>
                <w:rFonts w:ascii="宋体" w:hAnsi="宋体" w:cs="宋体" w:eastAsia="宋体" w:hint="default"/>
                <w:sz w:val="18"/>
                <w:szCs w:val="18"/>
              </w:rPr>
              <w:t>招行－兴业全球持续 增长</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号特定多客户 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350,000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350,000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57" w:lineRule="auto"/>
              <w:ind w:left="297" w:right="89" w:hanging="20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年非公开发 行股票锁定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1412"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兴业全球基金公司－</w:t>
            </w:r>
          </w:p>
          <w:p>
            <w:pPr>
              <w:pStyle w:val="TableParagraph"/>
              <w:spacing w:line="357" w:lineRule="auto" w:before="112"/>
              <w:ind w:left="50" w:right="48" w:hanging="3"/>
              <w:jc w:val="center"/>
              <w:rPr>
                <w:rFonts w:ascii="宋体" w:hAnsi="宋体" w:cs="宋体" w:eastAsia="宋体" w:hint="default"/>
                <w:sz w:val="18"/>
                <w:szCs w:val="18"/>
              </w:rPr>
            </w:pPr>
            <w:r>
              <w:rPr>
                <w:rFonts w:ascii="宋体" w:hAnsi="宋体" w:cs="宋体" w:eastAsia="宋体" w:hint="default"/>
                <w:sz w:val="18"/>
                <w:szCs w:val="18"/>
              </w:rPr>
              <w:t>招行－兴业全球持续 增长</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号特定多客户 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300,000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300,000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357" w:lineRule="auto"/>
              <w:ind w:left="297" w:right="89" w:hanging="204"/>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年非公开发 行股票锁定</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宋体" w:hAnsi="宋体" w:cs="宋体" w:eastAsia="宋体" w:hint="default"/>
                <w:sz w:val="18"/>
                <w:szCs w:val="18"/>
              </w:rPr>
              <w:t>29</w:t>
            </w:r>
            <w:r>
              <w:rPr>
                <w:rFonts w:ascii="宋体" w:hAnsi="宋体" w:cs="宋体" w:eastAsia="宋体" w:hint="default"/>
                <w:spacing w:val="-52"/>
                <w:sz w:val="18"/>
                <w:szCs w:val="18"/>
              </w:rPr>
              <w:t> </w:t>
            </w:r>
            <w:r>
              <w:rPr>
                <w:rFonts w:ascii="宋体" w:hAnsi="宋体" w:cs="宋体" w:eastAsia="宋体" w:hint="default"/>
                <w:sz w:val="18"/>
                <w:szCs w:val="18"/>
              </w:rPr>
              <w:t>日</w:t>
            </w:r>
          </w:p>
        </w:tc>
      </w:tr>
      <w:tr>
        <w:trPr>
          <w:trHeight w:val="36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sz w:val="18"/>
              </w:rPr>
              <w:t>83,075,380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2"/>
              <w:jc w:val="center"/>
              <w:rPr>
                <w:rFonts w:ascii="宋体" w:hAnsi="宋体" w:cs="宋体" w:eastAsia="宋体" w:hint="default"/>
                <w:sz w:val="18"/>
                <w:szCs w:val="18"/>
              </w:rPr>
            </w:pPr>
            <w:r>
              <w:rPr>
                <w:rFonts w:ascii="宋体"/>
                <w:sz w:val="18"/>
              </w:rPr>
              <w:t>9,112,140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sz w:val="18"/>
              </w:rPr>
              <w:t>101,649,579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sz w:val="18"/>
              </w:rPr>
              <w:t>175,612,819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19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198" w:lineRule="exact"/>
        <w:jc w:val="center"/>
        <w:rPr>
          <w:rFonts w:ascii="宋体" w:hAnsi="宋体" w:cs="宋体" w:eastAsia="宋体" w:hint="default"/>
          <w:sz w:val="18"/>
          <w:szCs w:val="18"/>
        </w:rPr>
        <w:sectPr>
          <w:pgSz w:w="11910" w:h="16840"/>
          <w:pgMar w:header="720" w:footer="950" w:top="1340" w:bottom="1140" w:left="580" w:right="0"/>
        </w:sectPr>
      </w:pPr>
    </w:p>
    <w:p>
      <w:pPr>
        <w:spacing w:line="240" w:lineRule="auto" w:before="13"/>
        <w:rPr>
          <w:rFonts w:ascii="宋体" w:hAnsi="宋体" w:cs="宋体" w:eastAsia="宋体" w:hint="default"/>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1"/>
        <w:tabs>
          <w:tab w:pos="3789" w:val="left" w:leader="none"/>
        </w:tabs>
        <w:spacing w:line="240" w:lineRule="auto"/>
        <w:ind w:left="2502" w:right="587"/>
        <w:jc w:val="left"/>
        <w:rPr>
          <w:b w:val="0"/>
          <w:bCs w:val="0"/>
        </w:rPr>
      </w:pPr>
      <w:bookmarkStart w:name="_TOC_250007" w:id="4"/>
      <w:r>
        <w:rPr>
          <w:w w:val="95"/>
        </w:rPr>
        <w:t>第四节</w:t>
        <w:tab/>
      </w:r>
      <w:r>
        <w:rPr/>
        <w:t>董事、监事和高级管理人员情况</w:t>
      </w:r>
      <w:bookmarkEnd w:id="4"/>
      <w:r>
        <w:rPr>
          <w:b w:val="0"/>
          <w:bCs w:val="0"/>
        </w:rPr>
      </w:r>
    </w:p>
    <w:p>
      <w:pPr>
        <w:spacing w:line="240" w:lineRule="auto" w:before="12"/>
        <w:rPr>
          <w:rFonts w:ascii="黑体" w:hAnsi="黑体" w:cs="黑体" w:eastAsia="黑体" w:hint="default"/>
          <w:b/>
          <w:bCs/>
          <w:sz w:val="41"/>
          <w:szCs w:val="41"/>
        </w:rPr>
      </w:pPr>
    </w:p>
    <w:p>
      <w:pPr>
        <w:pStyle w:val="Heading2"/>
        <w:spacing w:line="240" w:lineRule="auto"/>
        <w:ind w:left="160" w:right="587"/>
        <w:jc w:val="left"/>
        <w:rPr>
          <w:b w:val="0"/>
          <w:bCs w:val="0"/>
        </w:rPr>
      </w:pPr>
      <w:r>
        <w:rPr/>
        <w:t>一、公司董事、监事和高级管理人员基本情况</w:t>
      </w:r>
      <w:r>
        <w:rPr>
          <w:b w:val="0"/>
          <w:bCs w:val="0"/>
        </w:rPr>
      </w:r>
    </w:p>
    <w:p>
      <w:pPr>
        <w:spacing w:line="357" w:lineRule="auto" w:before="151"/>
        <w:ind w:left="160" w:right="6606" w:firstLine="0"/>
        <w:jc w:val="left"/>
        <w:rPr>
          <w:rFonts w:ascii="宋体" w:hAnsi="宋体" w:cs="宋体" w:eastAsia="宋体" w:hint="default"/>
          <w:sz w:val="24"/>
          <w:szCs w:val="24"/>
        </w:rPr>
      </w:pPr>
      <w:r>
        <w:rPr>
          <w:rFonts w:ascii="宋体" w:hAnsi="宋体" w:cs="宋体" w:eastAsia="宋体" w:hint="default"/>
          <w:b/>
          <w:bCs/>
          <w:sz w:val="24"/>
          <w:szCs w:val="24"/>
        </w:rPr>
        <w:t>（一）基本情况</w:t>
      </w:r>
      <w:r>
        <w:rPr>
          <w:rFonts w:ascii="宋体" w:hAnsi="宋体" w:cs="宋体" w:eastAsia="宋体" w:hint="default"/>
          <w:b/>
          <w:bCs/>
          <w:w w:val="99"/>
          <w:sz w:val="24"/>
          <w:szCs w:val="24"/>
        </w:rPr>
        <w:t> </w:t>
      </w:r>
      <w:r>
        <w:rPr>
          <w:rFonts w:ascii="宋体" w:hAnsi="宋体" w:cs="宋体" w:eastAsia="宋体" w:hint="default"/>
          <w:sz w:val="24"/>
          <w:szCs w:val="24"/>
        </w:rPr>
        <w:t>董事、监事和高级管理人员任职及持股情况</w:t>
      </w:r>
    </w:p>
    <w:p>
      <w:pPr>
        <w:spacing w:before="41"/>
        <w:ind w:left="0" w:right="716"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896"/>
        <w:gridCol w:w="2269"/>
        <w:gridCol w:w="739"/>
        <w:gridCol w:w="473"/>
        <w:gridCol w:w="1755"/>
        <w:gridCol w:w="1757"/>
        <w:gridCol w:w="946"/>
        <w:gridCol w:w="826"/>
        <w:gridCol w:w="881"/>
      </w:tblGrid>
      <w:tr>
        <w:trPr>
          <w:trHeight w:val="639" w:hRule="exact"/>
        </w:trPr>
        <w:tc>
          <w:tcPr>
            <w:tcW w:w="8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1"/>
              <w:ind w:left="16"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26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73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47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75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4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286" w:right="0" w:hanging="90"/>
              <w:jc w:val="left"/>
              <w:rPr>
                <w:rFonts w:ascii="宋体" w:hAnsi="宋体" w:cs="宋体" w:eastAsia="宋体" w:hint="default"/>
                <w:sz w:val="18"/>
                <w:szCs w:val="18"/>
              </w:rPr>
            </w:pPr>
            <w:r>
              <w:rPr>
                <w:rFonts w:ascii="宋体" w:hAnsi="宋体" w:cs="宋体" w:eastAsia="宋体" w:hint="default"/>
                <w:sz w:val="18"/>
                <w:szCs w:val="18"/>
              </w:rPr>
              <w:t>年初持</w:t>
            </w:r>
          </w:p>
          <w:p>
            <w:pPr>
              <w:pStyle w:val="TableParagraph"/>
              <w:spacing w:line="240" w:lineRule="auto" w:before="115"/>
              <w:ind w:left="286"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826"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年末持股</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8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1"/>
              <w:ind w:right="1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571"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3"/>
              <w:ind w:left="18" w:right="0"/>
              <w:jc w:val="center"/>
              <w:rPr>
                <w:rFonts w:ascii="宋体" w:hAnsi="宋体" w:cs="宋体" w:eastAsia="宋体" w:hint="default"/>
                <w:sz w:val="18"/>
                <w:szCs w:val="18"/>
              </w:rPr>
            </w:pPr>
            <w:r>
              <w:rPr>
                <w:rFonts w:ascii="宋体" w:hAnsi="宋体" w:cs="宋体" w:eastAsia="宋体" w:hint="default"/>
                <w:sz w:val="18"/>
                <w:szCs w:val="18"/>
              </w:rPr>
              <w:t>郭春生</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center"/>
              <w:rPr>
                <w:rFonts w:ascii="宋体" w:hAnsi="宋体" w:cs="宋体" w:eastAsia="宋体" w:hint="default"/>
                <w:sz w:val="18"/>
                <w:szCs w:val="18"/>
              </w:rPr>
            </w:pPr>
            <w:r>
              <w:rPr>
                <w:rFonts w:ascii="宋体" w:hAnsi="宋体" w:cs="宋体" w:eastAsia="宋体" w:hint="default"/>
                <w:sz w:val="18"/>
                <w:szCs w:val="18"/>
              </w:rPr>
              <w:t>董事长兼总经理</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宋体"/>
                <w:sz w:val="18"/>
              </w:rPr>
              <w:t>40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3"/>
              <w:ind w:right="7"/>
              <w:jc w:val="center"/>
              <w:rPr>
                <w:rFonts w:ascii="宋体" w:hAnsi="宋体" w:cs="宋体" w:eastAsia="宋体" w:hint="default"/>
                <w:sz w:val="18"/>
                <w:szCs w:val="18"/>
              </w:rPr>
            </w:pPr>
            <w:r>
              <w:rPr>
                <w:rFonts w:ascii="宋体" w:hAnsi="宋体" w:cs="宋体" w:eastAsia="宋体" w:hint="default"/>
                <w:sz w:val="18"/>
                <w:szCs w:val="18"/>
              </w:rPr>
              <w:t>无变动</w:t>
            </w:r>
          </w:p>
        </w:tc>
      </w:tr>
      <w:tr>
        <w:trPr>
          <w:trHeight w:val="396"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祖春香</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sz w:val="18"/>
              </w:rPr>
              <w:t>52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7"/>
              <w:jc w:val="center"/>
              <w:rPr>
                <w:rFonts w:ascii="宋体" w:hAnsi="宋体" w:cs="宋体" w:eastAsia="宋体" w:hint="default"/>
                <w:sz w:val="18"/>
                <w:szCs w:val="18"/>
              </w:rPr>
            </w:pPr>
            <w:r>
              <w:rPr>
                <w:rFonts w:ascii="宋体" w:hAnsi="宋体" w:cs="宋体" w:eastAsia="宋体" w:hint="default"/>
                <w:sz w:val="18"/>
                <w:szCs w:val="18"/>
              </w:rPr>
              <w:t>无变动</w:t>
            </w:r>
          </w:p>
        </w:tc>
      </w:tr>
      <w:tr>
        <w:trPr>
          <w:trHeight w:val="586"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21" w:right="0"/>
              <w:jc w:val="center"/>
              <w:rPr>
                <w:rFonts w:ascii="宋体" w:hAnsi="宋体" w:cs="宋体" w:eastAsia="宋体" w:hint="default"/>
                <w:sz w:val="18"/>
                <w:szCs w:val="18"/>
              </w:rPr>
            </w:pPr>
            <w:r>
              <w:rPr>
                <w:rFonts w:ascii="宋体" w:hAnsi="宋体" w:cs="宋体" w:eastAsia="宋体" w:hint="default"/>
                <w:sz w:val="18"/>
                <w:szCs w:val="18"/>
              </w:rPr>
              <w:t>秦 </w:t>
            </w:r>
            <w:r>
              <w:rPr>
                <w:rFonts w:ascii="宋体" w:hAnsi="宋体" w:cs="宋体" w:eastAsia="宋体" w:hint="default"/>
                <w:spacing w:val="2"/>
                <w:sz w:val="18"/>
                <w:szCs w:val="18"/>
              </w:rPr>
              <w:t> </w:t>
            </w:r>
            <w:r>
              <w:rPr>
                <w:rFonts w:ascii="宋体" w:hAnsi="宋体" w:cs="宋体" w:eastAsia="宋体" w:hint="default"/>
                <w:sz w:val="18"/>
                <w:szCs w:val="18"/>
              </w:rPr>
              <w:t>静</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董事兼常务</w:t>
            </w: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sz w:val="18"/>
              </w:rPr>
              <w:t>38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0"/>
              <w:ind w:right="7"/>
              <w:jc w:val="center"/>
              <w:rPr>
                <w:rFonts w:ascii="宋体" w:hAnsi="宋体" w:cs="宋体" w:eastAsia="宋体" w:hint="default"/>
                <w:sz w:val="18"/>
                <w:szCs w:val="18"/>
              </w:rPr>
            </w:pPr>
            <w:r>
              <w:rPr>
                <w:rFonts w:ascii="宋体" w:hAnsi="宋体" w:cs="宋体" w:eastAsia="宋体" w:hint="default"/>
                <w:sz w:val="18"/>
                <w:szCs w:val="18"/>
              </w:rPr>
              <w:t>已离职</w:t>
            </w:r>
          </w:p>
        </w:tc>
      </w:tr>
      <w:tr>
        <w:trPr>
          <w:trHeight w:val="396"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殷金龙</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sz w:val="18"/>
              </w:rPr>
              <w:t>32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7"/>
              <w:jc w:val="center"/>
              <w:rPr>
                <w:rFonts w:ascii="宋体" w:hAnsi="宋体" w:cs="宋体" w:eastAsia="宋体" w:hint="default"/>
                <w:sz w:val="18"/>
                <w:szCs w:val="18"/>
              </w:rPr>
            </w:pPr>
            <w:r>
              <w:rPr>
                <w:rFonts w:ascii="宋体" w:hAnsi="宋体" w:cs="宋体" w:eastAsia="宋体" w:hint="default"/>
                <w:sz w:val="18"/>
                <w:szCs w:val="18"/>
              </w:rPr>
              <w:t>无变动</w:t>
            </w:r>
          </w:p>
        </w:tc>
      </w:tr>
      <w:tr>
        <w:trPr>
          <w:trHeight w:val="710"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18" w:right="0"/>
              <w:jc w:val="center"/>
              <w:rPr>
                <w:rFonts w:ascii="宋体" w:hAnsi="宋体" w:cs="宋体" w:eastAsia="宋体" w:hint="default"/>
                <w:sz w:val="18"/>
                <w:szCs w:val="18"/>
              </w:rPr>
            </w:pPr>
            <w:r>
              <w:rPr>
                <w:rFonts w:ascii="宋体" w:hAnsi="宋体" w:cs="宋体" w:eastAsia="宋体" w:hint="default"/>
                <w:sz w:val="18"/>
                <w:szCs w:val="18"/>
              </w:rPr>
              <w:t>曹恩辉</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董事、董事会秘书</w:t>
            </w:r>
          </w:p>
          <w:p>
            <w:pPr>
              <w:pStyle w:val="TableParagraph"/>
              <w:spacing w:line="240" w:lineRule="auto" w:before="115"/>
              <w:ind w:right="3"/>
              <w:jc w:val="center"/>
              <w:rPr>
                <w:rFonts w:ascii="宋体" w:hAnsi="宋体" w:cs="宋体" w:eastAsia="宋体" w:hint="default"/>
                <w:sz w:val="18"/>
                <w:szCs w:val="18"/>
              </w:rPr>
            </w:pPr>
            <w:r>
              <w:rPr>
                <w:rFonts w:ascii="宋体" w:hAnsi="宋体" w:cs="宋体" w:eastAsia="宋体" w:hint="default"/>
                <w:sz w:val="18"/>
                <w:szCs w:val="18"/>
              </w:rPr>
              <w:t>兼副总经理</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 w:right="0"/>
              <w:jc w:val="center"/>
              <w:rPr>
                <w:rFonts w:ascii="宋体" w:hAnsi="宋体" w:cs="宋体" w:eastAsia="宋体" w:hint="default"/>
                <w:sz w:val="18"/>
                <w:szCs w:val="18"/>
              </w:rPr>
            </w:pPr>
            <w:r>
              <w:rPr>
                <w:rFonts w:ascii="宋体"/>
                <w:sz w:val="18"/>
              </w:rPr>
              <w:t>36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7"/>
              <w:jc w:val="center"/>
              <w:rPr>
                <w:rFonts w:ascii="宋体" w:hAnsi="宋体" w:cs="宋体" w:eastAsia="宋体" w:hint="default"/>
                <w:sz w:val="18"/>
                <w:szCs w:val="18"/>
              </w:rPr>
            </w:pPr>
            <w:r>
              <w:rPr>
                <w:rFonts w:ascii="宋体" w:hAnsi="宋体" w:cs="宋体" w:eastAsia="宋体" w:hint="default"/>
                <w:sz w:val="18"/>
                <w:szCs w:val="18"/>
              </w:rPr>
              <w:t>无变动</w:t>
            </w:r>
          </w:p>
        </w:tc>
      </w:tr>
      <w:tr>
        <w:trPr>
          <w:trHeight w:val="398"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果德安</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sz w:val="18"/>
              </w:rPr>
              <w:t>49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10"/>
              <w:jc w:val="center"/>
              <w:rPr>
                <w:rFonts w:ascii="宋体" w:hAnsi="宋体" w:cs="宋体" w:eastAsia="宋体" w:hint="default"/>
                <w:sz w:val="18"/>
                <w:szCs w:val="18"/>
              </w:rPr>
            </w:pPr>
            <w:r>
              <w:rPr>
                <w:rFonts w:ascii="宋体" w:hAnsi="宋体" w:cs="宋体" w:eastAsia="宋体" w:hint="default"/>
                <w:sz w:val="18"/>
                <w:szCs w:val="18"/>
              </w:rPr>
              <w:t>任期届满</w:t>
            </w:r>
          </w:p>
        </w:tc>
      </w:tr>
      <w:tr>
        <w:trPr>
          <w:trHeight w:val="396"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马利杰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sz w:val="18"/>
              </w:rPr>
              <w:t>57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10"/>
              <w:jc w:val="center"/>
              <w:rPr>
                <w:rFonts w:ascii="宋体" w:hAnsi="宋体" w:cs="宋体" w:eastAsia="宋体" w:hint="default"/>
                <w:sz w:val="18"/>
                <w:szCs w:val="18"/>
              </w:rPr>
            </w:pPr>
            <w:r>
              <w:rPr>
                <w:rFonts w:ascii="宋体" w:hAnsi="宋体" w:cs="宋体" w:eastAsia="宋体" w:hint="default"/>
                <w:sz w:val="18"/>
                <w:szCs w:val="18"/>
              </w:rPr>
              <w:t>任期届满</w:t>
            </w:r>
          </w:p>
        </w:tc>
      </w:tr>
      <w:tr>
        <w:trPr>
          <w:trHeight w:val="398"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徐卫东</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sz w:val="18"/>
              </w:rPr>
              <w:t>52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7"/>
              <w:jc w:val="center"/>
              <w:rPr>
                <w:rFonts w:ascii="宋体" w:hAnsi="宋体" w:cs="宋体" w:eastAsia="宋体" w:hint="default"/>
                <w:sz w:val="18"/>
                <w:szCs w:val="18"/>
              </w:rPr>
            </w:pPr>
            <w:r>
              <w:rPr>
                <w:rFonts w:ascii="宋体" w:hAnsi="宋体" w:cs="宋体" w:eastAsia="宋体" w:hint="default"/>
                <w:sz w:val="18"/>
                <w:szCs w:val="18"/>
              </w:rPr>
              <w:t>无变动</w:t>
            </w:r>
          </w:p>
        </w:tc>
      </w:tr>
      <w:tr>
        <w:trPr>
          <w:trHeight w:val="396"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21" w:right="0"/>
              <w:jc w:val="center"/>
              <w:rPr>
                <w:rFonts w:ascii="宋体" w:hAnsi="宋体" w:cs="宋体" w:eastAsia="宋体" w:hint="default"/>
                <w:sz w:val="18"/>
                <w:szCs w:val="18"/>
              </w:rPr>
            </w:pPr>
            <w:r>
              <w:rPr>
                <w:rFonts w:ascii="宋体" w:hAnsi="宋体" w:cs="宋体" w:eastAsia="宋体" w:hint="default"/>
                <w:sz w:val="18"/>
                <w:szCs w:val="18"/>
              </w:rPr>
              <w:t>方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宋体" w:hAnsi="宋体" w:cs="宋体" w:eastAsia="宋体" w:hint="default"/>
                <w:sz w:val="18"/>
                <w:szCs w:val="18"/>
              </w:rPr>
            </w:pPr>
            <w:r>
              <w:rPr>
                <w:rFonts w:ascii="宋体"/>
                <w:sz w:val="18"/>
              </w:rPr>
              <w:t>40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7"/>
              <w:jc w:val="center"/>
              <w:rPr>
                <w:rFonts w:ascii="宋体" w:hAnsi="宋体" w:cs="宋体" w:eastAsia="宋体" w:hint="default"/>
                <w:sz w:val="18"/>
                <w:szCs w:val="18"/>
              </w:rPr>
            </w:pPr>
            <w:r>
              <w:rPr>
                <w:rFonts w:ascii="宋体" w:hAnsi="宋体" w:cs="宋体" w:eastAsia="宋体" w:hint="default"/>
                <w:sz w:val="18"/>
                <w:szCs w:val="18"/>
              </w:rPr>
              <w:t>新任职</w:t>
            </w:r>
          </w:p>
        </w:tc>
      </w:tr>
      <w:tr>
        <w:trPr>
          <w:trHeight w:val="396"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1"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飞</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sz w:val="18"/>
              </w:rPr>
              <w:t>48</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7"/>
              <w:jc w:val="center"/>
              <w:rPr>
                <w:rFonts w:ascii="宋体" w:hAnsi="宋体" w:cs="宋体" w:eastAsia="宋体" w:hint="default"/>
                <w:sz w:val="18"/>
                <w:szCs w:val="18"/>
              </w:rPr>
            </w:pPr>
            <w:r>
              <w:rPr>
                <w:rFonts w:ascii="宋体" w:hAnsi="宋体" w:cs="宋体" w:eastAsia="宋体" w:hint="default"/>
                <w:sz w:val="18"/>
                <w:szCs w:val="18"/>
              </w:rPr>
              <w:t>新任职</w:t>
            </w:r>
          </w:p>
        </w:tc>
      </w:tr>
      <w:tr>
        <w:trPr>
          <w:trHeight w:val="398"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21" w:right="0"/>
              <w:jc w:val="center"/>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sz w:val="18"/>
              </w:rPr>
              <w:t>54</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500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10"/>
              <w:jc w:val="center"/>
              <w:rPr>
                <w:rFonts w:ascii="宋体" w:hAnsi="宋体" w:cs="宋体" w:eastAsia="宋体" w:hint="default"/>
                <w:sz w:val="18"/>
                <w:szCs w:val="18"/>
              </w:rPr>
            </w:pPr>
            <w:r>
              <w:rPr>
                <w:rFonts w:ascii="宋体" w:hAnsi="宋体" w:cs="宋体" w:eastAsia="宋体" w:hint="default"/>
                <w:sz w:val="18"/>
                <w:szCs w:val="18"/>
              </w:rPr>
              <w:t>离任</w:t>
            </w:r>
          </w:p>
        </w:tc>
      </w:tr>
      <w:tr>
        <w:trPr>
          <w:trHeight w:val="396"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汤兆利</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sz w:val="18"/>
              </w:rPr>
              <w:t>57</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7"/>
              <w:jc w:val="center"/>
              <w:rPr>
                <w:rFonts w:ascii="宋体" w:hAnsi="宋体" w:cs="宋体" w:eastAsia="宋体" w:hint="default"/>
                <w:sz w:val="18"/>
                <w:szCs w:val="18"/>
              </w:rPr>
            </w:pPr>
            <w:r>
              <w:rPr>
                <w:rFonts w:ascii="宋体" w:hAnsi="宋体" w:cs="宋体" w:eastAsia="宋体" w:hint="default"/>
                <w:sz w:val="18"/>
                <w:szCs w:val="18"/>
              </w:rPr>
              <w:t>无变动</w:t>
            </w:r>
          </w:p>
        </w:tc>
      </w:tr>
      <w:tr>
        <w:trPr>
          <w:trHeight w:val="398"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范水波</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sz w:val="18"/>
              </w:rPr>
              <w:t>42</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7"/>
              <w:jc w:val="center"/>
              <w:rPr>
                <w:rFonts w:ascii="宋体" w:hAnsi="宋体" w:cs="宋体" w:eastAsia="宋体" w:hint="default"/>
                <w:sz w:val="18"/>
                <w:szCs w:val="18"/>
              </w:rPr>
            </w:pPr>
            <w:r>
              <w:rPr>
                <w:rFonts w:ascii="宋体" w:hAnsi="宋体" w:cs="宋体" w:eastAsia="宋体" w:hint="default"/>
                <w:sz w:val="18"/>
                <w:szCs w:val="18"/>
              </w:rPr>
              <w:t>新任职</w:t>
            </w:r>
          </w:p>
        </w:tc>
      </w:tr>
      <w:tr>
        <w:trPr>
          <w:trHeight w:val="396"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0" w:lineRule="exact"/>
              <w:ind w:left="21" w:right="0"/>
              <w:jc w:val="center"/>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宋体" w:hAnsi="宋体" w:cs="宋体" w:eastAsia="宋体" w:hint="default"/>
                <w:sz w:val="18"/>
                <w:szCs w:val="18"/>
              </w:rPr>
            </w:pPr>
            <w:r>
              <w:rPr>
                <w:rFonts w:ascii="宋体"/>
                <w:sz w:val="18"/>
              </w:rPr>
              <w:t>39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2"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7"/>
              <w:jc w:val="center"/>
              <w:rPr>
                <w:rFonts w:ascii="宋体" w:hAnsi="宋体" w:cs="宋体" w:eastAsia="宋体" w:hint="default"/>
                <w:sz w:val="18"/>
                <w:szCs w:val="18"/>
              </w:rPr>
            </w:pPr>
            <w:r>
              <w:rPr>
                <w:rFonts w:ascii="宋体" w:hAnsi="宋体" w:cs="宋体" w:eastAsia="宋体" w:hint="default"/>
                <w:sz w:val="18"/>
                <w:szCs w:val="18"/>
              </w:rPr>
              <w:t>新任职</w:t>
            </w:r>
          </w:p>
        </w:tc>
      </w:tr>
      <w:tr>
        <w:trPr>
          <w:trHeight w:val="396"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徐吉峰</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sz w:val="18"/>
              </w:rPr>
              <w:t>36</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7"/>
              <w:jc w:val="center"/>
              <w:rPr>
                <w:rFonts w:ascii="宋体" w:hAnsi="宋体" w:cs="宋体" w:eastAsia="宋体" w:hint="default"/>
                <w:sz w:val="18"/>
                <w:szCs w:val="18"/>
              </w:rPr>
            </w:pPr>
            <w:r>
              <w:rPr>
                <w:rFonts w:ascii="宋体" w:hAnsi="宋体" w:cs="宋体" w:eastAsia="宋体" w:hint="default"/>
                <w:sz w:val="18"/>
                <w:szCs w:val="18"/>
              </w:rPr>
              <w:t>无变动</w:t>
            </w:r>
          </w:p>
        </w:tc>
      </w:tr>
      <w:tr>
        <w:trPr>
          <w:trHeight w:val="399" w:hRule="exact"/>
        </w:trPr>
        <w:tc>
          <w:tcPr>
            <w:tcW w:w="89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李宝芝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sz w:val="18"/>
              </w:rPr>
              <w:t>45</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2"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7"/>
              <w:jc w:val="center"/>
              <w:rPr>
                <w:rFonts w:ascii="宋体" w:hAnsi="宋体" w:cs="宋体" w:eastAsia="宋体" w:hint="default"/>
                <w:sz w:val="18"/>
                <w:szCs w:val="18"/>
              </w:rPr>
            </w:pPr>
            <w:r>
              <w:rPr>
                <w:rFonts w:ascii="宋体" w:hAnsi="宋体" w:cs="宋体" w:eastAsia="宋体" w:hint="default"/>
                <w:sz w:val="18"/>
                <w:szCs w:val="18"/>
              </w:rPr>
              <w:t>无变动</w:t>
            </w:r>
          </w:p>
        </w:tc>
      </w:tr>
      <w:tr>
        <w:trPr>
          <w:trHeight w:val="408" w:hRule="exact"/>
        </w:trPr>
        <w:tc>
          <w:tcPr>
            <w:tcW w:w="896" w:type="dxa"/>
            <w:tcBorders>
              <w:top w:val="single" w:sz="4" w:space="0" w:color="000000"/>
              <w:left w:val="nil" w:sz="6" w:space="0" w:color="auto"/>
              <w:bottom w:val="single" w:sz="12" w:space="0" w:color="000000"/>
              <w:right w:val="single" w:sz="4" w:space="0" w:color="000000"/>
            </w:tcBorders>
          </w:tcPr>
          <w:p>
            <w:pPr>
              <w:pStyle w:val="TableParagraph"/>
              <w:spacing w:line="222" w:lineRule="exact"/>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2"/>
              <w:jc w:val="center"/>
              <w:rPr>
                <w:rFonts w:ascii="宋体" w:hAnsi="宋体" w:cs="宋体" w:eastAsia="宋体" w:hint="default"/>
                <w:sz w:val="18"/>
                <w:szCs w:val="18"/>
              </w:rPr>
            </w:pPr>
            <w:r>
              <w:rPr>
                <w:rFonts w:ascii="宋体"/>
                <w:sz w:val="18"/>
              </w:rPr>
              <w:t>-</w:t>
            </w:r>
          </w:p>
        </w:tc>
        <w:tc>
          <w:tcPr>
            <w:tcW w:w="739"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w:t>
            </w:r>
          </w:p>
        </w:tc>
        <w:tc>
          <w:tcPr>
            <w:tcW w:w="473"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sz w:val="18"/>
              </w:rPr>
              <w:t>-</w:t>
            </w:r>
          </w:p>
        </w:tc>
        <w:tc>
          <w:tcPr>
            <w:tcW w:w="1755"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w:t>
            </w:r>
          </w:p>
        </w:tc>
        <w:tc>
          <w:tcPr>
            <w:tcW w:w="1757"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w:t>
            </w:r>
          </w:p>
        </w:tc>
        <w:tc>
          <w:tcPr>
            <w:tcW w:w="946"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3"/>
              <w:jc w:val="center"/>
              <w:rPr>
                <w:rFonts w:ascii="宋体" w:hAnsi="宋体" w:cs="宋体" w:eastAsia="宋体" w:hint="default"/>
                <w:sz w:val="18"/>
                <w:szCs w:val="18"/>
              </w:rPr>
            </w:pPr>
            <w:r>
              <w:rPr>
                <w:rFonts w:ascii="宋体"/>
                <w:sz w:val="18"/>
              </w:rPr>
              <w:t>0</w:t>
            </w:r>
          </w:p>
        </w:tc>
        <w:tc>
          <w:tcPr>
            <w:tcW w:w="826"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1"/>
              <w:jc w:val="center"/>
              <w:rPr>
                <w:rFonts w:ascii="宋体" w:hAnsi="宋体" w:cs="宋体" w:eastAsia="宋体" w:hint="default"/>
                <w:sz w:val="18"/>
                <w:szCs w:val="18"/>
              </w:rPr>
            </w:pPr>
            <w:r>
              <w:rPr>
                <w:rFonts w:ascii="宋体"/>
                <w:sz w:val="18"/>
              </w:rPr>
              <w:t>0</w:t>
            </w:r>
          </w:p>
        </w:tc>
        <w:tc>
          <w:tcPr>
            <w:tcW w:w="881" w:type="dxa"/>
            <w:tcBorders>
              <w:top w:val="single" w:sz="4" w:space="0" w:color="000000"/>
              <w:left w:val="single" w:sz="4" w:space="0" w:color="000000"/>
              <w:bottom w:val="single" w:sz="12" w:space="0" w:color="000000"/>
              <w:right w:val="nil" w:sz="6" w:space="0" w:color="auto"/>
            </w:tcBorders>
          </w:tcPr>
          <w:p>
            <w:pPr>
              <w:pStyle w:val="TableParagraph"/>
              <w:spacing w:line="222" w:lineRule="exact"/>
              <w:ind w:right="1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Heading2"/>
        <w:spacing w:line="357" w:lineRule="auto" w:before="163"/>
        <w:ind w:left="160" w:right="2738"/>
        <w:jc w:val="left"/>
        <w:rPr>
          <w:b w:val="0"/>
          <w:bCs w:val="0"/>
        </w:rPr>
      </w:pPr>
      <w:r>
        <w:rPr/>
        <w:t>（二）董事、监事、高级管理人员最近</w:t>
      </w:r>
      <w:r>
        <w:rPr>
          <w:spacing w:val="-64"/>
        </w:rPr>
        <w:t> </w:t>
      </w:r>
      <w:r>
        <w:rPr>
          <w:rFonts w:ascii="宋体" w:hAnsi="宋体" w:cs="宋体" w:eastAsia="宋体" w:hint="default"/>
        </w:rPr>
        <w:t>5</w:t>
      </w:r>
      <w:r>
        <w:rPr>
          <w:rFonts w:ascii="宋体" w:hAnsi="宋体" w:cs="宋体" w:eastAsia="宋体" w:hint="default"/>
          <w:spacing w:val="-63"/>
        </w:rPr>
        <w:t> </w:t>
      </w:r>
      <w:r>
        <w:rPr/>
        <w:t>年主要工作经历及在其他单位任职情况</w:t>
      </w:r>
      <w:r>
        <w:rPr>
          <w:w w:val="99"/>
        </w:rPr>
        <w:t> </w:t>
      </w:r>
      <w:r>
        <w:rPr>
          <w:rFonts w:ascii="宋体" w:hAnsi="宋体" w:cs="宋体" w:eastAsia="宋体" w:hint="default"/>
        </w:rPr>
        <w:t>1</w:t>
      </w:r>
      <w:r>
        <w:rPr/>
        <w:t>、董事简介</w:t>
      </w:r>
      <w:r>
        <w:rPr>
          <w:b w:val="0"/>
          <w:bCs w:val="0"/>
        </w:rPr>
      </w:r>
    </w:p>
    <w:p>
      <w:pPr>
        <w:pStyle w:val="Heading3"/>
        <w:spacing w:line="240" w:lineRule="auto" w:before="34"/>
        <w:ind w:left="640" w:right="587"/>
        <w:jc w:val="left"/>
      </w:pPr>
      <w:r>
        <w:rPr/>
        <w:t>郭春生先生，</w:t>
      </w:r>
      <w:r>
        <w:rPr>
          <w:rFonts w:ascii="宋体" w:hAnsi="宋体" w:cs="宋体" w:eastAsia="宋体" w:hint="default"/>
        </w:rPr>
        <w:t>1971</w:t>
      </w:r>
      <w:r>
        <w:rPr>
          <w:rFonts w:ascii="宋体" w:hAnsi="宋体" w:cs="宋体" w:eastAsia="宋体" w:hint="default"/>
          <w:spacing w:val="-53"/>
        </w:rPr>
        <w:t> </w:t>
      </w:r>
      <w:r>
        <w:rPr/>
        <w:t>年</w:t>
      </w:r>
      <w:r>
        <w:rPr>
          <w:spacing w:val="-56"/>
        </w:rPr>
        <w:t> </w:t>
      </w:r>
      <w:r>
        <w:rPr>
          <w:rFonts w:ascii="宋体" w:hAnsi="宋体" w:cs="宋体" w:eastAsia="宋体" w:hint="default"/>
        </w:rPr>
        <w:t>3</w:t>
      </w:r>
      <w:r>
        <w:rPr>
          <w:rFonts w:ascii="宋体" w:hAnsi="宋体" w:cs="宋体" w:eastAsia="宋体" w:hint="default"/>
          <w:spacing w:val="-53"/>
        </w:rPr>
        <w:t> </w:t>
      </w:r>
      <w:r>
        <w:rPr/>
        <w:t>月生，本科学历，高级工程师，高级经济师，吉林省人大代表。</w:t>
      </w:r>
      <w:r>
        <w:rPr>
          <w:rFonts w:ascii="宋体" w:hAnsi="宋体" w:cs="宋体" w:eastAsia="宋体" w:hint="default"/>
        </w:rPr>
        <w:t>1998</w:t>
      </w:r>
      <w:r>
        <w:rPr>
          <w:rFonts w:ascii="宋体" w:hAnsi="宋体" w:cs="宋体" w:eastAsia="宋体" w:hint="default"/>
          <w:spacing w:val="-53"/>
        </w:rPr>
        <w:t> </w:t>
      </w:r>
      <w:r>
        <w:rPr/>
        <w:t>年</w:t>
      </w:r>
    </w:p>
    <w:p>
      <w:pPr>
        <w:pStyle w:val="Heading3"/>
        <w:spacing w:line="460" w:lineRule="atLeast" w:before="8"/>
        <w:ind w:left="160" w:right="746"/>
        <w:jc w:val="left"/>
      </w:pPr>
      <w:r>
        <w:rPr>
          <w:rFonts w:ascii="宋体" w:hAnsi="宋体" w:cs="宋体" w:eastAsia="宋体" w:hint="default"/>
        </w:rPr>
        <w:t>5</w:t>
      </w:r>
      <w:r>
        <w:rPr>
          <w:rFonts w:ascii="宋体" w:hAnsi="宋体" w:cs="宋体" w:eastAsia="宋体" w:hint="default"/>
          <w:spacing w:val="-92"/>
        </w:rPr>
        <w:t> </w:t>
      </w:r>
      <w:r>
        <w:rPr/>
        <w:t>月起任通化紫金药业有限责任公司董事长兼总经理。现任吉林紫鑫药业股份有限公司董事长兼总经 理。</w:t>
      </w:r>
    </w:p>
    <w:p>
      <w:pPr>
        <w:spacing w:after="0" w:line="460" w:lineRule="atLeast"/>
        <w:jc w:val="left"/>
        <w:sectPr>
          <w:pgSz w:w="11910" w:h="16840"/>
          <w:pgMar w:header="720" w:footer="950" w:top="1300" w:bottom="1140" w:left="560" w:right="0"/>
        </w:sectPr>
      </w:pPr>
    </w:p>
    <w:p>
      <w:pPr>
        <w:pStyle w:val="Heading3"/>
        <w:spacing w:line="355" w:lineRule="auto" w:before="13"/>
        <w:ind w:right="716" w:firstLine="480"/>
        <w:jc w:val="both"/>
      </w:pPr>
      <w:r>
        <w:rPr/>
        <w:pict>
          <v:group style="position:absolute;margin-left:34.560001pt;margin-top:2.305654pt;width:508.3pt;height:.1pt;mso-position-horizontal-relative:page;mso-position-vertical-relative:paragraph;z-index:-534736" coordorigin="691,46" coordsize="10166,2">
            <v:shape style="position:absolute;left:691;top:46;width:10166;height:2" coordorigin="691,46" coordsize="10166,0" path="m691,46l10857,46e" filled="false" stroked="true" strokeweight=".72pt" strokecolor="#000000">
              <v:path arrowok="t"/>
            </v:shape>
            <w10:wrap type="none"/>
          </v:group>
        </w:pict>
      </w:r>
      <w:r>
        <w:rPr/>
        <w:t>祖春香女士，</w:t>
      </w:r>
      <w:r>
        <w:rPr>
          <w:rFonts w:ascii="宋体" w:hAnsi="宋体" w:cs="宋体" w:eastAsia="宋体" w:hint="default"/>
        </w:rPr>
        <w:t>1959</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月生，本科学历，高级工程师。</w:t>
      </w:r>
      <w:r>
        <w:rPr>
          <w:rFonts w:ascii="宋体" w:hAnsi="宋体" w:cs="宋体" w:eastAsia="宋体" w:hint="default"/>
        </w:rPr>
        <w:t>1998</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8"/>
        </w:rPr>
        <w:t> </w:t>
      </w:r>
      <w:r>
        <w:rPr/>
        <w:t>月至今任吉林紫鑫药业股份有 限公司董事。</w:t>
      </w:r>
    </w:p>
    <w:p>
      <w:pPr>
        <w:pStyle w:val="Heading3"/>
        <w:spacing w:line="357" w:lineRule="auto" w:before="38"/>
        <w:ind w:right="716" w:firstLine="480"/>
        <w:jc w:val="both"/>
      </w:pPr>
      <w:r>
        <w:rPr/>
        <w:t>秦静女士，</w:t>
      </w:r>
      <w:r>
        <w:rPr>
          <w:rFonts w:ascii="宋体" w:hAnsi="宋体" w:cs="宋体" w:eastAsia="宋体" w:hint="default"/>
        </w:rPr>
        <w:t>1973</w:t>
      </w:r>
      <w:r>
        <w:rPr>
          <w:rFonts w:ascii="宋体" w:hAnsi="宋体" w:cs="宋体" w:eastAsia="宋体" w:hint="default"/>
          <w:spacing w:val="-32"/>
        </w:rPr>
        <w:t> </w:t>
      </w:r>
      <w:r>
        <w:rPr/>
        <w:t>年</w:t>
      </w:r>
      <w:r>
        <w:rPr>
          <w:spacing w:val="-32"/>
        </w:rPr>
        <w:t> </w:t>
      </w:r>
      <w:r>
        <w:rPr>
          <w:rFonts w:ascii="宋体" w:hAnsi="宋体" w:cs="宋体" w:eastAsia="宋体" w:hint="default"/>
        </w:rPr>
        <w:t>8</w:t>
      </w:r>
      <w:r>
        <w:rPr>
          <w:rFonts w:ascii="宋体" w:hAnsi="宋体" w:cs="宋体" w:eastAsia="宋体" w:hint="default"/>
          <w:spacing w:val="-32"/>
        </w:rPr>
        <w:t> </w:t>
      </w:r>
      <w:r>
        <w:rPr/>
        <w:t>月生，本科学历，高级经济师。曾在一汽吉林轻型车厂计财处和长春吉大 工易软件有限公司工作。</w:t>
      </w:r>
      <w:r>
        <w:rPr>
          <w:rFonts w:ascii="宋体" w:hAnsi="宋体" w:cs="宋体" w:eastAsia="宋体" w:hint="default"/>
        </w:rPr>
        <w:t>2002</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4"/>
        </w:rPr>
        <w:t> </w:t>
      </w:r>
      <w:r>
        <w:rPr/>
        <w:t>月后历任吉林紫鑫药业股份有限公司董事、董事会秘书。</w:t>
      </w:r>
      <w:r>
        <w:rPr>
          <w:rFonts w:ascii="宋体" w:hAnsi="宋体" w:cs="宋体" w:eastAsia="宋体" w:hint="default"/>
        </w:rPr>
        <w:t>2009</w:t>
      </w:r>
      <w:r>
        <w:rPr>
          <w:rFonts w:ascii="宋体" w:hAnsi="宋体" w:cs="宋体" w:eastAsia="宋体" w:hint="default"/>
          <w:spacing w:val="-54"/>
        </w:rPr>
        <w:t> </w:t>
      </w:r>
      <w:r>
        <w:rPr/>
        <w:t>年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12</w:t>
      </w:r>
      <w:r>
        <w:rPr>
          <w:rFonts w:ascii="宋体" w:hAnsi="宋体" w:cs="宋体" w:eastAsia="宋体" w:hint="default"/>
          <w:spacing w:val="-58"/>
        </w:rPr>
        <w:t> </w:t>
      </w:r>
      <w:r>
        <w:rPr/>
        <w:t>日至今，任公司董事、常务副总经理。</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w:t>
      </w:r>
      <w:r>
        <w:rPr>
          <w:spacing w:val="-58"/>
        </w:rPr>
        <w:t> </w:t>
      </w:r>
      <w:r>
        <w:rPr>
          <w:rFonts w:ascii="宋体" w:hAnsi="宋体" w:cs="宋体" w:eastAsia="宋体" w:hint="default"/>
        </w:rPr>
        <w:t>10</w:t>
      </w:r>
      <w:r>
        <w:rPr>
          <w:rFonts w:ascii="宋体" w:hAnsi="宋体" w:cs="宋体" w:eastAsia="宋体" w:hint="default"/>
          <w:spacing w:val="-58"/>
        </w:rPr>
        <w:t> </w:t>
      </w:r>
      <w:r>
        <w:rPr/>
        <w:t>日，秦静女士因个人原因，申请辞去 董事及常务副总经理职务。</w:t>
      </w:r>
    </w:p>
    <w:p>
      <w:pPr>
        <w:pStyle w:val="Heading3"/>
        <w:spacing w:line="357" w:lineRule="auto" w:before="36"/>
        <w:ind w:right="716" w:firstLine="480"/>
        <w:jc w:val="both"/>
      </w:pPr>
      <w:r>
        <w:rPr/>
        <w:t>殷金龙先生，</w:t>
      </w:r>
      <w:r>
        <w:rPr>
          <w:rFonts w:ascii="宋体" w:hAnsi="宋体" w:cs="宋体" w:eastAsia="宋体" w:hint="default"/>
        </w:rPr>
        <w:t>1979</w:t>
      </w:r>
      <w:r>
        <w:rPr>
          <w:rFonts w:ascii="宋体" w:hAnsi="宋体" w:cs="宋体" w:eastAsia="宋体" w:hint="default"/>
          <w:spacing w:val="-44"/>
        </w:rPr>
        <w:t> </w:t>
      </w:r>
      <w:r>
        <w:rPr/>
        <w:t>年</w:t>
      </w:r>
      <w:r>
        <w:rPr>
          <w:spacing w:val="-44"/>
        </w:rPr>
        <w:t> </w:t>
      </w:r>
      <w:r>
        <w:rPr>
          <w:rFonts w:ascii="宋体" w:hAnsi="宋体" w:cs="宋体" w:eastAsia="宋体" w:hint="default"/>
        </w:rPr>
        <w:t>7</w:t>
      </w:r>
      <w:r>
        <w:rPr>
          <w:rFonts w:ascii="宋体" w:hAnsi="宋体" w:cs="宋体" w:eastAsia="宋体" w:hint="default"/>
          <w:spacing w:val="-44"/>
        </w:rPr>
        <w:t> </w:t>
      </w:r>
      <w:r>
        <w:rPr/>
        <w:t>月</w:t>
      </w:r>
      <w:r>
        <w:rPr>
          <w:spacing w:val="-43"/>
        </w:rPr>
        <w:t> </w:t>
      </w:r>
      <w:r>
        <w:rPr>
          <w:rFonts w:ascii="宋体" w:hAnsi="宋体" w:cs="宋体" w:eastAsia="宋体" w:hint="default"/>
        </w:rPr>
        <w:t>9</w:t>
      </w:r>
      <w:r>
        <w:rPr>
          <w:rFonts w:ascii="宋体" w:hAnsi="宋体" w:cs="宋体" w:eastAsia="宋体" w:hint="default"/>
          <w:spacing w:val="-44"/>
        </w:rPr>
        <w:t> </w:t>
      </w:r>
      <w:r>
        <w:rPr/>
        <w:t>日出生，硕士，工程师。曾在长白山生物制品有限公司从事灵芝及 其孢子粉的研究；曾在吉林省食品药品监督管理局药品注册处工作；</w:t>
      </w:r>
      <w:r>
        <w:rPr>
          <w:rFonts w:ascii="宋体" w:hAnsi="宋体" w:cs="宋体" w:eastAsia="宋体" w:hint="default"/>
        </w:rPr>
        <w:t>2005</w:t>
      </w:r>
      <w:r>
        <w:rPr>
          <w:rFonts w:ascii="宋体" w:hAnsi="宋体" w:cs="宋体" w:eastAsia="宋体" w:hint="default"/>
          <w:spacing w:val="24"/>
        </w:rPr>
        <w:t> </w:t>
      </w:r>
      <w:r>
        <w:rPr/>
        <w:t>年任吉林紫鑫药业股份有 </w:t>
      </w:r>
      <w:r>
        <w:rPr>
          <w:spacing w:val="-3"/>
        </w:rPr>
        <w:t>限公司药物研究所副所长；吉林省药品再评价协会理事；曾经发表过“清心安神口服液质量标准的研</w:t>
      </w:r>
      <w:r>
        <w:rPr>
          <w:spacing w:val="-84"/>
        </w:rPr>
        <w:t> </w:t>
      </w:r>
      <w:r>
        <w:rPr>
          <w:spacing w:val="-84"/>
        </w:rPr>
      </w:r>
      <w:r>
        <w:rPr>
          <w:spacing w:val="-8"/>
        </w:rPr>
        <w:t>究”、“三七止血片中槲皮素含量测定”等多篇论文及“一种治疗咳喘的药物”“一种治疗风湿和类风</w:t>
      </w:r>
      <w:r>
        <w:rPr>
          <w:spacing w:val="-94"/>
        </w:rPr>
        <w:t> </w:t>
      </w:r>
      <w:r>
        <w:rPr>
          <w:spacing w:val="-94"/>
        </w:rPr>
      </w:r>
      <w:r>
        <w:rPr/>
        <w:t>湿的药物”等发明专利，现任公司董事。</w:t>
      </w:r>
    </w:p>
    <w:p>
      <w:pPr>
        <w:pStyle w:val="Heading3"/>
        <w:spacing w:line="357" w:lineRule="auto" w:before="36"/>
        <w:ind w:right="718" w:firstLine="480"/>
        <w:jc w:val="both"/>
      </w:pPr>
      <w:r>
        <w:rPr/>
        <w:t>曹恩辉先生，</w:t>
      </w:r>
      <w:r>
        <w:rPr>
          <w:rFonts w:ascii="宋体" w:hAnsi="宋体" w:cs="宋体" w:eastAsia="宋体" w:hint="default"/>
        </w:rPr>
        <w:t>1975</w:t>
      </w:r>
      <w:r>
        <w:rPr>
          <w:rFonts w:ascii="宋体" w:hAnsi="宋体" w:cs="宋体" w:eastAsia="宋体" w:hint="default"/>
          <w:spacing w:val="-68"/>
        </w:rPr>
        <w:t> </w:t>
      </w:r>
      <w:r>
        <w:rPr/>
        <w:t>年</w:t>
      </w:r>
      <w:r>
        <w:rPr>
          <w:spacing w:val="-68"/>
        </w:rPr>
        <w:t> </w:t>
      </w:r>
      <w:r>
        <w:rPr>
          <w:rFonts w:ascii="宋体" w:hAnsi="宋体" w:cs="宋体" w:eastAsia="宋体" w:hint="default"/>
        </w:rPr>
        <w:t>11</w:t>
      </w:r>
      <w:r>
        <w:rPr>
          <w:rFonts w:ascii="宋体" w:hAnsi="宋体" w:cs="宋体" w:eastAsia="宋体" w:hint="default"/>
          <w:spacing w:val="-68"/>
        </w:rPr>
        <w:t> </w:t>
      </w:r>
      <w:r>
        <w:rPr/>
        <w:t>月生，经济学学士，中国注册会计师。</w:t>
      </w:r>
      <w:r>
        <w:rPr>
          <w:rFonts w:ascii="宋体" w:hAnsi="宋体" w:cs="宋体" w:eastAsia="宋体" w:hint="default"/>
        </w:rPr>
        <w:t>1998</w:t>
      </w:r>
      <w:r>
        <w:rPr>
          <w:rFonts w:ascii="宋体" w:hAnsi="宋体" w:cs="宋体" w:eastAsia="宋体" w:hint="default"/>
          <w:spacing w:val="-68"/>
        </w:rPr>
        <w:t> </w:t>
      </w:r>
      <w:r>
        <w:rPr/>
        <w:t>年</w:t>
      </w:r>
      <w:r>
        <w:rPr>
          <w:rFonts w:ascii="宋体" w:hAnsi="宋体" w:cs="宋体" w:eastAsia="宋体" w:hint="default"/>
        </w:rPr>
        <w:t>-2002</w:t>
      </w:r>
      <w:r>
        <w:rPr>
          <w:rFonts w:ascii="宋体" w:hAnsi="宋体" w:cs="宋体" w:eastAsia="宋体" w:hint="default"/>
          <w:spacing w:val="-68"/>
        </w:rPr>
        <w:t> </w:t>
      </w:r>
      <w:r>
        <w:rPr/>
        <w:t>年，吉林天三奇药 业广西分公司，负责财务工作；</w:t>
      </w:r>
      <w:r>
        <w:rPr>
          <w:rFonts w:ascii="宋体" w:hAnsi="宋体" w:cs="宋体" w:eastAsia="宋体" w:hint="default"/>
        </w:rPr>
        <w:t>2002 </w:t>
      </w:r>
      <w:r>
        <w:rPr/>
        <w:t>年</w:t>
      </w:r>
      <w:r>
        <w:rPr>
          <w:rFonts w:ascii="宋体" w:hAnsi="宋体" w:cs="宋体" w:eastAsia="宋体" w:hint="default"/>
        </w:rPr>
        <w:t>-2004 </w:t>
      </w:r>
      <w:r>
        <w:rPr/>
        <w:t>年，长春用友软件公司，实施部顾问；</w:t>
      </w:r>
      <w:r>
        <w:rPr>
          <w:rFonts w:ascii="宋体" w:hAnsi="宋体" w:cs="宋体" w:eastAsia="宋体" w:hint="default"/>
        </w:rPr>
        <w:t>2004</w:t>
      </w:r>
      <w:r>
        <w:rPr>
          <w:rFonts w:ascii="宋体" w:hAnsi="宋体" w:cs="宋体" w:eastAsia="宋体" w:hint="default"/>
          <w:spacing w:val="21"/>
        </w:rPr>
        <w:t> </w:t>
      </w:r>
      <w:r>
        <w:rPr/>
        <w:t>年</w:t>
      </w:r>
      <w:r>
        <w:rPr>
          <w:rFonts w:ascii="宋体" w:hAnsi="宋体" w:cs="宋体" w:eastAsia="宋体" w:hint="default"/>
        </w:rPr>
        <w:t>-2009 </w:t>
      </w:r>
      <w:r>
        <w:rPr/>
        <w:t>年，中磊会计师事务所，项目经理；</w:t>
      </w:r>
      <w:r>
        <w:rPr>
          <w:rFonts w:ascii="宋体" w:hAnsi="宋体" w:cs="宋体" w:eastAsia="宋体" w:hint="default"/>
        </w:rPr>
        <w:t>2009</w:t>
      </w:r>
      <w:r>
        <w:rPr>
          <w:rFonts w:ascii="宋体" w:hAnsi="宋体" w:cs="宋体" w:eastAsia="宋体" w:hint="default"/>
          <w:spacing w:val="-58"/>
        </w:rPr>
        <w:t> </w:t>
      </w:r>
      <w:r>
        <w:rPr/>
        <w:t>年</w:t>
      </w:r>
      <w:r>
        <w:rPr>
          <w:spacing w:val="-56"/>
        </w:rPr>
        <w:t> </w:t>
      </w:r>
      <w:r>
        <w:rPr>
          <w:rFonts w:ascii="宋体" w:hAnsi="宋体" w:cs="宋体" w:eastAsia="宋体" w:hint="default"/>
        </w:rPr>
        <w:t>5</w:t>
      </w:r>
      <w:r>
        <w:rPr>
          <w:rFonts w:ascii="宋体" w:hAnsi="宋体" w:cs="宋体" w:eastAsia="宋体" w:hint="default"/>
          <w:spacing w:val="-58"/>
        </w:rPr>
        <w:t> </w:t>
      </w:r>
      <w:r>
        <w:rPr/>
        <w:t>月，任紫鑫药业证券事务代表，</w:t>
      </w:r>
      <w:r>
        <w:rPr>
          <w:rFonts w:ascii="宋体" w:hAnsi="宋体" w:cs="宋体" w:eastAsia="宋体" w:hint="default"/>
        </w:rPr>
        <w:t>2009</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6"/>
        </w:rPr>
        <w:t> </w:t>
      </w:r>
      <w:r>
        <w:rPr/>
        <w:t>月</w:t>
      </w:r>
      <w:r>
        <w:rPr>
          <w:spacing w:val="-58"/>
        </w:rPr>
        <w:t> </w:t>
      </w:r>
      <w:r>
        <w:rPr>
          <w:rFonts w:ascii="宋体" w:hAnsi="宋体" w:cs="宋体" w:eastAsia="宋体" w:hint="default"/>
        </w:rPr>
        <w:t>12</w:t>
      </w:r>
      <w:r>
        <w:rPr>
          <w:rFonts w:ascii="宋体" w:hAnsi="宋体" w:cs="宋体" w:eastAsia="宋体" w:hint="default"/>
          <w:spacing w:val="-58"/>
        </w:rPr>
        <w:t> </w:t>
      </w:r>
      <w:r>
        <w:rPr/>
        <w:t>日，</w:t>
      </w:r>
    </w:p>
    <w:p>
      <w:pPr>
        <w:pStyle w:val="Heading3"/>
        <w:spacing w:line="357" w:lineRule="auto" w:before="34"/>
        <w:ind w:right="705"/>
        <w:jc w:val="left"/>
      </w:pPr>
      <w:r>
        <w:rPr/>
        <w:t>任公司副总经理兼董事会秘书。通过公司第四届董事会第六次会议提名，</w:t>
      </w:r>
      <w:r>
        <w:rPr>
          <w:rFonts w:ascii="宋体" w:hAnsi="宋体" w:cs="宋体" w:eastAsia="宋体" w:hint="default"/>
        </w:rPr>
        <w:t>2010</w:t>
      </w:r>
      <w:r>
        <w:rPr>
          <w:rFonts w:ascii="宋体" w:hAnsi="宋体" w:cs="宋体" w:eastAsia="宋体" w:hint="default"/>
          <w:spacing w:val="-43"/>
        </w:rPr>
        <w:t> </w:t>
      </w:r>
      <w:r>
        <w:rPr/>
        <w:t>年</w:t>
      </w:r>
      <w:r>
        <w:rPr>
          <w:spacing w:val="-44"/>
        </w:rPr>
        <w:t> </w:t>
      </w:r>
      <w:r>
        <w:rPr>
          <w:rFonts w:ascii="宋体" w:hAnsi="宋体" w:cs="宋体" w:eastAsia="宋体" w:hint="default"/>
        </w:rPr>
        <w:t>8</w:t>
      </w:r>
      <w:r>
        <w:rPr>
          <w:rFonts w:ascii="宋体" w:hAnsi="宋体" w:cs="宋体" w:eastAsia="宋体" w:hint="default"/>
          <w:spacing w:val="-44"/>
        </w:rPr>
        <w:t> </w:t>
      </w:r>
      <w:r>
        <w:rPr/>
        <w:t>月</w:t>
      </w:r>
      <w:r>
        <w:rPr>
          <w:spacing w:val="-44"/>
        </w:rPr>
        <w:t> </w:t>
      </w:r>
      <w:r>
        <w:rPr>
          <w:rFonts w:ascii="宋体" w:hAnsi="宋体" w:cs="宋体" w:eastAsia="宋体" w:hint="default"/>
        </w:rPr>
        <w:t>5</w:t>
      </w:r>
      <w:r>
        <w:rPr>
          <w:rFonts w:ascii="宋体" w:hAnsi="宋体" w:cs="宋体" w:eastAsia="宋体" w:hint="default"/>
          <w:spacing w:val="-44"/>
        </w:rPr>
        <w:t> </w:t>
      </w:r>
      <w:r>
        <w:rPr/>
        <w:t>日召开的公 司第三次临时股东大会审议通过后，任公司董事。</w:t>
      </w:r>
    </w:p>
    <w:p>
      <w:pPr>
        <w:pStyle w:val="Heading3"/>
        <w:spacing w:line="357" w:lineRule="auto" w:before="34"/>
        <w:ind w:right="596" w:firstLine="480"/>
        <w:jc w:val="both"/>
      </w:pPr>
      <w:r>
        <w:rPr/>
        <w:t>果德安先生，</w:t>
      </w:r>
      <w:r>
        <w:rPr>
          <w:rFonts w:ascii="宋体" w:hAnsi="宋体" w:cs="宋体" w:eastAsia="宋体" w:hint="default"/>
        </w:rPr>
        <w:t>1962</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5"/>
        </w:rPr>
        <w:t> </w:t>
      </w:r>
      <w:r>
        <w:rPr/>
        <w:t>月</w:t>
      </w:r>
      <w:r>
        <w:rPr>
          <w:spacing w:val="-65"/>
        </w:rPr>
        <w:t> </w:t>
      </w:r>
      <w:r>
        <w:rPr>
          <w:rFonts w:ascii="宋体" w:hAnsi="宋体" w:cs="宋体" w:eastAsia="宋体" w:hint="default"/>
        </w:rPr>
        <w:t>24</w:t>
      </w:r>
      <w:r>
        <w:rPr>
          <w:rFonts w:ascii="宋体" w:hAnsi="宋体" w:cs="宋体" w:eastAsia="宋体" w:hint="default"/>
          <w:spacing w:val="-65"/>
        </w:rPr>
        <w:t> </w:t>
      </w:r>
      <w:r>
        <w:rPr/>
        <w:t>日生，北京大学药学院教授</w:t>
      </w:r>
      <w:r>
        <w:rPr>
          <w:rFonts w:ascii="宋体" w:hAnsi="宋体" w:cs="宋体" w:eastAsia="宋体" w:hint="default"/>
        </w:rPr>
        <w:t>,</w:t>
      </w:r>
      <w:r>
        <w:rPr/>
        <w:t>博士生导师</w:t>
      </w:r>
      <w:r>
        <w:rPr>
          <w:rFonts w:ascii="宋体" w:hAnsi="宋体" w:cs="宋体" w:eastAsia="宋体" w:hint="default"/>
        </w:rPr>
        <w:t>,</w:t>
      </w:r>
      <w:r>
        <w:rPr/>
        <w:t>中国科学院上海生命科学 研究院首席科学家。</w:t>
      </w:r>
      <w:r>
        <w:rPr>
          <w:rFonts w:ascii="宋体" w:hAnsi="宋体" w:cs="宋体" w:eastAsia="宋体" w:hint="default"/>
        </w:rPr>
        <w:t>1999</w:t>
      </w:r>
      <w:r>
        <w:rPr>
          <w:rFonts w:ascii="宋体" w:hAnsi="宋体" w:cs="宋体" w:eastAsia="宋体" w:hint="default"/>
          <w:spacing w:val="-71"/>
        </w:rPr>
        <w:t> </w:t>
      </w:r>
      <w:r>
        <w:rPr/>
        <w:t>年获得国家杰出青年基金</w:t>
      </w:r>
      <w:r>
        <w:rPr>
          <w:rFonts w:ascii="宋体" w:hAnsi="宋体" w:cs="宋体" w:eastAsia="宋体" w:hint="default"/>
        </w:rPr>
        <w:t>.</w:t>
      </w:r>
      <w:r>
        <w:rPr/>
        <w:t>。社会兼职包括国家药品监督管理局药品审评委 </w:t>
      </w:r>
      <w:r>
        <w:rPr>
          <w:spacing w:val="-3"/>
        </w:rPr>
        <w:t>员；国家药典委员会委员；中国中药</w:t>
      </w:r>
      <w:r>
        <w:rPr>
          <w:spacing w:val="-56"/>
        </w:rPr>
        <w:t> </w:t>
      </w:r>
      <w:r>
        <w:rPr>
          <w:rFonts w:ascii="宋体" w:hAnsi="宋体" w:cs="宋体" w:eastAsia="宋体" w:hint="default"/>
        </w:rPr>
        <w:t>GAP</w:t>
      </w:r>
      <w:r>
        <w:rPr>
          <w:rFonts w:ascii="宋体" w:hAnsi="宋体" w:cs="宋体" w:eastAsia="宋体" w:hint="default"/>
          <w:spacing w:val="-58"/>
        </w:rPr>
        <w:t> </w:t>
      </w:r>
      <w:r>
        <w:rPr>
          <w:spacing w:val="-3"/>
        </w:rPr>
        <w:t>产业促进会理事；中国药科大学、沈阳药科大学等</w:t>
      </w:r>
      <w:r>
        <w:rPr>
          <w:spacing w:val="-56"/>
        </w:rPr>
        <w:t> </w:t>
      </w:r>
      <w:r>
        <w:rPr>
          <w:rFonts w:ascii="宋体" w:hAnsi="宋体" w:cs="宋体" w:eastAsia="宋体" w:hint="default"/>
        </w:rPr>
        <w:t>6</w:t>
      </w:r>
      <w:r>
        <w:rPr>
          <w:rFonts w:ascii="宋体" w:hAnsi="宋体" w:cs="宋体" w:eastAsia="宋体" w:hint="default"/>
          <w:spacing w:val="-58"/>
        </w:rPr>
        <w:t> </w:t>
      </w:r>
      <w:r>
        <w:rPr/>
        <w:t>个大学</w:t>
      </w:r>
      <w:r>
        <w:rPr>
          <w:spacing w:val="-114"/>
        </w:rPr>
        <w:t> </w:t>
      </w:r>
      <w:r>
        <w:rPr>
          <w:spacing w:val="-5"/>
        </w:rPr>
        <w:t>兼职博士生导师</w:t>
      </w:r>
      <w:r>
        <w:rPr>
          <w:rFonts w:ascii="宋体" w:hAnsi="宋体" w:cs="宋体" w:eastAsia="宋体" w:hint="default"/>
          <w:spacing w:val="-5"/>
        </w:rPr>
        <w:t>.</w:t>
      </w:r>
      <w:r>
        <w:rPr>
          <w:spacing w:val="-5"/>
        </w:rPr>
        <w:t>国际著名杂志《</w:t>
      </w:r>
      <w:r>
        <w:rPr>
          <w:rFonts w:ascii="宋体" w:hAnsi="宋体" w:cs="宋体" w:eastAsia="宋体" w:hint="default"/>
          <w:spacing w:val="-5"/>
        </w:rPr>
        <w:t>JournalofEthnopharmacology</w:t>
      </w:r>
      <w:r>
        <w:rPr>
          <w:spacing w:val="-5"/>
        </w:rPr>
        <w:t>》、《</w:t>
      </w:r>
      <w:r>
        <w:rPr>
          <w:rFonts w:ascii="宋体" w:hAnsi="宋体" w:cs="宋体" w:eastAsia="宋体" w:hint="default"/>
          <w:spacing w:val="-5"/>
        </w:rPr>
        <w:t>JIntegrPlantBiol</w:t>
      </w:r>
      <w:r>
        <w:rPr>
          <w:spacing w:val="-5"/>
        </w:rPr>
        <w:t>》杂志副主编，</w:t>
      </w:r>
    </w:p>
    <w:p>
      <w:pPr>
        <w:pStyle w:val="Heading3"/>
        <w:spacing w:line="240" w:lineRule="auto" w:before="34"/>
        <w:ind w:right="0"/>
        <w:jc w:val="left"/>
      </w:pPr>
      <w:r>
        <w:rPr/>
        <w:t>《</w:t>
      </w:r>
      <w:r>
        <w:rPr>
          <w:rFonts w:ascii="宋体" w:hAnsi="宋体" w:cs="宋体" w:eastAsia="宋体" w:hint="default"/>
        </w:rPr>
        <w:t>PlantaMedica</w:t>
      </w:r>
      <w:r>
        <w:rPr>
          <w:spacing w:val="-120"/>
        </w:rPr>
        <w:t>》</w:t>
      </w:r>
      <w:r>
        <w:rPr>
          <w:spacing w:val="-164"/>
        </w:rPr>
        <w:t>、</w:t>
      </w:r>
      <w:r>
        <w:rPr/>
        <w:t>《</w:t>
      </w:r>
      <w:r>
        <w:rPr>
          <w:rFonts w:ascii="宋体" w:hAnsi="宋体" w:cs="宋体" w:eastAsia="宋体" w:hint="default"/>
        </w:rPr>
        <w:t>Phytomedicine</w:t>
      </w:r>
      <w:r>
        <w:rPr>
          <w:spacing w:val="-120"/>
        </w:rPr>
        <w:t>》</w:t>
      </w:r>
      <w:r>
        <w:rPr>
          <w:spacing w:val="-164"/>
        </w:rPr>
        <w:t>、</w:t>
      </w:r>
      <w:r>
        <w:rPr/>
        <w:t>《</w:t>
      </w:r>
      <w:r>
        <w:rPr>
          <w:rFonts w:ascii="宋体" w:hAnsi="宋体" w:cs="宋体" w:eastAsia="宋体" w:hint="default"/>
        </w:rPr>
        <w:t>NatProdCommun</w:t>
      </w:r>
      <w:r>
        <w:rPr>
          <w:spacing w:val="-44"/>
        </w:rPr>
        <w:t>》和</w:t>
      </w:r>
      <w:r>
        <w:rPr/>
        <w:t>《</w:t>
      </w:r>
      <w:r>
        <w:rPr>
          <w:rFonts w:ascii="宋体" w:hAnsi="宋体" w:cs="宋体" w:eastAsia="宋体" w:hint="default"/>
        </w:rPr>
        <w:t>BioactivenaturalProducts</w:t>
      </w:r>
      <w:r>
        <w:rPr>
          <w:spacing w:val="-44"/>
        </w:rPr>
        <w:t>》</w:t>
      </w:r>
      <w:r>
        <w:rPr/>
        <w:t>杂志编委，</w:t>
      </w:r>
    </w:p>
    <w:p>
      <w:pPr>
        <w:pStyle w:val="Heading3"/>
        <w:spacing w:line="355" w:lineRule="auto"/>
        <w:ind w:right="705"/>
        <w:jc w:val="left"/>
      </w:pPr>
      <w:r>
        <w:rPr>
          <w:spacing w:val="-8"/>
        </w:rPr>
        <w:t>《世界科学技术</w:t>
      </w:r>
      <w:r>
        <w:rPr>
          <w:rFonts w:ascii="宋体" w:hAnsi="宋体" w:cs="宋体" w:eastAsia="宋体" w:hint="default"/>
          <w:spacing w:val="-8"/>
        </w:rPr>
        <w:t>-</w:t>
      </w:r>
      <w:r>
        <w:rPr>
          <w:spacing w:val="-8"/>
        </w:rPr>
        <w:t>中医药现代化》副主编，《中草药》、《中国中药杂志》</w:t>
      </w:r>
      <w:r>
        <w:rPr>
          <w:rFonts w:ascii="宋体" w:hAnsi="宋体" w:cs="宋体" w:eastAsia="宋体" w:hint="default"/>
          <w:spacing w:val="-8"/>
        </w:rPr>
        <w:t>,</w:t>
      </w:r>
      <w:r>
        <w:rPr>
          <w:spacing w:val="-8"/>
        </w:rPr>
        <w:t>《中国天然药物》等多种杂</w:t>
      </w:r>
      <w:r>
        <w:rPr>
          <w:spacing w:val="-93"/>
        </w:rPr>
        <w:t> </w:t>
      </w:r>
      <w:r>
        <w:rPr>
          <w:spacing w:val="-93"/>
        </w:rPr>
      </w:r>
      <w:r>
        <w:rPr/>
        <w:t>志编委</w:t>
      </w:r>
      <w:r>
        <w:rPr>
          <w:rFonts w:ascii="宋体" w:hAnsi="宋体" w:cs="宋体" w:eastAsia="宋体" w:hint="default"/>
        </w:rPr>
        <w:t>.</w:t>
      </w:r>
      <w:r>
        <w:rPr/>
        <w:t>发表论文近</w:t>
      </w:r>
      <w:r>
        <w:rPr>
          <w:spacing w:val="-58"/>
        </w:rPr>
        <w:t> </w:t>
      </w:r>
      <w:r>
        <w:rPr>
          <w:rFonts w:ascii="宋体" w:hAnsi="宋体" w:cs="宋体" w:eastAsia="宋体" w:hint="default"/>
        </w:rPr>
        <w:t>300</w:t>
      </w:r>
      <w:r>
        <w:rPr>
          <w:rFonts w:ascii="宋体" w:hAnsi="宋体" w:cs="宋体" w:eastAsia="宋体" w:hint="default"/>
          <w:spacing w:val="-58"/>
        </w:rPr>
        <w:t> </w:t>
      </w:r>
      <w:r>
        <w:rPr/>
        <w:t>篇，其中国际论文</w:t>
      </w:r>
      <w:r>
        <w:rPr>
          <w:spacing w:val="-57"/>
        </w:rPr>
        <w:t> </w:t>
      </w:r>
      <w:r>
        <w:rPr>
          <w:rFonts w:ascii="宋体" w:hAnsi="宋体" w:cs="宋体" w:eastAsia="宋体" w:hint="default"/>
        </w:rPr>
        <w:t>159</w:t>
      </w:r>
      <w:r>
        <w:rPr>
          <w:rFonts w:ascii="宋体" w:hAnsi="宋体" w:cs="宋体" w:eastAsia="宋体" w:hint="default"/>
          <w:spacing w:val="-58"/>
        </w:rPr>
        <w:t> </w:t>
      </w:r>
      <w:r>
        <w:rPr/>
        <w:t>篇。自</w:t>
      </w:r>
      <w:r>
        <w:rPr>
          <w:spacing w:val="-58"/>
        </w:rPr>
        <w:t> </w:t>
      </w:r>
      <w:r>
        <w:rPr>
          <w:rFonts w:ascii="宋体" w:hAnsi="宋体" w:cs="宋体" w:eastAsia="宋体" w:hint="default"/>
        </w:rPr>
        <w:t>2007</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30</w:t>
      </w:r>
      <w:r>
        <w:rPr>
          <w:rFonts w:ascii="宋体" w:hAnsi="宋体" w:cs="宋体" w:eastAsia="宋体" w:hint="default"/>
          <w:spacing w:val="-58"/>
        </w:rPr>
        <w:t> </w:t>
      </w:r>
      <w:r>
        <w:rPr/>
        <w:t>日始任吉林紫鑫药业股份有限</w:t>
      </w:r>
    </w:p>
    <w:p>
      <w:pPr>
        <w:pStyle w:val="Heading3"/>
        <w:spacing w:line="240" w:lineRule="auto" w:before="38"/>
        <w:ind w:right="0"/>
        <w:jc w:val="left"/>
      </w:pPr>
      <w:r>
        <w:rPr/>
        <w:t>公司第三届董事会独立董事，</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日任期届满。</w:t>
      </w:r>
    </w:p>
    <w:p>
      <w:pPr>
        <w:pStyle w:val="Heading3"/>
        <w:spacing w:line="357" w:lineRule="auto" w:before="152"/>
        <w:ind w:right="716" w:firstLine="480"/>
        <w:jc w:val="both"/>
      </w:pPr>
      <w:r>
        <w:rPr/>
        <w:t>马利杰先生，</w:t>
      </w:r>
      <w:r>
        <w:rPr>
          <w:rFonts w:ascii="宋体" w:hAnsi="宋体" w:cs="宋体" w:eastAsia="宋体" w:hint="default"/>
        </w:rPr>
        <w:t>1954</w:t>
      </w:r>
      <w:r>
        <w:rPr>
          <w:rFonts w:ascii="宋体" w:hAnsi="宋体" w:cs="宋体" w:eastAsia="宋体" w:hint="default"/>
          <w:spacing w:val="-32"/>
        </w:rPr>
        <w:t> </w:t>
      </w:r>
      <w:r>
        <w:rPr/>
        <w:t>年</w:t>
      </w:r>
      <w:r>
        <w:rPr>
          <w:spacing w:val="-32"/>
        </w:rPr>
        <w:t> </w:t>
      </w:r>
      <w:r>
        <w:rPr>
          <w:rFonts w:ascii="宋体" w:hAnsi="宋体" w:cs="宋体" w:eastAsia="宋体" w:hint="default"/>
        </w:rPr>
        <w:t>3</w:t>
      </w:r>
      <w:r>
        <w:rPr>
          <w:rFonts w:ascii="宋体" w:hAnsi="宋体" w:cs="宋体" w:eastAsia="宋体" w:hint="default"/>
          <w:spacing w:val="-32"/>
        </w:rPr>
        <w:t> </w:t>
      </w:r>
      <w:r>
        <w:rPr/>
        <w:t>月生，高级会计师，曾在吉林省林业机械厂和吉林敖东药业股份有限公 </w:t>
      </w:r>
      <w:r>
        <w:rPr>
          <w:spacing w:val="-3"/>
        </w:rPr>
        <w:t>司工作，后在吉林敖东珠海药业有限公司任董事、副总经理兼财务经理。自</w:t>
      </w:r>
      <w:r>
        <w:rPr>
          <w:spacing w:val="-60"/>
        </w:rPr>
        <w:t> </w:t>
      </w:r>
      <w:r>
        <w:rPr>
          <w:rFonts w:ascii="宋体" w:hAnsi="宋体" w:cs="宋体" w:eastAsia="宋体" w:hint="default"/>
        </w:rPr>
        <w:t>2007</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日始任吉</w:t>
      </w:r>
    </w:p>
    <w:p>
      <w:pPr>
        <w:pStyle w:val="Heading3"/>
        <w:spacing w:line="240" w:lineRule="auto" w:before="34"/>
        <w:ind w:right="0"/>
        <w:jc w:val="left"/>
      </w:pPr>
      <w:r>
        <w:rPr/>
        <w:t>林紫鑫药业股份有限公司第三届董事会独立董事，</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日任期届满。</w:t>
      </w:r>
    </w:p>
    <w:p>
      <w:pPr>
        <w:pStyle w:val="Heading3"/>
        <w:spacing w:line="357" w:lineRule="auto"/>
        <w:ind w:right="606" w:firstLine="480"/>
        <w:jc w:val="left"/>
      </w:pPr>
      <w:r>
        <w:rPr/>
        <w:t>徐卫东先生，</w:t>
      </w:r>
      <w:r>
        <w:rPr>
          <w:rFonts w:ascii="宋体" w:hAnsi="宋体" w:cs="宋体" w:eastAsia="宋体" w:hint="default"/>
        </w:rPr>
        <w:t>1959</w:t>
      </w:r>
      <w:r>
        <w:rPr>
          <w:rFonts w:ascii="宋体" w:hAnsi="宋体" w:cs="宋体" w:eastAsia="宋体" w:hint="default"/>
          <w:spacing w:val="11"/>
        </w:rPr>
        <w:t> </w:t>
      </w:r>
      <w:r>
        <w:rPr/>
        <w:t>年出生，研究生学历，法学教授，现任吉林大学法学院院长，法学教授，民 商法专业博士生导师，主要研究领域是法学理论、比较法、法律史、商法原理、公司法、保险法等。 </w:t>
      </w:r>
      <w:r>
        <w:rPr>
          <w:spacing w:val="-3"/>
        </w:rPr>
        <w:t>社会兼职主要有中国商法学会副会长，教育部法学学科教育指导委员会委员兼秘书长，国家司法考试</w:t>
      </w:r>
    </w:p>
    <w:p>
      <w:pPr>
        <w:spacing w:after="0" w:line="357" w:lineRule="auto"/>
        <w:jc w:val="left"/>
        <w:sectPr>
          <w:footerReference w:type="default" r:id="rId15"/>
          <w:pgSz w:w="11910" w:h="16840"/>
          <w:pgMar w:footer="1224" w:header="720" w:top="1300" w:bottom="1420" w:left="580" w:right="0"/>
          <w:pgNumType w:start="11"/>
        </w:sectPr>
      </w:pPr>
    </w:p>
    <w:p>
      <w:pPr>
        <w:pStyle w:val="Heading3"/>
        <w:spacing w:line="357" w:lineRule="auto" w:before="13"/>
        <w:ind w:right="582"/>
        <w:jc w:val="left"/>
      </w:pPr>
      <w:r>
        <w:rPr/>
        <w:pict>
          <v:group style="position:absolute;margin-left:34.560001pt;margin-top:2.305654pt;width:508.3pt;height:.1pt;mso-position-horizontal-relative:page;mso-position-vertical-relative:paragraph;z-index:-534712" coordorigin="691,46" coordsize="10166,2">
            <v:shape style="position:absolute;left:691;top:46;width:10166;height:2" coordorigin="691,46" coordsize="10166,0" path="m691,46l10857,46e" filled="false" stroked="true" strokeweight=".72pt" strokecolor="#000000">
              <v:path arrowok="t"/>
            </v:shape>
            <w10:wrap type="none"/>
          </v:group>
        </w:pict>
      </w:r>
      <w:r>
        <w:rPr>
          <w:spacing w:val="-3"/>
        </w:rPr>
        <w:t>询委员，黑龙江省人民政府法律顾问，吉林省人民检察院专家咨询委员，长春市人大常委会立法咨询</w:t>
      </w:r>
      <w:r>
        <w:rPr>
          <w:spacing w:val="-84"/>
        </w:rPr>
        <w:t> </w:t>
      </w:r>
      <w:r>
        <w:rPr>
          <w:spacing w:val="-84"/>
        </w:rPr>
      </w:r>
      <w:r>
        <w:rPr>
          <w:spacing w:val="-3"/>
        </w:rPr>
        <w:t>专家，长春市人民政府法律顾问，长春仲裁委员会委员兼仲裁员，大庆仲裁委员会仲裁员等。同时当</w:t>
      </w:r>
      <w:r>
        <w:rPr>
          <w:spacing w:val="-84"/>
        </w:rPr>
        <w:t> </w:t>
      </w:r>
      <w:r>
        <w:rPr>
          <w:spacing w:val="-84"/>
        </w:rPr>
      </w:r>
      <w:r>
        <w:rPr>
          <w:spacing w:val="-3"/>
        </w:rPr>
        <w:t>选为中共吉林大学第十二届党委委员，长春市朝阳区人大代表，朝阳区人民检察院人民监督员，吉林</w:t>
      </w:r>
      <w:r>
        <w:rPr>
          <w:spacing w:val="-84"/>
        </w:rPr>
        <w:t> </w:t>
      </w:r>
      <w:r>
        <w:rPr>
          <w:spacing w:val="-84"/>
        </w:rPr>
      </w:r>
      <w:r>
        <w:rPr/>
        <w:t>省第一届人大代表，法制委员会委员。徐卫东同志享受国务院特殊津贴，是省管优秀专家，</w:t>
      </w:r>
      <w:r>
        <w:rPr>
          <w:rFonts w:ascii="宋体" w:hAnsi="宋体" w:cs="宋体" w:eastAsia="宋体" w:hint="default"/>
        </w:rPr>
        <w:t>2007 </w:t>
      </w:r>
      <w:r>
        <w:rPr/>
        <w:t>年</w:t>
      </w:r>
      <w:r>
        <w:rPr>
          <w:spacing w:val="-92"/>
        </w:rPr>
        <w:t> </w:t>
      </w:r>
      <w:r>
        <w:rPr>
          <w:spacing w:val="-3"/>
        </w:rPr>
        <w:t>长春市劳动模范，全国普法先进个人，吉林省第二批拔尖创新人才工程入选专家，吉林大学优秀共产</w:t>
      </w:r>
      <w:r>
        <w:rPr>
          <w:spacing w:val="-84"/>
        </w:rPr>
        <w:t> </w:t>
      </w:r>
      <w:r>
        <w:rPr>
          <w:spacing w:val="-84"/>
        </w:rPr>
      </w:r>
      <w:r>
        <w:rPr>
          <w:spacing w:val="-6"/>
        </w:rPr>
        <w:t>党员。通过公司第三届董事会第十二次会议提名，</w:t>
      </w:r>
      <w:r>
        <w:rPr>
          <w:rFonts w:ascii="宋体" w:hAnsi="宋体" w:cs="宋体" w:eastAsia="宋体" w:hint="default"/>
          <w:spacing w:val="-6"/>
        </w:rPr>
        <w:t>2008</w:t>
      </w:r>
      <w:r>
        <w:rPr>
          <w:rFonts w:ascii="宋体" w:hAnsi="宋体" w:cs="宋体" w:eastAsia="宋体" w:hint="default"/>
          <w:spacing w:val="-60"/>
        </w:rPr>
        <w:t> </w:t>
      </w:r>
      <w:r>
        <w:rPr/>
        <w:t>年</w:t>
      </w:r>
      <w:r>
        <w:rPr>
          <w:spacing w:val="-60"/>
        </w:rPr>
        <w:t> </w:t>
      </w:r>
      <w:r>
        <w:rPr>
          <w:rFonts w:ascii="宋体" w:hAnsi="宋体" w:cs="宋体" w:eastAsia="宋体" w:hint="default"/>
        </w:rPr>
        <w:t>9</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日召开的公司股东大会审议通过后， 任公司独立董事。</w:t>
      </w:r>
    </w:p>
    <w:p>
      <w:pPr>
        <w:pStyle w:val="Heading3"/>
        <w:spacing w:line="357" w:lineRule="auto" w:before="34"/>
        <w:ind w:right="606" w:firstLine="480"/>
        <w:jc w:val="left"/>
      </w:pPr>
      <w:r>
        <w:rPr/>
        <w:t>李飞女士，</w:t>
      </w:r>
      <w:r>
        <w:rPr>
          <w:rFonts w:ascii="宋体" w:hAnsi="宋体" w:cs="宋体" w:eastAsia="宋体" w:hint="default"/>
        </w:rPr>
        <w:t>1963</w:t>
      </w:r>
      <w:r>
        <w:rPr>
          <w:rFonts w:ascii="宋体" w:hAnsi="宋体" w:cs="宋体" w:eastAsia="宋体" w:hint="default"/>
          <w:spacing w:val="11"/>
        </w:rPr>
        <w:t> </w:t>
      </w:r>
      <w:r>
        <w:rPr/>
        <w:t>年出生，研究生学历，教授，硕士生导师，现任北京中医药大学中药炮制研究 中心主任，中华中医药学会炮制分会副秘书长，北京市中医药学会理事、炮制专业委员会主任委员。 </w:t>
      </w:r>
      <w:r>
        <w:rPr>
          <w:rFonts w:ascii="宋体" w:hAnsi="宋体" w:cs="宋体" w:eastAsia="宋体" w:hint="default"/>
        </w:rPr>
        <w:t>1998 </w:t>
      </w:r>
      <w:r>
        <w:rPr/>
        <w:t>年被评选为北京市高等学校优秀青年骨干教师。</w:t>
      </w:r>
      <w:r>
        <w:rPr>
          <w:rFonts w:ascii="宋体" w:hAnsi="宋体" w:cs="宋体" w:eastAsia="宋体" w:hint="default"/>
        </w:rPr>
        <w:t>2009</w:t>
      </w:r>
      <w:r>
        <w:rPr>
          <w:rFonts w:ascii="宋体" w:hAnsi="宋体" w:cs="宋体" w:eastAsia="宋体" w:hint="default"/>
          <w:spacing w:val="-96"/>
        </w:rPr>
        <w:t> </w:t>
      </w:r>
      <w:r>
        <w:rPr/>
        <w:t>年获“北京中医药大学优秀教师”称号。</w:t>
      </w:r>
    </w:p>
    <w:p>
      <w:pPr>
        <w:pStyle w:val="Heading3"/>
        <w:spacing w:line="240" w:lineRule="auto" w:before="36"/>
        <w:ind w:right="0"/>
        <w:jc w:val="left"/>
      </w:pPr>
      <w:r>
        <w:rPr>
          <w:spacing w:val="-3"/>
        </w:rPr>
        <w:t>先后承担国家八五、十五、十一五攻关课题、国家自然基金课题、国家</w:t>
      </w:r>
      <w:r>
        <w:rPr>
          <w:spacing w:val="-63"/>
        </w:rPr>
        <w:t> </w:t>
      </w:r>
      <w:r>
        <w:rPr>
          <w:rFonts w:ascii="宋体" w:hAnsi="宋体" w:cs="宋体" w:eastAsia="宋体" w:hint="default"/>
        </w:rPr>
        <w:t>973</w:t>
      </w:r>
      <w:r>
        <w:rPr>
          <w:rFonts w:ascii="宋体" w:hAnsi="宋体" w:cs="宋体" w:eastAsia="宋体" w:hint="default"/>
          <w:spacing w:val="-64"/>
        </w:rPr>
        <w:t> </w:t>
      </w:r>
      <w:r>
        <w:rPr/>
        <w:t>计划等研究项目。通过公</w:t>
      </w:r>
    </w:p>
    <w:p>
      <w:pPr>
        <w:pStyle w:val="Heading3"/>
        <w:spacing w:line="355" w:lineRule="auto"/>
        <w:ind w:right="581"/>
        <w:jc w:val="left"/>
      </w:pPr>
      <w:r>
        <w:rPr/>
        <w:t>司第三届董事会第二十二次会议提名，</w:t>
      </w:r>
      <w:r>
        <w:rPr>
          <w:rFonts w:ascii="宋体" w:hAnsi="宋体" w:cs="宋体" w:eastAsia="宋体" w:hint="default"/>
        </w:rPr>
        <w:t>2010</w:t>
      </w:r>
      <w:r>
        <w:rPr>
          <w:rFonts w:ascii="宋体" w:hAnsi="宋体" w:cs="宋体" w:eastAsia="宋体" w:hint="default"/>
          <w:spacing w:val="-67"/>
        </w:rPr>
        <w:t> </w:t>
      </w:r>
      <w:r>
        <w:rPr/>
        <w:t>年</w:t>
      </w:r>
      <w:r>
        <w:rPr>
          <w:spacing w:val="-67"/>
        </w:rPr>
        <w:t> </w:t>
      </w:r>
      <w:r>
        <w:rPr>
          <w:rFonts w:ascii="宋体" w:hAnsi="宋体" w:cs="宋体" w:eastAsia="宋体" w:hint="default"/>
        </w:rPr>
        <w:t>4</w:t>
      </w:r>
      <w:r>
        <w:rPr>
          <w:rFonts w:ascii="宋体" w:hAnsi="宋体" w:cs="宋体" w:eastAsia="宋体" w:hint="default"/>
          <w:spacing w:val="-67"/>
        </w:rPr>
        <w:t> </w:t>
      </w:r>
      <w:r>
        <w:rPr/>
        <w:t>月</w:t>
      </w:r>
      <w:r>
        <w:rPr>
          <w:spacing w:val="-67"/>
        </w:rPr>
        <w:t> </w:t>
      </w:r>
      <w:r>
        <w:rPr>
          <w:rFonts w:ascii="宋体" w:hAnsi="宋体" w:cs="宋体" w:eastAsia="宋体" w:hint="default"/>
        </w:rPr>
        <w:t>8</w:t>
      </w:r>
      <w:r>
        <w:rPr>
          <w:rFonts w:ascii="宋体" w:hAnsi="宋体" w:cs="宋体" w:eastAsia="宋体" w:hint="default"/>
          <w:spacing w:val="-67"/>
        </w:rPr>
        <w:t> </w:t>
      </w:r>
      <w:r>
        <w:rPr/>
        <w:t>日召开的公司第一次临时股东大会审议通过后， 任公司独立董事。</w:t>
      </w:r>
    </w:p>
    <w:p>
      <w:pPr>
        <w:pStyle w:val="Heading3"/>
        <w:spacing w:line="357" w:lineRule="auto" w:before="38"/>
        <w:ind w:right="716" w:firstLine="480"/>
        <w:jc w:val="both"/>
      </w:pPr>
      <w:r>
        <w:rPr/>
        <w:t>方勇先生，方勇先生，</w:t>
      </w:r>
      <w:r>
        <w:rPr>
          <w:rFonts w:ascii="宋体" w:hAnsi="宋体" w:cs="宋体" w:eastAsia="宋体" w:hint="default"/>
        </w:rPr>
        <w:t>1971</w:t>
      </w:r>
      <w:r>
        <w:rPr>
          <w:rFonts w:ascii="宋体" w:hAnsi="宋体" w:cs="宋体" w:eastAsia="宋体" w:hint="default"/>
          <w:spacing w:val="-72"/>
        </w:rPr>
        <w:t> </w:t>
      </w:r>
      <w:r>
        <w:rPr/>
        <w:t>年出生，大专学历，注册会计师。</w:t>
      </w:r>
      <w:r>
        <w:rPr>
          <w:rFonts w:ascii="宋体" w:hAnsi="宋体" w:cs="宋体" w:eastAsia="宋体" w:hint="default"/>
        </w:rPr>
        <w:t>1999</w:t>
      </w:r>
      <w:r>
        <w:rPr>
          <w:rFonts w:ascii="宋体" w:hAnsi="宋体" w:cs="宋体" w:eastAsia="宋体" w:hint="default"/>
          <w:spacing w:val="-72"/>
        </w:rPr>
        <w:t> </w:t>
      </w:r>
      <w:r>
        <w:rPr/>
        <w:t>年～</w:t>
      </w:r>
      <w:r>
        <w:rPr>
          <w:rFonts w:ascii="宋体" w:hAnsi="宋体" w:cs="宋体" w:eastAsia="宋体" w:hint="default"/>
        </w:rPr>
        <w:t>2005</w:t>
      </w:r>
      <w:r>
        <w:rPr>
          <w:rFonts w:ascii="宋体" w:hAnsi="宋体" w:cs="宋体" w:eastAsia="宋体" w:hint="default"/>
          <w:spacing w:val="-72"/>
        </w:rPr>
        <w:t> </w:t>
      </w:r>
      <w:r>
        <w:rPr/>
        <w:t>年就职于长春东方 水泵厂，历任会计，财务副科长、科长；</w:t>
      </w:r>
      <w:r>
        <w:rPr>
          <w:rFonts w:ascii="宋体" w:hAnsi="宋体" w:cs="宋体" w:eastAsia="宋体" w:hint="default"/>
        </w:rPr>
        <w:t>2005</w:t>
      </w:r>
      <w:r>
        <w:rPr>
          <w:rFonts w:ascii="宋体" w:hAnsi="宋体" w:cs="宋体" w:eastAsia="宋体" w:hint="default"/>
          <w:spacing w:val="20"/>
        </w:rPr>
        <w:t> </w:t>
      </w:r>
      <w:r>
        <w:rPr/>
        <w:t>年～至今，就职于中磊会计师事务所，历任主审会计 师、项目经理、部门主任。通过公司第三届董事会第二十二次会议提名，</w:t>
      </w:r>
      <w:r>
        <w:rPr>
          <w:rFonts w:ascii="宋体" w:hAnsi="宋体" w:cs="宋体" w:eastAsia="宋体" w:hint="default"/>
        </w:rPr>
        <w:t>2010</w:t>
      </w:r>
      <w:r>
        <w:rPr>
          <w:rFonts w:ascii="宋体" w:hAnsi="宋体" w:cs="宋体" w:eastAsia="宋体" w:hint="default"/>
          <w:spacing w:val="-43"/>
        </w:rPr>
        <w:t> </w:t>
      </w:r>
      <w:r>
        <w:rPr/>
        <w:t>年</w:t>
      </w:r>
      <w:r>
        <w:rPr>
          <w:spacing w:val="-44"/>
        </w:rPr>
        <w:t> </w:t>
      </w:r>
      <w:r>
        <w:rPr>
          <w:rFonts w:ascii="宋体" w:hAnsi="宋体" w:cs="宋体" w:eastAsia="宋体" w:hint="default"/>
        </w:rPr>
        <w:t>4</w:t>
      </w:r>
      <w:r>
        <w:rPr>
          <w:rFonts w:ascii="宋体" w:hAnsi="宋体" w:cs="宋体" w:eastAsia="宋体" w:hint="default"/>
          <w:spacing w:val="-44"/>
        </w:rPr>
        <w:t> </w:t>
      </w:r>
      <w:r>
        <w:rPr/>
        <w:t>月</w:t>
      </w:r>
      <w:r>
        <w:rPr>
          <w:spacing w:val="-44"/>
        </w:rPr>
        <w:t> </w:t>
      </w:r>
      <w:r>
        <w:rPr>
          <w:rFonts w:ascii="宋体" w:hAnsi="宋体" w:cs="宋体" w:eastAsia="宋体" w:hint="default"/>
        </w:rPr>
        <w:t>8</w:t>
      </w:r>
      <w:r>
        <w:rPr>
          <w:rFonts w:ascii="宋体" w:hAnsi="宋体" w:cs="宋体" w:eastAsia="宋体" w:hint="default"/>
          <w:spacing w:val="-44"/>
        </w:rPr>
        <w:t> </w:t>
      </w:r>
      <w:r>
        <w:rPr/>
        <w:t>日召开的公 司第一次临时股东大会审议通过后，任公司独立董事。</w:t>
      </w:r>
    </w:p>
    <w:p>
      <w:pPr>
        <w:pStyle w:val="Heading2"/>
        <w:spacing w:line="240" w:lineRule="auto" w:before="36"/>
        <w:ind w:left="140" w:right="0"/>
        <w:jc w:val="left"/>
        <w:rPr>
          <w:b w:val="0"/>
          <w:bCs w:val="0"/>
        </w:rPr>
      </w:pPr>
      <w:r>
        <w:rPr>
          <w:rFonts w:ascii="宋体" w:hAnsi="宋体" w:cs="宋体" w:eastAsia="宋体" w:hint="default"/>
        </w:rPr>
        <w:t>2</w:t>
      </w:r>
      <w:r>
        <w:rPr/>
        <w:t>、监事简介</w:t>
      </w:r>
      <w:r>
        <w:rPr>
          <w:b w:val="0"/>
          <w:bCs w:val="0"/>
        </w:rPr>
      </w:r>
    </w:p>
    <w:p>
      <w:pPr>
        <w:pStyle w:val="Heading3"/>
        <w:spacing w:line="240" w:lineRule="auto" w:before="151"/>
        <w:ind w:left="620" w:right="0"/>
        <w:jc w:val="left"/>
      </w:pPr>
      <w:r>
        <w:rPr/>
        <w:t>郭勇先生，男，汉族，</w:t>
      </w:r>
      <w:r>
        <w:rPr>
          <w:rFonts w:ascii="宋体" w:hAnsi="宋体" w:cs="宋体" w:eastAsia="宋体" w:hint="default"/>
        </w:rPr>
        <w:t>1957</w:t>
      </w:r>
      <w:r>
        <w:rPr>
          <w:rFonts w:ascii="宋体" w:hAnsi="宋体" w:cs="宋体" w:eastAsia="宋体" w:hint="default"/>
          <w:spacing w:val="-57"/>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月出生，会计师职称。</w:t>
      </w:r>
      <w:r>
        <w:rPr>
          <w:rFonts w:ascii="宋体" w:hAnsi="宋体" w:cs="宋体" w:eastAsia="宋体" w:hint="default"/>
        </w:rPr>
        <w:t>1974</w:t>
      </w:r>
      <w:r>
        <w:rPr>
          <w:rFonts w:ascii="宋体" w:hAnsi="宋体" w:cs="宋体" w:eastAsia="宋体" w:hint="default"/>
          <w:spacing w:val="-58"/>
        </w:rPr>
        <w:t> </w:t>
      </w:r>
      <w:r>
        <w:rPr/>
        <w:t>年</w:t>
      </w:r>
      <w:r>
        <w:rPr>
          <w:spacing w:val="-58"/>
        </w:rPr>
        <w:t> </w:t>
      </w:r>
      <w:r>
        <w:rPr>
          <w:rFonts w:ascii="宋体" w:hAnsi="宋体" w:cs="宋体" w:eastAsia="宋体" w:hint="default"/>
        </w:rPr>
        <w:t>7</w:t>
      </w:r>
      <w:r>
        <w:rPr>
          <w:rFonts w:ascii="宋体" w:hAnsi="宋体" w:cs="宋体" w:eastAsia="宋体" w:hint="default"/>
          <w:spacing w:val="-58"/>
        </w:rPr>
        <w:t> </w:t>
      </w:r>
      <w:r>
        <w:rPr/>
        <w:t>月至</w:t>
      </w:r>
      <w:r>
        <w:rPr>
          <w:spacing w:val="-58"/>
        </w:rPr>
        <w:t> </w:t>
      </w:r>
      <w:r>
        <w:rPr>
          <w:rFonts w:ascii="宋体" w:hAnsi="宋体" w:cs="宋体" w:eastAsia="宋体" w:hint="default"/>
        </w:rPr>
        <w:t>1987</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8"/>
        </w:rPr>
        <w:t> </w:t>
      </w:r>
      <w:r>
        <w:rPr/>
        <w:t>月在敦化鹿场</w:t>
      </w:r>
    </w:p>
    <w:p>
      <w:pPr>
        <w:pStyle w:val="Heading3"/>
        <w:spacing w:line="240" w:lineRule="auto"/>
        <w:ind w:right="0"/>
        <w:jc w:val="left"/>
        <w:rPr>
          <w:rFonts w:ascii="宋体" w:hAnsi="宋体" w:cs="宋体" w:eastAsia="宋体" w:hint="default"/>
        </w:rPr>
      </w:pPr>
      <w:r>
        <w:rPr>
          <w:spacing w:val="-9"/>
        </w:rPr>
        <w:t>养鹿一场工作；</w:t>
      </w:r>
      <w:r>
        <w:rPr>
          <w:rFonts w:ascii="宋体" w:hAnsi="宋体" w:cs="宋体" w:eastAsia="宋体" w:hint="default"/>
          <w:spacing w:val="-9"/>
        </w:rPr>
        <w:t>1988</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月至</w:t>
      </w:r>
      <w:r>
        <w:rPr>
          <w:spacing w:val="-59"/>
        </w:rPr>
        <w:t> </w:t>
      </w:r>
      <w:r>
        <w:rPr>
          <w:rFonts w:ascii="宋体" w:hAnsi="宋体" w:cs="宋体" w:eastAsia="宋体" w:hint="default"/>
        </w:rPr>
        <w:t>1997</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spacing w:val="-9"/>
        </w:rPr>
        <w:t>月在敦化鹿场彩印厂工作，任会计科长；</w:t>
      </w:r>
      <w:r>
        <w:rPr>
          <w:rFonts w:ascii="宋体" w:hAnsi="宋体" w:cs="宋体" w:eastAsia="宋体" w:hint="default"/>
          <w:spacing w:val="-9"/>
        </w:rPr>
        <w:t>1998</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月至</w:t>
      </w:r>
      <w:r>
        <w:rPr>
          <w:spacing w:val="-59"/>
        </w:rPr>
        <w:t> </w:t>
      </w:r>
      <w:r>
        <w:rPr>
          <w:rFonts w:ascii="宋体" w:hAnsi="宋体" w:cs="宋体" w:eastAsia="宋体" w:hint="default"/>
        </w:rPr>
        <w:t>2003</w:t>
      </w:r>
    </w:p>
    <w:p>
      <w:pPr>
        <w:pStyle w:val="Heading3"/>
        <w:spacing w:line="240" w:lineRule="auto" w:before="151"/>
        <w:ind w:right="0"/>
        <w:jc w:val="left"/>
      </w:pPr>
      <w:r>
        <w:rPr/>
        <w:t>年</w:t>
      </w:r>
      <w:r>
        <w:rPr>
          <w:spacing w:val="-52"/>
        </w:rPr>
        <w:t> </w:t>
      </w:r>
      <w:r>
        <w:rPr>
          <w:rFonts w:ascii="宋体" w:hAnsi="宋体" w:cs="宋体" w:eastAsia="宋体" w:hint="default"/>
        </w:rPr>
        <w:t>12</w:t>
      </w:r>
      <w:r>
        <w:rPr>
          <w:rFonts w:ascii="宋体" w:hAnsi="宋体" w:cs="宋体" w:eastAsia="宋体" w:hint="default"/>
          <w:spacing w:val="-51"/>
        </w:rPr>
        <w:t> </w:t>
      </w:r>
      <w:r>
        <w:rPr/>
        <w:t>月在敦化鹿场彩印厂工作，任财务总监；</w:t>
      </w:r>
      <w:r>
        <w:rPr>
          <w:rFonts w:ascii="宋体" w:hAnsi="宋体" w:cs="宋体" w:eastAsia="宋体" w:hint="default"/>
        </w:rPr>
        <w:t>2004</w:t>
      </w:r>
      <w:r>
        <w:rPr>
          <w:rFonts w:ascii="宋体" w:hAnsi="宋体" w:cs="宋体" w:eastAsia="宋体" w:hint="default"/>
          <w:spacing w:val="-52"/>
        </w:rPr>
        <w:t> </w:t>
      </w:r>
      <w:r>
        <w:rPr/>
        <w:t>年</w:t>
      </w:r>
      <w:r>
        <w:rPr>
          <w:spacing w:val="-51"/>
        </w:rPr>
        <w:t> </w:t>
      </w:r>
      <w:r>
        <w:rPr>
          <w:rFonts w:ascii="宋体" w:hAnsi="宋体" w:cs="宋体" w:eastAsia="宋体" w:hint="default"/>
        </w:rPr>
        <w:t>1</w:t>
      </w:r>
      <w:r>
        <w:rPr>
          <w:rFonts w:ascii="宋体" w:hAnsi="宋体" w:cs="宋体" w:eastAsia="宋体" w:hint="default"/>
          <w:spacing w:val="-52"/>
        </w:rPr>
        <w:t> </w:t>
      </w:r>
      <w:r>
        <w:rPr/>
        <w:t>月至</w:t>
      </w:r>
      <w:r>
        <w:rPr>
          <w:spacing w:val="-52"/>
        </w:rPr>
        <w:t> </w:t>
      </w:r>
      <w:r>
        <w:rPr>
          <w:rFonts w:ascii="宋体" w:hAnsi="宋体" w:cs="宋体" w:eastAsia="宋体" w:hint="default"/>
        </w:rPr>
        <w:t>2007</w:t>
      </w:r>
      <w:r>
        <w:rPr>
          <w:rFonts w:ascii="宋体" w:hAnsi="宋体" w:cs="宋体" w:eastAsia="宋体" w:hint="default"/>
          <w:spacing w:val="-52"/>
        </w:rPr>
        <w:t> </w:t>
      </w:r>
      <w:r>
        <w:rPr/>
        <w:t>年</w:t>
      </w:r>
      <w:r>
        <w:rPr>
          <w:spacing w:val="-52"/>
        </w:rPr>
        <w:t> </w:t>
      </w:r>
      <w:r>
        <w:rPr>
          <w:rFonts w:ascii="宋体" w:hAnsi="宋体" w:cs="宋体" w:eastAsia="宋体" w:hint="default"/>
        </w:rPr>
        <w:t>3</w:t>
      </w:r>
      <w:r>
        <w:rPr>
          <w:rFonts w:ascii="宋体" w:hAnsi="宋体" w:cs="宋体" w:eastAsia="宋体" w:hint="default"/>
          <w:spacing w:val="-52"/>
        </w:rPr>
        <w:t> </w:t>
      </w:r>
      <w:r>
        <w:rPr/>
        <w:t>月在敦化市金诚万和实业公</w:t>
      </w:r>
    </w:p>
    <w:p>
      <w:pPr>
        <w:pStyle w:val="Heading3"/>
        <w:spacing w:line="240" w:lineRule="auto"/>
        <w:ind w:right="0"/>
        <w:jc w:val="left"/>
      </w:pPr>
      <w:r>
        <w:rPr>
          <w:spacing w:val="-4"/>
        </w:rPr>
        <w:t>司工作，任财务副总；</w:t>
      </w:r>
      <w:r>
        <w:rPr>
          <w:rFonts w:ascii="宋体" w:hAnsi="宋体" w:cs="宋体" w:eastAsia="宋体" w:hint="default"/>
          <w:spacing w:val="-4"/>
        </w:rPr>
        <w:t>2007</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2"/>
        </w:rPr>
        <w:t> </w:t>
      </w:r>
      <w:r>
        <w:rPr/>
        <w:t>月至今在吉林紫鑫药业股份有限公司工作。</w:t>
      </w:r>
      <w:r>
        <w:rPr>
          <w:rFonts w:ascii="宋体" w:hAnsi="宋体" w:cs="宋体" w:eastAsia="宋体" w:hint="default"/>
        </w:rPr>
        <w:t>2009</w:t>
      </w:r>
      <w:r>
        <w:rPr>
          <w:rFonts w:ascii="宋体" w:hAnsi="宋体" w:cs="宋体" w:eastAsia="宋体" w:hint="default"/>
          <w:spacing w:val="-62"/>
        </w:rPr>
        <w:t> </w:t>
      </w:r>
      <w:r>
        <w:rPr/>
        <w:t>年</w:t>
      </w:r>
      <w:r>
        <w:rPr>
          <w:spacing w:val="-62"/>
        </w:rPr>
        <w:t> </w:t>
      </w:r>
      <w:r>
        <w:rPr>
          <w:rFonts w:ascii="宋体" w:hAnsi="宋体" w:cs="宋体" w:eastAsia="宋体" w:hint="default"/>
        </w:rPr>
        <w:t>3</w:t>
      </w:r>
      <w:r>
        <w:rPr>
          <w:rFonts w:ascii="宋体" w:hAnsi="宋体" w:cs="宋体" w:eastAsia="宋体" w:hint="default"/>
          <w:spacing w:val="-62"/>
        </w:rPr>
        <w:t> </w:t>
      </w:r>
      <w:r>
        <w:rPr/>
        <w:t>月</w:t>
      </w:r>
      <w:r>
        <w:rPr>
          <w:spacing w:val="-62"/>
        </w:rPr>
        <w:t> </w:t>
      </w:r>
      <w:r>
        <w:rPr>
          <w:rFonts w:ascii="宋体" w:hAnsi="宋体" w:cs="宋体" w:eastAsia="宋体" w:hint="default"/>
        </w:rPr>
        <w:t>23</w:t>
      </w:r>
      <w:r>
        <w:rPr>
          <w:rFonts w:ascii="宋体" w:hAnsi="宋体" w:cs="宋体" w:eastAsia="宋体" w:hint="default"/>
          <w:spacing w:val="-62"/>
        </w:rPr>
        <w:t> </w:t>
      </w:r>
      <w:r>
        <w:rPr>
          <w:spacing w:val="-6"/>
        </w:rPr>
        <w:t>日，任公</w:t>
      </w:r>
    </w:p>
    <w:p>
      <w:pPr>
        <w:pStyle w:val="Heading3"/>
        <w:spacing w:line="240" w:lineRule="auto" w:before="151"/>
        <w:ind w:right="0"/>
        <w:jc w:val="left"/>
      </w:pPr>
      <w:r>
        <w:rPr/>
        <w:t>司监事。</w:t>
      </w: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日，郭勇先生因个人原因，辞去监事一职。</w:t>
      </w:r>
    </w:p>
    <w:p>
      <w:pPr>
        <w:pStyle w:val="Heading3"/>
        <w:spacing w:line="355" w:lineRule="auto"/>
        <w:ind w:right="707" w:firstLine="480"/>
        <w:jc w:val="left"/>
      </w:pPr>
      <w:r>
        <w:rPr/>
        <w:t>汤兆利先生，</w:t>
      </w:r>
      <w:r>
        <w:rPr>
          <w:rFonts w:ascii="宋体" w:hAnsi="宋体" w:cs="宋体" w:eastAsia="宋体" w:hint="default"/>
        </w:rPr>
        <w:t>1958</w:t>
      </w:r>
      <w:r>
        <w:rPr>
          <w:rFonts w:ascii="宋体" w:hAnsi="宋体" w:cs="宋体" w:eastAsia="宋体" w:hint="default"/>
          <w:spacing w:val="-57"/>
        </w:rPr>
        <w:t> </w:t>
      </w:r>
      <w:r>
        <w:rPr/>
        <w:t>年</w:t>
      </w:r>
      <w:r>
        <w:rPr>
          <w:spacing w:val="-57"/>
        </w:rPr>
        <w:t> </w:t>
      </w:r>
      <w:r>
        <w:rPr>
          <w:rFonts w:ascii="宋体" w:hAnsi="宋体" w:cs="宋体" w:eastAsia="宋体" w:hint="default"/>
        </w:rPr>
        <w:t>7</w:t>
      </w:r>
      <w:r>
        <w:rPr>
          <w:rFonts w:ascii="宋体" w:hAnsi="宋体" w:cs="宋体" w:eastAsia="宋体" w:hint="default"/>
          <w:spacing w:val="-57"/>
        </w:rPr>
        <w:t> </w:t>
      </w:r>
      <w:r>
        <w:rPr/>
        <w:t>月出生，会计师，</w:t>
      </w:r>
      <w:r>
        <w:rPr>
          <w:rFonts w:ascii="宋体" w:hAnsi="宋体" w:cs="宋体" w:eastAsia="宋体" w:hint="default"/>
        </w:rPr>
        <w:t>2001</w:t>
      </w:r>
      <w:r>
        <w:rPr>
          <w:rFonts w:ascii="宋体" w:hAnsi="宋体" w:cs="宋体" w:eastAsia="宋体" w:hint="default"/>
          <w:spacing w:val="-57"/>
        </w:rPr>
        <w:t> </w:t>
      </w:r>
      <w:r>
        <w:rPr/>
        <w:t>年</w:t>
      </w:r>
      <w:r>
        <w:rPr>
          <w:spacing w:val="-56"/>
        </w:rPr>
        <w:t> </w:t>
      </w:r>
      <w:r>
        <w:rPr>
          <w:rFonts w:ascii="宋体" w:hAnsi="宋体" w:cs="宋体" w:eastAsia="宋体" w:hint="default"/>
        </w:rPr>
        <w:t>5</w:t>
      </w:r>
      <w:r>
        <w:rPr>
          <w:rFonts w:ascii="宋体" w:hAnsi="宋体" w:cs="宋体" w:eastAsia="宋体" w:hint="default"/>
          <w:spacing w:val="-57"/>
        </w:rPr>
        <w:t> </w:t>
      </w:r>
      <w:r>
        <w:rPr/>
        <w:t>月至今在吉林紫鑫药业股份有限公司工作， 现为本公司职工监事。</w:t>
      </w:r>
    </w:p>
    <w:p>
      <w:pPr>
        <w:pStyle w:val="Heading3"/>
        <w:spacing w:line="240" w:lineRule="auto" w:before="38"/>
        <w:ind w:left="620" w:right="0"/>
        <w:jc w:val="left"/>
      </w:pPr>
      <w:r>
        <w:rPr/>
        <w:t>范水波先生，</w:t>
      </w:r>
      <w:r>
        <w:rPr>
          <w:spacing w:val="-31"/>
        </w:rPr>
        <w:t> </w:t>
      </w:r>
      <w:r>
        <w:rPr>
          <w:rFonts w:ascii="宋体" w:hAnsi="宋体" w:cs="宋体" w:eastAsia="宋体" w:hint="default"/>
        </w:rPr>
        <w:t>1969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spacing w:val="-5"/>
        </w:rPr>
        <w:t>月出生，注册会计师。</w:t>
      </w:r>
      <w:r>
        <w:rPr>
          <w:rFonts w:ascii="宋体" w:hAnsi="宋体" w:cs="宋体" w:eastAsia="宋体" w:hint="default"/>
          <w:spacing w:val="-5"/>
        </w:rPr>
        <w:t>1989</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月至</w:t>
      </w:r>
      <w:r>
        <w:rPr>
          <w:spacing w:val="-60"/>
        </w:rPr>
        <w:t> </w:t>
      </w:r>
      <w:r>
        <w:rPr>
          <w:rFonts w:ascii="宋体" w:hAnsi="宋体" w:cs="宋体" w:eastAsia="宋体" w:hint="default"/>
        </w:rPr>
        <w:t>1996</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月在柳河县农机公司任</w:t>
      </w:r>
    </w:p>
    <w:p>
      <w:pPr>
        <w:pStyle w:val="Heading3"/>
        <w:spacing w:line="240" w:lineRule="auto" w:before="151"/>
        <w:ind w:right="0"/>
        <w:jc w:val="left"/>
      </w:pPr>
      <w:r>
        <w:rPr>
          <w:spacing w:val="-8"/>
        </w:rPr>
        <w:t>主管会计、财务科长；</w:t>
      </w:r>
      <w:r>
        <w:rPr>
          <w:rFonts w:ascii="宋体" w:hAnsi="宋体" w:cs="宋体" w:eastAsia="宋体" w:hint="default"/>
          <w:spacing w:val="-8"/>
        </w:rPr>
        <w:t>1996</w:t>
      </w:r>
      <w:r>
        <w:rPr>
          <w:rFonts w:ascii="宋体" w:hAnsi="宋体" w:cs="宋体" w:eastAsia="宋体" w:hint="default"/>
          <w:spacing w:val="-57"/>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月至</w:t>
      </w:r>
      <w:r>
        <w:rPr>
          <w:spacing w:val="-57"/>
        </w:rPr>
        <w:t> </w:t>
      </w:r>
      <w:r>
        <w:rPr>
          <w:rFonts w:ascii="宋体" w:hAnsi="宋体" w:cs="宋体" w:eastAsia="宋体" w:hint="default"/>
        </w:rPr>
        <w:t>2001</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spacing w:val="-3"/>
        </w:rPr>
        <w:t>月在三株集团柳河中药公司任主管会计、财务部长；</w:t>
      </w:r>
    </w:p>
    <w:p>
      <w:pPr>
        <w:pStyle w:val="Heading3"/>
        <w:spacing w:line="357" w:lineRule="auto"/>
        <w:ind w:right="713"/>
        <w:jc w:val="both"/>
      </w:pPr>
      <w:r>
        <w:rPr>
          <w:rFonts w:ascii="宋体" w:hAnsi="宋体" w:cs="宋体" w:eastAsia="宋体" w:hint="default"/>
        </w:rPr>
        <w:t>2001</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月至</w:t>
      </w:r>
      <w:r>
        <w:rPr>
          <w:spacing w:val="-59"/>
        </w:rPr>
        <w:t> </w:t>
      </w:r>
      <w:r>
        <w:rPr>
          <w:rFonts w:ascii="宋体" w:hAnsi="宋体" w:cs="宋体" w:eastAsia="宋体" w:hint="default"/>
        </w:rPr>
        <w:t>2004</w:t>
      </w:r>
      <w:r>
        <w:rPr>
          <w:rFonts w:ascii="宋体" w:hAnsi="宋体" w:cs="宋体" w:eastAsia="宋体" w:hint="default"/>
          <w:spacing w:val="-61"/>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月吉林紫鑫药业任主管会计；</w:t>
      </w:r>
      <w:r>
        <w:rPr>
          <w:rFonts w:ascii="宋体" w:hAnsi="宋体" w:cs="宋体" w:eastAsia="宋体" w:hint="default"/>
        </w:rPr>
        <w:t>2004</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月至</w:t>
      </w:r>
      <w:r>
        <w:rPr>
          <w:spacing w:val="-59"/>
        </w:rPr>
        <w:t> </w:t>
      </w:r>
      <w:r>
        <w:rPr>
          <w:rFonts w:ascii="宋体" w:hAnsi="宋体" w:cs="宋体" w:eastAsia="宋体" w:hint="default"/>
        </w:rPr>
        <w:t>2006</w:t>
      </w:r>
      <w:r>
        <w:rPr>
          <w:rFonts w:ascii="宋体" w:hAnsi="宋体" w:cs="宋体" w:eastAsia="宋体" w:hint="default"/>
          <w:spacing w:val="-58"/>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月任吉林紫鑫药 业股份有限公司审计部长，</w:t>
      </w:r>
      <w:r>
        <w:rPr>
          <w:rFonts w:ascii="宋体" w:hAnsi="宋体" w:cs="宋体" w:eastAsia="宋体" w:hint="default"/>
        </w:rPr>
        <w:t>2007</w:t>
      </w:r>
      <w:r>
        <w:rPr>
          <w:rFonts w:ascii="宋体" w:hAnsi="宋体" w:cs="宋体" w:eastAsia="宋体" w:hint="default"/>
          <w:spacing w:val="-31"/>
        </w:rPr>
        <w:t> </w:t>
      </w:r>
      <w:r>
        <w:rPr/>
        <w:t>年</w:t>
      </w:r>
      <w:r>
        <w:rPr>
          <w:spacing w:val="-32"/>
        </w:rPr>
        <w:t> </w:t>
      </w:r>
      <w:r>
        <w:rPr>
          <w:rFonts w:ascii="宋体" w:hAnsi="宋体" w:cs="宋体" w:eastAsia="宋体" w:hint="default"/>
        </w:rPr>
        <w:t>1</w:t>
      </w:r>
      <w:r>
        <w:rPr>
          <w:rFonts w:ascii="宋体" w:hAnsi="宋体" w:cs="宋体" w:eastAsia="宋体" w:hint="default"/>
          <w:spacing w:val="-32"/>
        </w:rPr>
        <w:t> </w:t>
      </w:r>
      <w:r>
        <w:rPr/>
        <w:t>月至今任吉林紫鑫药业股份有限公司总经理助理，现任公司监 事会召集人。</w:t>
      </w:r>
    </w:p>
    <w:p>
      <w:pPr>
        <w:pStyle w:val="Heading3"/>
        <w:spacing w:line="240" w:lineRule="auto" w:before="36"/>
        <w:ind w:left="620" w:right="0"/>
        <w:jc w:val="left"/>
      </w:pPr>
      <w:r>
        <w:rPr>
          <w:spacing w:val="-4"/>
        </w:rPr>
        <w:t>韩明先生，</w:t>
      </w:r>
      <w:r>
        <w:rPr>
          <w:rFonts w:ascii="宋体" w:hAnsi="宋体" w:cs="宋体" w:eastAsia="宋体" w:hint="default"/>
          <w:spacing w:val="-4"/>
        </w:rPr>
        <w:t>1972</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spacing w:val="-4"/>
        </w:rPr>
        <w:t>月出生。</w:t>
      </w:r>
      <w:r>
        <w:rPr>
          <w:rFonts w:ascii="宋体" w:hAnsi="宋体" w:cs="宋体" w:eastAsia="宋体" w:hint="default"/>
          <w:spacing w:val="-4"/>
        </w:rPr>
        <w:t>1997</w:t>
      </w:r>
      <w:r>
        <w:rPr>
          <w:rFonts w:ascii="宋体" w:hAnsi="宋体" w:cs="宋体" w:eastAsia="宋体" w:hint="default"/>
          <w:spacing w:val="-65"/>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月毕业于吉林化工学院。同年工作于吉林敖东药业集团</w:t>
      </w:r>
    </w:p>
    <w:p>
      <w:pPr>
        <w:spacing w:after="0" w:line="240" w:lineRule="auto"/>
        <w:jc w:val="left"/>
        <w:sectPr>
          <w:footerReference w:type="default" r:id="rId16"/>
          <w:pgSz w:w="11910" w:h="16840"/>
          <w:pgMar w:footer="956" w:header="720" w:top="1300" w:bottom="1140" w:left="580" w:right="0"/>
          <w:pgNumType w:start="12"/>
        </w:sectPr>
      </w:pPr>
    </w:p>
    <w:p>
      <w:pPr>
        <w:pStyle w:val="Heading3"/>
        <w:spacing w:line="357" w:lineRule="auto" w:before="13"/>
        <w:ind w:left="240" w:right="716"/>
        <w:jc w:val="both"/>
      </w:pPr>
      <w:r>
        <w:rPr/>
        <w:pict>
          <v:group style="position:absolute;margin-left:34.560001pt;margin-top:2.305654pt;width:508.3pt;height:.1pt;mso-position-horizontal-relative:page;mso-position-vertical-relative:paragraph;z-index:-534688" coordorigin="691,46" coordsize="10166,2">
            <v:shape style="position:absolute;left:691;top:46;width:10166;height:2" coordorigin="691,46" coordsize="10166,0" path="m691,46l10857,46e" filled="false" stroked="true" strokeweight=".72pt" strokecolor="#000000">
              <v:path arrowok="t"/>
            </v:shape>
            <w10:wrap type="none"/>
          </v:group>
        </w:pict>
      </w:r>
      <w:r>
        <w:rPr>
          <w:spacing w:val="-3"/>
        </w:rPr>
        <w:t>股份有限公司，历任固体车间工艺员、车间工段长、车间技术主任。在职期间完成了车间 </w:t>
      </w:r>
      <w:r>
        <w:rPr>
          <w:rFonts w:ascii="宋体" w:hAnsi="宋体" w:cs="宋体" w:eastAsia="宋体" w:hint="default"/>
        </w:rPr>
        <w:t>GMP</w:t>
      </w:r>
      <w:r>
        <w:rPr>
          <w:rFonts w:ascii="宋体" w:hAnsi="宋体" w:cs="宋体" w:eastAsia="宋体" w:hint="default"/>
          <w:spacing w:val="-96"/>
        </w:rPr>
        <w:t> </w:t>
      </w:r>
      <w:r>
        <w:rPr/>
        <w:t>改造及 </w:t>
      </w:r>
      <w:r>
        <w:rPr>
          <w:spacing w:val="-3"/>
        </w:rPr>
        <w:t>生产工艺的革新。</w:t>
      </w:r>
      <w:r>
        <w:rPr>
          <w:rFonts w:ascii="宋体" w:hAnsi="宋体" w:cs="宋体" w:eastAsia="宋体" w:hint="default"/>
          <w:spacing w:val="-3"/>
        </w:rPr>
        <w:t>2008</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58"/>
        </w:rPr>
        <w:t> </w:t>
      </w:r>
      <w:r>
        <w:rPr>
          <w:spacing w:val="-3"/>
        </w:rPr>
        <w:t>月起，任吉林紫鑫药业股份有限公司项目总监。</w:t>
      </w:r>
      <w:r>
        <w:rPr>
          <w:rFonts w:ascii="宋体" w:hAnsi="宋体" w:cs="宋体" w:eastAsia="宋体" w:hint="default"/>
          <w:spacing w:val="-3"/>
        </w:rPr>
        <w:t>2009</w:t>
      </w:r>
      <w:r>
        <w:rPr>
          <w:rFonts w:ascii="宋体" w:hAnsi="宋体" w:cs="宋体" w:eastAsia="宋体" w:hint="default"/>
          <w:spacing w:val="-58"/>
        </w:rPr>
        <w:t> </w:t>
      </w:r>
      <w:r>
        <w:rPr/>
        <w:t>年</w:t>
      </w:r>
      <w:r>
        <w:rPr>
          <w:spacing w:val="-58"/>
        </w:rPr>
        <w:t> </w:t>
      </w:r>
      <w:r>
        <w:rPr>
          <w:rFonts w:ascii="宋体" w:hAnsi="宋体" w:cs="宋体" w:eastAsia="宋体" w:hint="default"/>
        </w:rPr>
        <w:t>10</w:t>
      </w:r>
      <w:r>
        <w:rPr>
          <w:rFonts w:ascii="宋体" w:hAnsi="宋体" w:cs="宋体" w:eastAsia="宋体" w:hint="default"/>
          <w:spacing w:val="-58"/>
        </w:rPr>
        <w:t> </w:t>
      </w:r>
      <w:r>
        <w:rPr/>
        <w:t>月起任吉林紫 鑫药业股份有限公司生产经理职位，现任公司监事。</w:t>
      </w:r>
    </w:p>
    <w:p>
      <w:pPr>
        <w:spacing w:line="357" w:lineRule="auto" w:before="34"/>
        <w:ind w:left="720" w:right="4341" w:hanging="480"/>
        <w:jc w:val="left"/>
        <w:rPr>
          <w:rFonts w:ascii="宋体" w:hAnsi="宋体" w:cs="宋体" w:eastAsia="宋体" w:hint="default"/>
          <w:sz w:val="24"/>
          <w:szCs w:val="24"/>
        </w:rPr>
      </w:pPr>
      <w:r>
        <w:rPr>
          <w:rFonts w:ascii="宋体" w:hAnsi="宋体" w:cs="宋体" w:eastAsia="宋体" w:hint="default"/>
          <w:b/>
          <w:bCs/>
          <w:sz w:val="24"/>
          <w:szCs w:val="24"/>
        </w:rPr>
        <w:t>3</w:t>
      </w:r>
      <w:r>
        <w:rPr>
          <w:rFonts w:ascii="宋体" w:hAnsi="宋体" w:cs="宋体" w:eastAsia="宋体" w:hint="default"/>
          <w:b/>
          <w:bCs/>
          <w:sz w:val="24"/>
          <w:szCs w:val="24"/>
        </w:rPr>
        <w:t>、高级管理人员简介</w:t>
      </w:r>
      <w:r>
        <w:rPr>
          <w:rFonts w:ascii="宋体" w:hAnsi="宋体" w:cs="宋体" w:eastAsia="宋体" w:hint="default"/>
          <w:b/>
          <w:bCs/>
          <w:w w:val="99"/>
          <w:sz w:val="24"/>
          <w:szCs w:val="24"/>
        </w:rPr>
        <w:t> </w:t>
      </w:r>
      <w:r>
        <w:rPr>
          <w:rFonts w:ascii="宋体" w:hAnsi="宋体" w:cs="宋体" w:eastAsia="宋体" w:hint="default"/>
          <w:spacing w:val="-5"/>
          <w:sz w:val="24"/>
          <w:szCs w:val="24"/>
        </w:rPr>
        <w:t>郭春生先生，曹恩辉（副总经理）先生简介见“董事简介”。</w:t>
      </w:r>
    </w:p>
    <w:p>
      <w:pPr>
        <w:pStyle w:val="Heading3"/>
        <w:spacing w:line="357" w:lineRule="auto" w:before="34"/>
        <w:ind w:left="240" w:right="718" w:firstLine="480"/>
        <w:jc w:val="both"/>
      </w:pPr>
      <w:r>
        <w:rPr>
          <w:spacing w:val="-3"/>
        </w:rPr>
        <w:t>徐吉峰先生，</w:t>
      </w:r>
      <w:r>
        <w:rPr>
          <w:rFonts w:ascii="宋体" w:hAnsi="宋体" w:cs="宋体" w:eastAsia="宋体" w:hint="default"/>
          <w:spacing w:val="-3"/>
        </w:rPr>
        <w:t>1975</w:t>
      </w:r>
      <w:r>
        <w:rPr>
          <w:rFonts w:ascii="宋体" w:hAnsi="宋体" w:cs="宋体" w:eastAsia="宋体" w:hint="default"/>
          <w:spacing w:val="-59"/>
        </w:rPr>
        <w:t> </w:t>
      </w:r>
      <w:r>
        <w:rPr/>
        <w:t>年</w:t>
      </w:r>
      <w:r>
        <w:rPr>
          <w:spacing w:val="-59"/>
        </w:rPr>
        <w:t> </w:t>
      </w:r>
      <w:r>
        <w:rPr>
          <w:rFonts w:ascii="宋体" w:hAnsi="宋体" w:cs="宋体" w:eastAsia="宋体" w:hint="default"/>
        </w:rPr>
        <w:t>7</w:t>
      </w:r>
      <w:r>
        <w:rPr>
          <w:rFonts w:ascii="宋体" w:hAnsi="宋体" w:cs="宋体" w:eastAsia="宋体" w:hint="default"/>
          <w:spacing w:val="-59"/>
        </w:rPr>
        <w:t> </w:t>
      </w:r>
      <w:r>
        <w:rPr>
          <w:spacing w:val="-5"/>
        </w:rPr>
        <w:t>月生，中专学历，会计师。</w:t>
      </w:r>
      <w:r>
        <w:rPr>
          <w:rFonts w:ascii="宋体" w:hAnsi="宋体" w:cs="宋体" w:eastAsia="宋体" w:hint="default"/>
          <w:spacing w:val="-5"/>
        </w:rPr>
        <w:t>1994</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月至</w:t>
      </w:r>
      <w:r>
        <w:rPr>
          <w:spacing w:val="-59"/>
        </w:rPr>
        <w:t> </w:t>
      </w:r>
      <w:r>
        <w:rPr>
          <w:rFonts w:ascii="宋体" w:hAnsi="宋体" w:cs="宋体" w:eastAsia="宋体" w:hint="default"/>
        </w:rPr>
        <w:t>1999</w:t>
      </w:r>
      <w:r>
        <w:rPr>
          <w:rFonts w:ascii="宋体" w:hAnsi="宋体" w:cs="宋体" w:eastAsia="宋体" w:hint="default"/>
          <w:spacing w:val="-59"/>
        </w:rPr>
        <w:t> </w:t>
      </w:r>
      <w:r>
        <w:rPr/>
        <w:t>年</w:t>
      </w:r>
      <w:r>
        <w:rPr>
          <w:spacing w:val="-59"/>
        </w:rPr>
        <w:t> </w:t>
      </w:r>
      <w:r>
        <w:rPr>
          <w:rFonts w:ascii="宋体" w:hAnsi="宋体" w:cs="宋体" w:eastAsia="宋体" w:hint="default"/>
        </w:rPr>
        <w:t>11</w:t>
      </w:r>
      <w:r>
        <w:rPr>
          <w:rFonts w:ascii="宋体" w:hAnsi="宋体" w:cs="宋体" w:eastAsia="宋体" w:hint="default"/>
          <w:spacing w:val="-59"/>
        </w:rPr>
        <w:t> </w:t>
      </w:r>
      <w:r>
        <w:rPr/>
        <w:t>月在吉林省敦化林 业机械厂财务部工作；</w:t>
      </w:r>
      <w:r>
        <w:rPr>
          <w:rFonts w:ascii="宋体" w:hAnsi="宋体" w:cs="宋体" w:eastAsia="宋体" w:hint="default"/>
        </w:rPr>
        <w:t>1999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月至今在吉林紫鑫药业股份有限公司工作，现任财务总监。</w:t>
      </w:r>
    </w:p>
    <w:p>
      <w:pPr>
        <w:pStyle w:val="Heading3"/>
        <w:spacing w:line="357" w:lineRule="auto" w:before="34"/>
        <w:ind w:left="240" w:right="716" w:firstLine="480"/>
        <w:jc w:val="both"/>
      </w:pPr>
      <w:r>
        <w:rPr/>
        <w:t>李宝芝，女，汉族，</w:t>
      </w:r>
      <w:r>
        <w:rPr>
          <w:rFonts w:ascii="宋体" w:hAnsi="宋体" w:cs="宋体" w:eastAsia="宋体" w:hint="default"/>
        </w:rPr>
        <w:t>1966</w:t>
      </w:r>
      <w:r>
        <w:rPr>
          <w:rFonts w:ascii="宋体" w:hAnsi="宋体" w:cs="宋体" w:eastAsia="宋体" w:hint="default"/>
          <w:spacing w:val="-56"/>
        </w:rPr>
        <w:t> </w:t>
      </w:r>
      <w:r>
        <w:rPr/>
        <w:t>年</w:t>
      </w:r>
      <w:r>
        <w:rPr>
          <w:spacing w:val="-57"/>
        </w:rPr>
        <w:t> </w:t>
      </w:r>
      <w:r>
        <w:rPr>
          <w:rFonts w:ascii="宋体" w:hAnsi="宋体" w:cs="宋体" w:eastAsia="宋体" w:hint="default"/>
        </w:rPr>
        <w:t>11</w:t>
      </w:r>
      <w:r>
        <w:rPr>
          <w:rFonts w:ascii="宋体" w:hAnsi="宋体" w:cs="宋体" w:eastAsia="宋体" w:hint="default"/>
          <w:spacing w:val="-57"/>
        </w:rPr>
        <w:t> </w:t>
      </w:r>
      <w:r>
        <w:rPr/>
        <w:t>月</w:t>
      </w:r>
      <w:r>
        <w:rPr>
          <w:spacing w:val="-57"/>
        </w:rPr>
        <w:t> </w:t>
      </w:r>
      <w:r>
        <w:rPr>
          <w:rFonts w:ascii="宋体" w:hAnsi="宋体" w:cs="宋体" w:eastAsia="宋体" w:hint="default"/>
        </w:rPr>
        <w:t>11</w:t>
      </w:r>
      <w:r>
        <w:rPr>
          <w:rFonts w:ascii="宋体" w:hAnsi="宋体" w:cs="宋体" w:eastAsia="宋体" w:hint="default"/>
          <w:spacing w:val="-57"/>
        </w:rPr>
        <w:t> </w:t>
      </w:r>
      <w:r>
        <w:rPr/>
        <w:t>日出生，高级经济师。</w:t>
      </w:r>
      <w:r>
        <w:rPr>
          <w:rFonts w:ascii="宋体" w:hAnsi="宋体" w:cs="宋体" w:eastAsia="宋体" w:hint="default"/>
        </w:rPr>
        <w:t>1990</w:t>
      </w:r>
      <w:r>
        <w:rPr/>
        <w:t>－</w:t>
      </w:r>
      <w:r>
        <w:rPr>
          <w:rFonts w:ascii="宋体" w:hAnsi="宋体" w:cs="宋体" w:eastAsia="宋体" w:hint="default"/>
        </w:rPr>
        <w:t>1994</w:t>
      </w:r>
      <w:r>
        <w:rPr>
          <w:rFonts w:ascii="宋体" w:hAnsi="宋体" w:cs="宋体" w:eastAsia="宋体" w:hint="default"/>
          <w:spacing w:val="-57"/>
        </w:rPr>
        <w:t> </w:t>
      </w:r>
      <w:r>
        <w:rPr/>
        <w:t>年，柳河制药厂，任技 术员；</w:t>
      </w:r>
      <w:r>
        <w:rPr>
          <w:rFonts w:ascii="宋体" w:hAnsi="宋体" w:cs="宋体" w:eastAsia="宋体" w:hint="default"/>
        </w:rPr>
        <w:t>1994</w:t>
      </w:r>
      <w:r>
        <w:rPr/>
        <w:t>－</w:t>
      </w:r>
      <w:r>
        <w:rPr>
          <w:rFonts w:ascii="宋体" w:hAnsi="宋体" w:cs="宋体" w:eastAsia="宋体" w:hint="default"/>
        </w:rPr>
        <w:t>2001</w:t>
      </w:r>
      <w:r>
        <w:rPr>
          <w:rFonts w:ascii="宋体" w:hAnsi="宋体" w:cs="宋体" w:eastAsia="宋体" w:hint="default"/>
          <w:spacing w:val="22"/>
        </w:rPr>
        <w:t> </w:t>
      </w:r>
      <w:r>
        <w:rPr/>
        <w:t>年，吉林友康药业有限责任公司，历任车间主任、质量厂长；</w:t>
      </w:r>
      <w:r>
        <w:rPr>
          <w:rFonts w:ascii="宋体" w:hAnsi="宋体" w:cs="宋体" w:eastAsia="宋体" w:hint="default"/>
        </w:rPr>
        <w:t>2001</w:t>
      </w:r>
      <w:r>
        <w:rPr/>
        <w:t>－至今，吉林 紫鑫药业股份有限公司，任生产经理。</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12</w:t>
      </w:r>
      <w:r>
        <w:rPr>
          <w:rFonts w:ascii="宋体" w:hAnsi="宋体" w:cs="宋体" w:eastAsia="宋体" w:hint="default"/>
          <w:spacing w:val="-60"/>
        </w:rPr>
        <w:t> </w:t>
      </w:r>
      <w:r>
        <w:rPr/>
        <w:t>日，任公司生产副总经理。</w:t>
      </w:r>
    </w:p>
    <w:p>
      <w:pPr>
        <w:pStyle w:val="Heading2"/>
        <w:spacing w:line="357" w:lineRule="auto" w:before="36"/>
        <w:ind w:left="712" w:right="5634"/>
        <w:jc w:val="left"/>
        <w:rPr>
          <w:b w:val="0"/>
          <w:bCs w:val="0"/>
        </w:rPr>
      </w:pPr>
      <w:r>
        <w:rPr/>
        <w:t>（三）董事、监事和高级管理人员年度报酬情况</w:t>
      </w:r>
      <w:r>
        <w:rPr>
          <w:w w:val="99"/>
        </w:rPr>
        <w:t> </w:t>
      </w:r>
      <w:r>
        <w:rPr>
          <w:rFonts w:ascii="宋体" w:hAnsi="宋体" w:cs="宋体" w:eastAsia="宋体" w:hint="default"/>
        </w:rPr>
        <w:t>1</w:t>
      </w:r>
      <w:r>
        <w:rPr/>
        <w:t>、独立董事津贴</w:t>
      </w:r>
      <w:r>
        <w:rPr>
          <w:b w:val="0"/>
          <w:bCs w:val="0"/>
        </w:rPr>
      </w:r>
    </w:p>
    <w:p>
      <w:pPr>
        <w:pStyle w:val="Heading3"/>
        <w:spacing w:line="357" w:lineRule="auto" w:before="34"/>
        <w:ind w:left="240" w:right="714" w:firstLine="480"/>
        <w:jc w:val="both"/>
      </w:pPr>
      <w:r>
        <w:rPr/>
        <w:t>根据公司股东大会审议通过的关于公司独立董事年度津贴的议案，</w:t>
      </w:r>
      <w:r>
        <w:rPr>
          <w:rFonts w:ascii="宋体" w:hAnsi="宋体" w:cs="宋体" w:eastAsia="宋体" w:hint="default"/>
        </w:rPr>
        <w:t>2010</w:t>
      </w:r>
      <w:r>
        <w:rPr>
          <w:rFonts w:ascii="宋体" w:hAnsi="宋体" w:cs="宋体" w:eastAsia="宋体" w:hint="default"/>
          <w:spacing w:val="25"/>
        </w:rPr>
        <w:t> </w:t>
      </w:r>
      <w:r>
        <w:rPr/>
        <w:t>年度公司独立董事年度 津贴为</w:t>
      </w:r>
      <w:r>
        <w:rPr>
          <w:spacing w:val="-50"/>
        </w:rPr>
        <w:t> </w:t>
      </w:r>
      <w:r>
        <w:rPr>
          <w:rFonts w:ascii="宋体" w:hAnsi="宋体" w:cs="宋体" w:eastAsia="宋体" w:hint="default"/>
        </w:rPr>
        <w:t>30,000</w:t>
      </w:r>
      <w:r>
        <w:rPr>
          <w:rFonts w:ascii="宋体" w:hAnsi="宋体" w:cs="宋体" w:eastAsia="宋体" w:hint="default"/>
          <w:spacing w:val="-52"/>
        </w:rPr>
        <w:t> </w:t>
      </w:r>
      <w:r>
        <w:rPr>
          <w:spacing w:val="-4"/>
        </w:rPr>
        <w:t>元（含税），公司负责独立董事因参加会议发生的差旅费、办公费等履职费用。</w:t>
      </w:r>
    </w:p>
    <w:p>
      <w:pPr>
        <w:pStyle w:val="Heading2"/>
        <w:spacing w:line="240" w:lineRule="auto" w:before="34"/>
        <w:ind w:left="712" w:right="606"/>
        <w:jc w:val="left"/>
        <w:rPr>
          <w:b w:val="0"/>
          <w:bCs w:val="0"/>
        </w:rPr>
      </w:pPr>
      <w:r>
        <w:rPr>
          <w:rFonts w:ascii="宋体" w:hAnsi="宋体" w:cs="宋体" w:eastAsia="宋体" w:hint="default"/>
        </w:rPr>
        <w:t>2</w:t>
      </w:r>
      <w:r>
        <w:rPr/>
        <w:t>、报告期内，董事、监事和高级管理人员从公司获得报酬情况：</w:t>
      </w:r>
      <w:r>
        <w:rPr>
          <w:b w:val="0"/>
          <w:bCs w:val="0"/>
        </w:rPr>
      </w:r>
    </w:p>
    <w:p>
      <w:pPr>
        <w:spacing w:line="240" w:lineRule="auto" w:before="3"/>
        <w:rPr>
          <w:rFonts w:ascii="宋体" w:hAnsi="宋体" w:cs="宋体" w:eastAsia="宋体" w:hint="default"/>
          <w:b/>
          <w:bCs/>
          <w:sz w:val="27"/>
          <w:szCs w:val="27"/>
        </w:rPr>
      </w:pPr>
    </w:p>
    <w:p>
      <w:pPr>
        <w:spacing w:before="0"/>
        <w:ind w:left="2849" w:right="606" w:firstLine="0"/>
        <w:jc w:val="left"/>
        <w:rPr>
          <w:rFonts w:ascii="宋体" w:hAnsi="宋体" w:cs="宋体" w:eastAsia="宋体" w:hint="default"/>
          <w:sz w:val="20"/>
          <w:szCs w:val="20"/>
        </w:rPr>
      </w:pPr>
      <w:r>
        <w:rPr>
          <w:rFonts w:ascii="宋体" w:hAnsi="宋体" w:cs="宋体" w:eastAsia="宋体" w:hint="default"/>
          <w:sz w:val="20"/>
          <w:szCs w:val="20"/>
        </w:rPr>
        <w:t>2009</w:t>
      </w:r>
      <w:r>
        <w:rPr>
          <w:rFonts w:ascii="宋体" w:hAnsi="宋体" w:cs="宋体" w:eastAsia="宋体" w:hint="default"/>
          <w:spacing w:val="-55"/>
          <w:sz w:val="20"/>
          <w:szCs w:val="20"/>
        </w:rPr>
        <w:t> </w:t>
      </w:r>
      <w:r>
        <w:rPr>
          <w:rFonts w:ascii="宋体" w:hAnsi="宋体" w:cs="宋体" w:eastAsia="宋体" w:hint="default"/>
          <w:sz w:val="20"/>
          <w:szCs w:val="20"/>
        </w:rPr>
        <w:t>年董事、监事和高级管理人员从公司领取报酬情况（含税）</w:t>
      </w:r>
    </w:p>
    <w:p>
      <w:pPr>
        <w:spacing w:line="240" w:lineRule="auto" w:before="2"/>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512"/>
        <w:gridCol w:w="2000"/>
        <w:gridCol w:w="1829"/>
        <w:gridCol w:w="1832"/>
        <w:gridCol w:w="1376"/>
        <w:gridCol w:w="2136"/>
      </w:tblGrid>
      <w:tr>
        <w:trPr>
          <w:trHeight w:val="1070" w:hRule="exact"/>
        </w:trPr>
        <w:tc>
          <w:tcPr>
            <w:tcW w:w="15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left="189" w:right="0" w:hanging="22"/>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年度从公司领</w:t>
            </w:r>
          </w:p>
          <w:p>
            <w:pPr>
              <w:pStyle w:val="TableParagraph"/>
              <w:spacing w:line="357" w:lineRule="auto" w:before="115"/>
              <w:ind w:left="729" w:right="187" w:hanging="540"/>
              <w:jc w:val="left"/>
              <w:rPr>
                <w:rFonts w:ascii="宋体" w:hAnsi="宋体" w:cs="宋体" w:eastAsia="宋体" w:hint="default"/>
                <w:sz w:val="18"/>
                <w:szCs w:val="18"/>
              </w:rPr>
            </w:pPr>
            <w:r>
              <w:rPr>
                <w:rFonts w:ascii="宋体" w:hAnsi="宋体" w:cs="宋体" w:eastAsia="宋体" w:hint="default"/>
                <w:sz w:val="18"/>
                <w:szCs w:val="18"/>
              </w:rPr>
              <w:t>取的报酬总额（万 元）</w:t>
            </w:r>
          </w:p>
        </w:tc>
        <w:tc>
          <w:tcPr>
            <w:tcW w:w="1832"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left="189" w:right="0" w:hanging="22"/>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年度从公司领</w:t>
            </w:r>
          </w:p>
          <w:p>
            <w:pPr>
              <w:pStyle w:val="TableParagraph"/>
              <w:spacing w:line="357" w:lineRule="auto" w:before="115"/>
              <w:ind w:left="729" w:right="190" w:hanging="541"/>
              <w:jc w:val="left"/>
              <w:rPr>
                <w:rFonts w:ascii="宋体" w:hAnsi="宋体" w:cs="宋体" w:eastAsia="宋体" w:hint="default"/>
                <w:sz w:val="18"/>
                <w:szCs w:val="18"/>
              </w:rPr>
            </w:pPr>
            <w:r>
              <w:rPr>
                <w:rFonts w:ascii="宋体" w:hAnsi="宋体" w:cs="宋体" w:eastAsia="宋体" w:hint="default"/>
                <w:sz w:val="18"/>
                <w:szCs w:val="18"/>
              </w:rPr>
              <w:t>取的报酬总额（万 元）</w:t>
            </w:r>
          </w:p>
        </w:tc>
        <w:tc>
          <w:tcPr>
            <w:tcW w:w="1376" w:type="dxa"/>
            <w:tcBorders>
              <w:top w:val="single" w:sz="12" w:space="0" w:color="000000"/>
              <w:left w:val="single" w:sz="4" w:space="0" w:color="000000"/>
              <w:bottom w:val="single" w:sz="4" w:space="0" w:color="000000"/>
              <w:right w:val="single" w:sz="4" w:space="0" w:color="000000"/>
            </w:tcBorders>
          </w:tcPr>
          <w:p>
            <w:pPr>
              <w:pStyle w:val="TableParagraph"/>
              <w:spacing w:line="357" w:lineRule="auto" w:before="142"/>
              <w:ind w:left="501" w:right="142" w:hanging="360"/>
              <w:jc w:val="left"/>
              <w:rPr>
                <w:rFonts w:ascii="宋体" w:hAnsi="宋体" w:cs="宋体" w:eastAsia="宋体" w:hint="default"/>
                <w:sz w:val="18"/>
                <w:szCs w:val="18"/>
              </w:rPr>
            </w:pPr>
            <w:r>
              <w:rPr>
                <w:rFonts w:ascii="宋体" w:hAnsi="宋体" w:cs="宋体" w:eastAsia="宋体" w:hint="default"/>
                <w:sz w:val="18"/>
                <w:szCs w:val="18"/>
              </w:rPr>
              <w:t>薪酬总额同比 增减</w:t>
            </w:r>
          </w:p>
        </w:tc>
        <w:tc>
          <w:tcPr>
            <w:tcW w:w="2136" w:type="dxa"/>
            <w:tcBorders>
              <w:top w:val="single" w:sz="12" w:space="0" w:color="000000"/>
              <w:left w:val="single" w:sz="4" w:space="0" w:color="000000"/>
              <w:bottom w:val="single" w:sz="4" w:space="0" w:color="000000"/>
              <w:right w:val="nil" w:sz="6" w:space="0" w:color="auto"/>
            </w:tcBorders>
          </w:tcPr>
          <w:p>
            <w:pPr>
              <w:pStyle w:val="TableParagraph"/>
              <w:spacing w:line="357" w:lineRule="auto" w:before="142"/>
              <w:ind w:left="103" w:right="105"/>
              <w:jc w:val="left"/>
              <w:rPr>
                <w:rFonts w:ascii="宋体" w:hAnsi="宋体" w:cs="宋体" w:eastAsia="宋体" w:hint="default"/>
                <w:sz w:val="18"/>
                <w:szCs w:val="18"/>
              </w:rPr>
            </w:pPr>
            <w:r>
              <w:rPr>
                <w:rFonts w:ascii="宋体" w:hAnsi="宋体" w:cs="宋体" w:eastAsia="宋体" w:hint="default"/>
                <w:spacing w:val="11"/>
                <w:sz w:val="18"/>
                <w:szCs w:val="18"/>
              </w:rPr>
              <w:t>薪酬同比变动与净利润</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同比变动的比较说明</w:t>
            </w:r>
          </w:p>
        </w:tc>
      </w:tr>
      <w:tr>
        <w:trPr>
          <w:trHeight w:val="43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郭春生</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9.60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729"/>
              <w:jc w:val="right"/>
              <w:rPr>
                <w:rFonts w:ascii="宋体" w:hAnsi="宋体" w:cs="宋体" w:eastAsia="宋体" w:hint="default"/>
                <w:sz w:val="18"/>
                <w:szCs w:val="18"/>
              </w:rPr>
            </w:pPr>
            <w:r>
              <w:rPr>
                <w:rFonts w:ascii="宋体"/>
                <w:sz w:val="18"/>
              </w:rPr>
              <w:t>9.60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sz w:val="18"/>
              </w:rPr>
              <w:t>-</w:t>
            </w:r>
          </w:p>
        </w:tc>
        <w:tc>
          <w:tcPr>
            <w:tcW w:w="2136"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57" w:lineRule="auto"/>
              <w:ind w:left="103" w:right="103"/>
              <w:jc w:val="both"/>
              <w:rPr>
                <w:rFonts w:ascii="宋体" w:hAnsi="宋体" w:cs="宋体" w:eastAsia="宋体" w:hint="default"/>
                <w:sz w:val="18"/>
                <w:szCs w:val="18"/>
              </w:rPr>
            </w:pPr>
            <w:r>
              <w:rPr>
                <w:rFonts w:ascii="宋体" w:hAnsi="宋体" w:cs="宋体" w:eastAsia="宋体" w:hint="default"/>
                <w:spacing w:val="11"/>
                <w:sz w:val="18"/>
                <w:szCs w:val="18"/>
              </w:rPr>
              <w:t>董事、监事、高管人员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2010</w:t>
            </w:r>
            <w:r>
              <w:rPr>
                <w:rFonts w:ascii="宋体" w:hAnsi="宋体" w:cs="宋体" w:eastAsia="宋体" w:hint="default"/>
                <w:spacing w:val="-50"/>
                <w:sz w:val="18"/>
                <w:szCs w:val="18"/>
              </w:rPr>
              <w:t> </w:t>
            </w:r>
            <w:r>
              <w:rPr>
                <w:rFonts w:ascii="宋体" w:hAnsi="宋体" w:cs="宋体" w:eastAsia="宋体" w:hint="default"/>
                <w:sz w:val="18"/>
                <w:szCs w:val="18"/>
              </w:rPr>
              <w:t>年的薪酬与</w:t>
            </w:r>
            <w:r>
              <w:rPr>
                <w:rFonts w:ascii="宋体" w:hAnsi="宋体" w:cs="宋体" w:eastAsia="宋体" w:hint="default"/>
                <w:spacing w:val="-52"/>
                <w:sz w:val="18"/>
                <w:szCs w:val="18"/>
              </w:rPr>
              <w:t> </w:t>
            </w:r>
            <w:r>
              <w:rPr>
                <w:rFonts w:ascii="宋体" w:hAnsi="宋体" w:cs="宋体" w:eastAsia="宋体" w:hint="default"/>
                <w:sz w:val="18"/>
                <w:szCs w:val="18"/>
              </w:rPr>
              <w:t>2009</w:t>
            </w:r>
            <w:r>
              <w:rPr>
                <w:rFonts w:ascii="宋体" w:hAnsi="宋体" w:cs="宋体" w:eastAsia="宋体" w:hint="default"/>
                <w:spacing w:val="-50"/>
                <w:sz w:val="18"/>
                <w:szCs w:val="18"/>
              </w:rPr>
              <w:t> </w:t>
            </w:r>
            <w:r>
              <w:rPr>
                <w:rFonts w:ascii="宋体" w:hAnsi="宋体" w:cs="宋体" w:eastAsia="宋体" w:hint="default"/>
                <w:sz w:val="18"/>
                <w:szCs w:val="18"/>
              </w:rPr>
              <w:t>年 持平</w:t>
            </w:r>
          </w:p>
        </w:tc>
      </w:tr>
      <w:tr>
        <w:trPr>
          <w:trHeight w:val="43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祖春香</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7.20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729"/>
              <w:jc w:val="right"/>
              <w:rPr>
                <w:rFonts w:ascii="宋体" w:hAnsi="宋体" w:cs="宋体" w:eastAsia="宋体" w:hint="default"/>
                <w:sz w:val="18"/>
                <w:szCs w:val="18"/>
              </w:rPr>
            </w:pPr>
            <w:r>
              <w:rPr>
                <w:rFonts w:ascii="宋体"/>
                <w:sz w:val="18"/>
              </w:rPr>
              <w:t>7.20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sz w:val="18"/>
              </w:rPr>
              <w:t>-</w:t>
            </w:r>
          </w:p>
        </w:tc>
        <w:tc>
          <w:tcPr>
            <w:tcW w:w="2136" w:type="dxa"/>
            <w:vMerge/>
            <w:tcBorders>
              <w:left w:val="single" w:sz="4" w:space="0" w:color="000000"/>
              <w:right w:val="nil" w:sz="6" w:space="0" w:color="auto"/>
            </w:tcBorders>
          </w:tcPr>
          <w:p>
            <w:pPr/>
          </w:p>
        </w:tc>
      </w:tr>
      <w:tr>
        <w:trPr>
          <w:trHeight w:val="43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sz w:val="18"/>
                <w:szCs w:val="18"/>
              </w:rPr>
              <w:t>秦 </w:t>
            </w:r>
            <w:r>
              <w:rPr>
                <w:rFonts w:ascii="宋体" w:hAnsi="宋体" w:cs="宋体" w:eastAsia="宋体" w:hint="default"/>
                <w:spacing w:val="2"/>
                <w:sz w:val="18"/>
                <w:szCs w:val="18"/>
              </w:rPr>
              <w:t> </w:t>
            </w:r>
            <w:r>
              <w:rPr>
                <w:rFonts w:ascii="宋体" w:hAnsi="宋体" w:cs="宋体" w:eastAsia="宋体" w:hint="default"/>
                <w:sz w:val="18"/>
                <w:szCs w:val="18"/>
              </w:rPr>
              <w:t>静</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董事、常务副总</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6.00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770"/>
              <w:jc w:val="right"/>
              <w:rPr>
                <w:rFonts w:ascii="宋体" w:hAnsi="宋体" w:cs="宋体" w:eastAsia="宋体" w:hint="default"/>
                <w:sz w:val="18"/>
                <w:szCs w:val="18"/>
              </w:rPr>
            </w:pPr>
            <w:r>
              <w:rPr>
                <w:rFonts w:ascii="宋体"/>
                <w:sz w:val="18"/>
              </w:rPr>
              <w:t>3.5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136" w:type="dxa"/>
            <w:vMerge/>
            <w:tcBorders>
              <w:left w:val="single" w:sz="4" w:space="0" w:color="000000"/>
              <w:right w:val="nil" w:sz="6" w:space="0" w:color="auto"/>
            </w:tcBorders>
          </w:tcPr>
          <w:p>
            <w:pPr/>
          </w:p>
        </w:tc>
      </w:tr>
      <w:tr>
        <w:trPr>
          <w:trHeight w:val="43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徐卫东</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2.83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729"/>
              <w:jc w:val="right"/>
              <w:rPr>
                <w:rFonts w:ascii="宋体" w:hAnsi="宋体" w:cs="宋体" w:eastAsia="宋体" w:hint="default"/>
                <w:sz w:val="18"/>
                <w:szCs w:val="18"/>
              </w:rPr>
            </w:pPr>
            <w:r>
              <w:rPr>
                <w:rFonts w:ascii="宋体"/>
                <w:sz w:val="18"/>
              </w:rPr>
              <w:t>3.00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w:t>
            </w:r>
          </w:p>
        </w:tc>
        <w:tc>
          <w:tcPr>
            <w:tcW w:w="2136" w:type="dxa"/>
            <w:vMerge/>
            <w:tcBorders>
              <w:left w:val="single" w:sz="4" w:space="0" w:color="000000"/>
              <w:right w:val="nil" w:sz="6" w:space="0" w:color="auto"/>
            </w:tcBorders>
          </w:tcPr>
          <w:p>
            <w:pPr/>
          </w:p>
        </w:tc>
      </w:tr>
      <w:tr>
        <w:trPr>
          <w:trHeight w:val="43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sz w:val="18"/>
                <w:szCs w:val="18"/>
              </w:rPr>
              <w:t>方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729"/>
              <w:jc w:val="right"/>
              <w:rPr>
                <w:rFonts w:ascii="宋体" w:hAnsi="宋体" w:cs="宋体" w:eastAsia="宋体" w:hint="default"/>
                <w:sz w:val="18"/>
                <w:szCs w:val="18"/>
              </w:rPr>
            </w:pPr>
            <w:r>
              <w:rPr>
                <w:rFonts w:ascii="宋体"/>
                <w:sz w:val="18"/>
              </w:rPr>
              <w:t>2.25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新任职</w:t>
            </w:r>
          </w:p>
        </w:tc>
        <w:tc>
          <w:tcPr>
            <w:tcW w:w="2136" w:type="dxa"/>
            <w:vMerge/>
            <w:tcBorders>
              <w:left w:val="single" w:sz="4" w:space="0" w:color="000000"/>
              <w:right w:val="nil" w:sz="6" w:space="0" w:color="auto"/>
            </w:tcBorders>
          </w:tcPr>
          <w:p>
            <w:pPr/>
          </w:p>
        </w:tc>
      </w:tr>
      <w:tr>
        <w:trPr>
          <w:trHeight w:val="43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飞</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729"/>
              <w:jc w:val="right"/>
              <w:rPr>
                <w:rFonts w:ascii="宋体" w:hAnsi="宋体" w:cs="宋体" w:eastAsia="宋体" w:hint="default"/>
                <w:sz w:val="18"/>
                <w:szCs w:val="18"/>
              </w:rPr>
            </w:pPr>
            <w:r>
              <w:rPr>
                <w:rFonts w:ascii="宋体"/>
                <w:sz w:val="18"/>
              </w:rPr>
              <w:t>2.25</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新任职</w:t>
            </w:r>
          </w:p>
        </w:tc>
        <w:tc>
          <w:tcPr>
            <w:tcW w:w="2136" w:type="dxa"/>
            <w:vMerge/>
            <w:tcBorders>
              <w:left w:val="single" w:sz="4" w:space="0" w:color="000000"/>
              <w:right w:val="nil" w:sz="6" w:space="0" w:color="auto"/>
            </w:tcBorders>
          </w:tcPr>
          <w:p>
            <w:pPr/>
          </w:p>
        </w:tc>
      </w:tr>
      <w:tr>
        <w:trPr>
          <w:trHeight w:val="43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殷金龙</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董事</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6.00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729"/>
              <w:jc w:val="right"/>
              <w:rPr>
                <w:rFonts w:ascii="宋体" w:hAnsi="宋体" w:cs="宋体" w:eastAsia="宋体" w:hint="default"/>
                <w:sz w:val="18"/>
                <w:szCs w:val="18"/>
              </w:rPr>
            </w:pPr>
            <w:r>
              <w:rPr>
                <w:rFonts w:ascii="宋体"/>
                <w:sz w:val="18"/>
              </w:rPr>
              <w:t>6.00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sz w:val="18"/>
              </w:rPr>
              <w:t>-</w:t>
            </w:r>
          </w:p>
        </w:tc>
        <w:tc>
          <w:tcPr>
            <w:tcW w:w="2136" w:type="dxa"/>
            <w:vMerge/>
            <w:tcBorders>
              <w:left w:val="single" w:sz="4" w:space="0" w:color="000000"/>
              <w:right w:val="nil" w:sz="6" w:space="0" w:color="auto"/>
            </w:tcBorders>
          </w:tcPr>
          <w:p>
            <w:pPr/>
          </w:p>
        </w:tc>
      </w:tr>
      <w:tr>
        <w:trPr>
          <w:trHeight w:val="71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曹恩辉</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董事、董事会秘书、副</w:t>
            </w:r>
          </w:p>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3.00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729"/>
              <w:jc w:val="right"/>
              <w:rPr>
                <w:rFonts w:ascii="宋体" w:hAnsi="宋体" w:cs="宋体" w:eastAsia="宋体" w:hint="default"/>
                <w:sz w:val="18"/>
                <w:szCs w:val="18"/>
              </w:rPr>
            </w:pPr>
            <w:r>
              <w:rPr>
                <w:rFonts w:ascii="宋体"/>
                <w:sz w:val="18"/>
              </w:rPr>
              <w:t>6.00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w:t>
            </w:r>
          </w:p>
        </w:tc>
        <w:tc>
          <w:tcPr>
            <w:tcW w:w="2136" w:type="dxa"/>
            <w:vMerge/>
            <w:tcBorders>
              <w:left w:val="single" w:sz="4" w:space="0" w:color="000000"/>
              <w:right w:val="nil" w:sz="6" w:space="0" w:color="auto"/>
            </w:tcBorders>
          </w:tcPr>
          <w:p>
            <w:pPr/>
          </w:p>
        </w:tc>
      </w:tr>
      <w:tr>
        <w:trPr>
          <w:trHeight w:val="430"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sz w:val="18"/>
                <w:szCs w:val="18"/>
              </w:rPr>
              <w:t>郭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729"/>
              <w:jc w:val="right"/>
              <w:rPr>
                <w:rFonts w:ascii="宋体" w:hAnsi="宋体" w:cs="宋体" w:eastAsia="宋体" w:hint="default"/>
                <w:sz w:val="18"/>
                <w:szCs w:val="18"/>
              </w:rPr>
            </w:pPr>
            <w:r>
              <w:rPr>
                <w:rFonts w:ascii="宋体"/>
                <w:sz w:val="18"/>
              </w:rPr>
              <w:t>1.50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2136" w:type="dxa"/>
            <w:vMerge/>
            <w:tcBorders>
              <w:left w:val="single" w:sz="4" w:space="0" w:color="000000"/>
              <w:right w:val="nil" w:sz="6" w:space="0" w:color="auto"/>
            </w:tcBorders>
          </w:tcPr>
          <w:p>
            <w:pPr/>
          </w:p>
        </w:tc>
      </w:tr>
      <w:tr>
        <w:trPr>
          <w:trHeight w:val="432"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sz w:val="18"/>
                <w:szCs w:val="18"/>
              </w:rPr>
              <w:t>汤兆利</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3.60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729"/>
              <w:jc w:val="right"/>
              <w:rPr>
                <w:rFonts w:ascii="宋体" w:hAnsi="宋体" w:cs="宋体" w:eastAsia="宋体" w:hint="default"/>
                <w:sz w:val="18"/>
                <w:szCs w:val="18"/>
              </w:rPr>
            </w:pPr>
            <w:r>
              <w:rPr>
                <w:rFonts w:ascii="宋体"/>
                <w:sz w:val="18"/>
              </w:rPr>
              <w:t>3.60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sz w:val="18"/>
              </w:rPr>
              <w:t>-</w:t>
            </w:r>
          </w:p>
        </w:tc>
        <w:tc>
          <w:tcPr>
            <w:tcW w:w="2136" w:type="dxa"/>
            <w:vMerge/>
            <w:tcBorders>
              <w:left w:val="single" w:sz="4" w:space="0" w:color="000000"/>
              <w:right w:val="nil" w:sz="6" w:space="0" w:color="auto"/>
            </w:tcBorders>
          </w:tcPr>
          <w:p>
            <w:pPr/>
          </w:p>
        </w:tc>
      </w:tr>
      <w:tr>
        <w:trPr>
          <w:trHeight w:val="427" w:hRule="exact"/>
        </w:trPr>
        <w:tc>
          <w:tcPr>
            <w:tcW w:w="151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sz w:val="18"/>
                <w:szCs w:val="18"/>
              </w:rPr>
              <w:t>范水波</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1829"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729"/>
              <w:jc w:val="right"/>
              <w:rPr>
                <w:rFonts w:ascii="宋体" w:hAnsi="宋体" w:cs="宋体" w:eastAsia="宋体" w:hint="default"/>
                <w:sz w:val="18"/>
                <w:szCs w:val="18"/>
              </w:rPr>
            </w:pPr>
            <w:r>
              <w:rPr>
                <w:rFonts w:ascii="宋体"/>
                <w:sz w:val="18"/>
              </w:rPr>
              <w:t>4.00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
              <w:jc w:val="center"/>
              <w:rPr>
                <w:rFonts w:ascii="宋体" w:hAnsi="宋体" w:cs="宋体" w:eastAsia="宋体" w:hint="default"/>
                <w:sz w:val="18"/>
                <w:szCs w:val="18"/>
              </w:rPr>
            </w:pPr>
            <w:r>
              <w:rPr>
                <w:rFonts w:ascii="宋体" w:hAnsi="宋体" w:cs="宋体" w:eastAsia="宋体" w:hint="default"/>
                <w:sz w:val="18"/>
                <w:szCs w:val="18"/>
              </w:rPr>
              <w:t>新任职</w:t>
            </w:r>
          </w:p>
        </w:tc>
        <w:tc>
          <w:tcPr>
            <w:tcW w:w="2136" w:type="dxa"/>
            <w:vMerge/>
            <w:tcBorders>
              <w:left w:val="single" w:sz="4" w:space="0" w:color="000000"/>
              <w:right w:val="nil" w:sz="6" w:space="0" w:color="auto"/>
            </w:tcBorders>
          </w:tcPr>
          <w:p>
            <w:pPr/>
          </w:p>
        </w:tc>
      </w:tr>
      <w:tr>
        <w:trPr>
          <w:trHeight w:val="442" w:hRule="exact"/>
        </w:trPr>
        <w:tc>
          <w:tcPr>
            <w:tcW w:w="15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hAnsi="宋体" w:cs="宋体" w:eastAsia="宋体" w:hint="default"/>
                <w:sz w:val="18"/>
                <w:szCs w:val="18"/>
              </w:rPr>
              <w:t>韩 </w:t>
            </w:r>
            <w:r>
              <w:rPr>
                <w:rFonts w:ascii="宋体" w:hAnsi="宋体" w:cs="宋体" w:eastAsia="宋体" w:hint="default"/>
                <w:spacing w:val="2"/>
                <w:sz w:val="18"/>
                <w:szCs w:val="18"/>
              </w:rPr>
              <w:t> </w:t>
            </w:r>
            <w:r>
              <w:rPr>
                <w:rFonts w:ascii="宋体" w:hAnsi="宋体" w:cs="宋体" w:eastAsia="宋体" w:hint="default"/>
                <w:sz w:val="18"/>
                <w:szCs w:val="18"/>
              </w:rPr>
              <w:t>明</w:t>
            </w:r>
          </w:p>
        </w:tc>
        <w:tc>
          <w:tcPr>
            <w:tcW w:w="2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监事</w:t>
            </w:r>
          </w:p>
        </w:tc>
        <w:tc>
          <w:tcPr>
            <w:tcW w:w="1829" w:type="dxa"/>
            <w:tcBorders>
              <w:top w:val="single" w:sz="4" w:space="0" w:color="000000"/>
              <w:left w:val="single" w:sz="4" w:space="0" w:color="000000"/>
              <w:bottom w:val="single" w:sz="12" w:space="0" w:color="000000"/>
              <w:right w:val="single" w:sz="4" w:space="0" w:color="000000"/>
            </w:tcBorders>
          </w:tcPr>
          <w:p>
            <w:pPr/>
          </w:p>
        </w:tc>
        <w:tc>
          <w:tcPr>
            <w:tcW w:w="1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729"/>
              <w:jc w:val="right"/>
              <w:rPr>
                <w:rFonts w:ascii="宋体" w:hAnsi="宋体" w:cs="宋体" w:eastAsia="宋体" w:hint="default"/>
                <w:sz w:val="18"/>
                <w:szCs w:val="18"/>
              </w:rPr>
            </w:pPr>
            <w:r>
              <w:rPr>
                <w:rFonts w:ascii="宋体"/>
                <w:sz w:val="18"/>
              </w:rPr>
              <w:t>4.00</w:t>
            </w:r>
          </w:p>
        </w:tc>
        <w:tc>
          <w:tcPr>
            <w:tcW w:w="13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3"/>
              <w:jc w:val="center"/>
              <w:rPr>
                <w:rFonts w:ascii="宋体" w:hAnsi="宋体" w:cs="宋体" w:eastAsia="宋体" w:hint="default"/>
                <w:sz w:val="18"/>
                <w:szCs w:val="18"/>
              </w:rPr>
            </w:pPr>
            <w:r>
              <w:rPr>
                <w:rFonts w:ascii="宋体" w:hAnsi="宋体" w:cs="宋体" w:eastAsia="宋体" w:hint="default"/>
                <w:sz w:val="18"/>
                <w:szCs w:val="18"/>
              </w:rPr>
              <w:t>新任职</w:t>
            </w:r>
          </w:p>
        </w:tc>
        <w:tc>
          <w:tcPr>
            <w:tcW w:w="2136" w:type="dxa"/>
            <w:vMerge/>
            <w:tcBorders>
              <w:left w:val="single" w:sz="4" w:space="0" w:color="000000"/>
              <w:bottom w:val="single" w:sz="12" w:space="0" w:color="000000"/>
              <w:right w:val="nil" w:sz="6" w:space="0" w:color="auto"/>
            </w:tcBorders>
          </w:tcPr>
          <w:p>
            <w:pPr/>
          </w:p>
        </w:tc>
      </w:tr>
    </w:tbl>
    <w:p>
      <w:pPr>
        <w:spacing w:after="0"/>
        <w:sectPr>
          <w:pgSz w:w="11910" w:h="16840"/>
          <w:pgMar w:header="720" w:footer="956" w:top="1300" w:bottom="1140" w:left="480" w:right="0"/>
        </w:sectPr>
      </w:pPr>
    </w:p>
    <w:p>
      <w:pPr>
        <w:spacing w:line="240" w:lineRule="auto" w:before="7"/>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512"/>
        <w:gridCol w:w="2000"/>
        <w:gridCol w:w="1829"/>
        <w:gridCol w:w="1832"/>
        <w:gridCol w:w="1376"/>
        <w:gridCol w:w="2136"/>
      </w:tblGrid>
      <w:tr>
        <w:trPr>
          <w:trHeight w:val="447" w:hRule="exact"/>
        </w:trPr>
        <w:tc>
          <w:tcPr>
            <w:tcW w:w="15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徐吉峰</w:t>
            </w:r>
          </w:p>
        </w:tc>
        <w:tc>
          <w:tcPr>
            <w:tcW w:w="20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8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6.00</w:t>
            </w:r>
          </w:p>
        </w:tc>
        <w:tc>
          <w:tcPr>
            <w:tcW w:w="183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729"/>
              <w:jc w:val="right"/>
              <w:rPr>
                <w:rFonts w:ascii="宋体" w:hAnsi="宋体" w:cs="宋体" w:eastAsia="宋体" w:hint="default"/>
                <w:sz w:val="18"/>
                <w:szCs w:val="18"/>
              </w:rPr>
            </w:pPr>
            <w:r>
              <w:rPr>
                <w:rFonts w:ascii="宋体"/>
                <w:sz w:val="18"/>
              </w:rPr>
              <w:t>6.00</w:t>
            </w:r>
          </w:p>
        </w:tc>
        <w:tc>
          <w:tcPr>
            <w:tcW w:w="13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left="635" w:right="0"/>
              <w:jc w:val="left"/>
              <w:rPr>
                <w:rFonts w:ascii="宋体" w:hAnsi="宋体" w:cs="宋体" w:eastAsia="宋体" w:hint="default"/>
                <w:sz w:val="18"/>
                <w:szCs w:val="18"/>
              </w:rPr>
            </w:pPr>
            <w:r>
              <w:rPr>
                <w:rFonts w:ascii="宋体"/>
                <w:sz w:val="18"/>
              </w:rPr>
              <w:t>-</w:t>
            </w:r>
          </w:p>
        </w:tc>
        <w:tc>
          <w:tcPr>
            <w:tcW w:w="2136" w:type="dxa"/>
            <w:vMerge w:val="restart"/>
            <w:tcBorders>
              <w:top w:val="single" w:sz="12" w:space="0" w:color="000000"/>
              <w:left w:val="single" w:sz="4" w:space="0" w:color="000000"/>
              <w:right w:val="nil" w:sz="6" w:space="0" w:color="auto"/>
            </w:tcBorders>
          </w:tcPr>
          <w:p>
            <w:pPr/>
          </w:p>
        </w:tc>
      </w:tr>
      <w:tr>
        <w:trPr>
          <w:trHeight w:val="442" w:hRule="exact"/>
        </w:trPr>
        <w:tc>
          <w:tcPr>
            <w:tcW w:w="151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484" w:right="0"/>
              <w:jc w:val="left"/>
              <w:rPr>
                <w:rFonts w:ascii="宋体" w:hAnsi="宋体" w:cs="宋体" w:eastAsia="宋体" w:hint="default"/>
                <w:sz w:val="18"/>
                <w:szCs w:val="18"/>
              </w:rPr>
            </w:pPr>
            <w:r>
              <w:rPr>
                <w:rFonts w:ascii="宋体" w:hAnsi="宋体" w:cs="宋体" w:eastAsia="宋体" w:hint="default"/>
                <w:sz w:val="18"/>
                <w:szCs w:val="18"/>
              </w:rPr>
              <w:t>李宝芝</w:t>
            </w:r>
          </w:p>
        </w:tc>
        <w:tc>
          <w:tcPr>
            <w:tcW w:w="200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sz w:val="18"/>
                <w:szCs w:val="18"/>
              </w:rPr>
              <w:t>生产副总经理</w:t>
            </w:r>
          </w:p>
        </w:tc>
        <w:tc>
          <w:tcPr>
            <w:tcW w:w="18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6.00</w:t>
            </w:r>
          </w:p>
        </w:tc>
        <w:tc>
          <w:tcPr>
            <w:tcW w:w="183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729"/>
              <w:jc w:val="right"/>
              <w:rPr>
                <w:rFonts w:ascii="宋体" w:hAnsi="宋体" w:cs="宋体" w:eastAsia="宋体" w:hint="default"/>
                <w:sz w:val="18"/>
                <w:szCs w:val="18"/>
              </w:rPr>
            </w:pPr>
            <w:r>
              <w:rPr>
                <w:rFonts w:ascii="宋体"/>
                <w:sz w:val="18"/>
              </w:rPr>
              <w:t>6.00</w:t>
            </w:r>
          </w:p>
        </w:tc>
        <w:tc>
          <w:tcPr>
            <w:tcW w:w="13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left="635" w:right="0"/>
              <w:jc w:val="left"/>
              <w:rPr>
                <w:rFonts w:ascii="宋体" w:hAnsi="宋体" w:cs="宋体" w:eastAsia="宋体" w:hint="default"/>
                <w:sz w:val="18"/>
                <w:szCs w:val="18"/>
              </w:rPr>
            </w:pPr>
            <w:r>
              <w:rPr>
                <w:rFonts w:ascii="宋体"/>
                <w:sz w:val="18"/>
              </w:rPr>
              <w:t>-</w:t>
            </w:r>
          </w:p>
        </w:tc>
        <w:tc>
          <w:tcPr>
            <w:tcW w:w="2136"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Heading2"/>
        <w:spacing w:line="357" w:lineRule="auto" w:before="163"/>
        <w:ind w:left="240" w:right="606"/>
        <w:jc w:val="left"/>
        <w:rPr>
          <w:b w:val="0"/>
          <w:bCs w:val="0"/>
        </w:rPr>
      </w:pPr>
      <w:r>
        <w:rPr>
          <w:w w:val="95"/>
        </w:rPr>
        <w:t>（四）报告期内被选举或离任的董事和监事以及聘任或解聘的高级管理人员姓名</w:t>
      </w:r>
      <w:r>
        <w:rPr>
          <w:rFonts w:ascii="宋体" w:hAnsi="宋体" w:cs="宋体" w:eastAsia="宋体" w:hint="default"/>
          <w:w w:val="95"/>
        </w:rPr>
        <w:t>,</w:t>
      </w:r>
      <w:r>
        <w:rPr>
          <w:w w:val="95"/>
        </w:rPr>
        <w:t>及董事和监事离任</w:t>
      </w:r>
      <w:r>
        <w:rPr>
          <w:spacing w:val="49"/>
          <w:w w:val="95"/>
        </w:rPr>
        <w:t> </w:t>
      </w:r>
      <w:r>
        <w:rPr>
          <w:spacing w:val="49"/>
          <w:w w:val="95"/>
        </w:rPr>
      </w:r>
      <w:r>
        <w:rPr/>
        <w:t>和高级管理人员解聘原因</w:t>
      </w:r>
      <w:r>
        <w:rPr>
          <w:b w:val="0"/>
          <w:bCs w:val="0"/>
        </w:rPr>
      </w:r>
    </w:p>
    <w:p>
      <w:pPr>
        <w:pStyle w:val="Heading3"/>
        <w:spacing w:line="357" w:lineRule="auto" w:before="34"/>
        <w:ind w:left="240" w:right="716" w:firstLine="480"/>
        <w:jc w:val="both"/>
      </w:pPr>
      <w:r>
        <w:rPr/>
        <w:t>鉴于：郭勇先生辞去监事职务。</w:t>
      </w:r>
      <w:r>
        <w:rPr>
          <w:rFonts w:ascii="宋体" w:hAnsi="宋体" w:cs="宋体" w:eastAsia="宋体" w:hint="default"/>
        </w:rPr>
        <w:t>2010</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4"/>
        </w:rPr>
        <w:t> </w:t>
      </w:r>
      <w:r>
        <w:rPr/>
        <w:t>月</w:t>
      </w:r>
      <w:r>
        <w:rPr>
          <w:spacing w:val="-41"/>
        </w:rPr>
        <w:t> </w:t>
      </w:r>
      <w:r>
        <w:rPr>
          <w:rFonts w:ascii="宋体" w:hAnsi="宋体" w:cs="宋体" w:eastAsia="宋体" w:hint="default"/>
        </w:rPr>
        <w:t>1</w:t>
      </w:r>
      <w:r>
        <w:rPr>
          <w:rFonts w:ascii="宋体" w:hAnsi="宋体" w:cs="宋体" w:eastAsia="宋体" w:hint="default"/>
          <w:spacing w:val="-44"/>
        </w:rPr>
        <w:t> </w:t>
      </w:r>
      <w:r>
        <w:rPr/>
        <w:t>日，公司第三届监事会十三次会议上，经公司大 </w:t>
      </w:r>
      <w:r>
        <w:rPr>
          <w:spacing w:val="-3"/>
        </w:rPr>
        <w:t>股东敦化市康平投资有限责任公司提名范水波先生为监事会候选人，监事会审议通过，并经股东大会</w:t>
      </w:r>
      <w:r>
        <w:rPr>
          <w:spacing w:val="-84"/>
        </w:rPr>
        <w:t> </w:t>
      </w:r>
      <w:r>
        <w:rPr>
          <w:spacing w:val="-84"/>
        </w:rPr>
      </w:r>
      <w:r>
        <w:rPr/>
        <w:t>确认。任期至</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日止。</w:t>
      </w:r>
    </w:p>
    <w:p>
      <w:pPr>
        <w:pStyle w:val="Heading3"/>
        <w:spacing w:line="357" w:lineRule="auto" w:before="34"/>
        <w:ind w:left="240" w:right="716" w:firstLine="480"/>
        <w:jc w:val="both"/>
      </w:pPr>
      <w:r>
        <w:rPr/>
        <w:t>鉴于：公司原监事苑常波先生因个人原因，辞去监事一职。</w:t>
      </w:r>
      <w:r>
        <w:rPr>
          <w:rFonts w:ascii="宋体" w:hAnsi="宋体" w:cs="宋体" w:eastAsia="宋体" w:hint="default"/>
        </w:rPr>
        <w:t>2010</w:t>
      </w:r>
      <w:r>
        <w:rPr>
          <w:rFonts w:ascii="宋体" w:hAnsi="宋体" w:cs="宋体" w:eastAsia="宋体" w:hint="default"/>
          <w:spacing w:val="-44"/>
        </w:rPr>
        <w:t> </w:t>
      </w:r>
      <w:r>
        <w:rPr/>
        <w:t>年</w:t>
      </w:r>
      <w:r>
        <w:rPr>
          <w:spacing w:val="-44"/>
        </w:rPr>
        <w:t> </w:t>
      </w:r>
      <w:r>
        <w:rPr>
          <w:rFonts w:ascii="宋体" w:hAnsi="宋体" w:cs="宋体" w:eastAsia="宋体" w:hint="default"/>
        </w:rPr>
        <w:t>2</w:t>
      </w:r>
      <w:r>
        <w:rPr>
          <w:rFonts w:ascii="宋体" w:hAnsi="宋体" w:cs="宋体" w:eastAsia="宋体" w:hint="default"/>
          <w:spacing w:val="-44"/>
        </w:rPr>
        <w:t> </w:t>
      </w:r>
      <w:r>
        <w:rPr/>
        <w:t>月</w:t>
      </w:r>
      <w:r>
        <w:rPr>
          <w:spacing w:val="-43"/>
        </w:rPr>
        <w:t> </w:t>
      </w:r>
      <w:r>
        <w:rPr>
          <w:rFonts w:ascii="宋体" w:hAnsi="宋体" w:cs="宋体" w:eastAsia="宋体" w:hint="default"/>
        </w:rPr>
        <w:t>1</w:t>
      </w:r>
      <w:r>
        <w:rPr>
          <w:rFonts w:ascii="宋体" w:hAnsi="宋体" w:cs="宋体" w:eastAsia="宋体" w:hint="default"/>
          <w:spacing w:val="-44"/>
        </w:rPr>
        <w:t> </w:t>
      </w:r>
      <w:r>
        <w:rPr/>
        <w:t>日，公司第三届监事 </w:t>
      </w:r>
      <w:r>
        <w:rPr>
          <w:spacing w:val="-3"/>
        </w:rPr>
        <w:t>会十三次会议上，经公司大股东敦化市康平投资有限责任公司提名韩明先生为监事会候选人，监事会</w:t>
      </w:r>
      <w:r>
        <w:rPr>
          <w:spacing w:val="-84"/>
        </w:rPr>
        <w:t> </w:t>
      </w:r>
      <w:r>
        <w:rPr>
          <w:spacing w:val="-84"/>
        </w:rPr>
      </w:r>
      <w:r>
        <w:rPr/>
        <w:t>审议通过，并经股东大会确认。任期至</w:t>
      </w:r>
      <w:r>
        <w:rPr>
          <w:spacing w:val="-59"/>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日止。</w:t>
      </w:r>
    </w:p>
    <w:p>
      <w:pPr>
        <w:pStyle w:val="Heading3"/>
        <w:spacing w:line="357" w:lineRule="auto" w:before="36"/>
        <w:ind w:left="240" w:right="606" w:firstLine="480"/>
        <w:jc w:val="left"/>
      </w:pPr>
      <w:r>
        <w:rPr/>
        <w:t>鉴于：公司第三届董事会任期已满。</w:t>
      </w:r>
      <w:r>
        <w:rPr>
          <w:rFonts w:ascii="宋体" w:hAnsi="宋体" w:cs="宋体" w:eastAsia="宋体" w:hint="default"/>
        </w:rPr>
        <w:t>2010</w:t>
      </w:r>
      <w:r>
        <w:rPr>
          <w:rFonts w:ascii="宋体" w:hAnsi="宋体" w:cs="宋体" w:eastAsia="宋体" w:hint="default"/>
          <w:spacing w:val="-66"/>
        </w:rPr>
        <w:t> </w:t>
      </w:r>
      <w:r>
        <w:rPr/>
        <w:t>年</w:t>
      </w:r>
      <w:r>
        <w:rPr>
          <w:spacing w:val="-66"/>
        </w:rPr>
        <w:t> </w:t>
      </w:r>
      <w:r>
        <w:rPr>
          <w:rFonts w:ascii="宋体" w:hAnsi="宋体" w:cs="宋体" w:eastAsia="宋体" w:hint="default"/>
        </w:rPr>
        <w:t>3</w:t>
      </w:r>
      <w:r>
        <w:rPr>
          <w:rFonts w:ascii="宋体" w:hAnsi="宋体" w:cs="宋体" w:eastAsia="宋体" w:hint="default"/>
          <w:spacing w:val="-64"/>
        </w:rPr>
        <w:t> </w:t>
      </w:r>
      <w:r>
        <w:rPr/>
        <w:t>月</w:t>
      </w:r>
      <w:r>
        <w:rPr>
          <w:spacing w:val="-66"/>
        </w:rPr>
        <w:t> </w:t>
      </w:r>
      <w:r>
        <w:rPr>
          <w:rFonts w:ascii="宋体" w:hAnsi="宋体" w:cs="宋体" w:eastAsia="宋体" w:hint="default"/>
        </w:rPr>
        <w:t>23</w:t>
      </w:r>
      <w:r>
        <w:rPr>
          <w:rFonts w:ascii="宋体" w:hAnsi="宋体" w:cs="宋体" w:eastAsia="宋体" w:hint="default"/>
          <w:spacing w:val="-66"/>
        </w:rPr>
        <w:t> </w:t>
      </w:r>
      <w:r>
        <w:rPr/>
        <w:t>日，公司第三届董事会二十二次会议上，经 公司大股东敦化市康平投资有限责任公司提名：郭春生先生、祖春香女士、秦静女士、殷金龙先生、 徐卫东先生、李飞女士和方勇先生为第四届董事会候选人，董事会审议通过。并经 </w:t>
      </w:r>
      <w:r>
        <w:rPr>
          <w:rFonts w:ascii="宋体" w:hAnsi="宋体" w:cs="宋体" w:eastAsia="宋体" w:hint="default"/>
        </w:rPr>
        <w:t>2010</w:t>
      </w:r>
      <w:r>
        <w:rPr>
          <w:rFonts w:ascii="宋体" w:hAnsi="宋体" w:cs="宋体" w:eastAsia="宋体" w:hint="default"/>
          <w:spacing w:val="-92"/>
        </w:rPr>
        <w:t> </w:t>
      </w:r>
      <w:r>
        <w:rPr/>
        <w:t>年第一次临</w:t>
      </w:r>
    </w:p>
    <w:p>
      <w:pPr>
        <w:pStyle w:val="Heading3"/>
        <w:spacing w:line="240" w:lineRule="auto" w:before="34"/>
        <w:ind w:left="240" w:right="606"/>
        <w:jc w:val="left"/>
      </w:pPr>
      <w:r>
        <w:rPr/>
        <w:t>时股东大会确认。任期至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日止。</w:t>
      </w:r>
    </w:p>
    <w:p>
      <w:pPr>
        <w:pStyle w:val="Heading3"/>
        <w:spacing w:line="357" w:lineRule="auto"/>
        <w:ind w:left="240" w:right="714" w:firstLine="480"/>
        <w:jc w:val="both"/>
      </w:pPr>
      <w:r>
        <w:rPr/>
        <w:t>鉴于：公司第三届监事会任期已满。</w:t>
      </w:r>
      <w:r>
        <w:rPr>
          <w:rFonts w:ascii="宋体" w:hAnsi="宋体" w:cs="宋体" w:eastAsia="宋体" w:hint="default"/>
        </w:rPr>
        <w:t>2010</w:t>
      </w:r>
      <w:r>
        <w:rPr>
          <w:rFonts w:ascii="宋体" w:hAnsi="宋体" w:cs="宋体" w:eastAsia="宋体" w:hint="default"/>
          <w:spacing w:val="-67"/>
        </w:rPr>
        <w:t> </w:t>
      </w:r>
      <w:r>
        <w:rPr/>
        <w:t>年</w:t>
      </w:r>
      <w:r>
        <w:rPr>
          <w:spacing w:val="-67"/>
        </w:rPr>
        <w:t> </w:t>
      </w:r>
      <w:r>
        <w:rPr>
          <w:rFonts w:ascii="宋体" w:hAnsi="宋体" w:cs="宋体" w:eastAsia="宋体" w:hint="default"/>
        </w:rPr>
        <w:t>3</w:t>
      </w:r>
      <w:r>
        <w:rPr>
          <w:rFonts w:ascii="宋体" w:hAnsi="宋体" w:cs="宋体" w:eastAsia="宋体" w:hint="default"/>
          <w:spacing w:val="-66"/>
        </w:rPr>
        <w:t> </w:t>
      </w:r>
      <w:r>
        <w:rPr/>
        <w:t>月</w:t>
      </w:r>
      <w:r>
        <w:rPr>
          <w:spacing w:val="-67"/>
        </w:rPr>
        <w:t> </w:t>
      </w:r>
      <w:r>
        <w:rPr>
          <w:rFonts w:ascii="宋体" w:hAnsi="宋体" w:cs="宋体" w:eastAsia="宋体" w:hint="default"/>
        </w:rPr>
        <w:t>23</w:t>
      </w:r>
      <w:r>
        <w:rPr>
          <w:rFonts w:ascii="宋体" w:hAnsi="宋体" w:cs="宋体" w:eastAsia="宋体" w:hint="default"/>
          <w:spacing w:val="-67"/>
        </w:rPr>
        <w:t> </w:t>
      </w:r>
      <w:r>
        <w:rPr/>
        <w:t>日，公司第三届监事会十四次会议上，经公 </w:t>
      </w:r>
      <w:r>
        <w:rPr>
          <w:spacing w:val="-3"/>
        </w:rPr>
        <w:t>司大股东敦化市康平投资有限责任公司提名：范水波先生、韩明先生、汤兆利先生为第四届监事会候</w:t>
      </w:r>
      <w:r>
        <w:rPr>
          <w:spacing w:val="-84"/>
        </w:rPr>
        <w:t> </w:t>
      </w:r>
      <w:r>
        <w:rPr>
          <w:spacing w:val="-84"/>
        </w:rPr>
      </w:r>
      <w:r>
        <w:rPr/>
        <w:t>选人，监事会审议通过。并经</w:t>
      </w:r>
      <w:r>
        <w:rPr>
          <w:spacing w:val="-59"/>
        </w:rPr>
        <w:t> </w:t>
      </w:r>
      <w:r>
        <w:rPr>
          <w:rFonts w:ascii="宋体" w:hAnsi="宋体" w:cs="宋体" w:eastAsia="宋体" w:hint="default"/>
        </w:rPr>
        <w:t>2010</w:t>
      </w:r>
      <w:r>
        <w:rPr>
          <w:rFonts w:ascii="宋体" w:hAnsi="宋体" w:cs="宋体" w:eastAsia="宋体" w:hint="default"/>
          <w:spacing w:val="-60"/>
        </w:rPr>
        <w:t> </w:t>
      </w:r>
      <w:r>
        <w:rPr/>
        <w:t>年第一次临时股东大会确认。任期至</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日止。</w:t>
      </w:r>
    </w:p>
    <w:p>
      <w:pPr>
        <w:pStyle w:val="Heading3"/>
        <w:spacing w:line="357" w:lineRule="auto" w:before="34"/>
        <w:ind w:left="240" w:right="716" w:firstLine="480"/>
        <w:jc w:val="both"/>
      </w:pPr>
      <w:r>
        <w:rPr/>
        <w:t>鉴于：公司第三届高级管理人员任期已满。</w:t>
      </w:r>
      <w:r>
        <w:rPr>
          <w:rFonts w:ascii="宋体" w:hAnsi="宋体" w:cs="宋体" w:eastAsia="宋体" w:hint="default"/>
        </w:rPr>
        <w:t>2010</w:t>
      </w:r>
      <w:r>
        <w:rPr>
          <w:rFonts w:ascii="宋体" w:hAnsi="宋体" w:cs="宋体" w:eastAsia="宋体" w:hint="default"/>
          <w:spacing w:val="-43"/>
        </w:rPr>
        <w:t> </w:t>
      </w:r>
      <w:r>
        <w:rPr/>
        <w:t>年</w:t>
      </w:r>
      <w:r>
        <w:rPr>
          <w:spacing w:val="-44"/>
        </w:rPr>
        <w:t> </w:t>
      </w:r>
      <w:r>
        <w:rPr>
          <w:rFonts w:ascii="宋体" w:hAnsi="宋体" w:cs="宋体" w:eastAsia="宋体" w:hint="default"/>
        </w:rPr>
        <w:t>4</w:t>
      </w:r>
      <w:r>
        <w:rPr>
          <w:rFonts w:ascii="宋体" w:hAnsi="宋体" w:cs="宋体" w:eastAsia="宋体" w:hint="default"/>
          <w:spacing w:val="-44"/>
        </w:rPr>
        <w:t> </w:t>
      </w:r>
      <w:r>
        <w:rPr/>
        <w:t>月</w:t>
      </w:r>
      <w:r>
        <w:rPr>
          <w:spacing w:val="-44"/>
        </w:rPr>
        <w:t> </w:t>
      </w:r>
      <w:r>
        <w:rPr>
          <w:rFonts w:ascii="宋体" w:hAnsi="宋体" w:cs="宋体" w:eastAsia="宋体" w:hint="default"/>
        </w:rPr>
        <w:t>8</w:t>
      </w:r>
      <w:r>
        <w:rPr>
          <w:rFonts w:ascii="宋体" w:hAnsi="宋体" w:cs="宋体" w:eastAsia="宋体" w:hint="default"/>
          <w:spacing w:val="-44"/>
        </w:rPr>
        <w:t> </w:t>
      </w:r>
      <w:r>
        <w:rPr/>
        <w:t>日，公司第四届董事会一次会议上， </w:t>
      </w:r>
      <w:r>
        <w:rPr>
          <w:spacing w:val="-3"/>
        </w:rPr>
        <w:t>经提名委员会提名：郭春生先生担任公司总经理，秦静女士、李宝芝女士、曹恩辉先生担任公司副总</w:t>
      </w:r>
      <w:r>
        <w:rPr>
          <w:spacing w:val="-84"/>
        </w:rPr>
        <w:t> </w:t>
      </w:r>
      <w:r>
        <w:rPr>
          <w:spacing w:val="-84"/>
        </w:rPr>
      </w:r>
      <w:r>
        <w:rPr/>
        <w:t>经理，徐吉峰先生担任公司财务总监。经董事会审议通过。任期至</w:t>
      </w:r>
      <w:r>
        <w:rPr>
          <w:spacing w:val="-59"/>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日止。</w:t>
      </w:r>
    </w:p>
    <w:p>
      <w:pPr>
        <w:pStyle w:val="Heading3"/>
        <w:spacing w:line="357" w:lineRule="auto" w:before="36"/>
        <w:ind w:left="240" w:right="606" w:firstLine="480"/>
        <w:jc w:val="left"/>
        <w:rPr>
          <w:rFonts w:ascii="宋体" w:hAnsi="宋体" w:cs="宋体" w:eastAsia="宋体" w:hint="default"/>
        </w:rPr>
      </w:pPr>
      <w:r>
        <w:rPr>
          <w:spacing w:val="-3"/>
        </w:rPr>
        <w:t>鉴于：秦静女士因个人原因，申请辞去董事及常务副总经理职务经公司第四届董事会第六次会议</w:t>
      </w:r>
      <w:r>
        <w:rPr/>
        <w:t> </w:t>
      </w:r>
      <w:r>
        <w:rPr>
          <w:spacing w:val="-3"/>
        </w:rPr>
        <w:t>上，经吉林紫鑫药业股份有限公司董事会提名委员会提名，曹恩辉先生为第四届董事会候选人，董事</w:t>
      </w:r>
      <w:r>
        <w:rPr>
          <w:spacing w:val="-83"/>
        </w:rPr>
        <w:t> </w:t>
      </w:r>
      <w:r>
        <w:rPr>
          <w:spacing w:val="-83"/>
        </w:rPr>
      </w:r>
      <w:r>
        <w:rPr/>
        <w:t>会审议通过，并经</w:t>
      </w:r>
      <w:r>
        <w:rPr>
          <w:spacing w:val="-61"/>
        </w:rPr>
        <w:t> </w:t>
      </w:r>
      <w:r>
        <w:rPr>
          <w:rFonts w:ascii="宋体" w:hAnsi="宋体" w:cs="宋体" w:eastAsia="宋体" w:hint="default"/>
        </w:rPr>
        <w:t>2010</w:t>
      </w:r>
      <w:r>
        <w:rPr>
          <w:rFonts w:ascii="宋体" w:hAnsi="宋体" w:cs="宋体" w:eastAsia="宋体" w:hint="default"/>
          <w:spacing w:val="-61"/>
        </w:rPr>
        <w:t> </w:t>
      </w:r>
      <w:r>
        <w:rPr/>
        <w:t>年</w:t>
      </w:r>
      <w:r>
        <w:rPr>
          <w:spacing w:val="-61"/>
        </w:rPr>
        <w:t> </w:t>
      </w:r>
      <w:r>
        <w:rPr>
          <w:rFonts w:ascii="宋体" w:hAnsi="宋体" w:cs="宋体" w:eastAsia="宋体" w:hint="default"/>
        </w:rPr>
        <w:t>8</w:t>
      </w:r>
      <w:r>
        <w:rPr>
          <w:rFonts w:ascii="宋体" w:hAnsi="宋体" w:cs="宋体" w:eastAsia="宋体" w:hint="default"/>
          <w:spacing w:val="-61"/>
        </w:rPr>
        <w:t> </w:t>
      </w:r>
      <w:r>
        <w:rPr/>
        <w:t>月</w:t>
      </w:r>
      <w:r>
        <w:rPr>
          <w:spacing w:val="-61"/>
        </w:rPr>
        <w:t> </w:t>
      </w:r>
      <w:r>
        <w:rPr>
          <w:rFonts w:ascii="宋体" w:hAnsi="宋体" w:cs="宋体" w:eastAsia="宋体" w:hint="default"/>
        </w:rPr>
        <w:t>5</w:t>
      </w:r>
      <w:r>
        <w:rPr>
          <w:rFonts w:ascii="宋体" w:hAnsi="宋体" w:cs="宋体" w:eastAsia="宋体" w:hint="default"/>
          <w:spacing w:val="-61"/>
        </w:rPr>
        <w:t> </w:t>
      </w:r>
      <w:r>
        <w:rPr/>
        <w:t>日召开的公司第三次临时股东大会审议通过后，任公司董事。 </w:t>
      </w:r>
      <w:r>
        <w:rPr>
          <w:rFonts w:ascii="宋体" w:hAnsi="宋体" w:cs="宋体" w:eastAsia="宋体" w:hint="default"/>
          <w:b/>
          <w:bCs/>
        </w:rPr>
        <w:t>二、员工情况</w:t>
      </w:r>
      <w:r>
        <w:rPr>
          <w:rFonts w:ascii="宋体" w:hAnsi="宋体" w:cs="宋体" w:eastAsia="宋体" w:hint="default"/>
        </w:rPr>
      </w:r>
    </w:p>
    <w:p>
      <w:pPr>
        <w:pStyle w:val="Heading3"/>
        <w:spacing w:line="240" w:lineRule="auto" w:before="34"/>
        <w:ind w:left="720" w:right="0"/>
        <w:jc w:val="left"/>
      </w:pPr>
      <w:r>
        <w:rPr/>
        <w:t>截止</w:t>
      </w:r>
      <w:r>
        <w:rPr>
          <w:spacing w:val="-60"/>
        </w:rPr>
        <w:t> </w:t>
      </w: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日，发行人在册员工总数为</w:t>
      </w:r>
      <w:r>
        <w:rPr>
          <w:spacing w:val="-60"/>
        </w:rPr>
        <w:t> </w:t>
      </w:r>
      <w:r>
        <w:rPr>
          <w:rFonts w:ascii="宋体" w:hAnsi="宋体" w:cs="宋体" w:eastAsia="宋体" w:hint="default"/>
        </w:rPr>
        <w:t>860</w:t>
      </w:r>
      <w:r>
        <w:rPr>
          <w:rFonts w:ascii="宋体" w:hAnsi="宋体" w:cs="宋体" w:eastAsia="宋体" w:hint="default"/>
          <w:spacing w:val="-60"/>
        </w:rPr>
        <w:t> </w:t>
      </w:r>
      <w:r>
        <w:rPr>
          <w:spacing w:val="-6"/>
        </w:rPr>
        <w:t>人，具有高级职称</w:t>
      </w:r>
      <w:r>
        <w:rPr>
          <w:spacing w:val="-60"/>
        </w:rPr>
        <w:t> </w:t>
      </w:r>
      <w:r>
        <w:rPr>
          <w:rFonts w:ascii="宋体" w:hAnsi="宋体" w:cs="宋体" w:eastAsia="宋体" w:hint="default"/>
        </w:rPr>
        <w:t>21</w:t>
      </w:r>
      <w:r>
        <w:rPr>
          <w:rFonts w:ascii="宋体" w:hAnsi="宋体" w:cs="宋体" w:eastAsia="宋体" w:hint="default"/>
          <w:spacing w:val="-60"/>
        </w:rPr>
        <w:t> </w:t>
      </w:r>
      <w:r>
        <w:rPr/>
        <w:t>人和中级职称</w:t>
      </w:r>
      <w:r>
        <w:rPr>
          <w:spacing w:val="-60"/>
        </w:rPr>
        <w:t> </w:t>
      </w:r>
      <w:r>
        <w:rPr>
          <w:rFonts w:ascii="宋体" w:hAnsi="宋体" w:cs="宋体" w:eastAsia="宋体" w:hint="default"/>
        </w:rPr>
        <w:t>42</w:t>
      </w:r>
      <w:r>
        <w:rPr>
          <w:rFonts w:ascii="宋体" w:hAnsi="宋体" w:cs="宋体" w:eastAsia="宋体" w:hint="default"/>
          <w:spacing w:val="-60"/>
        </w:rPr>
        <w:t> </w:t>
      </w:r>
      <w:r>
        <w:rPr/>
        <w:t>人，</w:t>
      </w:r>
    </w:p>
    <w:p>
      <w:pPr>
        <w:pStyle w:val="Heading3"/>
        <w:spacing w:line="240" w:lineRule="auto"/>
        <w:ind w:left="240" w:right="606"/>
        <w:jc w:val="left"/>
      </w:pPr>
      <w:r>
        <w:rPr/>
        <w:t>执业药师</w:t>
      </w:r>
      <w:r>
        <w:rPr>
          <w:spacing w:val="-60"/>
        </w:rPr>
        <w:t> </w:t>
      </w:r>
      <w:r>
        <w:rPr>
          <w:rFonts w:ascii="宋体" w:hAnsi="宋体" w:cs="宋体" w:eastAsia="宋体" w:hint="default"/>
        </w:rPr>
        <w:t>12</w:t>
      </w:r>
      <w:r>
        <w:rPr>
          <w:rFonts w:ascii="宋体" w:hAnsi="宋体" w:cs="宋体" w:eastAsia="宋体" w:hint="default"/>
          <w:spacing w:val="-61"/>
        </w:rPr>
        <w:t> </w:t>
      </w:r>
      <w:r>
        <w:rPr/>
        <w:t>人，药师</w:t>
      </w:r>
      <w:r>
        <w:rPr>
          <w:spacing w:val="-60"/>
        </w:rPr>
        <w:t> </w:t>
      </w:r>
      <w:r>
        <w:rPr>
          <w:rFonts w:ascii="宋体" w:hAnsi="宋体" w:cs="宋体" w:eastAsia="宋体" w:hint="default"/>
        </w:rPr>
        <w:t>12</w:t>
      </w:r>
      <w:r>
        <w:rPr>
          <w:rFonts w:ascii="宋体" w:hAnsi="宋体" w:cs="宋体" w:eastAsia="宋体" w:hint="default"/>
          <w:spacing w:val="-60"/>
        </w:rPr>
        <w:t> </w:t>
      </w:r>
      <w:r>
        <w:rPr/>
        <w:t>人。员工构成见下表：</w:t>
      </w:r>
    </w:p>
    <w:p>
      <w:pPr>
        <w:spacing w:before="151"/>
        <w:ind w:left="240" w:right="606" w:firstLine="0"/>
        <w:jc w:val="left"/>
        <w:rPr>
          <w:rFonts w:ascii="宋体" w:hAnsi="宋体" w:cs="宋体" w:eastAsia="宋体" w:hint="default"/>
          <w:sz w:val="24"/>
          <w:szCs w:val="24"/>
        </w:rPr>
      </w:pPr>
      <w:r>
        <w:rPr>
          <w:rFonts w:ascii="宋体" w:hAnsi="宋体" w:cs="宋体" w:eastAsia="宋体" w:hint="default"/>
          <w:sz w:val="24"/>
          <w:szCs w:val="24"/>
        </w:rPr>
        <w:t>（一）</w:t>
      </w:r>
      <w:r>
        <w:rPr>
          <w:rFonts w:ascii="宋体" w:hAnsi="宋体" w:cs="宋体" w:eastAsia="宋体" w:hint="default"/>
          <w:b/>
          <w:bCs/>
          <w:sz w:val="24"/>
          <w:szCs w:val="24"/>
        </w:rPr>
        <w:t>按专业结构划分</w:t>
      </w:r>
      <w:r>
        <w:rPr>
          <w:rFonts w:ascii="宋体" w:hAnsi="宋体" w:cs="宋体" w:eastAsia="宋体" w:hint="default"/>
          <w:sz w:val="24"/>
          <w:szCs w:val="24"/>
        </w:rPr>
      </w:r>
    </w:p>
    <w:p>
      <w:pPr>
        <w:spacing w:line="240" w:lineRule="auto" w:before="11"/>
        <w:rPr>
          <w:rFonts w:ascii="宋体" w:hAnsi="宋体" w:cs="宋体" w:eastAsia="宋体" w:hint="default"/>
          <w:b/>
          <w:bCs/>
          <w:sz w:val="14"/>
          <w:szCs w:val="14"/>
        </w:rPr>
      </w:pPr>
    </w:p>
    <w:tbl>
      <w:tblPr>
        <w:tblW w:w="0" w:type="auto"/>
        <w:jc w:val="left"/>
        <w:tblInd w:w="117" w:type="dxa"/>
        <w:tblLayout w:type="fixed"/>
        <w:tblCellMar>
          <w:top w:w="0" w:type="dxa"/>
          <w:left w:w="0" w:type="dxa"/>
          <w:bottom w:w="0" w:type="dxa"/>
          <w:right w:w="0" w:type="dxa"/>
        </w:tblCellMar>
        <w:tblLook w:val="01E0"/>
      </w:tblPr>
      <w:tblGrid>
        <w:gridCol w:w="2036"/>
        <w:gridCol w:w="1441"/>
        <w:gridCol w:w="1442"/>
        <w:gridCol w:w="1443"/>
        <w:gridCol w:w="1442"/>
        <w:gridCol w:w="1443"/>
        <w:gridCol w:w="1438"/>
      </w:tblGrid>
      <w:tr>
        <w:trPr>
          <w:trHeight w:val="487" w:hRule="exact"/>
        </w:trPr>
        <w:tc>
          <w:tcPr>
            <w:tcW w:w="2036"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655" w:right="0"/>
              <w:jc w:val="left"/>
              <w:rPr>
                <w:rFonts w:ascii="宋体" w:hAnsi="宋体" w:cs="宋体" w:eastAsia="宋体" w:hint="default"/>
                <w:sz w:val="18"/>
                <w:szCs w:val="18"/>
              </w:rPr>
            </w:pPr>
            <w:r>
              <w:rPr>
                <w:rFonts w:ascii="宋体" w:hAnsi="宋体" w:cs="宋体" w:eastAsia="宋体" w:hint="default"/>
                <w:b/>
                <w:bCs/>
                <w:sz w:val="18"/>
                <w:szCs w:val="18"/>
              </w:rPr>
              <w:t>专业类别</w:t>
            </w:r>
            <w:r>
              <w:rPr>
                <w:rFonts w:ascii="宋体" w:hAnsi="宋体" w:cs="宋体" w:eastAsia="宋体" w:hint="default"/>
                <w:sz w:val="18"/>
                <w:szCs w:val="18"/>
              </w:rPr>
            </w:r>
          </w:p>
        </w:tc>
        <w:tc>
          <w:tcPr>
            <w:tcW w:w="2883"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885"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881"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4"/>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90" w:hRule="exact"/>
        </w:trPr>
        <w:tc>
          <w:tcPr>
            <w:tcW w:w="2036" w:type="dxa"/>
            <w:vMerge/>
            <w:tcBorders>
              <w:left w:val="nil" w:sz="6" w:space="0" w:color="auto"/>
              <w:bottom w:val="single" w:sz="12" w:space="0" w:color="000000"/>
              <w:right w:val="single" w:sz="4" w:space="0" w:color="000000"/>
            </w:tcBorders>
          </w:tcPr>
          <w:p>
            <w:pP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4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4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4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20" w:footer="956" w:top="1300" w:bottom="1140" w:left="480" w:right="0"/>
        </w:sectPr>
      </w:pPr>
    </w:p>
    <w:p>
      <w:pPr>
        <w:spacing w:line="240" w:lineRule="auto" w:before="7"/>
        <w:rPr>
          <w:rFonts w:ascii="宋体" w:hAnsi="宋体" w:cs="宋体" w:eastAsia="宋体"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2050"/>
        <w:gridCol w:w="1441"/>
        <w:gridCol w:w="1442"/>
        <w:gridCol w:w="1443"/>
        <w:gridCol w:w="1442"/>
        <w:gridCol w:w="1443"/>
        <w:gridCol w:w="1438"/>
      </w:tblGrid>
      <w:tr>
        <w:trPr>
          <w:trHeight w:val="495" w:hRule="exact"/>
        </w:trPr>
        <w:tc>
          <w:tcPr>
            <w:tcW w:w="205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4"/>
              <w:ind w:left="19"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144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578" w:right="0"/>
              <w:jc w:val="left"/>
              <w:rPr>
                <w:rFonts w:ascii="宋体" w:hAnsi="宋体" w:cs="宋体" w:eastAsia="宋体" w:hint="default"/>
                <w:sz w:val="18"/>
                <w:szCs w:val="18"/>
              </w:rPr>
            </w:pPr>
            <w:r>
              <w:rPr>
                <w:rFonts w:ascii="宋体"/>
                <w:sz w:val="18"/>
              </w:rPr>
              <w:t>302</w:t>
            </w:r>
          </w:p>
        </w:tc>
        <w:tc>
          <w:tcPr>
            <w:tcW w:w="14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2"/>
              <w:ind w:left="489" w:right="0"/>
              <w:jc w:val="left"/>
              <w:rPr>
                <w:rFonts w:ascii="宋体" w:hAnsi="宋体" w:cs="宋体" w:eastAsia="宋体" w:hint="default"/>
                <w:sz w:val="18"/>
                <w:szCs w:val="18"/>
              </w:rPr>
            </w:pPr>
            <w:r>
              <w:rPr>
                <w:rFonts w:ascii="宋体"/>
                <w:sz w:val="18"/>
              </w:rPr>
              <w:t>35.12</w:t>
            </w:r>
          </w:p>
        </w:tc>
        <w:tc>
          <w:tcPr>
            <w:tcW w:w="14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576"/>
              <w:jc w:val="right"/>
              <w:rPr>
                <w:rFonts w:ascii="宋体" w:hAnsi="宋体" w:cs="宋体" w:eastAsia="宋体" w:hint="default"/>
                <w:sz w:val="18"/>
                <w:szCs w:val="18"/>
              </w:rPr>
            </w:pPr>
            <w:r>
              <w:rPr>
                <w:rFonts w:ascii="宋体"/>
                <w:sz w:val="18"/>
              </w:rPr>
              <w:t>212</w:t>
            </w:r>
          </w:p>
        </w:tc>
        <w:tc>
          <w:tcPr>
            <w:tcW w:w="144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right="576"/>
              <w:jc w:val="right"/>
              <w:rPr>
                <w:rFonts w:ascii="宋体" w:hAnsi="宋体" w:cs="宋体" w:eastAsia="宋体" w:hint="default"/>
                <w:sz w:val="18"/>
                <w:szCs w:val="18"/>
              </w:rPr>
            </w:pPr>
            <w:r>
              <w:rPr>
                <w:rFonts w:ascii="宋体"/>
                <w:sz w:val="18"/>
              </w:rPr>
              <w:t>204</w:t>
            </w:r>
          </w:p>
        </w:tc>
        <w:tc>
          <w:tcPr>
            <w:tcW w:w="144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宋体" w:hAnsi="宋体" w:cs="宋体" w:eastAsia="宋体" w:hint="default"/>
                <w:sz w:val="18"/>
                <w:szCs w:val="18"/>
              </w:rPr>
            </w:pPr>
            <w:r>
              <w:rPr>
                <w:rFonts w:ascii="宋体"/>
                <w:sz w:val="18"/>
              </w:rPr>
              <w:t>154</w:t>
            </w:r>
          </w:p>
        </w:tc>
        <w:tc>
          <w:tcPr>
            <w:tcW w:w="14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4"/>
              <w:ind w:right="4"/>
              <w:jc w:val="center"/>
              <w:rPr>
                <w:rFonts w:ascii="宋体" w:hAnsi="宋体" w:cs="宋体" w:eastAsia="宋体" w:hint="default"/>
                <w:sz w:val="18"/>
                <w:szCs w:val="18"/>
              </w:rPr>
            </w:pPr>
            <w:r>
              <w:rPr>
                <w:rFonts w:ascii="宋体"/>
                <w:sz w:val="18"/>
              </w:rPr>
              <w:t>30.02</w:t>
            </w:r>
          </w:p>
        </w:tc>
      </w:tr>
      <w:tr>
        <w:trPr>
          <w:trHeight w:val="478"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9"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78" w:right="0"/>
              <w:jc w:val="left"/>
              <w:rPr>
                <w:rFonts w:ascii="宋体" w:hAnsi="宋体" w:cs="宋体" w:eastAsia="宋体" w:hint="default"/>
                <w:sz w:val="18"/>
                <w:szCs w:val="18"/>
              </w:rPr>
            </w:pPr>
            <w:r>
              <w:rPr>
                <w:rFonts w:ascii="宋体"/>
                <w:sz w:val="18"/>
              </w:rPr>
              <w:t>241</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89" w:right="0"/>
              <w:jc w:val="left"/>
              <w:rPr>
                <w:rFonts w:ascii="宋体" w:hAnsi="宋体" w:cs="宋体" w:eastAsia="宋体" w:hint="default"/>
                <w:sz w:val="18"/>
                <w:szCs w:val="18"/>
              </w:rPr>
            </w:pPr>
            <w:r>
              <w:rPr>
                <w:rFonts w:ascii="宋体"/>
                <w:sz w:val="18"/>
              </w:rPr>
              <w:t>28.02</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76"/>
              <w:jc w:val="right"/>
              <w:rPr>
                <w:rFonts w:ascii="宋体" w:hAnsi="宋体" w:cs="宋体" w:eastAsia="宋体" w:hint="default"/>
                <w:sz w:val="18"/>
                <w:szCs w:val="18"/>
              </w:rPr>
            </w:pPr>
            <w:r>
              <w:rPr>
                <w:rFonts w:ascii="宋体"/>
                <w:sz w:val="18"/>
              </w:rPr>
              <w:t>233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76"/>
              <w:jc w:val="right"/>
              <w:rPr>
                <w:rFonts w:ascii="宋体" w:hAnsi="宋体" w:cs="宋体" w:eastAsia="宋体" w:hint="default"/>
                <w:sz w:val="18"/>
                <w:szCs w:val="18"/>
              </w:rPr>
            </w:pPr>
            <w:r>
              <w:rPr>
                <w:rFonts w:ascii="宋体"/>
                <w:sz w:val="18"/>
              </w:rPr>
              <w:t>215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239</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4"/>
              <w:jc w:val="center"/>
              <w:rPr>
                <w:rFonts w:ascii="宋体" w:hAnsi="宋体" w:cs="宋体" w:eastAsia="宋体" w:hint="default"/>
                <w:sz w:val="18"/>
                <w:szCs w:val="18"/>
              </w:rPr>
            </w:pPr>
            <w:r>
              <w:rPr>
                <w:rFonts w:ascii="宋体"/>
                <w:sz w:val="18"/>
              </w:rPr>
              <w:t>46.59</w:t>
            </w:r>
          </w:p>
        </w:tc>
      </w:tr>
      <w:tr>
        <w:trPr>
          <w:trHeight w:val="480"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9"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78" w:right="0"/>
              <w:jc w:val="left"/>
              <w:rPr>
                <w:rFonts w:ascii="宋体" w:hAnsi="宋体" w:cs="宋体" w:eastAsia="宋体" w:hint="default"/>
                <w:sz w:val="18"/>
                <w:szCs w:val="18"/>
              </w:rPr>
            </w:pPr>
            <w:r>
              <w:rPr>
                <w:rFonts w:ascii="宋体"/>
                <w:sz w:val="18"/>
              </w:rPr>
              <w:t>135</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9" w:right="0"/>
              <w:jc w:val="left"/>
              <w:rPr>
                <w:rFonts w:ascii="宋体" w:hAnsi="宋体" w:cs="宋体" w:eastAsia="宋体" w:hint="default"/>
                <w:sz w:val="18"/>
                <w:szCs w:val="18"/>
              </w:rPr>
            </w:pPr>
            <w:r>
              <w:rPr>
                <w:rFonts w:ascii="宋体"/>
                <w:sz w:val="18"/>
              </w:rPr>
              <w:t>15.70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22"/>
              <w:jc w:val="right"/>
              <w:rPr>
                <w:rFonts w:ascii="宋体" w:hAnsi="宋体" w:cs="宋体" w:eastAsia="宋体" w:hint="default"/>
                <w:sz w:val="18"/>
                <w:szCs w:val="18"/>
              </w:rPr>
            </w:pPr>
            <w:r>
              <w:rPr>
                <w:rFonts w:ascii="宋体"/>
                <w:sz w:val="18"/>
              </w:rPr>
              <w:t>78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23"/>
              <w:jc w:val="right"/>
              <w:rPr>
                <w:rFonts w:ascii="宋体" w:hAnsi="宋体" w:cs="宋体" w:eastAsia="宋体" w:hint="default"/>
                <w:sz w:val="18"/>
                <w:szCs w:val="18"/>
              </w:rPr>
            </w:pPr>
            <w:r>
              <w:rPr>
                <w:rFonts w:ascii="宋体"/>
                <w:sz w:val="18"/>
              </w:rPr>
              <w:t>46</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27</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4"/>
              <w:jc w:val="center"/>
              <w:rPr>
                <w:rFonts w:ascii="宋体" w:hAnsi="宋体" w:cs="宋体" w:eastAsia="宋体" w:hint="default"/>
                <w:sz w:val="18"/>
                <w:szCs w:val="18"/>
              </w:rPr>
            </w:pPr>
            <w:r>
              <w:rPr>
                <w:rFonts w:ascii="宋体"/>
                <w:sz w:val="18"/>
              </w:rPr>
              <w:t>5.26</w:t>
            </w:r>
          </w:p>
        </w:tc>
      </w:tr>
      <w:tr>
        <w:trPr>
          <w:trHeight w:val="478"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78" w:right="0"/>
              <w:jc w:val="left"/>
              <w:rPr>
                <w:rFonts w:ascii="宋体" w:hAnsi="宋体" w:cs="宋体" w:eastAsia="宋体" w:hint="default"/>
                <w:sz w:val="18"/>
                <w:szCs w:val="18"/>
              </w:rPr>
            </w:pPr>
            <w:r>
              <w:rPr>
                <w:rFonts w:ascii="宋体"/>
                <w:sz w:val="18"/>
              </w:rPr>
              <w:t>132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89" w:right="0"/>
              <w:jc w:val="left"/>
              <w:rPr>
                <w:rFonts w:ascii="宋体" w:hAnsi="宋体" w:cs="宋体" w:eastAsia="宋体" w:hint="default"/>
                <w:sz w:val="18"/>
                <w:szCs w:val="18"/>
              </w:rPr>
            </w:pPr>
            <w:r>
              <w:rPr>
                <w:rFonts w:ascii="宋体"/>
                <w:sz w:val="18"/>
              </w:rPr>
              <w:t>15.35</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76"/>
              <w:jc w:val="right"/>
              <w:rPr>
                <w:rFonts w:ascii="宋体" w:hAnsi="宋体" w:cs="宋体" w:eastAsia="宋体" w:hint="default"/>
                <w:sz w:val="18"/>
                <w:szCs w:val="18"/>
              </w:rPr>
            </w:pPr>
            <w:r>
              <w:rPr>
                <w:rFonts w:ascii="宋体"/>
                <w:sz w:val="18"/>
              </w:rPr>
              <w:t>106</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3"/>
              <w:jc w:val="right"/>
              <w:rPr>
                <w:rFonts w:ascii="宋体" w:hAnsi="宋体" w:cs="宋体" w:eastAsia="宋体" w:hint="default"/>
                <w:sz w:val="18"/>
                <w:szCs w:val="18"/>
              </w:rPr>
            </w:pPr>
            <w:r>
              <w:rPr>
                <w:rFonts w:ascii="宋体"/>
                <w:sz w:val="18"/>
              </w:rPr>
              <w:t>74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73</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14.23</w:t>
            </w:r>
          </w:p>
        </w:tc>
      </w:tr>
      <w:tr>
        <w:trPr>
          <w:trHeight w:val="478" w:hRule="exact"/>
        </w:trPr>
        <w:tc>
          <w:tcPr>
            <w:tcW w:w="205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623" w:right="0"/>
              <w:jc w:val="left"/>
              <w:rPr>
                <w:rFonts w:ascii="宋体" w:hAnsi="宋体" w:cs="宋体" w:eastAsia="宋体" w:hint="default"/>
                <w:sz w:val="18"/>
                <w:szCs w:val="18"/>
              </w:rPr>
            </w:pPr>
            <w:r>
              <w:rPr>
                <w:rFonts w:ascii="宋体"/>
                <w:sz w:val="18"/>
              </w:rPr>
              <w:t>50</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535" w:right="0"/>
              <w:jc w:val="left"/>
              <w:rPr>
                <w:rFonts w:ascii="宋体" w:hAnsi="宋体" w:cs="宋体" w:eastAsia="宋体" w:hint="default"/>
                <w:sz w:val="18"/>
                <w:szCs w:val="18"/>
              </w:rPr>
            </w:pPr>
            <w:r>
              <w:rPr>
                <w:rFonts w:ascii="宋体"/>
                <w:sz w:val="18"/>
              </w:rPr>
              <w:t>5.81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2"/>
              <w:jc w:val="right"/>
              <w:rPr>
                <w:rFonts w:ascii="宋体" w:hAnsi="宋体" w:cs="宋体" w:eastAsia="宋体" w:hint="default"/>
                <w:sz w:val="18"/>
                <w:szCs w:val="18"/>
              </w:rPr>
            </w:pPr>
            <w:r>
              <w:rPr>
                <w:rFonts w:ascii="宋体"/>
                <w:sz w:val="18"/>
              </w:rPr>
              <w:t>29</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23"/>
              <w:jc w:val="right"/>
              <w:rPr>
                <w:rFonts w:ascii="宋体" w:hAnsi="宋体" w:cs="宋体" w:eastAsia="宋体" w:hint="default"/>
                <w:sz w:val="18"/>
                <w:szCs w:val="18"/>
              </w:rPr>
            </w:pPr>
            <w:r>
              <w:rPr>
                <w:rFonts w:ascii="宋体"/>
                <w:sz w:val="18"/>
              </w:rPr>
              <w:t>24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宋体" w:hAnsi="宋体" w:cs="宋体" w:eastAsia="宋体" w:hint="default"/>
                <w:sz w:val="18"/>
                <w:szCs w:val="18"/>
              </w:rPr>
            </w:pPr>
            <w:r>
              <w:rPr>
                <w:rFonts w:ascii="宋体"/>
                <w:sz w:val="18"/>
              </w:rPr>
              <w:t>20</w:t>
            </w:r>
          </w:p>
        </w:tc>
        <w:tc>
          <w:tcPr>
            <w:tcW w:w="143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5"/>
              <w:ind w:right="4"/>
              <w:jc w:val="center"/>
              <w:rPr>
                <w:rFonts w:ascii="宋体" w:hAnsi="宋体" w:cs="宋体" w:eastAsia="宋体" w:hint="default"/>
                <w:sz w:val="18"/>
                <w:szCs w:val="18"/>
              </w:rPr>
            </w:pPr>
            <w:r>
              <w:rPr>
                <w:rFonts w:ascii="宋体"/>
                <w:sz w:val="18"/>
              </w:rPr>
              <w:t>3.90</w:t>
            </w:r>
          </w:p>
        </w:tc>
      </w:tr>
      <w:tr>
        <w:trPr>
          <w:trHeight w:val="490" w:hRule="exact"/>
        </w:trPr>
        <w:tc>
          <w:tcPr>
            <w:tcW w:w="205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7"/>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578" w:right="0"/>
              <w:jc w:val="left"/>
              <w:rPr>
                <w:rFonts w:ascii="宋体" w:hAnsi="宋体" w:cs="宋体" w:eastAsia="宋体" w:hint="default"/>
                <w:sz w:val="18"/>
                <w:szCs w:val="18"/>
              </w:rPr>
            </w:pPr>
            <w:r>
              <w:rPr>
                <w:rFonts w:ascii="宋体"/>
                <w:sz w:val="18"/>
              </w:rPr>
              <w:t>860</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5"/>
              <w:ind w:left="446" w:right="0"/>
              <w:jc w:val="left"/>
              <w:rPr>
                <w:rFonts w:ascii="宋体" w:hAnsi="宋体" w:cs="宋体" w:eastAsia="宋体" w:hint="default"/>
                <w:sz w:val="18"/>
                <w:szCs w:val="18"/>
              </w:rPr>
            </w:pPr>
            <w:r>
              <w:rPr>
                <w:rFonts w:ascii="宋体"/>
                <w:sz w:val="18"/>
              </w:rPr>
              <w:t>100.00</w:t>
            </w:r>
          </w:p>
        </w:tc>
        <w:tc>
          <w:tcPr>
            <w:tcW w:w="14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576"/>
              <w:jc w:val="right"/>
              <w:rPr>
                <w:rFonts w:ascii="宋体" w:hAnsi="宋体" w:cs="宋体" w:eastAsia="宋体" w:hint="default"/>
                <w:sz w:val="18"/>
                <w:szCs w:val="18"/>
              </w:rPr>
            </w:pPr>
            <w:r>
              <w:rPr>
                <w:rFonts w:ascii="宋体"/>
                <w:sz w:val="18"/>
              </w:rPr>
              <w:t>658</w:t>
            </w:r>
          </w:p>
        </w:tc>
        <w:tc>
          <w:tcPr>
            <w:tcW w:w="144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576"/>
              <w:jc w:val="right"/>
              <w:rPr>
                <w:rFonts w:ascii="宋体" w:hAnsi="宋体" w:cs="宋体" w:eastAsia="宋体" w:hint="default"/>
                <w:sz w:val="18"/>
                <w:szCs w:val="18"/>
              </w:rPr>
            </w:pPr>
            <w:r>
              <w:rPr>
                <w:rFonts w:ascii="宋体"/>
                <w:sz w:val="18"/>
              </w:rPr>
              <w:t>565</w:t>
            </w:r>
          </w:p>
        </w:tc>
        <w:tc>
          <w:tcPr>
            <w:tcW w:w="14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 w:right="0"/>
              <w:jc w:val="center"/>
              <w:rPr>
                <w:rFonts w:ascii="宋体" w:hAnsi="宋体" w:cs="宋体" w:eastAsia="宋体" w:hint="default"/>
                <w:sz w:val="18"/>
                <w:szCs w:val="18"/>
              </w:rPr>
            </w:pPr>
            <w:r>
              <w:rPr>
                <w:rFonts w:ascii="宋体"/>
                <w:sz w:val="18"/>
              </w:rPr>
              <w:t>513</w:t>
            </w:r>
          </w:p>
        </w:tc>
        <w:tc>
          <w:tcPr>
            <w:tcW w:w="143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2"/>
              <w:jc w:val="center"/>
              <w:rPr>
                <w:rFonts w:ascii="宋体" w:hAnsi="宋体" w:cs="宋体" w:eastAsia="宋体" w:hint="default"/>
                <w:sz w:val="18"/>
                <w:szCs w:val="18"/>
              </w:rPr>
            </w:pPr>
            <w:r>
              <w:rPr>
                <w:rFonts w:ascii="宋体"/>
                <w:sz w:val="18"/>
              </w:rPr>
              <w:t>100.00</w:t>
            </w:r>
          </w:p>
        </w:tc>
      </w:tr>
    </w:tbl>
    <w:p>
      <w:pPr>
        <w:pStyle w:val="Heading2"/>
        <w:spacing w:line="274" w:lineRule="exact"/>
        <w:ind w:left="240" w:right="606"/>
        <w:jc w:val="left"/>
        <w:rPr>
          <w:b w:val="0"/>
          <w:bCs w:val="0"/>
        </w:rPr>
      </w:pPr>
      <w:r>
        <w:rPr/>
        <w:t>（二）按教育程度划分</w:t>
      </w:r>
      <w:r>
        <w:rPr>
          <w:b w:val="0"/>
          <w:bCs w:val="0"/>
        </w:rPr>
      </w:r>
    </w:p>
    <w:p>
      <w:pPr>
        <w:spacing w:line="240" w:lineRule="auto" w:before="9"/>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2979"/>
        <w:gridCol w:w="1215"/>
        <w:gridCol w:w="1344"/>
        <w:gridCol w:w="1244"/>
        <w:gridCol w:w="1443"/>
        <w:gridCol w:w="1239"/>
        <w:gridCol w:w="1236"/>
      </w:tblGrid>
      <w:tr>
        <w:trPr>
          <w:trHeight w:val="442" w:hRule="exact"/>
        </w:trPr>
        <w:tc>
          <w:tcPr>
            <w:tcW w:w="2979"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c>
          <w:tcPr>
            <w:tcW w:w="255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6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47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b/>
                <w:bCs/>
                <w:sz w:val="18"/>
                <w:szCs w:val="18"/>
              </w:rPr>
              <w:t>2007</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30" w:hRule="exact"/>
        </w:trPr>
        <w:tc>
          <w:tcPr>
            <w:tcW w:w="2979" w:type="dxa"/>
            <w:vMerge/>
            <w:tcBorders>
              <w:left w:val="nil" w:sz="6" w:space="0" w:color="auto"/>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23"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482"/>
              <w:jc w:val="right"/>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34"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432"/>
              <w:jc w:val="right"/>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r>
      <w:tr>
        <w:trPr>
          <w:trHeight w:val="430"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8" w:right="0"/>
              <w:jc w:val="center"/>
              <w:rPr>
                <w:rFonts w:ascii="宋体" w:hAnsi="宋体" w:cs="宋体" w:eastAsia="宋体" w:hint="default"/>
                <w:sz w:val="18"/>
                <w:szCs w:val="18"/>
              </w:rPr>
            </w:pPr>
            <w:r>
              <w:rPr>
                <w:rFonts w:ascii="宋体" w:hAnsi="宋体" w:cs="宋体" w:eastAsia="宋体" w:hint="default"/>
                <w:sz w:val="18"/>
                <w:szCs w:val="18"/>
              </w:rPr>
              <w:t>本科及本科以上学历人员</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8" w:right="0"/>
              <w:jc w:val="left"/>
              <w:rPr>
                <w:rFonts w:ascii="宋体" w:hAnsi="宋体" w:cs="宋体" w:eastAsia="宋体" w:hint="default"/>
                <w:sz w:val="18"/>
                <w:szCs w:val="18"/>
              </w:rPr>
            </w:pPr>
            <w:r>
              <w:rPr>
                <w:rFonts w:ascii="宋体"/>
                <w:sz w:val="18"/>
              </w:rPr>
              <w:t>121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38"/>
              <w:jc w:val="right"/>
              <w:rPr>
                <w:rFonts w:ascii="宋体" w:hAnsi="宋体" w:cs="宋体" w:eastAsia="宋体" w:hint="default"/>
                <w:sz w:val="18"/>
                <w:szCs w:val="18"/>
              </w:rPr>
            </w:pPr>
            <w:r>
              <w:rPr>
                <w:rFonts w:ascii="宋体"/>
                <w:sz w:val="18"/>
              </w:rPr>
              <w:t>14.07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80" w:right="0"/>
              <w:jc w:val="left"/>
              <w:rPr>
                <w:rFonts w:ascii="宋体" w:hAnsi="宋体" w:cs="宋体" w:eastAsia="宋体" w:hint="default"/>
                <w:sz w:val="18"/>
                <w:szCs w:val="18"/>
              </w:rPr>
            </w:pPr>
            <w:r>
              <w:rPr>
                <w:rFonts w:ascii="宋体"/>
                <w:sz w:val="18"/>
              </w:rPr>
              <w:t>114</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sz w:val="18"/>
              </w:rPr>
              <w:t>17.33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sz w:val="18"/>
              </w:rPr>
              <w:t>61</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390"/>
              <w:jc w:val="right"/>
              <w:rPr>
                <w:rFonts w:ascii="宋体" w:hAnsi="宋体" w:cs="宋体" w:eastAsia="宋体" w:hint="default"/>
                <w:sz w:val="18"/>
                <w:szCs w:val="18"/>
              </w:rPr>
            </w:pPr>
            <w:r>
              <w:rPr>
                <w:rFonts w:ascii="宋体"/>
                <w:sz w:val="18"/>
              </w:rPr>
              <w:t>10.80</w:t>
            </w:r>
          </w:p>
        </w:tc>
      </w:tr>
      <w:tr>
        <w:trPr>
          <w:trHeight w:val="430"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18"/>
                <w:szCs w:val="18"/>
              </w:rPr>
            </w:pPr>
            <w:r>
              <w:rPr>
                <w:rFonts w:ascii="宋体" w:hAnsi="宋体" w:cs="宋体" w:eastAsia="宋体" w:hint="default"/>
                <w:sz w:val="18"/>
                <w:szCs w:val="18"/>
              </w:rPr>
              <w:t>大专学历人员</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8" w:right="0"/>
              <w:jc w:val="left"/>
              <w:rPr>
                <w:rFonts w:ascii="宋体" w:hAnsi="宋体" w:cs="宋体" w:eastAsia="宋体" w:hint="default"/>
                <w:sz w:val="18"/>
                <w:szCs w:val="18"/>
              </w:rPr>
            </w:pPr>
            <w:r>
              <w:rPr>
                <w:rFonts w:ascii="宋体"/>
                <w:sz w:val="18"/>
              </w:rPr>
              <w:t>145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38"/>
              <w:jc w:val="right"/>
              <w:rPr>
                <w:rFonts w:ascii="宋体" w:hAnsi="宋体" w:cs="宋体" w:eastAsia="宋体" w:hint="default"/>
                <w:sz w:val="18"/>
                <w:szCs w:val="18"/>
              </w:rPr>
            </w:pPr>
            <w:r>
              <w:rPr>
                <w:rFonts w:ascii="宋体"/>
                <w:sz w:val="18"/>
              </w:rPr>
              <w:t>16.86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80" w:right="0"/>
              <w:jc w:val="left"/>
              <w:rPr>
                <w:rFonts w:ascii="宋体" w:hAnsi="宋体" w:cs="宋体" w:eastAsia="宋体" w:hint="default"/>
                <w:sz w:val="18"/>
                <w:szCs w:val="18"/>
              </w:rPr>
            </w:pPr>
            <w:r>
              <w:rPr>
                <w:rFonts w:ascii="宋体"/>
                <w:sz w:val="18"/>
              </w:rPr>
              <w:t>143</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21.73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116</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390"/>
              <w:jc w:val="right"/>
              <w:rPr>
                <w:rFonts w:ascii="宋体" w:hAnsi="宋体" w:cs="宋体" w:eastAsia="宋体" w:hint="default"/>
                <w:sz w:val="18"/>
                <w:szCs w:val="18"/>
              </w:rPr>
            </w:pPr>
            <w:r>
              <w:rPr>
                <w:rFonts w:ascii="宋体"/>
                <w:sz w:val="18"/>
              </w:rPr>
              <w:t>20.53</w:t>
            </w:r>
          </w:p>
        </w:tc>
      </w:tr>
      <w:tr>
        <w:trPr>
          <w:trHeight w:val="430"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6" w:right="0"/>
              <w:jc w:val="center"/>
              <w:rPr>
                <w:rFonts w:ascii="宋体" w:hAnsi="宋体" w:cs="宋体" w:eastAsia="宋体" w:hint="default"/>
                <w:sz w:val="18"/>
                <w:szCs w:val="18"/>
              </w:rPr>
            </w:pPr>
            <w:r>
              <w:rPr>
                <w:rFonts w:ascii="宋体" w:hAnsi="宋体" w:cs="宋体" w:eastAsia="宋体" w:hint="default"/>
                <w:sz w:val="18"/>
                <w:szCs w:val="18"/>
              </w:rPr>
              <w:t>高中、中专、技校学历人员</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8" w:right="0"/>
              <w:jc w:val="left"/>
              <w:rPr>
                <w:rFonts w:ascii="宋体" w:hAnsi="宋体" w:cs="宋体" w:eastAsia="宋体" w:hint="default"/>
                <w:sz w:val="18"/>
                <w:szCs w:val="18"/>
              </w:rPr>
            </w:pPr>
            <w:r>
              <w:rPr>
                <w:rFonts w:ascii="宋体"/>
                <w:sz w:val="18"/>
              </w:rPr>
              <w:t>328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38"/>
              <w:jc w:val="right"/>
              <w:rPr>
                <w:rFonts w:ascii="宋体" w:hAnsi="宋体" w:cs="宋体" w:eastAsia="宋体" w:hint="default"/>
                <w:sz w:val="18"/>
                <w:szCs w:val="18"/>
              </w:rPr>
            </w:pPr>
            <w:r>
              <w:rPr>
                <w:rFonts w:ascii="宋体"/>
                <w:sz w:val="18"/>
              </w:rPr>
              <w:t>38.14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80" w:right="0"/>
              <w:jc w:val="left"/>
              <w:rPr>
                <w:rFonts w:ascii="宋体" w:hAnsi="宋体" w:cs="宋体" w:eastAsia="宋体" w:hint="default"/>
                <w:sz w:val="18"/>
                <w:szCs w:val="18"/>
              </w:rPr>
            </w:pPr>
            <w:r>
              <w:rPr>
                <w:rFonts w:ascii="宋体"/>
                <w:sz w:val="18"/>
              </w:rPr>
              <w:t>231</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35.11</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232</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390"/>
              <w:jc w:val="right"/>
              <w:rPr>
                <w:rFonts w:ascii="宋体" w:hAnsi="宋体" w:cs="宋体" w:eastAsia="宋体" w:hint="default"/>
                <w:sz w:val="18"/>
                <w:szCs w:val="18"/>
              </w:rPr>
            </w:pPr>
            <w:r>
              <w:rPr>
                <w:rFonts w:ascii="宋体"/>
                <w:sz w:val="18"/>
              </w:rPr>
              <w:t>41.06</w:t>
            </w:r>
          </w:p>
        </w:tc>
      </w:tr>
      <w:tr>
        <w:trPr>
          <w:trHeight w:val="430"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9" w:right="0"/>
              <w:jc w:val="center"/>
              <w:rPr>
                <w:rFonts w:ascii="宋体" w:hAnsi="宋体" w:cs="宋体" w:eastAsia="宋体" w:hint="default"/>
                <w:sz w:val="18"/>
                <w:szCs w:val="18"/>
              </w:rPr>
            </w:pPr>
            <w:r>
              <w:rPr>
                <w:rFonts w:ascii="宋体" w:hAnsi="宋体" w:cs="宋体" w:eastAsia="宋体" w:hint="default"/>
                <w:sz w:val="18"/>
                <w:szCs w:val="18"/>
              </w:rPr>
              <w:t>初中及以下学历人员</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8" w:right="0"/>
              <w:jc w:val="left"/>
              <w:rPr>
                <w:rFonts w:ascii="宋体" w:hAnsi="宋体" w:cs="宋体" w:eastAsia="宋体" w:hint="default"/>
                <w:sz w:val="18"/>
                <w:szCs w:val="18"/>
              </w:rPr>
            </w:pPr>
            <w:r>
              <w:rPr>
                <w:rFonts w:ascii="宋体"/>
                <w:sz w:val="18"/>
              </w:rPr>
              <w:t>266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38"/>
              <w:jc w:val="right"/>
              <w:rPr>
                <w:rFonts w:ascii="宋体" w:hAnsi="宋体" w:cs="宋体" w:eastAsia="宋体" w:hint="default"/>
                <w:sz w:val="18"/>
                <w:szCs w:val="18"/>
              </w:rPr>
            </w:pPr>
            <w:r>
              <w:rPr>
                <w:rFonts w:ascii="宋体"/>
                <w:sz w:val="18"/>
              </w:rPr>
              <w:t>30.93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80" w:right="0"/>
              <w:jc w:val="left"/>
              <w:rPr>
                <w:rFonts w:ascii="宋体" w:hAnsi="宋体" w:cs="宋体" w:eastAsia="宋体" w:hint="default"/>
                <w:sz w:val="18"/>
                <w:szCs w:val="18"/>
              </w:rPr>
            </w:pPr>
            <w:r>
              <w:rPr>
                <w:rFonts w:ascii="宋体"/>
                <w:sz w:val="18"/>
              </w:rPr>
              <w:t>170</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25.83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156</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390"/>
              <w:jc w:val="right"/>
              <w:rPr>
                <w:rFonts w:ascii="宋体" w:hAnsi="宋体" w:cs="宋体" w:eastAsia="宋体" w:hint="default"/>
                <w:sz w:val="18"/>
                <w:szCs w:val="18"/>
              </w:rPr>
            </w:pPr>
            <w:r>
              <w:rPr>
                <w:rFonts w:ascii="宋体"/>
                <w:sz w:val="18"/>
              </w:rPr>
              <w:t>27.61</w:t>
            </w:r>
          </w:p>
        </w:tc>
      </w:tr>
      <w:tr>
        <w:trPr>
          <w:trHeight w:val="442" w:hRule="exact"/>
        </w:trPr>
        <w:tc>
          <w:tcPr>
            <w:tcW w:w="29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3"/>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left="468" w:right="0"/>
              <w:jc w:val="left"/>
              <w:rPr>
                <w:rFonts w:ascii="宋体" w:hAnsi="宋体" w:cs="宋体" w:eastAsia="宋体" w:hint="default"/>
                <w:sz w:val="18"/>
                <w:szCs w:val="18"/>
              </w:rPr>
            </w:pPr>
            <w:r>
              <w:rPr>
                <w:rFonts w:ascii="宋体"/>
                <w:sz w:val="18"/>
              </w:rPr>
              <w:t>860</w:t>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9"/>
              <w:ind w:right="395"/>
              <w:jc w:val="right"/>
              <w:rPr>
                <w:rFonts w:ascii="宋体" w:hAnsi="宋体" w:cs="宋体" w:eastAsia="宋体" w:hint="default"/>
                <w:sz w:val="18"/>
                <w:szCs w:val="18"/>
              </w:rPr>
            </w:pPr>
            <w:r>
              <w:rPr>
                <w:rFonts w:ascii="宋体"/>
                <w:spacing w:val="-1"/>
                <w:sz w:val="18"/>
              </w:rPr>
              <w:t>100.00</w:t>
            </w:r>
          </w:p>
        </w:tc>
        <w:tc>
          <w:tcPr>
            <w:tcW w:w="12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left="480" w:right="0"/>
              <w:jc w:val="left"/>
              <w:rPr>
                <w:rFonts w:ascii="宋体" w:hAnsi="宋体" w:cs="宋体" w:eastAsia="宋体" w:hint="default"/>
                <w:sz w:val="18"/>
                <w:szCs w:val="18"/>
              </w:rPr>
            </w:pPr>
            <w:r>
              <w:rPr>
                <w:rFonts w:ascii="宋体"/>
                <w:sz w:val="18"/>
              </w:rPr>
              <w:t>658</w:t>
            </w:r>
          </w:p>
        </w:tc>
        <w:tc>
          <w:tcPr>
            <w:tcW w:w="14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100.00</w:t>
            </w:r>
          </w:p>
        </w:tc>
        <w:tc>
          <w:tcPr>
            <w:tcW w:w="12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565</w:t>
            </w:r>
          </w:p>
        </w:tc>
        <w:tc>
          <w:tcPr>
            <w:tcW w:w="12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
              <w:ind w:right="345"/>
              <w:jc w:val="right"/>
              <w:rPr>
                <w:rFonts w:ascii="宋体" w:hAnsi="宋体" w:cs="宋体" w:eastAsia="宋体" w:hint="default"/>
                <w:sz w:val="18"/>
                <w:szCs w:val="18"/>
              </w:rPr>
            </w:pPr>
            <w:r>
              <w:rPr>
                <w:rFonts w:ascii="宋体"/>
                <w:spacing w:val="-1"/>
                <w:sz w:val="18"/>
              </w:rPr>
              <w:t>100.00</w:t>
            </w:r>
          </w:p>
        </w:tc>
      </w:tr>
    </w:tbl>
    <w:p>
      <w:pPr>
        <w:pStyle w:val="Heading2"/>
        <w:spacing w:line="274" w:lineRule="exact"/>
        <w:ind w:left="240" w:right="606"/>
        <w:jc w:val="left"/>
        <w:rPr>
          <w:b w:val="0"/>
          <w:bCs w:val="0"/>
        </w:rPr>
      </w:pPr>
      <w:r>
        <w:rPr/>
        <w:t>（三）按年龄结构划分</w:t>
      </w:r>
      <w:r>
        <w:rPr>
          <w:b w:val="0"/>
          <w:bCs w:val="0"/>
        </w:rPr>
      </w:r>
    </w:p>
    <w:p>
      <w:pPr>
        <w:spacing w:line="240" w:lineRule="auto" w:before="11"/>
        <w:rPr>
          <w:rFonts w:ascii="宋体" w:hAnsi="宋体" w:cs="宋体" w:eastAsia="宋体" w:hint="default"/>
          <w:b/>
          <w:bCs/>
          <w:sz w:val="14"/>
          <w:szCs w:val="14"/>
        </w:rPr>
      </w:pPr>
    </w:p>
    <w:tbl>
      <w:tblPr>
        <w:tblW w:w="0" w:type="auto"/>
        <w:jc w:val="left"/>
        <w:tblInd w:w="103" w:type="dxa"/>
        <w:tblLayout w:type="fixed"/>
        <w:tblCellMar>
          <w:top w:w="0" w:type="dxa"/>
          <w:left w:w="0" w:type="dxa"/>
          <w:bottom w:w="0" w:type="dxa"/>
          <w:right w:w="0" w:type="dxa"/>
        </w:tblCellMar>
        <w:tblLook w:val="01E0"/>
      </w:tblPr>
      <w:tblGrid>
        <w:gridCol w:w="2979"/>
        <w:gridCol w:w="1215"/>
        <w:gridCol w:w="1344"/>
        <w:gridCol w:w="1244"/>
        <w:gridCol w:w="1443"/>
        <w:gridCol w:w="1239"/>
        <w:gridCol w:w="1236"/>
      </w:tblGrid>
      <w:tr>
        <w:trPr>
          <w:trHeight w:val="439" w:hRule="exact"/>
        </w:trPr>
        <w:tc>
          <w:tcPr>
            <w:tcW w:w="2979" w:type="dxa"/>
            <w:vMerge w:val="restart"/>
            <w:tcBorders>
              <w:top w:val="single" w:sz="12" w:space="0" w:color="000000"/>
              <w:left w:val="nil" w:sz="6" w:space="0" w:color="auto"/>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b/>
                <w:bCs/>
                <w:sz w:val="18"/>
                <w:szCs w:val="18"/>
              </w:rPr>
              <w:t>年龄结构</w:t>
            </w:r>
            <w:r>
              <w:rPr>
                <w:rFonts w:ascii="宋体" w:hAnsi="宋体" w:cs="宋体" w:eastAsia="宋体" w:hint="default"/>
                <w:sz w:val="18"/>
                <w:szCs w:val="18"/>
              </w:rPr>
            </w:r>
          </w:p>
        </w:tc>
        <w:tc>
          <w:tcPr>
            <w:tcW w:w="2559"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left="3" w:right="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686"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475" w:type="dxa"/>
            <w:gridSpan w:val="2"/>
            <w:tcBorders>
              <w:top w:val="single" w:sz="12" w:space="0" w:color="000000"/>
              <w:left w:val="single" w:sz="4" w:space="0" w:color="000000"/>
              <w:bottom w:val="single" w:sz="4" w:space="0" w:color="000000"/>
              <w:right w:val="nil" w:sz="6" w:space="0" w:color="auto"/>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46"/>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30" w:hRule="exact"/>
        </w:trPr>
        <w:tc>
          <w:tcPr>
            <w:tcW w:w="2979" w:type="dxa"/>
            <w:vMerge/>
            <w:tcBorders>
              <w:left w:val="nil" w:sz="6" w:space="0" w:color="auto"/>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23"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482"/>
              <w:jc w:val="right"/>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sz w:val="18"/>
                <w:szCs w:val="18"/>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2"/>
              <w:jc w:val="center"/>
              <w:rPr>
                <w:rFonts w:ascii="宋体" w:hAnsi="宋体" w:cs="宋体" w:eastAsia="宋体" w:hint="default"/>
                <w:sz w:val="18"/>
                <w:szCs w:val="18"/>
              </w:rPr>
            </w:pPr>
            <w:r>
              <w:rPr>
                <w:rFonts w:ascii="宋体" w:hAnsi="宋体" w:cs="宋体" w:eastAsia="宋体" w:hint="default"/>
                <w:b/>
                <w:bCs/>
                <w:sz w:val="18"/>
                <w:szCs w:val="18"/>
              </w:rPr>
              <w:t>占比（</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30"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21" w:right="0"/>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岁以上（含</w:t>
            </w:r>
            <w:r>
              <w:rPr>
                <w:rFonts w:ascii="宋体" w:hAnsi="宋体" w:cs="宋体" w:eastAsia="宋体" w:hint="default"/>
                <w:spacing w:val="-48"/>
                <w:sz w:val="18"/>
                <w:szCs w:val="18"/>
              </w:rPr>
              <w:t> </w:t>
            </w: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岁）</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8" w:right="0"/>
              <w:jc w:val="left"/>
              <w:rPr>
                <w:rFonts w:ascii="宋体" w:hAnsi="宋体" w:cs="宋体" w:eastAsia="宋体" w:hint="default"/>
                <w:sz w:val="18"/>
                <w:szCs w:val="18"/>
              </w:rPr>
            </w:pPr>
            <w:r>
              <w:rPr>
                <w:rFonts w:ascii="宋体"/>
                <w:sz w:val="18"/>
              </w:rPr>
              <w:t>122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38"/>
              <w:jc w:val="right"/>
              <w:rPr>
                <w:rFonts w:ascii="宋体" w:hAnsi="宋体" w:cs="宋体" w:eastAsia="宋体" w:hint="default"/>
                <w:sz w:val="18"/>
                <w:szCs w:val="18"/>
              </w:rPr>
            </w:pPr>
            <w:r>
              <w:rPr>
                <w:rFonts w:ascii="宋体"/>
                <w:sz w:val="18"/>
              </w:rPr>
              <w:t>14.19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宋体" w:hAnsi="宋体" w:cs="宋体" w:eastAsia="宋体" w:hint="default"/>
                <w:sz w:val="18"/>
                <w:szCs w:val="18"/>
              </w:rPr>
            </w:pPr>
            <w:r>
              <w:rPr>
                <w:rFonts w:ascii="宋体"/>
                <w:sz w:val="18"/>
              </w:rPr>
              <w:t>17.93</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sz w:val="18"/>
              </w:rPr>
              <w:t>118</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17.93</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4"/>
              <w:jc w:val="center"/>
              <w:rPr>
                <w:rFonts w:ascii="宋体" w:hAnsi="宋体" w:cs="宋体" w:eastAsia="宋体" w:hint="default"/>
                <w:sz w:val="18"/>
                <w:szCs w:val="18"/>
              </w:rPr>
            </w:pPr>
            <w:r>
              <w:rPr>
                <w:rFonts w:ascii="宋体"/>
                <w:sz w:val="18"/>
              </w:rPr>
              <w:t>13.26</w:t>
            </w:r>
          </w:p>
        </w:tc>
      </w:tr>
      <w:tr>
        <w:trPr>
          <w:trHeight w:val="432"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
              <w:ind w:left="19" w:right="0"/>
              <w:jc w:val="center"/>
              <w:rPr>
                <w:rFonts w:ascii="宋体" w:hAnsi="宋体" w:cs="宋体" w:eastAsia="宋体" w:hint="default"/>
                <w:sz w:val="18"/>
                <w:szCs w:val="18"/>
              </w:rPr>
            </w:pPr>
            <w:r>
              <w:rPr>
                <w:rFonts w:ascii="宋体" w:hAnsi="宋体" w:cs="宋体" w:eastAsia="宋体" w:hint="default"/>
                <w:sz w:val="18"/>
                <w:szCs w:val="18"/>
              </w:rPr>
              <w:t>36</w:t>
            </w:r>
            <w:r>
              <w:rPr>
                <w:rFonts w:ascii="宋体" w:hAnsi="宋体" w:cs="宋体" w:eastAsia="宋体" w:hint="default"/>
                <w:spacing w:val="-45"/>
                <w:sz w:val="18"/>
                <w:szCs w:val="18"/>
              </w:rPr>
              <w:t>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宋体" w:hAnsi="宋体" w:cs="宋体" w:eastAsia="宋体" w:hint="default"/>
                <w:sz w:val="18"/>
                <w:szCs w:val="18"/>
              </w:rPr>
              <w:t>45</w:t>
            </w:r>
            <w:r>
              <w:rPr>
                <w:rFonts w:ascii="宋体" w:hAnsi="宋体" w:cs="宋体" w:eastAsia="宋体" w:hint="default"/>
                <w:spacing w:val="-45"/>
                <w:sz w:val="18"/>
                <w:szCs w:val="18"/>
              </w:rPr>
              <w:t> </w:t>
            </w:r>
            <w:r>
              <w:rPr>
                <w:rFonts w:ascii="宋体" w:hAnsi="宋体" w:cs="宋体" w:eastAsia="宋体" w:hint="default"/>
                <w:sz w:val="18"/>
                <w:szCs w:val="18"/>
              </w:rPr>
              <w:t>岁</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68" w:right="0"/>
              <w:jc w:val="left"/>
              <w:rPr>
                <w:rFonts w:ascii="宋体" w:hAnsi="宋体" w:cs="宋体" w:eastAsia="宋体" w:hint="default"/>
                <w:sz w:val="18"/>
                <w:szCs w:val="18"/>
              </w:rPr>
            </w:pPr>
            <w:r>
              <w:rPr>
                <w:rFonts w:ascii="宋体"/>
                <w:sz w:val="18"/>
              </w:rPr>
              <w:t>298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38"/>
              <w:jc w:val="right"/>
              <w:rPr>
                <w:rFonts w:ascii="宋体" w:hAnsi="宋体" w:cs="宋体" w:eastAsia="宋体" w:hint="default"/>
                <w:sz w:val="18"/>
                <w:szCs w:val="18"/>
              </w:rPr>
            </w:pPr>
            <w:r>
              <w:rPr>
                <w:rFonts w:ascii="宋体"/>
                <w:sz w:val="18"/>
              </w:rPr>
              <w:t>34.65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 w:right="0"/>
              <w:jc w:val="center"/>
              <w:rPr>
                <w:rFonts w:ascii="宋体" w:hAnsi="宋体" w:cs="宋体" w:eastAsia="宋体" w:hint="default"/>
                <w:sz w:val="18"/>
                <w:szCs w:val="18"/>
              </w:rPr>
            </w:pPr>
            <w:r>
              <w:rPr>
                <w:rFonts w:ascii="宋体"/>
                <w:sz w:val="18"/>
              </w:rPr>
              <w:t>33.89</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 w:right="0"/>
              <w:jc w:val="center"/>
              <w:rPr>
                <w:rFonts w:ascii="宋体" w:hAnsi="宋体" w:cs="宋体" w:eastAsia="宋体" w:hint="default"/>
                <w:sz w:val="18"/>
                <w:szCs w:val="18"/>
              </w:rPr>
            </w:pPr>
            <w:r>
              <w:rPr>
                <w:rFonts w:ascii="宋体"/>
                <w:sz w:val="18"/>
              </w:rPr>
              <w:t>223</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33.89</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4"/>
              <w:jc w:val="center"/>
              <w:rPr>
                <w:rFonts w:ascii="宋体" w:hAnsi="宋体" w:cs="宋体" w:eastAsia="宋体" w:hint="default"/>
                <w:sz w:val="18"/>
                <w:szCs w:val="18"/>
              </w:rPr>
            </w:pPr>
            <w:r>
              <w:rPr>
                <w:rFonts w:ascii="宋体"/>
                <w:sz w:val="18"/>
              </w:rPr>
              <w:t>44.44</w:t>
            </w:r>
          </w:p>
        </w:tc>
      </w:tr>
      <w:tr>
        <w:trPr>
          <w:trHeight w:val="430" w:hRule="exact"/>
        </w:trPr>
        <w:tc>
          <w:tcPr>
            <w:tcW w:w="29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9" w:right="0"/>
              <w:jc w:val="center"/>
              <w:rPr>
                <w:rFonts w:ascii="宋体" w:hAnsi="宋体" w:cs="宋体" w:eastAsia="宋体" w:hint="default"/>
                <w:sz w:val="18"/>
                <w:szCs w:val="18"/>
              </w:rPr>
            </w:pPr>
            <w:r>
              <w:rPr>
                <w:rFonts w:ascii="宋体" w:hAnsi="宋体" w:cs="宋体" w:eastAsia="宋体" w:hint="default"/>
                <w:sz w:val="18"/>
                <w:szCs w:val="18"/>
              </w:rPr>
              <w:t>35</w:t>
            </w:r>
            <w:r>
              <w:rPr>
                <w:rFonts w:ascii="宋体" w:hAnsi="宋体" w:cs="宋体" w:eastAsia="宋体" w:hint="default"/>
                <w:spacing w:val="-44"/>
                <w:sz w:val="18"/>
                <w:szCs w:val="18"/>
              </w:rPr>
              <w:t> </w:t>
            </w:r>
            <w:r>
              <w:rPr>
                <w:rFonts w:ascii="宋体" w:hAnsi="宋体" w:cs="宋体" w:eastAsia="宋体" w:hint="default"/>
                <w:sz w:val="18"/>
                <w:szCs w:val="18"/>
              </w:rPr>
              <w:t>岁以下（不含</w:t>
            </w:r>
            <w:r>
              <w:rPr>
                <w:rFonts w:ascii="宋体" w:hAnsi="宋体" w:cs="宋体" w:eastAsia="宋体" w:hint="default"/>
                <w:spacing w:val="-48"/>
                <w:sz w:val="18"/>
                <w:szCs w:val="18"/>
              </w:rPr>
              <w:t> </w:t>
            </w:r>
            <w:r>
              <w:rPr>
                <w:rFonts w:ascii="宋体" w:hAnsi="宋体" w:cs="宋体" w:eastAsia="宋体" w:hint="default"/>
                <w:sz w:val="18"/>
                <w:szCs w:val="18"/>
              </w:rPr>
              <w:t>35</w:t>
            </w:r>
            <w:r>
              <w:rPr>
                <w:rFonts w:ascii="宋体" w:hAnsi="宋体" w:cs="宋体" w:eastAsia="宋体" w:hint="default"/>
                <w:spacing w:val="-45"/>
                <w:sz w:val="18"/>
                <w:szCs w:val="18"/>
              </w:rPr>
              <w:t> </w:t>
            </w:r>
            <w:r>
              <w:rPr>
                <w:rFonts w:ascii="宋体" w:hAnsi="宋体" w:cs="宋体" w:eastAsia="宋体" w:hint="default"/>
                <w:sz w:val="18"/>
                <w:szCs w:val="18"/>
              </w:rPr>
              <w:t>岁）</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8" w:right="0"/>
              <w:jc w:val="left"/>
              <w:rPr>
                <w:rFonts w:ascii="宋体" w:hAnsi="宋体" w:cs="宋体" w:eastAsia="宋体" w:hint="default"/>
                <w:sz w:val="18"/>
                <w:szCs w:val="18"/>
              </w:rPr>
            </w:pPr>
            <w:r>
              <w:rPr>
                <w:rFonts w:ascii="宋体"/>
                <w:sz w:val="18"/>
              </w:rPr>
              <w:t>440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38"/>
              <w:jc w:val="right"/>
              <w:rPr>
                <w:rFonts w:ascii="宋体" w:hAnsi="宋体" w:cs="宋体" w:eastAsia="宋体" w:hint="default"/>
                <w:sz w:val="18"/>
                <w:szCs w:val="18"/>
              </w:rPr>
            </w:pPr>
            <w:r>
              <w:rPr>
                <w:rFonts w:ascii="宋体"/>
                <w:sz w:val="18"/>
              </w:rPr>
              <w:t>51.16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18"/>
                <w:szCs w:val="18"/>
              </w:rPr>
            </w:pPr>
            <w:r>
              <w:rPr>
                <w:rFonts w:ascii="宋体"/>
                <w:sz w:val="18"/>
              </w:rPr>
              <w:t>48.18</w:t>
            </w:r>
          </w:p>
        </w:tc>
        <w:tc>
          <w:tcPr>
            <w:tcW w:w="14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sz w:val="18"/>
              </w:rPr>
              <w:t>317</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sz w:val="18"/>
              </w:rPr>
              <w:t>48.18</w:t>
            </w:r>
          </w:p>
        </w:tc>
        <w:tc>
          <w:tcPr>
            <w:tcW w:w="12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4"/>
              <w:jc w:val="center"/>
              <w:rPr>
                <w:rFonts w:ascii="宋体" w:hAnsi="宋体" w:cs="宋体" w:eastAsia="宋体" w:hint="default"/>
                <w:sz w:val="18"/>
                <w:szCs w:val="18"/>
              </w:rPr>
            </w:pPr>
            <w:r>
              <w:rPr>
                <w:rFonts w:ascii="宋体"/>
                <w:sz w:val="18"/>
              </w:rPr>
              <w:t>42.30</w:t>
            </w:r>
          </w:p>
        </w:tc>
      </w:tr>
      <w:tr>
        <w:trPr>
          <w:trHeight w:val="439" w:hRule="exact"/>
        </w:trPr>
        <w:tc>
          <w:tcPr>
            <w:tcW w:w="29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left="468" w:right="0"/>
              <w:jc w:val="left"/>
              <w:rPr>
                <w:rFonts w:ascii="宋体" w:hAnsi="宋体" w:cs="宋体" w:eastAsia="宋体" w:hint="default"/>
                <w:sz w:val="18"/>
                <w:szCs w:val="18"/>
              </w:rPr>
            </w:pPr>
            <w:r>
              <w:rPr>
                <w:rFonts w:ascii="宋体"/>
                <w:sz w:val="18"/>
              </w:rPr>
              <w:t>860</w:t>
            </w:r>
          </w:p>
        </w:tc>
        <w:tc>
          <w:tcPr>
            <w:tcW w:w="13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395"/>
              <w:jc w:val="right"/>
              <w:rPr>
                <w:rFonts w:ascii="宋体" w:hAnsi="宋体" w:cs="宋体" w:eastAsia="宋体" w:hint="default"/>
                <w:sz w:val="18"/>
                <w:szCs w:val="18"/>
              </w:rPr>
            </w:pPr>
            <w:r>
              <w:rPr>
                <w:rFonts w:ascii="宋体"/>
                <w:spacing w:val="-1"/>
                <w:sz w:val="18"/>
              </w:rPr>
              <w:t>100.00</w:t>
            </w:r>
          </w:p>
        </w:tc>
        <w:tc>
          <w:tcPr>
            <w:tcW w:w="12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sz w:val="18"/>
              </w:rPr>
              <w:t>100.00</w:t>
            </w:r>
          </w:p>
        </w:tc>
        <w:tc>
          <w:tcPr>
            <w:tcW w:w="144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sz w:val="18"/>
              </w:rPr>
              <w:t>658</w:t>
            </w:r>
          </w:p>
        </w:tc>
        <w:tc>
          <w:tcPr>
            <w:tcW w:w="12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sz w:val="18"/>
              </w:rPr>
              <w:t>100.00</w:t>
            </w:r>
          </w:p>
        </w:tc>
        <w:tc>
          <w:tcPr>
            <w:tcW w:w="123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
              <w:ind w:right="2"/>
              <w:jc w:val="center"/>
              <w:rPr>
                <w:rFonts w:ascii="宋体" w:hAnsi="宋体" w:cs="宋体" w:eastAsia="宋体" w:hint="default"/>
                <w:sz w:val="18"/>
                <w:szCs w:val="18"/>
              </w:rPr>
            </w:pPr>
            <w:r>
              <w:rPr>
                <w:rFonts w:ascii="宋体"/>
                <w:sz w:val="18"/>
              </w:rPr>
              <w:t>100.00</w:t>
            </w:r>
          </w:p>
        </w:tc>
      </w:tr>
    </w:tbl>
    <w:p>
      <w:pPr>
        <w:pStyle w:val="Heading2"/>
        <w:spacing w:line="274" w:lineRule="exact"/>
        <w:ind w:left="240" w:right="606"/>
        <w:jc w:val="left"/>
        <w:rPr>
          <w:b w:val="0"/>
          <w:bCs w:val="0"/>
        </w:rPr>
      </w:pPr>
      <w:r>
        <w:rPr/>
        <w:t>（四）本公司没有需承担费用的离退休员工</w:t>
      </w:r>
      <w:r>
        <w:rPr>
          <w:b w:val="0"/>
          <w:bCs w:val="0"/>
        </w:rPr>
      </w:r>
    </w:p>
    <w:p>
      <w:pPr>
        <w:pStyle w:val="Heading3"/>
        <w:spacing w:line="357" w:lineRule="auto"/>
        <w:ind w:left="240" w:right="719" w:firstLine="480"/>
        <w:jc w:val="both"/>
      </w:pPr>
      <w:r>
        <w:rPr>
          <w:spacing w:val="-3"/>
        </w:rPr>
        <w:t>本公司实行劳动合同制，员工按照《劳动法》的有关规定与公司签订《劳动合同》，享受权利并</w:t>
      </w:r>
      <w:r>
        <w:rPr/>
        <w:t> </w:t>
      </w:r>
      <w:r>
        <w:rPr>
          <w:spacing w:val="-3"/>
        </w:rPr>
        <w:t>承担义务。本公司按照国家法律法规及吉林省、吉林省通化市的有关规定，为员工办理了基本养老保</w:t>
      </w:r>
      <w:r>
        <w:rPr>
          <w:spacing w:val="-84"/>
        </w:rPr>
        <w:t> </w:t>
      </w:r>
      <w:r>
        <w:rPr>
          <w:spacing w:val="-84"/>
        </w:rPr>
      </w:r>
      <w:r>
        <w:rPr/>
        <w:t>险、医疗保险、失业保险以及工伤和生育保险。</w:t>
      </w:r>
    </w:p>
    <w:p>
      <w:pPr>
        <w:spacing w:after="0" w:line="357" w:lineRule="auto"/>
        <w:jc w:val="both"/>
        <w:sectPr>
          <w:pgSz w:w="11910" w:h="16840"/>
          <w:pgMar w:header="720" w:footer="956" w:top="1300" w:bottom="1140" w:left="480" w:right="0"/>
        </w:sectPr>
      </w:pPr>
    </w:p>
    <w:p>
      <w:pPr>
        <w:spacing w:line="240" w:lineRule="auto" w:before="13"/>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5053" w:val="left" w:leader="none"/>
        </w:tabs>
        <w:spacing w:line="240" w:lineRule="auto" w:before="165"/>
        <w:ind w:left="3767" w:right="0"/>
        <w:jc w:val="left"/>
        <w:rPr>
          <w:b w:val="0"/>
          <w:bCs w:val="0"/>
        </w:rPr>
      </w:pPr>
      <w:bookmarkStart w:name="_TOC_250006" w:id="5"/>
      <w:r>
        <w:rPr>
          <w:w w:val="95"/>
        </w:rPr>
        <w:t>第五节</w:t>
        <w:tab/>
      </w:r>
      <w:r>
        <w:rPr/>
        <w:t>公司治理结构</w:t>
      </w:r>
      <w:bookmarkEnd w:id="5"/>
      <w:r>
        <w:rPr>
          <w:b w:val="0"/>
          <w:bCs w:val="0"/>
        </w:rPr>
      </w:r>
    </w:p>
    <w:p>
      <w:pPr>
        <w:spacing w:line="240" w:lineRule="auto" w:before="9"/>
        <w:rPr>
          <w:rFonts w:ascii="黑体" w:hAnsi="黑体" w:cs="黑体" w:eastAsia="黑体" w:hint="default"/>
          <w:b/>
          <w:bCs/>
          <w:sz w:val="41"/>
          <w:szCs w:val="41"/>
        </w:rPr>
      </w:pPr>
    </w:p>
    <w:p>
      <w:pPr>
        <w:pStyle w:val="Heading3"/>
        <w:spacing w:line="357" w:lineRule="auto" w:before="0"/>
        <w:ind w:left="620" w:right="0" w:hanging="60"/>
        <w:jc w:val="left"/>
      </w:pPr>
      <w:r>
        <w:rPr>
          <w:rFonts w:ascii="宋体" w:hAnsi="宋体" w:cs="宋体" w:eastAsia="宋体" w:hint="default"/>
          <w:b/>
          <w:bCs/>
        </w:rPr>
        <w:t>一、公司治理情况</w:t>
      </w:r>
      <w:r>
        <w:rPr>
          <w:rFonts w:ascii="宋体" w:hAnsi="宋体" w:cs="宋体" w:eastAsia="宋体" w:hint="default"/>
          <w:b/>
          <w:bCs/>
          <w:w w:val="99"/>
        </w:rPr>
        <w:t> </w:t>
      </w:r>
      <w:r>
        <w:rPr>
          <w:spacing w:val="-19"/>
        </w:rPr>
        <w:t>公司严格按照《公司法》、《证券法》、《上市公司治理准则》、《深圳证券交易所股票上市规则》和</w:t>
      </w:r>
    </w:p>
    <w:p>
      <w:pPr>
        <w:pStyle w:val="Heading3"/>
        <w:spacing w:line="357" w:lineRule="auto" w:before="34"/>
        <w:ind w:right="716"/>
        <w:jc w:val="both"/>
      </w:pPr>
      <w:r>
        <w:rPr>
          <w:spacing w:val="-8"/>
        </w:rPr>
        <w:t>中国证监会及深圳证券交易所颁布的其他相关法律法规的要求，制定《公司章程》、《股东大会议事规</w:t>
      </w:r>
      <w:r>
        <w:rPr>
          <w:spacing w:val="-94"/>
        </w:rPr>
        <w:t> </w:t>
      </w:r>
      <w:r>
        <w:rPr>
          <w:spacing w:val="-94"/>
        </w:rPr>
      </w:r>
      <w:r>
        <w:rPr>
          <w:spacing w:val="-13"/>
        </w:rPr>
        <w:t>则》、《董事会议事规则》、《监事会议事规则》及其他内部控制规章制度，不断完善公司内部法人治理</w:t>
      </w:r>
      <w:r>
        <w:rPr>
          <w:spacing w:val="-97"/>
        </w:rPr>
        <w:t> </w:t>
      </w:r>
      <w:r>
        <w:rPr>
          <w:spacing w:val="-97"/>
        </w:rPr>
      </w:r>
      <w:r>
        <w:rPr/>
        <w:t>结构，健全内部管理制度，规范公司行为。</w:t>
      </w:r>
    </w:p>
    <w:p>
      <w:pPr>
        <w:spacing w:line="357" w:lineRule="auto" w:before="34"/>
        <w:ind w:left="620" w:right="5406" w:firstLine="2"/>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w:t>
      </w:r>
      <w:r>
        <w:rPr>
          <w:rFonts w:ascii="宋体" w:hAnsi="宋体" w:cs="宋体" w:eastAsia="宋体" w:hint="default"/>
          <w:b/>
          <w:bCs/>
          <w:sz w:val="24"/>
          <w:szCs w:val="24"/>
        </w:rPr>
        <w:t>关于股东、股东大会</w:t>
      </w:r>
      <w:r>
        <w:rPr>
          <w:rFonts w:ascii="宋体" w:hAnsi="宋体" w:cs="宋体" w:eastAsia="宋体" w:hint="default"/>
          <w:b/>
          <w:bCs/>
          <w:w w:val="99"/>
          <w:sz w:val="24"/>
          <w:szCs w:val="24"/>
        </w:rPr>
        <w:t> </w:t>
      </w:r>
      <w:r>
        <w:rPr>
          <w:rFonts w:ascii="宋体" w:hAnsi="宋体" w:cs="宋体" w:eastAsia="宋体" w:hint="default"/>
          <w:sz w:val="24"/>
          <w:szCs w:val="24"/>
        </w:rPr>
        <w:t>股东大会是公司的权力机构，依法行使下列职权：</w:t>
      </w:r>
    </w:p>
    <w:p>
      <w:pPr>
        <w:pStyle w:val="Heading3"/>
        <w:spacing w:line="240" w:lineRule="auto" w:before="34"/>
        <w:ind w:left="620" w:right="0"/>
        <w:jc w:val="left"/>
      </w:pPr>
      <w:r>
        <w:rPr/>
        <w:t>（</w:t>
      </w:r>
      <w:r>
        <w:rPr>
          <w:rFonts w:ascii="宋体" w:hAnsi="宋体" w:cs="宋体" w:eastAsia="宋体" w:hint="default"/>
        </w:rPr>
        <w:t>1</w:t>
      </w:r>
      <w:r>
        <w:rPr/>
        <w:t>）决定公司经营方针和投资计划；</w:t>
      </w:r>
    </w:p>
    <w:p>
      <w:pPr>
        <w:pStyle w:val="Heading3"/>
        <w:spacing w:line="240" w:lineRule="auto"/>
        <w:ind w:left="620" w:right="0"/>
        <w:jc w:val="left"/>
      </w:pPr>
      <w:r>
        <w:rPr/>
        <w:t>（</w:t>
      </w:r>
      <w:r>
        <w:rPr>
          <w:rFonts w:ascii="宋体" w:hAnsi="宋体" w:cs="宋体" w:eastAsia="宋体" w:hint="default"/>
        </w:rPr>
        <w:t>2</w:t>
      </w:r>
      <w:r>
        <w:rPr/>
        <w:t>）选举和更换董事，决定有关董事的报酬事项；</w:t>
      </w:r>
    </w:p>
    <w:p>
      <w:pPr>
        <w:pStyle w:val="Heading3"/>
        <w:spacing w:line="240" w:lineRule="auto" w:before="151"/>
        <w:ind w:left="620" w:right="0"/>
        <w:jc w:val="left"/>
      </w:pPr>
      <w:r>
        <w:rPr/>
        <w:t>（</w:t>
      </w:r>
      <w:r>
        <w:rPr>
          <w:rFonts w:ascii="宋体" w:hAnsi="宋体" w:cs="宋体" w:eastAsia="宋体" w:hint="default"/>
        </w:rPr>
        <w:t>3</w:t>
      </w:r>
      <w:r>
        <w:rPr/>
        <w:t>）选举和更换由股东代表出任的监事，决定有关监事的报酬事项；</w:t>
      </w:r>
    </w:p>
    <w:p>
      <w:pPr>
        <w:pStyle w:val="Heading3"/>
        <w:spacing w:line="240" w:lineRule="auto"/>
        <w:ind w:left="620" w:right="0"/>
        <w:jc w:val="left"/>
      </w:pPr>
      <w:r>
        <w:rPr/>
        <w:t>（</w:t>
      </w:r>
      <w:r>
        <w:rPr>
          <w:rFonts w:ascii="宋体" w:hAnsi="宋体" w:cs="宋体" w:eastAsia="宋体" w:hint="default"/>
        </w:rPr>
        <w:t>4</w:t>
      </w:r>
      <w:r>
        <w:rPr/>
        <w:t>）审议批准董事会的报告；</w:t>
      </w:r>
    </w:p>
    <w:p>
      <w:pPr>
        <w:pStyle w:val="Heading3"/>
        <w:spacing w:line="240" w:lineRule="auto" w:before="151"/>
        <w:ind w:left="620" w:right="0"/>
        <w:jc w:val="left"/>
      </w:pPr>
      <w:r>
        <w:rPr/>
        <w:t>（</w:t>
      </w:r>
      <w:r>
        <w:rPr>
          <w:rFonts w:ascii="宋体" w:hAnsi="宋体" w:cs="宋体" w:eastAsia="宋体" w:hint="default"/>
        </w:rPr>
        <w:t>5</w:t>
      </w:r>
      <w:r>
        <w:rPr/>
        <w:t>）审议批准监事会的报告；</w:t>
      </w:r>
    </w:p>
    <w:p>
      <w:pPr>
        <w:pStyle w:val="Heading3"/>
        <w:spacing w:line="240" w:lineRule="auto"/>
        <w:ind w:left="620" w:right="0"/>
        <w:jc w:val="left"/>
      </w:pPr>
      <w:r>
        <w:rPr/>
        <w:t>（</w:t>
      </w:r>
      <w:r>
        <w:rPr>
          <w:rFonts w:ascii="宋体" w:hAnsi="宋体" w:cs="宋体" w:eastAsia="宋体" w:hint="default"/>
        </w:rPr>
        <w:t>6</w:t>
      </w:r>
      <w:r>
        <w:rPr/>
        <w:t>）审议批准公司的年度财务预算方案、决算方案；</w:t>
      </w:r>
    </w:p>
    <w:p>
      <w:pPr>
        <w:pStyle w:val="Heading3"/>
        <w:spacing w:line="240" w:lineRule="auto" w:before="151"/>
        <w:ind w:left="620" w:right="0"/>
        <w:jc w:val="left"/>
      </w:pPr>
      <w:r>
        <w:rPr/>
        <w:t>（</w:t>
      </w:r>
      <w:r>
        <w:rPr>
          <w:rFonts w:ascii="宋体" w:hAnsi="宋体" w:cs="宋体" w:eastAsia="宋体" w:hint="default"/>
        </w:rPr>
        <w:t>7</w:t>
      </w:r>
      <w:r>
        <w:rPr/>
        <w:t>）审议批准公司的利润分配方案和弥补亏损方案；</w:t>
      </w:r>
    </w:p>
    <w:p>
      <w:pPr>
        <w:pStyle w:val="Heading3"/>
        <w:spacing w:line="240" w:lineRule="auto"/>
        <w:ind w:left="620" w:right="0"/>
        <w:jc w:val="left"/>
      </w:pPr>
      <w:r>
        <w:rPr/>
        <w:t>（</w:t>
      </w:r>
      <w:r>
        <w:rPr>
          <w:rFonts w:ascii="宋体" w:hAnsi="宋体" w:cs="宋体" w:eastAsia="宋体" w:hint="default"/>
        </w:rPr>
        <w:t>8</w:t>
      </w:r>
      <w:r>
        <w:rPr/>
        <w:t>）对公司增加或者减少注册资本作出决议；</w:t>
      </w:r>
    </w:p>
    <w:p>
      <w:pPr>
        <w:pStyle w:val="Heading3"/>
        <w:spacing w:line="240" w:lineRule="auto" w:before="151"/>
        <w:ind w:left="620" w:right="0"/>
        <w:jc w:val="left"/>
      </w:pPr>
      <w:r>
        <w:rPr/>
        <w:t>（</w:t>
      </w:r>
      <w:r>
        <w:rPr>
          <w:rFonts w:ascii="宋体" w:hAnsi="宋体" w:cs="宋体" w:eastAsia="宋体" w:hint="default"/>
        </w:rPr>
        <w:t>9</w:t>
      </w:r>
      <w:r>
        <w:rPr/>
        <w:t>）对发行公司债券作出决议；</w:t>
      </w:r>
    </w:p>
    <w:p>
      <w:pPr>
        <w:pStyle w:val="Heading3"/>
        <w:spacing w:line="240" w:lineRule="auto"/>
        <w:ind w:left="620" w:right="0"/>
        <w:jc w:val="left"/>
      </w:pPr>
      <w:r>
        <w:rPr/>
        <w:t>（</w:t>
      </w:r>
      <w:r>
        <w:rPr>
          <w:rFonts w:ascii="宋体" w:hAnsi="宋体" w:cs="宋体" w:eastAsia="宋体" w:hint="default"/>
        </w:rPr>
        <w:t>10</w:t>
      </w:r>
      <w:r>
        <w:rPr/>
        <w:t>）对公司合并、分立、解散和清算等事项作出决议；</w:t>
      </w:r>
    </w:p>
    <w:p>
      <w:pPr>
        <w:pStyle w:val="Heading3"/>
        <w:spacing w:line="240" w:lineRule="auto" w:before="151"/>
        <w:ind w:left="620" w:right="0"/>
        <w:jc w:val="left"/>
      </w:pPr>
      <w:r>
        <w:rPr/>
        <w:t>（</w:t>
      </w:r>
      <w:r>
        <w:rPr>
          <w:rFonts w:ascii="宋体" w:hAnsi="宋体" w:cs="宋体" w:eastAsia="宋体" w:hint="default"/>
        </w:rPr>
        <w:t>11</w:t>
      </w:r>
      <w:r>
        <w:rPr/>
        <w:t>）修改公司章程；</w:t>
      </w:r>
    </w:p>
    <w:p>
      <w:pPr>
        <w:pStyle w:val="Heading3"/>
        <w:spacing w:line="240" w:lineRule="auto"/>
        <w:ind w:left="620" w:right="0"/>
        <w:jc w:val="left"/>
      </w:pPr>
      <w:r>
        <w:rPr/>
        <w:t>（</w:t>
      </w:r>
      <w:r>
        <w:rPr>
          <w:rFonts w:ascii="宋体" w:hAnsi="宋体" w:cs="宋体" w:eastAsia="宋体" w:hint="default"/>
        </w:rPr>
        <w:t>12</w:t>
      </w:r>
      <w:r>
        <w:rPr/>
        <w:t>）对公司聘用、解聘会计师事务所作出决议；</w:t>
      </w:r>
    </w:p>
    <w:p>
      <w:pPr>
        <w:pStyle w:val="Heading3"/>
        <w:spacing w:line="240" w:lineRule="auto"/>
        <w:ind w:left="620" w:right="0"/>
        <w:jc w:val="left"/>
      </w:pPr>
      <w:r>
        <w:rPr/>
        <w:t>（</w:t>
      </w:r>
      <w:r>
        <w:rPr>
          <w:rFonts w:ascii="宋体" w:hAnsi="宋体" w:cs="宋体" w:eastAsia="宋体" w:hint="default"/>
        </w:rPr>
        <w:t>13</w:t>
      </w:r>
      <w:r>
        <w:rPr/>
        <w:t>）审议代表公司发行在外有表决权股份总数的百分之五以上的股东的提案；</w:t>
      </w:r>
    </w:p>
    <w:p>
      <w:pPr>
        <w:pStyle w:val="Heading3"/>
        <w:spacing w:line="357" w:lineRule="auto" w:before="152"/>
        <w:ind w:left="620" w:right="0"/>
        <w:jc w:val="left"/>
      </w:pPr>
      <w:r>
        <w:rPr/>
        <w:t>（</w:t>
      </w:r>
      <w:r>
        <w:rPr>
          <w:rFonts w:ascii="宋体" w:hAnsi="宋体" w:cs="宋体" w:eastAsia="宋体" w:hint="default"/>
        </w:rPr>
        <w:t>14</w:t>
      </w:r>
      <w:r>
        <w:rPr/>
        <w:t>）审议法律、法规和公司章程规定应当由股东大会决定的其他事项。 </w:t>
      </w:r>
      <w:r>
        <w:rPr>
          <w:spacing w:val="-21"/>
        </w:rPr>
        <w:t>本公司还依据《公司法》、《公司章程》、《上市公司治理准则》等文件制定了《股东大会议事规则》，</w:t>
      </w:r>
    </w:p>
    <w:p>
      <w:pPr>
        <w:pStyle w:val="Heading3"/>
        <w:spacing w:line="240" w:lineRule="auto" w:before="34"/>
        <w:ind w:right="0"/>
        <w:jc w:val="both"/>
      </w:pPr>
      <w:r>
        <w:rPr/>
        <w:t>对股东大会的权力、召开程序、提案、表决和对中小股东权益的保护等方面作了据具体的规定。</w:t>
      </w:r>
    </w:p>
    <w:p>
      <w:pPr>
        <w:pStyle w:val="Heading3"/>
        <w:spacing w:line="355" w:lineRule="auto"/>
        <w:ind w:left="620" w:right="0" w:hanging="120"/>
        <w:jc w:val="left"/>
      </w:pPr>
      <w:r>
        <w:rPr>
          <w:rFonts w:ascii="宋体" w:hAnsi="宋体" w:cs="宋体" w:eastAsia="宋体" w:hint="default"/>
          <w:b/>
          <w:bCs/>
        </w:rPr>
        <w:t>（二）控股股东与公司</w:t>
      </w:r>
      <w:r>
        <w:rPr>
          <w:rFonts w:ascii="宋体" w:hAnsi="宋体" w:cs="宋体" w:eastAsia="宋体" w:hint="default"/>
          <w:b/>
          <w:bCs/>
          <w:w w:val="99"/>
        </w:rPr>
        <w:t> </w:t>
      </w:r>
      <w:r>
        <w:rPr>
          <w:spacing w:val="-14"/>
        </w:rPr>
        <w:t>公司控股股东严格根据《上市公司治理准则》、《深圳证券交易所股票上市规则》、《公司章程》规</w:t>
      </w:r>
    </w:p>
    <w:p>
      <w:pPr>
        <w:pStyle w:val="Heading3"/>
        <w:spacing w:line="355" w:lineRule="auto" w:before="38"/>
        <w:ind w:right="720"/>
        <w:jc w:val="both"/>
      </w:pPr>
      <w:r>
        <w:rPr>
          <w:spacing w:val="-3"/>
        </w:rPr>
        <w:t>范股东行为，通过股东大会行使股东权利，未发生超越股东大会及董事会而直接干预公司经营与决策</w:t>
      </w:r>
      <w:r>
        <w:rPr>
          <w:spacing w:val="-84"/>
        </w:rPr>
        <w:t> </w:t>
      </w:r>
      <w:r>
        <w:rPr>
          <w:spacing w:val="-84"/>
        </w:rPr>
      </w:r>
      <w:r>
        <w:rPr/>
        <w:t>的行为。</w:t>
      </w:r>
      <w:r>
        <w:rPr>
          <w:rFonts w:ascii="宋体" w:hAnsi="宋体" w:cs="宋体" w:eastAsia="宋体" w:hint="default"/>
        </w:rPr>
        <w:t>2008</w:t>
      </w:r>
      <w:r>
        <w:rPr>
          <w:rFonts w:ascii="宋体" w:hAnsi="宋体" w:cs="宋体" w:eastAsia="宋体" w:hint="default"/>
          <w:spacing w:val="-33"/>
        </w:rPr>
        <w:t> </w:t>
      </w:r>
      <w:r>
        <w:rPr>
          <w:spacing w:val="-4"/>
        </w:rPr>
        <w:t>年，公司制定了《防止大股东及关联方占用资金的制度》，并经股东大会审议通过。</w:t>
      </w:r>
    </w:p>
    <w:p>
      <w:pPr>
        <w:spacing w:after="0" w:line="355" w:lineRule="auto"/>
        <w:jc w:val="both"/>
        <w:sectPr>
          <w:pgSz w:w="11910" w:h="16840"/>
          <w:pgMar w:header="720" w:footer="956" w:top="1300" w:bottom="1140" w:left="580" w:right="0"/>
        </w:sectPr>
      </w:pPr>
    </w:p>
    <w:p>
      <w:pPr>
        <w:spacing w:line="355" w:lineRule="auto" w:before="13"/>
        <w:ind w:left="620" w:right="710" w:hanging="120"/>
        <w:jc w:val="left"/>
        <w:rPr>
          <w:rFonts w:ascii="宋体" w:hAnsi="宋体" w:cs="宋体" w:eastAsia="宋体" w:hint="default"/>
          <w:sz w:val="24"/>
          <w:szCs w:val="24"/>
        </w:rPr>
      </w:pPr>
      <w:r>
        <w:rPr/>
        <w:pict>
          <v:group style="position:absolute;margin-left:34.560001pt;margin-top:2.305654pt;width:508.3pt;height:.1pt;mso-position-horizontal-relative:page;mso-position-vertical-relative:paragraph;z-index:-534640"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b/>
          <w:bCs/>
          <w:sz w:val="24"/>
          <w:szCs w:val="24"/>
        </w:rPr>
        <w:t>（三）关于董事与董事会</w:t>
      </w:r>
      <w:r>
        <w:rPr>
          <w:rFonts w:ascii="宋体" w:hAnsi="宋体" w:cs="宋体" w:eastAsia="宋体" w:hint="default"/>
          <w:b/>
          <w:bCs/>
          <w:w w:val="99"/>
          <w:sz w:val="24"/>
          <w:szCs w:val="24"/>
        </w:rPr>
        <w:t> </w:t>
      </w:r>
      <w:r>
        <w:rPr>
          <w:rFonts w:ascii="宋体" w:hAnsi="宋体" w:cs="宋体" w:eastAsia="宋体" w:hint="default"/>
          <w:spacing w:val="-8"/>
          <w:sz w:val="24"/>
          <w:szCs w:val="24"/>
        </w:rPr>
        <w:t>公司严格按照《公司法》、《公司章程》等相关法律法规选举产生董事人选，董事会人数及人员构</w:t>
      </w:r>
    </w:p>
    <w:p>
      <w:pPr>
        <w:pStyle w:val="Heading3"/>
        <w:spacing w:line="240" w:lineRule="auto" w:before="38"/>
        <w:ind w:right="0"/>
        <w:jc w:val="both"/>
      </w:pPr>
      <w:r>
        <w:rPr/>
        <w:t>成符合法律法规的要求</w:t>
      </w:r>
      <w:r>
        <w:rPr>
          <w:spacing w:val="-20"/>
        </w:rPr>
        <w:t>。</w:t>
      </w:r>
      <w:r>
        <w:rPr/>
        <w:t>公司董事会严格按</w:t>
      </w:r>
      <w:r>
        <w:rPr>
          <w:spacing w:val="-20"/>
        </w:rPr>
        <w:t>照</w:t>
      </w:r>
      <w:r>
        <w:rPr/>
        <w:t>《公司章程</w:t>
      </w:r>
      <w:r>
        <w:rPr>
          <w:spacing w:val="-120"/>
        </w:rPr>
        <w:t>》</w:t>
      </w:r>
      <w:r>
        <w:rPr>
          <w:spacing w:val="-140"/>
        </w:rPr>
        <w:t>、</w:t>
      </w:r>
      <w:r>
        <w:rPr/>
        <w:t>《独立董事制度</w:t>
      </w:r>
      <w:r>
        <w:rPr>
          <w:spacing w:val="-120"/>
        </w:rPr>
        <w:t>》</w:t>
      </w:r>
      <w:r>
        <w:rPr>
          <w:spacing w:val="-139"/>
        </w:rPr>
        <w:t>、</w:t>
      </w:r>
      <w:r>
        <w:rPr/>
        <w:t>《董事会议事规则</w:t>
      </w:r>
      <w:r>
        <w:rPr>
          <w:spacing w:val="-20"/>
        </w:rPr>
        <w:t>》</w:t>
      </w:r>
      <w:r>
        <w:rPr/>
        <w:t>及</w:t>
      </w:r>
    </w:p>
    <w:p>
      <w:pPr>
        <w:pStyle w:val="Heading3"/>
        <w:spacing w:line="357" w:lineRule="auto" w:before="151"/>
        <w:ind w:right="719"/>
        <w:jc w:val="both"/>
      </w:pPr>
      <w:r>
        <w:rPr>
          <w:spacing w:val="-3"/>
        </w:rPr>
        <w:t>《中小企业板块上市公司董事行为指引》等相关规定召集召开董事会，各董事认真出席董事会，认真</w:t>
      </w:r>
      <w:r>
        <w:rPr>
          <w:spacing w:val="-84"/>
        </w:rPr>
        <w:t> </w:t>
      </w:r>
      <w:r>
        <w:rPr>
          <w:spacing w:val="-84"/>
        </w:rPr>
      </w:r>
      <w:r>
        <w:rPr>
          <w:spacing w:val="-3"/>
        </w:rPr>
        <w:t>审议各项议案，履行职责，勤勉尽责。独立董事独立履行职责，维护公司整体利益，尤其关注中小股</w:t>
      </w:r>
      <w:r>
        <w:rPr>
          <w:spacing w:val="-88"/>
        </w:rPr>
        <w:t> </w:t>
      </w:r>
      <w:r>
        <w:rPr>
          <w:spacing w:val="-88"/>
        </w:rPr>
      </w:r>
      <w:r>
        <w:rPr/>
        <w:t>东的合法权益不受损害，对重要及重大事项发表独立意见。</w:t>
      </w:r>
    </w:p>
    <w:p>
      <w:pPr>
        <w:spacing w:line="355" w:lineRule="auto" w:before="36"/>
        <w:ind w:left="620" w:right="710" w:hanging="120"/>
        <w:jc w:val="left"/>
        <w:rPr>
          <w:rFonts w:ascii="宋体" w:hAnsi="宋体" w:cs="宋体" w:eastAsia="宋体" w:hint="default"/>
          <w:sz w:val="24"/>
          <w:szCs w:val="24"/>
        </w:rPr>
      </w:pPr>
      <w:r>
        <w:rPr>
          <w:rFonts w:ascii="宋体" w:hAnsi="宋体" w:cs="宋体" w:eastAsia="宋体" w:hint="default"/>
          <w:b/>
          <w:bCs/>
          <w:sz w:val="24"/>
          <w:szCs w:val="24"/>
        </w:rPr>
        <w:t>（四）关于监事与监事会</w:t>
      </w:r>
      <w:r>
        <w:rPr>
          <w:rFonts w:ascii="宋体" w:hAnsi="宋体" w:cs="宋体" w:eastAsia="宋体" w:hint="default"/>
          <w:b/>
          <w:bCs/>
          <w:w w:val="99"/>
          <w:sz w:val="24"/>
          <w:szCs w:val="24"/>
        </w:rPr>
        <w:t> </w:t>
      </w:r>
      <w:r>
        <w:rPr>
          <w:rFonts w:ascii="宋体" w:hAnsi="宋体" w:cs="宋体" w:eastAsia="宋体" w:hint="default"/>
          <w:spacing w:val="-8"/>
          <w:sz w:val="24"/>
          <w:szCs w:val="24"/>
        </w:rPr>
        <w:t>公司严格按照《公司法》、《公司章程》等相关法律法规选举产生监事人选，监事会人数及人员构</w:t>
      </w:r>
    </w:p>
    <w:p>
      <w:pPr>
        <w:pStyle w:val="Heading3"/>
        <w:spacing w:line="357" w:lineRule="auto" w:before="39"/>
        <w:ind w:right="718"/>
        <w:jc w:val="both"/>
      </w:pPr>
      <w:r>
        <w:rPr>
          <w:spacing w:val="-3"/>
        </w:rPr>
        <w:t>成符合法律法规的要求。公司监事会严格按照《公司章程》及《监事会议事规则》等相关规定召集召</w:t>
      </w:r>
      <w:r>
        <w:rPr>
          <w:spacing w:val="-86"/>
        </w:rPr>
        <w:t> </w:t>
      </w:r>
      <w:r>
        <w:rPr>
          <w:spacing w:val="-86"/>
        </w:rPr>
      </w:r>
      <w:r>
        <w:rPr>
          <w:spacing w:val="-3"/>
        </w:rPr>
        <w:t>开监事会，各监事认真出席监事会，认真履行职责，对公司重大事项、关联交易、财务状况等进行监</w:t>
      </w:r>
      <w:r>
        <w:rPr>
          <w:spacing w:val="-86"/>
        </w:rPr>
        <w:t> </w:t>
      </w:r>
      <w:r>
        <w:rPr>
          <w:spacing w:val="-86"/>
        </w:rPr>
      </w:r>
      <w:r>
        <w:rPr/>
        <w:t>督并发表意见。</w:t>
      </w:r>
    </w:p>
    <w:p>
      <w:pPr>
        <w:spacing w:line="355" w:lineRule="auto" w:before="36"/>
        <w:ind w:left="620" w:right="732" w:hanging="120"/>
        <w:jc w:val="left"/>
        <w:rPr>
          <w:rFonts w:ascii="宋体" w:hAnsi="宋体" w:cs="宋体" w:eastAsia="宋体" w:hint="default"/>
          <w:sz w:val="24"/>
          <w:szCs w:val="24"/>
        </w:rPr>
      </w:pPr>
      <w:r>
        <w:rPr>
          <w:rFonts w:ascii="宋体" w:hAnsi="宋体" w:cs="宋体" w:eastAsia="宋体" w:hint="default"/>
          <w:b/>
          <w:bCs/>
          <w:sz w:val="24"/>
          <w:szCs w:val="24"/>
        </w:rPr>
        <w:t>（五）关于信息披露与投资者关系管理</w:t>
      </w:r>
      <w:r>
        <w:rPr>
          <w:rFonts w:ascii="宋体" w:hAnsi="宋体" w:cs="宋体" w:eastAsia="宋体" w:hint="default"/>
          <w:b/>
          <w:bCs/>
          <w:w w:val="99"/>
          <w:sz w:val="24"/>
          <w:szCs w:val="24"/>
        </w:rPr>
        <w:t> </w:t>
      </w:r>
      <w:r>
        <w:rPr>
          <w:rFonts w:ascii="宋体" w:hAnsi="宋体" w:cs="宋体" w:eastAsia="宋体" w:hint="default"/>
          <w:spacing w:val="-3"/>
          <w:sz w:val="24"/>
          <w:szCs w:val="24"/>
        </w:rPr>
        <w:t>公司制定了《信息披露管理制度》和《投资者关系管理制度》，指定公司董事会秘书负责信息披</w:t>
      </w:r>
    </w:p>
    <w:p>
      <w:pPr>
        <w:pStyle w:val="Heading3"/>
        <w:spacing w:line="240" w:lineRule="auto" w:before="38"/>
        <w:ind w:right="0"/>
        <w:jc w:val="both"/>
      </w:pPr>
      <w:r>
        <w:rPr/>
        <w:t>露工作和投资者关系管理工作。</w:t>
      </w:r>
    </w:p>
    <w:p>
      <w:pPr>
        <w:pStyle w:val="Heading3"/>
        <w:spacing w:line="357" w:lineRule="auto" w:before="151"/>
        <w:ind w:right="581" w:firstLine="480"/>
        <w:jc w:val="left"/>
      </w:pPr>
      <w:r>
        <w:rPr>
          <w:rFonts w:ascii="宋体" w:hAnsi="宋体" w:cs="宋体" w:eastAsia="宋体" w:hint="default"/>
        </w:rPr>
        <w:t>2010</w:t>
      </w:r>
      <w:r>
        <w:rPr>
          <w:rFonts w:ascii="宋体" w:hAnsi="宋体" w:cs="宋体" w:eastAsia="宋体" w:hint="default"/>
          <w:spacing w:val="-60"/>
        </w:rPr>
        <w:t> </w:t>
      </w:r>
      <w:r>
        <w:rPr/>
        <w:t>年度公司在加快内部控制建设方面</w:t>
      </w:r>
      <w:r>
        <w:rPr>
          <w:spacing w:val="-39"/>
        </w:rPr>
        <w:t>，</w:t>
      </w:r>
      <w:r>
        <w:rPr/>
        <w:t>新补充</w:t>
      </w:r>
      <w:r>
        <w:rPr>
          <w:spacing w:val="-39"/>
        </w:rPr>
        <w:t>、</w:t>
      </w:r>
      <w:r>
        <w:rPr/>
        <w:t>实施</w:t>
      </w:r>
      <w:r>
        <w:rPr>
          <w:spacing w:val="-39"/>
        </w:rPr>
        <w:t>了</w:t>
      </w:r>
      <w:r>
        <w:rPr/>
        <w:t>《关于内幕信息知情人登记制度</w:t>
      </w:r>
      <w:r>
        <w:rPr>
          <w:spacing w:val="-120"/>
        </w:rPr>
        <w:t>》</w:t>
      </w:r>
      <w:r>
        <w:rPr>
          <w:spacing w:val="-159"/>
        </w:rPr>
        <w:t>、</w:t>
      </w:r>
      <w:r>
        <w:rPr/>
        <w:t>《关</w:t>
      </w:r>
      <w:r>
        <w:rPr/>
        <w:t> 于董事</w:t>
      </w:r>
      <w:r>
        <w:rPr>
          <w:spacing w:val="-72"/>
        </w:rPr>
        <w:t>、</w:t>
      </w:r>
      <w:r>
        <w:rPr/>
        <w:t>监事和高级管理人员持有及买卖本公司股票管理制</w:t>
      </w:r>
      <w:r>
        <w:rPr>
          <w:spacing w:val="1"/>
        </w:rPr>
        <w:t>度</w:t>
      </w:r>
      <w:r>
        <w:rPr>
          <w:spacing w:val="-120"/>
        </w:rPr>
        <w:t>》</w:t>
      </w:r>
      <w:r>
        <w:rPr>
          <w:spacing w:val="-192"/>
        </w:rPr>
        <w:t>、</w:t>
      </w:r>
      <w:r>
        <w:rPr/>
        <w:t>《关于公司风险投资内部控制制度</w:t>
      </w:r>
      <w:r>
        <w:rPr>
          <w:spacing w:val="-72"/>
        </w:rPr>
        <w:t>》</w:t>
      </w:r>
      <w:r>
        <w:rPr/>
        <w:t>。</w:t>
      </w:r>
    </w:p>
    <w:p>
      <w:pPr>
        <w:pStyle w:val="Heading3"/>
        <w:spacing w:line="357" w:lineRule="auto" w:before="34"/>
        <w:ind w:right="0" w:firstLine="480"/>
        <w:jc w:val="left"/>
      </w:pPr>
      <w:r>
        <w:rPr>
          <w:spacing w:val="-6"/>
        </w:rPr>
        <w:t>公司指定《证券时报》、《中国证券报》和“巨潮资讯网”为公司信息披露的报纸和网站，真实、</w:t>
      </w:r>
      <w:r>
        <w:rPr/>
        <w:t> </w:t>
      </w:r>
      <w:r>
        <w:rPr>
          <w:spacing w:val="-3"/>
        </w:rPr>
        <w:t>准确、及时地披露公司信息，确保公司所有股东公平的获得公司相关信息。依托巨潮资讯中小企业路</w:t>
      </w:r>
      <w:r>
        <w:rPr>
          <w:spacing w:val="-83"/>
        </w:rPr>
        <w:t> </w:t>
      </w:r>
      <w:r>
        <w:rPr>
          <w:spacing w:val="-83"/>
        </w:rPr>
      </w:r>
      <w:r>
        <w:rPr>
          <w:spacing w:val="-3"/>
        </w:rPr>
        <w:t>演网建立了与投资者的沟通平台，公司明确了投资者关系管理的职能部门和负责人，组织实施投资者</w:t>
      </w:r>
      <w:r>
        <w:rPr>
          <w:spacing w:val="-84"/>
        </w:rPr>
        <w:t> </w:t>
      </w:r>
      <w:r>
        <w:rPr>
          <w:spacing w:val="-84"/>
        </w:rPr>
      </w:r>
      <w:r>
        <w:rPr/>
        <w:t>关系的日常管理工作。</w:t>
      </w:r>
    </w:p>
    <w:p>
      <w:pPr>
        <w:spacing w:line="357" w:lineRule="auto" w:before="34"/>
        <w:ind w:left="620" w:right="0" w:firstLine="2"/>
        <w:jc w:val="left"/>
        <w:rPr>
          <w:rFonts w:ascii="宋体" w:hAnsi="宋体" w:cs="宋体" w:eastAsia="宋体" w:hint="default"/>
          <w:sz w:val="24"/>
          <w:szCs w:val="24"/>
        </w:rPr>
      </w:pPr>
      <w:r>
        <w:rPr>
          <w:rFonts w:ascii="宋体" w:hAnsi="宋体" w:cs="宋体" w:eastAsia="宋体" w:hint="default"/>
          <w:b/>
          <w:bCs/>
          <w:sz w:val="24"/>
          <w:szCs w:val="24"/>
        </w:rPr>
        <w:t>（六）关于相关利益者</w:t>
      </w:r>
      <w:r>
        <w:rPr>
          <w:rFonts w:ascii="宋体" w:hAnsi="宋体" w:cs="宋体" w:eastAsia="宋体" w:hint="default"/>
          <w:b/>
          <w:bCs/>
          <w:w w:val="99"/>
          <w:sz w:val="24"/>
          <w:szCs w:val="24"/>
        </w:rPr>
        <w:t> </w:t>
      </w:r>
      <w:r>
        <w:rPr>
          <w:rFonts w:ascii="宋体" w:hAnsi="宋体" w:cs="宋体" w:eastAsia="宋体" w:hint="default"/>
          <w:spacing w:val="-6"/>
          <w:sz w:val="24"/>
          <w:szCs w:val="24"/>
        </w:rPr>
        <w:t>公司充分尊重和维护相关利益者的合法权益，积极与相关利益者合作，加强与各方的沟通和交流，</w:t>
      </w:r>
    </w:p>
    <w:p>
      <w:pPr>
        <w:pStyle w:val="Heading3"/>
        <w:spacing w:line="357" w:lineRule="auto" w:before="34"/>
        <w:ind w:left="560" w:right="0" w:hanging="420"/>
        <w:jc w:val="left"/>
      </w:pPr>
      <w:r>
        <w:rPr/>
        <w:t>实现股东、员工、社会等各方利益的均衡，以推动公司持续、稳定、健康地发展。 公司治理的实际情况于中国证监会有关上市公司治理的规范性文件要求基本符合。</w:t>
      </w:r>
    </w:p>
    <w:p>
      <w:pPr>
        <w:spacing w:line="240" w:lineRule="auto" w:before="0"/>
        <w:rPr>
          <w:rFonts w:ascii="宋体" w:hAnsi="宋体" w:cs="宋体" w:eastAsia="宋体" w:hint="default"/>
          <w:sz w:val="24"/>
          <w:szCs w:val="24"/>
        </w:rPr>
      </w:pPr>
    </w:p>
    <w:p>
      <w:pPr>
        <w:spacing w:line="355" w:lineRule="auto" w:before="188"/>
        <w:ind w:left="620" w:right="581" w:hanging="60"/>
        <w:jc w:val="left"/>
        <w:rPr>
          <w:rFonts w:ascii="宋体" w:hAnsi="宋体" w:cs="宋体" w:eastAsia="宋体" w:hint="default"/>
          <w:sz w:val="24"/>
          <w:szCs w:val="24"/>
        </w:rPr>
      </w:pPr>
      <w:r>
        <w:rPr>
          <w:rFonts w:ascii="宋体" w:hAnsi="宋体" w:cs="宋体" w:eastAsia="宋体" w:hint="default"/>
          <w:b/>
          <w:bCs/>
          <w:sz w:val="24"/>
          <w:szCs w:val="24"/>
        </w:rPr>
        <w:t>二、董事长、独立董事及其他董事履职情况</w:t>
      </w:r>
      <w:r>
        <w:rPr>
          <w:rFonts w:ascii="宋体" w:hAnsi="宋体" w:cs="宋体" w:eastAsia="宋体" w:hint="default"/>
          <w:b/>
          <w:bCs/>
          <w:w w:val="99"/>
          <w:sz w:val="24"/>
          <w:szCs w:val="24"/>
        </w:rPr>
        <w:t> </w:t>
      </w:r>
      <w:r>
        <w:rPr>
          <w:rFonts w:ascii="宋体" w:hAnsi="宋体" w:cs="宋体" w:eastAsia="宋体" w:hint="default"/>
          <w:spacing w:val="-5"/>
          <w:sz w:val="24"/>
          <w:szCs w:val="24"/>
        </w:rPr>
        <w:t>报告期内，公司各位董事严格按照相关法规和公司章程的要求，诚实守信、勤勉独立地履行职责，</w:t>
      </w:r>
    </w:p>
    <w:p>
      <w:pPr>
        <w:pStyle w:val="Heading3"/>
        <w:spacing w:line="357" w:lineRule="auto" w:before="38"/>
        <w:ind w:left="620" w:right="0" w:hanging="480"/>
        <w:jc w:val="left"/>
      </w:pPr>
      <w:r>
        <w:rPr/>
        <w:t>出席公司相关会议，认真审议董事会的各项议案，切实保护中小投资者利益不受侵害。 </w:t>
      </w:r>
      <w:r>
        <w:rPr>
          <w:spacing w:val="-3"/>
        </w:rPr>
        <w:t>公司董事长依法召集并主持董事会会议，推动公司内部治理制度的制定和完善，组织完成股东大</w:t>
      </w:r>
    </w:p>
    <w:p>
      <w:pPr>
        <w:pStyle w:val="Heading3"/>
        <w:spacing w:line="240" w:lineRule="auto" w:before="34"/>
        <w:ind w:right="0"/>
        <w:jc w:val="both"/>
      </w:pPr>
      <w:r>
        <w:rPr>
          <w:spacing w:val="-3"/>
        </w:rPr>
        <w:t>会授权的事项，执行董事会决议。董事长积极保证了独立董事和董事会秘书的知情权，为其履行职责</w:t>
      </w:r>
    </w:p>
    <w:p>
      <w:pPr>
        <w:pStyle w:val="Heading3"/>
        <w:spacing w:line="240" w:lineRule="auto"/>
        <w:ind w:right="0"/>
        <w:jc w:val="both"/>
      </w:pPr>
      <w:r>
        <w:rPr/>
        <w:t>创造了良好的工作条件。</w:t>
      </w:r>
    </w:p>
    <w:p>
      <w:pPr>
        <w:spacing w:after="0" w:line="240" w:lineRule="auto"/>
        <w:jc w:val="both"/>
        <w:sectPr>
          <w:footerReference w:type="default" r:id="rId17"/>
          <w:pgSz w:w="11910" w:h="16840"/>
          <w:pgMar w:footer="956" w:header="720" w:top="1300" w:bottom="1140" w:left="580" w:right="0"/>
          <w:pgNumType w:start="17"/>
        </w:sectPr>
      </w:pPr>
    </w:p>
    <w:p>
      <w:pPr>
        <w:pStyle w:val="Heading3"/>
        <w:spacing w:line="355" w:lineRule="auto" w:before="13"/>
        <w:ind w:left="240" w:right="606" w:firstLine="480"/>
        <w:jc w:val="left"/>
      </w:pPr>
      <w:r>
        <w:rPr/>
        <w:pict>
          <v:group style="position:absolute;margin-left:34.560001pt;margin-top:2.305654pt;width:508.3pt;height:.1pt;mso-position-horizontal-relative:page;mso-position-vertical-relative:paragraph;z-index:-534616" coordorigin="691,46" coordsize="10166,2">
            <v:shape style="position:absolute;left:691;top:46;width:10166;height:2" coordorigin="691,46" coordsize="10166,0" path="m691,46l10857,46e" filled="false" stroked="true" strokeweight=".72pt" strokecolor="#000000">
              <v:path arrowok="t"/>
            </v:shape>
            <w10:wrap type="none"/>
          </v:group>
        </w:pict>
      </w:r>
      <w:r>
        <w:rPr>
          <w:spacing w:val="-3"/>
        </w:rPr>
        <w:t>公司独立董事本着对全体股东负责的态度，认真履行独立董事职责，为公司的健康发展发挥了积</w:t>
      </w:r>
      <w:r>
        <w:rPr/>
        <w:t> 极作用。</w:t>
      </w:r>
    </w:p>
    <w:p>
      <w:pPr>
        <w:pStyle w:val="Heading3"/>
        <w:spacing w:line="240" w:lineRule="auto" w:before="38"/>
        <w:ind w:left="720" w:right="606"/>
        <w:jc w:val="left"/>
      </w:pPr>
      <w:r>
        <w:rPr/>
        <w:t>报告期内公司共召开了</w:t>
      </w:r>
      <w:r>
        <w:rPr>
          <w:spacing w:val="-60"/>
        </w:rPr>
        <w:t> </w:t>
      </w:r>
      <w:r>
        <w:rPr>
          <w:rFonts w:ascii="宋体" w:hAnsi="宋体" w:cs="宋体" w:eastAsia="宋体" w:hint="default"/>
        </w:rPr>
        <w:t>11</w:t>
      </w:r>
      <w:r>
        <w:rPr>
          <w:rFonts w:ascii="宋体" w:hAnsi="宋体" w:cs="宋体" w:eastAsia="宋体" w:hint="default"/>
          <w:spacing w:val="-60"/>
        </w:rPr>
        <w:t> </w:t>
      </w:r>
      <w:r>
        <w:rPr/>
        <w:t>次董事会，董事出席会议情况如下：</w:t>
      </w:r>
    </w:p>
    <w:p>
      <w:pPr>
        <w:spacing w:line="240" w:lineRule="auto" w:before="9"/>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371"/>
        <w:gridCol w:w="1306"/>
        <w:gridCol w:w="1102"/>
        <w:gridCol w:w="1054"/>
        <w:gridCol w:w="1805"/>
        <w:gridCol w:w="1202"/>
        <w:gridCol w:w="752"/>
        <w:gridCol w:w="2107"/>
      </w:tblGrid>
      <w:tr>
        <w:trPr>
          <w:trHeight w:val="722" w:hRule="exact"/>
        </w:trPr>
        <w:tc>
          <w:tcPr>
            <w:tcW w:w="137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5"/>
              <w:ind w:left="16"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130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110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应出席次</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1054"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现场出席</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805"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以通讯方式参加会</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议次数</w:t>
            </w:r>
          </w:p>
        </w:tc>
        <w:tc>
          <w:tcPr>
            <w:tcW w:w="120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委托出席次</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75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缺席</w:t>
            </w:r>
          </w:p>
          <w:p>
            <w:pPr>
              <w:pStyle w:val="TableParagraph"/>
              <w:spacing w:line="240" w:lineRule="auto" w:before="115"/>
              <w:ind w:left="189"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2107" w:type="dxa"/>
            <w:tcBorders>
              <w:top w:val="single" w:sz="12" w:space="0" w:color="000000"/>
              <w:left w:val="single" w:sz="4" w:space="0" w:color="000000"/>
              <w:bottom w:val="single" w:sz="4" w:space="0" w:color="000000"/>
              <w:right w:val="nil" w:sz="6" w:space="0" w:color="auto"/>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是否连续两次未亲自出</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席会议</w:t>
            </w:r>
          </w:p>
        </w:tc>
      </w:tr>
      <w:tr>
        <w:trPr>
          <w:trHeight w:val="360" w:hRule="exact"/>
        </w:trPr>
        <w:tc>
          <w:tcPr>
            <w:tcW w:w="137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8" w:right="0"/>
              <w:jc w:val="center"/>
              <w:rPr>
                <w:rFonts w:ascii="宋体" w:hAnsi="宋体" w:cs="宋体" w:eastAsia="宋体" w:hint="default"/>
                <w:sz w:val="18"/>
                <w:szCs w:val="18"/>
              </w:rPr>
            </w:pPr>
            <w:r>
              <w:rPr>
                <w:rFonts w:ascii="宋体" w:hAnsi="宋体" w:cs="宋体" w:eastAsia="宋体" w:hint="default"/>
                <w:sz w:val="18"/>
                <w:szCs w:val="18"/>
              </w:rPr>
              <w:t>郭春生</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56" w:right="0"/>
              <w:jc w:val="left"/>
              <w:rPr>
                <w:rFonts w:ascii="宋体" w:hAnsi="宋体" w:cs="宋体" w:eastAsia="宋体" w:hint="default"/>
                <w:sz w:val="18"/>
                <w:szCs w:val="18"/>
              </w:rPr>
            </w:pPr>
            <w:r>
              <w:rPr>
                <w:rFonts w:ascii="宋体"/>
                <w:sz w:val="18"/>
              </w:rPr>
              <w:t>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1"/>
              <w:jc w:val="right"/>
              <w:rPr>
                <w:rFonts w:ascii="宋体" w:hAnsi="宋体" w:cs="宋体" w:eastAsia="宋体" w:hint="default"/>
                <w:sz w:val="18"/>
                <w:szCs w:val="18"/>
              </w:rPr>
            </w:pPr>
            <w:r>
              <w:rPr>
                <w:rFonts w:ascii="宋体"/>
                <w:sz w:val="18"/>
              </w:rPr>
              <w:t>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26"/>
              <w:jc w:val="right"/>
              <w:rPr>
                <w:rFonts w:ascii="宋体" w:hAnsi="宋体" w:cs="宋体" w:eastAsia="宋体" w:hint="default"/>
                <w:sz w:val="18"/>
                <w:szCs w:val="18"/>
              </w:rPr>
            </w:pPr>
            <w:r>
              <w:rPr>
                <w:rFonts w:ascii="宋体"/>
                <w:sz w:val="18"/>
              </w:rPr>
              <w:t>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37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8" w:right="0"/>
              <w:jc w:val="center"/>
              <w:rPr>
                <w:rFonts w:ascii="宋体" w:hAnsi="宋体" w:cs="宋体" w:eastAsia="宋体" w:hint="default"/>
                <w:sz w:val="18"/>
                <w:szCs w:val="18"/>
              </w:rPr>
            </w:pPr>
            <w:r>
              <w:rPr>
                <w:rFonts w:ascii="宋体" w:hAnsi="宋体" w:cs="宋体" w:eastAsia="宋体" w:hint="default"/>
                <w:sz w:val="18"/>
                <w:szCs w:val="18"/>
              </w:rPr>
              <w:t>祖春香</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董</w:t>
              <w:tab/>
              <w:t>事</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56" w:right="0"/>
              <w:jc w:val="left"/>
              <w:rPr>
                <w:rFonts w:ascii="宋体" w:hAnsi="宋体" w:cs="宋体" w:eastAsia="宋体" w:hint="default"/>
                <w:sz w:val="18"/>
                <w:szCs w:val="18"/>
              </w:rPr>
            </w:pPr>
            <w:r>
              <w:rPr>
                <w:rFonts w:ascii="宋体"/>
                <w:sz w:val="18"/>
              </w:rPr>
              <w:t>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1"/>
              <w:jc w:val="right"/>
              <w:rPr>
                <w:rFonts w:ascii="宋体" w:hAnsi="宋体" w:cs="宋体" w:eastAsia="宋体" w:hint="default"/>
                <w:sz w:val="18"/>
                <w:szCs w:val="18"/>
              </w:rPr>
            </w:pPr>
            <w:r>
              <w:rPr>
                <w:rFonts w:ascii="宋体"/>
                <w:sz w:val="18"/>
              </w:rPr>
              <w:t>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26"/>
              <w:jc w:val="right"/>
              <w:rPr>
                <w:rFonts w:ascii="宋体" w:hAnsi="宋体" w:cs="宋体" w:eastAsia="宋体" w:hint="default"/>
                <w:sz w:val="18"/>
                <w:szCs w:val="18"/>
              </w:rPr>
            </w:pPr>
            <w:r>
              <w:rPr>
                <w:rFonts w:ascii="宋体"/>
                <w:sz w:val="18"/>
              </w:rPr>
              <w:t>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37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 w:right="0"/>
              <w:jc w:val="center"/>
              <w:rPr>
                <w:rFonts w:ascii="宋体" w:hAnsi="宋体" w:cs="宋体" w:eastAsia="宋体" w:hint="default"/>
                <w:sz w:val="18"/>
                <w:szCs w:val="18"/>
              </w:rPr>
            </w:pPr>
            <w:r>
              <w:rPr>
                <w:rFonts w:ascii="宋体" w:hAnsi="宋体" w:cs="宋体" w:eastAsia="宋体" w:hint="default"/>
                <w:sz w:val="18"/>
                <w:szCs w:val="18"/>
              </w:rPr>
              <w:t>秦 </w:t>
            </w:r>
            <w:r>
              <w:rPr>
                <w:rFonts w:ascii="宋体" w:hAnsi="宋体" w:cs="宋体" w:eastAsia="宋体" w:hint="default"/>
                <w:spacing w:val="2"/>
                <w:sz w:val="18"/>
                <w:szCs w:val="18"/>
              </w:rPr>
              <w:t> </w:t>
            </w:r>
            <w:r>
              <w:rPr>
                <w:rFonts w:ascii="宋体" w:hAnsi="宋体" w:cs="宋体" w:eastAsia="宋体" w:hint="default"/>
                <w:sz w:val="18"/>
                <w:szCs w:val="18"/>
              </w:rPr>
              <w:t>静</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董</w:t>
              <w:tab/>
              <w:t>事</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99" w:right="0"/>
              <w:jc w:val="left"/>
              <w:rPr>
                <w:rFonts w:ascii="宋体" w:hAnsi="宋体" w:cs="宋体" w:eastAsia="宋体" w:hint="default"/>
                <w:sz w:val="18"/>
                <w:szCs w:val="18"/>
              </w:rPr>
            </w:pPr>
            <w:r>
              <w:rPr>
                <w:rFonts w:ascii="宋体"/>
                <w:sz w:val="18"/>
              </w:rPr>
              <w:t>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1"/>
              <w:jc w:val="right"/>
              <w:rPr>
                <w:rFonts w:ascii="宋体" w:hAnsi="宋体" w:cs="宋体" w:eastAsia="宋体" w:hint="default"/>
                <w:sz w:val="18"/>
                <w:szCs w:val="18"/>
              </w:rPr>
            </w:pPr>
            <w:r>
              <w:rPr>
                <w:rFonts w:ascii="宋体"/>
                <w:sz w:val="18"/>
              </w:rPr>
              <w:t>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26"/>
              <w:jc w:val="right"/>
              <w:rPr>
                <w:rFonts w:ascii="宋体" w:hAnsi="宋体" w:cs="宋体" w:eastAsia="宋体" w:hint="default"/>
                <w:sz w:val="18"/>
                <w:szCs w:val="18"/>
              </w:rPr>
            </w:pPr>
            <w:r>
              <w:rPr>
                <w:rFonts w:ascii="宋体"/>
                <w:sz w:val="18"/>
              </w:rPr>
              <w:t>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37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8" w:right="0"/>
              <w:jc w:val="center"/>
              <w:rPr>
                <w:rFonts w:ascii="宋体" w:hAnsi="宋体" w:cs="宋体" w:eastAsia="宋体" w:hint="default"/>
                <w:sz w:val="18"/>
                <w:szCs w:val="18"/>
              </w:rPr>
            </w:pPr>
            <w:r>
              <w:rPr>
                <w:rFonts w:ascii="宋体" w:hAnsi="宋体" w:cs="宋体" w:eastAsia="宋体" w:hint="default"/>
                <w:sz w:val="18"/>
                <w:szCs w:val="18"/>
              </w:rPr>
              <w:t>曹恩辉</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董</w:t>
              <w:tab/>
              <w:t>事</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99" w:right="0"/>
              <w:jc w:val="left"/>
              <w:rPr>
                <w:rFonts w:ascii="宋体" w:hAnsi="宋体" w:cs="宋体" w:eastAsia="宋体" w:hint="default"/>
                <w:sz w:val="18"/>
                <w:szCs w:val="18"/>
              </w:rPr>
            </w:pPr>
            <w:r>
              <w:rPr>
                <w:rFonts w:ascii="宋体"/>
                <w:sz w:val="18"/>
              </w:rPr>
              <w:t>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1"/>
              <w:jc w:val="right"/>
              <w:rPr>
                <w:rFonts w:ascii="宋体" w:hAnsi="宋体" w:cs="宋体" w:eastAsia="宋体" w:hint="default"/>
                <w:sz w:val="18"/>
                <w:szCs w:val="18"/>
              </w:rPr>
            </w:pPr>
            <w:r>
              <w:rPr>
                <w:rFonts w:ascii="宋体"/>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26"/>
              <w:jc w:val="right"/>
              <w:rPr>
                <w:rFonts w:ascii="宋体" w:hAnsi="宋体" w:cs="宋体" w:eastAsia="宋体" w:hint="default"/>
                <w:sz w:val="18"/>
                <w:szCs w:val="18"/>
              </w:rPr>
            </w:pPr>
            <w:r>
              <w:rPr>
                <w:rFonts w:ascii="宋体"/>
                <w:sz w:val="18"/>
              </w:rPr>
              <w:t>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37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8" w:right="0"/>
              <w:jc w:val="center"/>
              <w:rPr>
                <w:rFonts w:ascii="宋体" w:hAnsi="宋体" w:cs="宋体" w:eastAsia="宋体" w:hint="default"/>
                <w:sz w:val="18"/>
                <w:szCs w:val="18"/>
              </w:rPr>
            </w:pPr>
            <w:r>
              <w:rPr>
                <w:rFonts w:ascii="宋体" w:hAnsi="宋体" w:cs="宋体" w:eastAsia="宋体" w:hint="default"/>
                <w:sz w:val="18"/>
                <w:szCs w:val="18"/>
              </w:rPr>
              <w:t>殷金龙</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tabs>
                <w:tab w:pos="453" w:val="left" w:leader="none"/>
              </w:tabs>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董</w:t>
              <w:tab/>
              <w:t>事</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56" w:right="0"/>
              <w:jc w:val="left"/>
              <w:rPr>
                <w:rFonts w:ascii="宋体" w:hAnsi="宋体" w:cs="宋体" w:eastAsia="宋体" w:hint="default"/>
                <w:sz w:val="18"/>
                <w:szCs w:val="18"/>
              </w:rPr>
            </w:pPr>
            <w:r>
              <w:rPr>
                <w:rFonts w:ascii="宋体"/>
                <w:sz w:val="18"/>
              </w:rPr>
              <w:t>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1"/>
              <w:jc w:val="right"/>
              <w:rPr>
                <w:rFonts w:ascii="宋体" w:hAnsi="宋体" w:cs="宋体" w:eastAsia="宋体" w:hint="default"/>
                <w:sz w:val="18"/>
                <w:szCs w:val="18"/>
              </w:rPr>
            </w:pPr>
            <w:r>
              <w:rPr>
                <w:rFonts w:ascii="宋体"/>
                <w:sz w:val="18"/>
              </w:rPr>
              <w:t>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26"/>
              <w:jc w:val="right"/>
              <w:rPr>
                <w:rFonts w:ascii="宋体" w:hAnsi="宋体" w:cs="宋体" w:eastAsia="宋体" w:hint="default"/>
                <w:sz w:val="18"/>
                <w:szCs w:val="18"/>
              </w:rPr>
            </w:pPr>
            <w:r>
              <w:rPr>
                <w:rFonts w:ascii="宋体"/>
                <w:sz w:val="18"/>
              </w:rPr>
              <w:t>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37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8" w:right="0"/>
              <w:jc w:val="center"/>
              <w:rPr>
                <w:rFonts w:ascii="宋体" w:hAnsi="宋体" w:cs="宋体" w:eastAsia="宋体" w:hint="default"/>
                <w:sz w:val="18"/>
                <w:szCs w:val="18"/>
              </w:rPr>
            </w:pPr>
            <w:r>
              <w:rPr>
                <w:rFonts w:ascii="宋体" w:hAnsi="宋体" w:cs="宋体" w:eastAsia="宋体" w:hint="default"/>
                <w:sz w:val="18"/>
                <w:szCs w:val="18"/>
              </w:rPr>
              <w:t>果德安</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99" w:right="0"/>
              <w:jc w:val="left"/>
              <w:rPr>
                <w:rFonts w:ascii="宋体" w:hAnsi="宋体" w:cs="宋体" w:eastAsia="宋体" w:hint="default"/>
                <w:sz w:val="18"/>
                <w:szCs w:val="18"/>
              </w:rPr>
            </w:pPr>
            <w:r>
              <w:rPr>
                <w:rFonts w:ascii="宋体"/>
                <w:sz w:val="18"/>
              </w:rPr>
              <w:t>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sz w:val="18"/>
              </w:rPr>
              <w:t>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851"/>
              <w:jc w:val="right"/>
              <w:rPr>
                <w:rFonts w:ascii="宋体" w:hAnsi="宋体" w:cs="宋体" w:eastAsia="宋体" w:hint="default"/>
                <w:sz w:val="18"/>
                <w:szCs w:val="18"/>
              </w:rPr>
            </w:pPr>
            <w:r>
              <w:rPr>
                <w:rFonts w:ascii="宋体"/>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26"/>
              <w:jc w:val="right"/>
              <w:rPr>
                <w:rFonts w:ascii="宋体" w:hAnsi="宋体" w:cs="宋体" w:eastAsia="宋体" w:hint="default"/>
                <w:sz w:val="18"/>
                <w:szCs w:val="18"/>
              </w:rPr>
            </w:pPr>
            <w:r>
              <w:rPr>
                <w:rFonts w:ascii="宋体"/>
                <w:sz w:val="18"/>
              </w:rPr>
              <w:t>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04"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37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8" w:right="0"/>
              <w:jc w:val="center"/>
              <w:rPr>
                <w:rFonts w:ascii="宋体" w:hAnsi="宋体" w:cs="宋体" w:eastAsia="宋体" w:hint="default"/>
                <w:sz w:val="18"/>
                <w:szCs w:val="18"/>
              </w:rPr>
            </w:pPr>
            <w:r>
              <w:rPr>
                <w:rFonts w:ascii="宋体" w:hAnsi="宋体" w:cs="宋体" w:eastAsia="宋体" w:hint="default"/>
                <w:sz w:val="18"/>
                <w:szCs w:val="18"/>
              </w:rPr>
              <w:t>徐卫东</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56" w:right="0"/>
              <w:jc w:val="left"/>
              <w:rPr>
                <w:rFonts w:ascii="宋体" w:hAnsi="宋体" w:cs="宋体" w:eastAsia="宋体" w:hint="default"/>
                <w:sz w:val="18"/>
                <w:szCs w:val="18"/>
              </w:rPr>
            </w:pPr>
            <w:r>
              <w:rPr>
                <w:rFonts w:ascii="宋体"/>
                <w:sz w:val="18"/>
              </w:rPr>
              <w:t>11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1"/>
              <w:jc w:val="right"/>
              <w:rPr>
                <w:rFonts w:ascii="宋体" w:hAnsi="宋体" w:cs="宋体" w:eastAsia="宋体" w:hint="default"/>
                <w:sz w:val="18"/>
                <w:szCs w:val="18"/>
              </w:rPr>
            </w:pPr>
            <w:r>
              <w:rPr>
                <w:rFonts w:ascii="宋体"/>
                <w:sz w:val="18"/>
              </w:rPr>
              <w:t>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26"/>
              <w:jc w:val="right"/>
              <w:rPr>
                <w:rFonts w:ascii="宋体" w:hAnsi="宋体" w:cs="宋体" w:eastAsia="宋体" w:hint="default"/>
                <w:sz w:val="18"/>
                <w:szCs w:val="18"/>
              </w:rPr>
            </w:pPr>
            <w:r>
              <w:rPr>
                <w:rFonts w:ascii="宋体"/>
                <w:sz w:val="18"/>
              </w:rPr>
              <w:t>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37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8" w:right="0"/>
              <w:jc w:val="center"/>
              <w:rPr>
                <w:rFonts w:ascii="宋体" w:hAnsi="宋体" w:cs="宋体" w:eastAsia="宋体" w:hint="default"/>
                <w:sz w:val="18"/>
                <w:szCs w:val="18"/>
              </w:rPr>
            </w:pPr>
            <w:r>
              <w:rPr>
                <w:rFonts w:ascii="宋体" w:hAnsi="宋体" w:cs="宋体" w:eastAsia="宋体" w:hint="default"/>
                <w:sz w:val="18"/>
                <w:szCs w:val="18"/>
              </w:rPr>
              <w:t>马利杰</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99" w:right="0"/>
              <w:jc w:val="left"/>
              <w:rPr>
                <w:rFonts w:ascii="宋体" w:hAnsi="宋体" w:cs="宋体" w:eastAsia="宋体" w:hint="default"/>
                <w:sz w:val="18"/>
                <w:szCs w:val="18"/>
              </w:rPr>
            </w:pPr>
            <w:r>
              <w:rPr>
                <w:rFonts w:ascii="宋体"/>
                <w:sz w:val="18"/>
              </w:rPr>
              <w:t>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1"/>
              <w:jc w:val="right"/>
              <w:rPr>
                <w:rFonts w:ascii="宋体" w:hAnsi="宋体" w:cs="宋体" w:eastAsia="宋体" w:hint="default"/>
                <w:sz w:val="18"/>
                <w:szCs w:val="18"/>
              </w:rPr>
            </w:pPr>
            <w:r>
              <w:rPr>
                <w:rFonts w:ascii="宋体"/>
                <w:sz w:val="18"/>
              </w:rPr>
              <w:t>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26"/>
              <w:jc w:val="right"/>
              <w:rPr>
                <w:rFonts w:ascii="宋体" w:hAnsi="宋体" w:cs="宋体" w:eastAsia="宋体" w:hint="default"/>
                <w:sz w:val="18"/>
                <w:szCs w:val="18"/>
              </w:rPr>
            </w:pPr>
            <w:r>
              <w:rPr>
                <w:rFonts w:ascii="宋体"/>
                <w:sz w:val="18"/>
              </w:rPr>
              <w:t>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371"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21" w:right="0"/>
              <w:jc w:val="center"/>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飞</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99" w:right="0"/>
              <w:jc w:val="left"/>
              <w:rPr>
                <w:rFonts w:ascii="宋体" w:hAnsi="宋体" w:cs="宋体" w:eastAsia="宋体" w:hint="default"/>
                <w:sz w:val="18"/>
                <w:szCs w:val="18"/>
              </w:rPr>
            </w:pPr>
            <w:r>
              <w:rPr>
                <w:rFonts w:ascii="宋体"/>
                <w:sz w:val="18"/>
              </w:rPr>
              <w:t>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1"/>
              <w:jc w:val="right"/>
              <w:rPr>
                <w:rFonts w:ascii="宋体" w:hAnsi="宋体" w:cs="宋体" w:eastAsia="宋体" w:hint="default"/>
                <w:sz w:val="18"/>
                <w:szCs w:val="18"/>
              </w:rPr>
            </w:pPr>
            <w:r>
              <w:rPr>
                <w:rFonts w:ascii="宋体"/>
                <w:sz w:val="18"/>
              </w:rPr>
              <w:t>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26"/>
              <w:jc w:val="right"/>
              <w:rPr>
                <w:rFonts w:ascii="宋体" w:hAnsi="宋体" w:cs="宋体" w:eastAsia="宋体" w:hint="default"/>
                <w:sz w:val="18"/>
                <w:szCs w:val="18"/>
              </w:rPr>
            </w:pPr>
            <w:r>
              <w:rPr>
                <w:rFonts w:ascii="宋体"/>
                <w:sz w:val="18"/>
              </w:rPr>
              <w:t>0</w:t>
            </w:r>
          </w:p>
        </w:tc>
        <w:tc>
          <w:tcPr>
            <w:tcW w:w="2107"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2" w:hRule="exact"/>
        </w:trPr>
        <w:tc>
          <w:tcPr>
            <w:tcW w:w="1371" w:type="dxa"/>
            <w:tcBorders>
              <w:top w:val="single" w:sz="4" w:space="0" w:color="000000"/>
              <w:left w:val="nil" w:sz="6" w:space="0" w:color="auto"/>
              <w:bottom w:val="single" w:sz="12" w:space="0" w:color="000000"/>
              <w:right w:val="single" w:sz="4" w:space="0" w:color="000000"/>
            </w:tcBorders>
          </w:tcPr>
          <w:p>
            <w:pPr>
              <w:pStyle w:val="TableParagraph"/>
              <w:spacing w:line="203" w:lineRule="exact"/>
              <w:ind w:left="21" w:right="0"/>
              <w:jc w:val="center"/>
              <w:rPr>
                <w:rFonts w:ascii="宋体" w:hAnsi="宋体" w:cs="宋体" w:eastAsia="宋体" w:hint="default"/>
                <w:sz w:val="18"/>
                <w:szCs w:val="18"/>
              </w:rPr>
            </w:pPr>
            <w:r>
              <w:rPr>
                <w:rFonts w:ascii="宋体" w:hAnsi="宋体" w:cs="宋体" w:eastAsia="宋体" w:hint="default"/>
                <w:sz w:val="18"/>
                <w:szCs w:val="18"/>
              </w:rPr>
              <w:t>方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1306"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2"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left="499" w:right="0"/>
              <w:jc w:val="left"/>
              <w:rPr>
                <w:rFonts w:ascii="宋体" w:hAnsi="宋体" w:cs="宋体" w:eastAsia="宋体" w:hint="default"/>
                <w:sz w:val="18"/>
                <w:szCs w:val="18"/>
              </w:rPr>
            </w:pPr>
            <w:r>
              <w:rPr>
                <w:rFonts w:ascii="宋体"/>
                <w:sz w:val="18"/>
              </w:rPr>
              <w:t>9</w:t>
            </w:r>
          </w:p>
        </w:tc>
        <w:tc>
          <w:tcPr>
            <w:tcW w:w="1054"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6</w:t>
            </w:r>
          </w:p>
        </w:tc>
        <w:tc>
          <w:tcPr>
            <w:tcW w:w="1805"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851"/>
              <w:jc w:val="right"/>
              <w:rPr>
                <w:rFonts w:ascii="宋体" w:hAnsi="宋体" w:cs="宋体" w:eastAsia="宋体" w:hint="default"/>
                <w:sz w:val="18"/>
                <w:szCs w:val="18"/>
              </w:rPr>
            </w:pPr>
            <w:r>
              <w:rPr>
                <w:rFonts w:ascii="宋体"/>
                <w:sz w:val="18"/>
              </w:rPr>
              <w:t>3</w:t>
            </w:r>
          </w:p>
        </w:tc>
        <w:tc>
          <w:tcPr>
            <w:tcW w:w="1202"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752"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326"/>
              <w:jc w:val="right"/>
              <w:rPr>
                <w:rFonts w:ascii="宋体" w:hAnsi="宋体" w:cs="宋体" w:eastAsia="宋体" w:hint="default"/>
                <w:sz w:val="18"/>
                <w:szCs w:val="18"/>
              </w:rPr>
            </w:pPr>
            <w:r>
              <w:rPr>
                <w:rFonts w:ascii="宋体"/>
                <w:sz w:val="18"/>
              </w:rPr>
              <w:t>0</w:t>
            </w:r>
          </w:p>
        </w:tc>
        <w:tc>
          <w:tcPr>
            <w:tcW w:w="2107" w:type="dxa"/>
            <w:tcBorders>
              <w:top w:val="single" w:sz="4" w:space="0" w:color="000000"/>
              <w:left w:val="single" w:sz="4" w:space="0" w:color="000000"/>
              <w:bottom w:val="single" w:sz="12"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pStyle w:val="Heading3"/>
        <w:spacing w:line="274" w:lineRule="exact" w:before="0"/>
        <w:ind w:left="720" w:right="606"/>
        <w:jc w:val="left"/>
      </w:pPr>
      <w:r>
        <w:rPr>
          <w:spacing w:val="-3"/>
        </w:rPr>
        <w:t>报告期内，公司董事会进行了换届选举，第三届董事会召开了两次会议，第四届董事会召开九次</w:t>
      </w:r>
    </w:p>
    <w:p>
      <w:pPr>
        <w:pStyle w:val="Heading3"/>
        <w:spacing w:line="240" w:lineRule="auto" w:before="151"/>
        <w:ind w:left="240" w:right="606"/>
        <w:jc w:val="left"/>
      </w:pPr>
      <w:r>
        <w:rPr/>
        <w:t>会议。</w:t>
      </w:r>
    </w:p>
    <w:p>
      <w:pPr>
        <w:spacing w:line="355" w:lineRule="auto" w:before="154"/>
        <w:ind w:left="720" w:right="1326" w:hanging="60"/>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三、公司与控股股东在业务、人员、资产、机构、财务等方面的情况</w:t>
      </w:r>
      <w:r>
        <w:rPr>
          <w:rFonts w:ascii="宋体" w:hAnsi="宋体" w:cs="宋体" w:eastAsia="宋体" w:hint="default"/>
          <w:b/>
          <w:bCs/>
          <w:w w:val="99"/>
          <w:sz w:val="24"/>
          <w:szCs w:val="24"/>
        </w:rPr>
        <w:t> </w:t>
      </w:r>
      <w:r>
        <w:rPr>
          <w:rFonts w:ascii="宋体" w:hAnsi="宋体" w:cs="宋体" w:eastAsia="宋体" w:hint="default"/>
          <w:sz w:val="24"/>
          <w:szCs w:val="24"/>
        </w:rPr>
        <w:t>公司具备完整、规范的产、供、销生产经营管理体制和运行机制，在业务、人员、资产、</w:t>
      </w:r>
    </w:p>
    <w:p>
      <w:pPr>
        <w:pStyle w:val="Heading3"/>
        <w:spacing w:line="240" w:lineRule="auto" w:before="39"/>
        <w:ind w:left="240" w:right="606"/>
        <w:jc w:val="left"/>
      </w:pPr>
      <w:r>
        <w:rPr/>
        <w:t>机构、财务等方面与股东单位完全分开，独立运作。</w:t>
      </w:r>
    </w:p>
    <w:p>
      <w:pPr>
        <w:pStyle w:val="Heading3"/>
        <w:spacing w:line="357" w:lineRule="auto" w:before="151"/>
        <w:ind w:left="720" w:right="606" w:firstLine="2"/>
        <w:jc w:val="left"/>
      </w:pPr>
      <w:r>
        <w:rPr>
          <w:rFonts w:ascii="宋体" w:hAnsi="宋体" w:cs="宋体" w:eastAsia="宋体" w:hint="default"/>
          <w:b/>
          <w:bCs/>
        </w:rPr>
        <w:t>（一）业务独立</w:t>
      </w:r>
      <w:r>
        <w:rPr>
          <w:rFonts w:ascii="宋体" w:hAnsi="宋体" w:cs="宋体" w:eastAsia="宋体" w:hint="default"/>
          <w:b/>
          <w:bCs/>
          <w:w w:val="99"/>
        </w:rPr>
        <w:t> </w:t>
      </w:r>
      <w:r>
        <w:rPr>
          <w:spacing w:val="-3"/>
        </w:rPr>
        <w:t>公司具有完整的采购供应体系、完整的生产管理体系和独立的销售运作体系，独立开展业务，不</w:t>
      </w:r>
    </w:p>
    <w:p>
      <w:pPr>
        <w:pStyle w:val="Heading3"/>
        <w:spacing w:line="240" w:lineRule="auto" w:before="34"/>
        <w:ind w:left="240" w:right="606"/>
        <w:jc w:val="left"/>
      </w:pPr>
      <w:r>
        <w:rPr/>
        <w:t>依赖于任何股东及关联方。</w:t>
      </w:r>
    </w:p>
    <w:p>
      <w:pPr>
        <w:pStyle w:val="Heading3"/>
        <w:spacing w:line="357" w:lineRule="auto"/>
        <w:ind w:left="720" w:right="606" w:firstLine="43"/>
        <w:jc w:val="left"/>
      </w:pPr>
      <w:r>
        <w:rPr>
          <w:rFonts w:ascii="宋体" w:hAnsi="宋体" w:cs="宋体" w:eastAsia="宋体" w:hint="default"/>
          <w:b/>
          <w:bCs/>
        </w:rPr>
        <w:t>（二）人员独立</w:t>
      </w:r>
      <w:r>
        <w:rPr>
          <w:rFonts w:ascii="宋体" w:hAnsi="宋体" w:cs="宋体" w:eastAsia="宋体" w:hint="default"/>
          <w:b/>
          <w:bCs/>
          <w:w w:val="99"/>
        </w:rPr>
        <w:t> </w:t>
      </w:r>
      <w:r>
        <w:rPr>
          <w:spacing w:val="-3"/>
        </w:rPr>
        <w:t>本公司董事、监事及高级管理人员严格按照《公司法》和《公司章程》的有关规定产生；公司建</w:t>
      </w:r>
    </w:p>
    <w:p>
      <w:pPr>
        <w:pStyle w:val="Heading3"/>
        <w:spacing w:line="240" w:lineRule="auto" w:before="34"/>
        <w:ind w:left="240" w:right="606"/>
        <w:jc w:val="left"/>
      </w:pPr>
      <w:r>
        <w:rPr/>
        <w:t>有独立的人事及工资管理系统；公司还制订了严格的《人事管理制度</w:t>
      </w:r>
      <w:r>
        <w:rPr>
          <w:spacing w:val="-120"/>
        </w:rPr>
        <w:t>》</w:t>
      </w:r>
      <w:r>
        <w:rPr>
          <w:spacing w:val="1"/>
        </w:rPr>
        <w:t>，</w:t>
      </w:r>
      <w:r>
        <w:rPr/>
        <w:t>对人员管理做到了制度化。</w:t>
      </w:r>
    </w:p>
    <w:p>
      <w:pPr>
        <w:pStyle w:val="Heading3"/>
        <w:spacing w:line="355" w:lineRule="auto"/>
        <w:ind w:left="720" w:right="606" w:hanging="8"/>
        <w:jc w:val="left"/>
      </w:pPr>
      <w:r>
        <w:rPr>
          <w:rFonts w:ascii="宋体" w:hAnsi="宋体" w:cs="宋体" w:eastAsia="宋体" w:hint="default"/>
          <w:b/>
          <w:bCs/>
        </w:rPr>
        <w:t>（三）资产独立</w:t>
      </w:r>
      <w:r>
        <w:rPr>
          <w:rFonts w:ascii="宋体" w:hAnsi="宋体" w:cs="宋体" w:eastAsia="宋体" w:hint="default"/>
          <w:b/>
          <w:bCs/>
          <w:w w:val="99"/>
        </w:rPr>
        <w:t> </w:t>
      </w:r>
      <w:r>
        <w:rPr>
          <w:spacing w:val="-3"/>
        </w:rPr>
        <w:t>本公司的主要资产包括主营业务所需的完整的生产设备、土地、厂房、办公用房、仓储用房、交</w:t>
      </w:r>
    </w:p>
    <w:p>
      <w:pPr>
        <w:pStyle w:val="Heading3"/>
        <w:spacing w:line="240" w:lineRule="auto" w:before="38"/>
        <w:ind w:left="240" w:right="606"/>
        <w:jc w:val="left"/>
      </w:pPr>
      <w:r>
        <w:rPr/>
        <w:t>通工具和知识产权，具有完整的配套设施。上述资产产权清晰，完全独立于股东单位。</w:t>
      </w:r>
    </w:p>
    <w:p>
      <w:pPr>
        <w:pStyle w:val="Heading3"/>
        <w:spacing w:line="357" w:lineRule="auto" w:before="151"/>
        <w:ind w:left="720" w:right="606" w:hanging="8"/>
        <w:jc w:val="left"/>
      </w:pPr>
      <w:r>
        <w:rPr>
          <w:rFonts w:ascii="宋体" w:hAnsi="宋体" w:cs="宋体" w:eastAsia="宋体" w:hint="default"/>
          <w:b/>
          <w:bCs/>
        </w:rPr>
        <w:t>（四）机构独立</w:t>
      </w:r>
      <w:r>
        <w:rPr>
          <w:rFonts w:ascii="宋体" w:hAnsi="宋体" w:cs="宋体" w:eastAsia="宋体" w:hint="default"/>
          <w:b/>
          <w:bCs/>
          <w:w w:val="99"/>
        </w:rPr>
        <w:t> </w:t>
      </w:r>
      <w:r>
        <w:rPr>
          <w:spacing w:val="-3"/>
        </w:rPr>
        <w:t>本公司设股东大会、董事会、监事会，按照《公司章程》的规定履行相关权利和义务。公司拥有</w:t>
      </w:r>
    </w:p>
    <w:p>
      <w:pPr>
        <w:pStyle w:val="Heading3"/>
        <w:spacing w:line="357" w:lineRule="auto" w:before="34"/>
        <w:ind w:left="240" w:right="606"/>
        <w:jc w:val="left"/>
      </w:pPr>
      <w:r>
        <w:rPr>
          <w:spacing w:val="-3"/>
        </w:rPr>
        <w:t>独立的组织机构，拥有独立的运作、管理和考核机制。公司总经理、副总经理、董事会秘书、财务总</w:t>
      </w:r>
      <w:r>
        <w:rPr>
          <w:spacing w:val="-85"/>
        </w:rPr>
        <w:t> </w:t>
      </w:r>
      <w:r>
        <w:rPr>
          <w:spacing w:val="-85"/>
        </w:rPr>
      </w:r>
      <w:r>
        <w:rPr/>
        <w:t>监均在公司领取报酬。</w:t>
      </w:r>
    </w:p>
    <w:p>
      <w:pPr>
        <w:spacing w:after="0" w:line="357" w:lineRule="auto"/>
        <w:jc w:val="left"/>
        <w:sectPr>
          <w:pgSz w:w="11910" w:h="16840"/>
          <w:pgMar w:header="720" w:footer="956" w:top="1300" w:bottom="1140" w:left="480" w:right="0"/>
        </w:sectPr>
      </w:pPr>
    </w:p>
    <w:p>
      <w:pPr>
        <w:pStyle w:val="Heading3"/>
        <w:spacing w:line="355" w:lineRule="auto" w:before="13"/>
        <w:ind w:left="620" w:right="0" w:hanging="8"/>
        <w:jc w:val="left"/>
      </w:pPr>
      <w:r>
        <w:rPr/>
        <w:pict>
          <v:group style="position:absolute;margin-left:34.560001pt;margin-top:2.305654pt;width:508.3pt;height:.1pt;mso-position-horizontal-relative:page;mso-position-vertical-relative:paragraph;z-index:-534592"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b/>
          <w:bCs/>
        </w:rPr>
        <w:t>（五）财务独立</w:t>
      </w:r>
      <w:r>
        <w:rPr>
          <w:rFonts w:ascii="宋体" w:hAnsi="宋体" w:cs="宋体" w:eastAsia="宋体" w:hint="default"/>
          <w:b/>
          <w:bCs/>
          <w:w w:val="99"/>
        </w:rPr>
        <w:t> </w:t>
      </w:r>
      <w:r>
        <w:rPr>
          <w:spacing w:val="-3"/>
        </w:rPr>
        <w:t>公司设有独立的财务部门，建立独立的财务会计核算体系和财务管理制度，财务人员与股东单位</w:t>
      </w:r>
    </w:p>
    <w:p>
      <w:pPr>
        <w:pStyle w:val="Heading3"/>
        <w:spacing w:line="357" w:lineRule="auto" w:before="38"/>
        <w:ind w:left="560" w:right="0" w:hanging="420"/>
        <w:jc w:val="left"/>
      </w:pPr>
      <w:r>
        <w:rPr/>
        <w:t>完全独立，不存在交叉任职情况。公司独立开设银行帐户，作为独立的纳税人依法独立纳税。 </w:t>
      </w:r>
      <w:r>
        <w:rPr>
          <w:rFonts w:ascii="宋体" w:hAnsi="宋体" w:cs="宋体" w:eastAsia="宋体" w:hint="default"/>
          <w:b/>
          <w:bCs/>
        </w:rPr>
        <w:t>四、公司内部控制制度的建设和执行情况</w:t>
      </w:r>
      <w:r>
        <w:rPr>
          <w:rFonts w:ascii="宋体" w:hAnsi="宋体" w:cs="宋体" w:eastAsia="宋体" w:hint="default"/>
          <w:b/>
          <w:bCs/>
          <w:w w:val="99"/>
        </w:rPr>
        <w:t> </w:t>
      </w:r>
      <w:r>
        <w:rPr>
          <w:spacing w:val="-3"/>
        </w:rPr>
        <w:t>公司内部控制制度已基本建立健全，现有的内部控制制度符合我国有关法规和证券监管部门的要</w:t>
      </w:r>
    </w:p>
    <w:p>
      <w:pPr>
        <w:pStyle w:val="Heading3"/>
        <w:spacing w:line="357" w:lineRule="auto" w:before="34"/>
        <w:ind w:right="719"/>
        <w:jc w:val="both"/>
      </w:pPr>
      <w:r>
        <w:rPr>
          <w:spacing w:val="-3"/>
        </w:rPr>
        <w:t>求，能够适应公司管理的要求，符合当前公司生产经营实际情况需要和公司发展的需要，在企业管理</w:t>
      </w:r>
      <w:r>
        <w:rPr>
          <w:spacing w:val="-84"/>
        </w:rPr>
        <w:t> </w:t>
      </w:r>
      <w:r>
        <w:rPr>
          <w:spacing w:val="-84"/>
        </w:rPr>
      </w:r>
      <w:r>
        <w:rPr>
          <w:spacing w:val="-3"/>
        </w:rPr>
        <w:t>各个过程、各个关键环节、重大投资、重大风险等方面发挥了较好的控制与防范作用。能够对编制真</w:t>
      </w:r>
      <w:r>
        <w:rPr>
          <w:spacing w:val="-84"/>
        </w:rPr>
        <w:t> </w:t>
      </w:r>
      <w:r>
        <w:rPr>
          <w:spacing w:val="-84"/>
        </w:rPr>
      </w:r>
      <w:r>
        <w:rPr>
          <w:spacing w:val="-3"/>
        </w:rPr>
        <w:t>实、公允的财务报表提供合理的保证，能够对公司各项业务活动的健康运行及国家有关法律法规和单</w:t>
      </w:r>
      <w:r>
        <w:rPr>
          <w:spacing w:val="-83"/>
        </w:rPr>
        <w:t> </w:t>
      </w:r>
      <w:r>
        <w:rPr>
          <w:spacing w:val="-83"/>
        </w:rPr>
      </w:r>
      <w:r>
        <w:rPr/>
        <w:t>位内部规章制度的贯彻执行提供保证。</w:t>
      </w:r>
    </w:p>
    <w:p>
      <w:pPr>
        <w:pStyle w:val="Heading3"/>
        <w:spacing w:line="357" w:lineRule="auto" w:before="34"/>
        <w:ind w:right="586" w:firstLine="480"/>
        <w:jc w:val="left"/>
      </w:pPr>
      <w:r>
        <w:rPr>
          <w:rFonts w:ascii="宋体" w:hAnsi="宋体" w:cs="宋体" w:eastAsia="宋体" w:hint="default"/>
          <w:spacing w:val="-8"/>
        </w:rPr>
        <w:t>2010</w:t>
      </w:r>
      <w:r>
        <w:rPr>
          <w:spacing w:val="-8"/>
        </w:rPr>
        <w:t>年度公司在加快内部控制建设方面，新补充、实施了《关于内幕信息知情人登记制度》、《关</w:t>
      </w:r>
      <w:r>
        <w:rPr/>
        <w:t> </w:t>
      </w:r>
      <w:r>
        <w:rPr>
          <w:spacing w:val="-10"/>
        </w:rPr>
        <w:t>于董事、监事和高级管理人员持有及买卖本公司股票管理制度》、《关于公司风险投资内部控制制度》。</w:t>
      </w:r>
      <w:r>
        <w:rPr>
          <w:spacing w:val="-115"/>
        </w:rPr>
        <w:t> </w:t>
      </w:r>
      <w:r>
        <w:rPr>
          <w:spacing w:val="-115"/>
        </w:rPr>
      </w:r>
      <w:r>
        <w:rPr>
          <w:spacing w:val="-3"/>
        </w:rPr>
        <w:t>公司内部控制制度制订以来，各项制度得到了有效的实施，促进了公司稳步、健康发展。但是，公司</w:t>
      </w:r>
      <w:r>
        <w:rPr>
          <w:spacing w:val="-86"/>
        </w:rPr>
        <w:t> </w:t>
      </w:r>
      <w:r>
        <w:rPr>
          <w:spacing w:val="-86"/>
        </w:rPr>
      </w:r>
      <w:r>
        <w:rPr>
          <w:spacing w:val="-3"/>
        </w:rPr>
        <w:t>运作的不断规范、各项管理制度的完善是持续不断过程，对此公司将及时进行内部控制体系的补充和</w:t>
      </w:r>
      <w:r>
        <w:rPr>
          <w:spacing w:val="-84"/>
        </w:rPr>
        <w:t> </w:t>
      </w:r>
      <w:r>
        <w:rPr>
          <w:spacing w:val="-84"/>
        </w:rPr>
      </w:r>
      <w:r>
        <w:rPr>
          <w:spacing w:val="-3"/>
        </w:rPr>
        <w:t>完善，持续优化包括经营控制、财务管理控制和信息披露控制在内的内控体系，以保障公司战略、经</w:t>
      </w:r>
      <w:r>
        <w:rPr>
          <w:spacing w:val="-84"/>
        </w:rPr>
        <w:t> </w:t>
      </w:r>
      <w:r>
        <w:rPr>
          <w:spacing w:val="-84"/>
        </w:rPr>
      </w:r>
      <w:r>
        <w:rPr/>
        <w:t>营目标的实现。</w:t>
      </w:r>
    </w:p>
    <w:p>
      <w:pPr>
        <w:spacing w:line="355" w:lineRule="auto" w:before="36"/>
        <w:ind w:left="663" w:right="803" w:hanging="104"/>
        <w:jc w:val="left"/>
        <w:rPr>
          <w:rFonts w:ascii="宋体" w:hAnsi="宋体" w:cs="宋体" w:eastAsia="宋体" w:hint="default"/>
          <w:sz w:val="24"/>
          <w:szCs w:val="24"/>
        </w:rPr>
      </w:pPr>
      <w:r>
        <w:rPr>
          <w:rFonts w:ascii="宋体" w:hAnsi="宋体" w:cs="宋体" w:eastAsia="宋体" w:hint="default"/>
          <w:b/>
          <w:bCs/>
          <w:sz w:val="24"/>
          <w:szCs w:val="24"/>
        </w:rPr>
        <w:t>五、公司对高级管理人员的考评及激励机制</w:t>
      </w:r>
      <w:r>
        <w:rPr>
          <w:rFonts w:ascii="宋体" w:hAnsi="宋体" w:cs="宋体" w:eastAsia="宋体" w:hint="default"/>
          <w:b/>
          <w:bCs/>
          <w:w w:val="99"/>
          <w:sz w:val="24"/>
          <w:szCs w:val="24"/>
        </w:rPr>
        <w:t> </w:t>
      </w:r>
      <w:r>
        <w:rPr>
          <w:rFonts w:ascii="宋体" w:hAnsi="宋体" w:cs="宋体" w:eastAsia="宋体" w:hint="default"/>
          <w:sz w:val="24"/>
          <w:szCs w:val="24"/>
        </w:rPr>
        <w:t>公司正逐步完善和建立公正、透明的董事、监事和高级管理人员的绩效评价标准和激励约束机</w:t>
      </w:r>
    </w:p>
    <w:p>
      <w:pPr>
        <w:pStyle w:val="Heading3"/>
        <w:spacing w:line="355" w:lineRule="auto" w:before="38"/>
        <w:ind w:left="620" w:right="0" w:hanging="480"/>
        <w:jc w:val="left"/>
      </w:pPr>
      <w:r>
        <w:rPr/>
        <w:t>制，公司高级管理人员的聘任公开、透明，符合法律法规的规定。 </w:t>
      </w:r>
      <w:r>
        <w:rPr>
          <w:rFonts w:ascii="宋体" w:hAnsi="宋体" w:cs="宋体" w:eastAsia="宋体" w:hint="default"/>
        </w:rPr>
        <w:t>1</w:t>
      </w:r>
      <w:r>
        <w:rPr/>
        <w:t>、考评机制：由公司董事会按年度对公司高级管理人员的业绩和履职情况进行考评，并根据工</w:t>
      </w:r>
    </w:p>
    <w:p>
      <w:pPr>
        <w:pStyle w:val="Heading3"/>
        <w:spacing w:line="355" w:lineRule="auto" w:before="38"/>
        <w:ind w:right="716"/>
        <w:jc w:val="both"/>
      </w:pPr>
      <w:r>
        <w:rPr>
          <w:spacing w:val="-3"/>
        </w:rPr>
        <w:t>作业绩决定年度薪酬，以考核结果作为下一年度的岗位安排、年薪档次、是否续聘及职位升降和下一</w:t>
      </w:r>
      <w:r>
        <w:rPr>
          <w:spacing w:val="-82"/>
        </w:rPr>
        <w:t> </w:t>
      </w:r>
      <w:r>
        <w:rPr>
          <w:spacing w:val="-82"/>
        </w:rPr>
      </w:r>
      <w:r>
        <w:rPr/>
        <w:t>届任免的依据。</w:t>
      </w:r>
    </w:p>
    <w:p>
      <w:pPr>
        <w:pStyle w:val="Heading3"/>
        <w:spacing w:line="355" w:lineRule="auto" w:before="38"/>
        <w:ind w:right="0" w:firstLine="480"/>
        <w:jc w:val="left"/>
      </w:pPr>
      <w:r>
        <w:rPr>
          <w:rFonts w:ascii="宋体" w:hAnsi="宋体" w:cs="宋体" w:eastAsia="宋体" w:hint="default"/>
        </w:rPr>
        <w:t>2</w:t>
      </w:r>
      <w:r>
        <w:rPr/>
        <w:t>、激励机制：年初，董事会根据公司的经营计划和个人的岗位职责，确定年度工资额；年终董 事会根据高级管理人员本年度的工作业绩进行考评后确定对高管人员的奖金总额。</w:t>
      </w:r>
    </w:p>
    <w:p>
      <w:pPr>
        <w:spacing w:line="355" w:lineRule="auto" w:before="38"/>
        <w:ind w:left="620" w:right="0" w:hanging="60"/>
        <w:jc w:val="left"/>
        <w:rPr>
          <w:rFonts w:ascii="宋体" w:hAnsi="宋体" w:cs="宋体" w:eastAsia="宋体" w:hint="default"/>
          <w:sz w:val="24"/>
          <w:szCs w:val="24"/>
        </w:rPr>
      </w:pPr>
      <w:r>
        <w:rPr>
          <w:rFonts w:ascii="宋体" w:hAnsi="宋体" w:cs="宋体" w:eastAsia="宋体" w:hint="default"/>
          <w:b/>
          <w:bCs/>
          <w:sz w:val="24"/>
          <w:szCs w:val="24"/>
        </w:rPr>
        <w:t>六、公司内部审计制度的建立和执行情况</w:t>
      </w:r>
      <w:r>
        <w:rPr>
          <w:rFonts w:ascii="宋体" w:hAnsi="宋体" w:cs="宋体" w:eastAsia="宋体" w:hint="default"/>
          <w:b/>
          <w:bCs/>
          <w:w w:val="99"/>
          <w:sz w:val="24"/>
          <w:szCs w:val="24"/>
        </w:rPr>
        <w:t> </w:t>
      </w:r>
      <w:r>
        <w:rPr>
          <w:rFonts w:ascii="宋体" w:hAnsi="宋体" w:cs="宋体" w:eastAsia="宋体" w:hint="default"/>
          <w:spacing w:val="-3"/>
          <w:sz w:val="24"/>
          <w:szCs w:val="24"/>
        </w:rPr>
        <w:t>根据公司《内部审计制度的规定和要求》，公司内部设有审计部。该部门在董事会的领导下，对</w:t>
      </w:r>
    </w:p>
    <w:p>
      <w:pPr>
        <w:pStyle w:val="Heading3"/>
        <w:spacing w:line="357" w:lineRule="auto" w:before="38"/>
        <w:ind w:right="600"/>
        <w:jc w:val="both"/>
      </w:pPr>
      <w:r>
        <w:rPr/>
        <w:t>董事会负责并报告工作，独立行使审计权，不受其他部门或个人的干涉。审计部现有审计人员</w:t>
      </w:r>
      <w:r>
        <w:rPr>
          <w:spacing w:val="-58"/>
        </w:rPr>
        <w:t> </w:t>
      </w:r>
      <w:r>
        <w:rPr>
          <w:rFonts w:ascii="宋体" w:hAnsi="宋体" w:cs="宋体" w:eastAsia="宋体" w:hint="default"/>
        </w:rPr>
        <w:t>3</w:t>
      </w:r>
      <w:r>
        <w:rPr>
          <w:rFonts w:ascii="宋体" w:hAnsi="宋体" w:cs="宋体" w:eastAsia="宋体" w:hint="default"/>
          <w:spacing w:val="-60"/>
        </w:rPr>
        <w:t> </w:t>
      </w:r>
      <w:r>
        <w:rPr/>
        <w:t>名， </w:t>
      </w:r>
      <w:r>
        <w:rPr>
          <w:spacing w:val="-5"/>
        </w:rPr>
        <w:t>主要对公司的财务计划、成本计划或公司的预算执行和决算情况、财务收支情况及其有关的经济活动、</w:t>
      </w:r>
      <w:r>
        <w:rPr>
          <w:spacing w:val="-111"/>
        </w:rPr>
        <w:t> </w:t>
      </w:r>
      <w:r>
        <w:rPr>
          <w:spacing w:val="-111"/>
        </w:rPr>
      </w:r>
      <w:r>
        <w:rPr/>
        <w:t>项目建设的预算和决算情况进行内部审计。</w:t>
      </w:r>
    </w:p>
    <w:p>
      <w:pPr>
        <w:pStyle w:val="Heading3"/>
        <w:spacing w:line="355" w:lineRule="auto" w:before="36"/>
        <w:ind w:right="0" w:firstLine="480"/>
        <w:jc w:val="left"/>
      </w:pPr>
      <w:r>
        <w:rPr>
          <w:spacing w:val="-3"/>
        </w:rPr>
        <w:t>报告期内，审计部对公司的财务收支、物料采购进行了内部审计，同时对内部控制制度的执行情</w:t>
      </w:r>
      <w:r>
        <w:rPr/>
        <w:t> 况进行了日常监督，并对内部审计体系进行了补充和完善。</w:t>
      </w:r>
    </w:p>
    <w:p>
      <w:pPr>
        <w:spacing w:after="0" w:line="355" w:lineRule="auto"/>
        <w:jc w:val="left"/>
        <w:sectPr>
          <w:pgSz w:w="11910" w:h="16840"/>
          <w:pgMar w:header="720" w:footer="956" w:top="1300" w:bottom="1140" w:left="580" w:right="0"/>
        </w:sectPr>
      </w:pPr>
    </w:p>
    <w:p>
      <w:pPr>
        <w:spacing w:line="240" w:lineRule="auto" w:before="13"/>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286" w:val="left" w:leader="none"/>
        </w:tabs>
        <w:spacing w:line="240" w:lineRule="auto" w:before="165"/>
        <w:ind w:right="579"/>
        <w:jc w:val="center"/>
        <w:rPr>
          <w:b w:val="0"/>
          <w:bCs w:val="0"/>
        </w:rPr>
      </w:pPr>
      <w:bookmarkStart w:name="_TOC_250005" w:id="6"/>
      <w:r>
        <w:rPr>
          <w:w w:val="95"/>
        </w:rPr>
        <w:t>第六节</w:t>
        <w:tab/>
      </w:r>
      <w:r>
        <w:rPr/>
        <w:t>股东大会情况简介</w:t>
      </w:r>
      <w:bookmarkEnd w:id="6"/>
      <w:r>
        <w:rPr>
          <w:b w:val="0"/>
          <w:bCs w:val="0"/>
        </w:rPr>
      </w:r>
    </w:p>
    <w:p>
      <w:pPr>
        <w:spacing w:line="240" w:lineRule="auto" w:before="9"/>
        <w:rPr>
          <w:rFonts w:ascii="黑体" w:hAnsi="黑体" w:cs="黑体" w:eastAsia="黑体" w:hint="default"/>
          <w:b/>
          <w:bCs/>
          <w:sz w:val="41"/>
          <w:szCs w:val="41"/>
        </w:rPr>
      </w:pPr>
    </w:p>
    <w:p>
      <w:pPr>
        <w:pStyle w:val="Heading3"/>
        <w:spacing w:line="240" w:lineRule="auto" w:before="0"/>
        <w:ind w:left="620" w:right="0"/>
        <w:jc w:val="left"/>
      </w:pPr>
      <w:r>
        <w:rPr/>
        <w:t>报告期内共召开了</w:t>
      </w:r>
      <w:r>
        <w:rPr>
          <w:spacing w:val="-60"/>
        </w:rPr>
        <w:t> </w:t>
      </w:r>
      <w:r>
        <w:rPr>
          <w:rFonts w:ascii="宋体" w:hAnsi="宋体" w:cs="宋体" w:eastAsia="宋体" w:hint="default"/>
        </w:rPr>
        <w:t>1</w:t>
      </w:r>
      <w:r>
        <w:rPr>
          <w:rFonts w:ascii="宋体" w:hAnsi="宋体" w:cs="宋体" w:eastAsia="宋体" w:hint="default"/>
          <w:spacing w:val="-60"/>
        </w:rPr>
        <w:t> </w:t>
      </w:r>
      <w:r>
        <w:rPr/>
        <w:t>次年度股东大会，</w:t>
      </w:r>
      <w:r>
        <w:rPr>
          <w:rFonts w:ascii="宋体" w:hAnsi="宋体" w:cs="宋体" w:eastAsia="宋体" w:hint="default"/>
        </w:rPr>
        <w:t>3</w:t>
      </w:r>
      <w:r>
        <w:rPr>
          <w:rFonts w:ascii="宋体" w:hAnsi="宋体" w:cs="宋体" w:eastAsia="宋体" w:hint="default"/>
          <w:spacing w:val="-60"/>
        </w:rPr>
        <w:t> </w:t>
      </w:r>
      <w:r>
        <w:rPr/>
        <w:t>次临时股东大会：</w:t>
      </w:r>
    </w:p>
    <w:p>
      <w:pPr>
        <w:pStyle w:val="Heading3"/>
        <w:spacing w:line="355" w:lineRule="auto"/>
        <w:ind w:right="707" w:firstLine="480"/>
        <w:jc w:val="left"/>
      </w:pP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3"/>
        </w:rPr>
        <w:t> </w:t>
      </w:r>
      <w:r>
        <w:rPr>
          <w:rFonts w:ascii="宋体" w:hAnsi="宋体" w:cs="宋体" w:eastAsia="宋体" w:hint="default"/>
        </w:rPr>
        <w:t>5</w:t>
      </w:r>
      <w:r>
        <w:rPr>
          <w:rFonts w:ascii="宋体" w:hAnsi="宋体" w:cs="宋体" w:eastAsia="宋体" w:hint="default"/>
          <w:spacing w:val="-53"/>
        </w:rPr>
        <w:t> </w:t>
      </w:r>
      <w:r>
        <w:rPr/>
        <w:t>日上午</w:t>
      </w:r>
      <w:r>
        <w:rPr>
          <w:spacing w:val="-52"/>
        </w:rPr>
        <w:t> </w:t>
      </w:r>
      <w:r>
        <w:rPr>
          <w:rFonts w:ascii="宋体" w:hAnsi="宋体" w:cs="宋体" w:eastAsia="宋体" w:hint="default"/>
        </w:rPr>
        <w:t>9</w:t>
      </w:r>
      <w:r>
        <w:rPr>
          <w:rFonts w:ascii="宋体" w:hAnsi="宋体" w:cs="宋体" w:eastAsia="宋体" w:hint="default"/>
          <w:spacing w:val="-53"/>
        </w:rPr>
        <w:t> </w:t>
      </w:r>
      <w:r>
        <w:rPr/>
        <w:t>时在吉林省长春市南关区东头道街</w:t>
      </w:r>
      <w:r>
        <w:rPr>
          <w:spacing w:val="-53"/>
        </w:rPr>
        <w:t> </w:t>
      </w:r>
      <w:r>
        <w:rPr>
          <w:rFonts w:ascii="宋体" w:hAnsi="宋体" w:cs="宋体" w:eastAsia="宋体" w:hint="default"/>
        </w:rPr>
        <w:t>1</w:t>
      </w:r>
      <w:r>
        <w:rPr>
          <w:rFonts w:ascii="宋体" w:hAnsi="宋体" w:cs="宋体" w:eastAsia="宋体" w:hint="default"/>
          <w:spacing w:val="-53"/>
        </w:rPr>
        <w:t> </w:t>
      </w:r>
      <w:r>
        <w:rPr/>
        <w:t>号公司会议室举行</w:t>
      </w:r>
      <w:r>
        <w:rPr>
          <w:spacing w:val="-52"/>
        </w:rPr>
        <w:t> </w:t>
      </w:r>
      <w:r>
        <w:rPr>
          <w:rFonts w:ascii="宋体" w:hAnsi="宋体" w:cs="宋体" w:eastAsia="宋体" w:hint="default"/>
        </w:rPr>
        <w:t>2009</w:t>
      </w:r>
      <w:r>
        <w:rPr>
          <w:rFonts w:ascii="宋体" w:hAnsi="宋体" w:cs="宋体" w:eastAsia="宋体" w:hint="default"/>
          <w:spacing w:val="-53"/>
        </w:rPr>
        <w:t> </w:t>
      </w:r>
      <w:r>
        <w:rPr/>
        <w:t>年年度 股东大会，会议审议通过了如下决议：</w:t>
      </w:r>
    </w:p>
    <w:p>
      <w:pPr>
        <w:pStyle w:val="Heading3"/>
        <w:spacing w:line="240" w:lineRule="auto" w:before="38"/>
        <w:ind w:right="0"/>
        <w:jc w:val="left"/>
      </w:pPr>
      <w:r>
        <w:rPr/>
        <w:t>（</w:t>
      </w:r>
      <w:r>
        <w:rPr>
          <w:rFonts w:ascii="宋体" w:hAnsi="宋体" w:cs="宋体" w:eastAsia="宋体" w:hint="default"/>
        </w:rPr>
        <w:t>1</w:t>
      </w:r>
      <w:r>
        <w:rPr/>
        <w:t>）审议通过了《董事会</w:t>
      </w:r>
      <w:r>
        <w:rPr>
          <w:spacing w:val="-60"/>
        </w:rPr>
        <w:t> </w:t>
      </w:r>
      <w:r>
        <w:rPr>
          <w:rFonts w:ascii="宋体" w:hAnsi="宋体" w:cs="宋体" w:eastAsia="宋体" w:hint="default"/>
        </w:rPr>
        <w:t>2009</w:t>
      </w:r>
      <w:r>
        <w:rPr>
          <w:rFonts w:ascii="宋体" w:hAnsi="宋体" w:cs="宋体" w:eastAsia="宋体" w:hint="default"/>
          <w:spacing w:val="-60"/>
        </w:rPr>
        <w:t> </w:t>
      </w:r>
      <w:r>
        <w:rPr/>
        <w:t>年度工作报告》；</w:t>
      </w:r>
    </w:p>
    <w:p>
      <w:pPr>
        <w:pStyle w:val="Heading3"/>
        <w:spacing w:line="240" w:lineRule="auto"/>
        <w:ind w:right="0"/>
        <w:jc w:val="left"/>
      </w:pPr>
      <w:r>
        <w:rPr/>
        <w:t>（</w:t>
      </w:r>
      <w:r>
        <w:rPr>
          <w:rFonts w:ascii="宋体" w:hAnsi="宋体" w:cs="宋体" w:eastAsia="宋体" w:hint="default"/>
        </w:rPr>
        <w:t>2</w:t>
      </w:r>
      <w:r>
        <w:rPr/>
        <w:t>）审议通过了《</w:t>
      </w:r>
      <w:r>
        <w:rPr>
          <w:rFonts w:ascii="宋体" w:hAnsi="宋体" w:cs="宋体" w:eastAsia="宋体" w:hint="default"/>
        </w:rPr>
        <w:t>2009</w:t>
      </w:r>
      <w:r>
        <w:rPr>
          <w:rFonts w:ascii="宋体" w:hAnsi="宋体" w:cs="宋体" w:eastAsia="宋体" w:hint="default"/>
          <w:spacing w:val="-60"/>
        </w:rPr>
        <w:t> </w:t>
      </w:r>
      <w:r>
        <w:rPr/>
        <w:t>年年度报告》及其摘要；</w:t>
      </w:r>
    </w:p>
    <w:p>
      <w:pPr>
        <w:pStyle w:val="Heading3"/>
        <w:spacing w:line="240" w:lineRule="auto" w:before="152"/>
        <w:ind w:right="0"/>
        <w:jc w:val="left"/>
      </w:pPr>
      <w:r>
        <w:rPr/>
        <w:t>（</w:t>
      </w:r>
      <w:r>
        <w:rPr>
          <w:rFonts w:ascii="宋体" w:hAnsi="宋体" w:cs="宋体" w:eastAsia="宋体" w:hint="default"/>
        </w:rPr>
        <w:t>3</w:t>
      </w:r>
      <w:r>
        <w:rPr/>
        <w:t>）审议通过了《监事会</w:t>
      </w:r>
      <w:r>
        <w:rPr>
          <w:spacing w:val="-60"/>
        </w:rPr>
        <w:t> </w:t>
      </w:r>
      <w:r>
        <w:rPr>
          <w:rFonts w:ascii="宋体" w:hAnsi="宋体" w:cs="宋体" w:eastAsia="宋体" w:hint="default"/>
        </w:rPr>
        <w:t>2009</w:t>
      </w:r>
      <w:r>
        <w:rPr>
          <w:rFonts w:ascii="宋体" w:hAnsi="宋体" w:cs="宋体" w:eastAsia="宋体" w:hint="default"/>
          <w:spacing w:val="-60"/>
        </w:rPr>
        <w:t> </w:t>
      </w:r>
      <w:r>
        <w:rPr/>
        <w:t>年度工作报告》；</w:t>
      </w:r>
    </w:p>
    <w:p>
      <w:pPr>
        <w:pStyle w:val="Heading3"/>
        <w:spacing w:line="240" w:lineRule="auto"/>
        <w:ind w:right="0"/>
        <w:jc w:val="left"/>
      </w:pPr>
      <w:r>
        <w:rPr/>
        <w:t>（</w:t>
      </w:r>
      <w:r>
        <w:rPr>
          <w:rFonts w:ascii="宋体" w:hAnsi="宋体" w:cs="宋体" w:eastAsia="宋体" w:hint="default"/>
        </w:rPr>
        <w:t>4</w:t>
      </w:r>
      <w:r>
        <w:rPr/>
        <w:t>）审议通过了《</w:t>
      </w:r>
      <w:r>
        <w:rPr>
          <w:rFonts w:ascii="宋体" w:hAnsi="宋体" w:cs="宋体" w:eastAsia="宋体" w:hint="default"/>
        </w:rPr>
        <w:t>2009</w:t>
      </w:r>
      <w:r>
        <w:rPr>
          <w:rFonts w:ascii="宋体" w:hAnsi="宋体" w:cs="宋体" w:eastAsia="宋体" w:hint="default"/>
          <w:spacing w:val="-60"/>
        </w:rPr>
        <w:t> </w:t>
      </w:r>
      <w:r>
        <w:rPr/>
        <w:t>年度财务决算和</w:t>
      </w:r>
      <w:r>
        <w:rPr>
          <w:spacing w:val="-60"/>
        </w:rPr>
        <w:t> </w:t>
      </w:r>
      <w:r>
        <w:rPr>
          <w:rFonts w:ascii="宋体" w:hAnsi="宋体" w:cs="宋体" w:eastAsia="宋体" w:hint="default"/>
        </w:rPr>
        <w:t>2010</w:t>
      </w:r>
      <w:r>
        <w:rPr>
          <w:rFonts w:ascii="宋体" w:hAnsi="宋体" w:cs="宋体" w:eastAsia="宋体" w:hint="default"/>
          <w:spacing w:val="-60"/>
        </w:rPr>
        <w:t> </w:t>
      </w:r>
      <w:r>
        <w:rPr/>
        <w:t>年财务预算的议案》；</w:t>
      </w:r>
    </w:p>
    <w:p>
      <w:pPr>
        <w:pStyle w:val="Heading3"/>
        <w:spacing w:line="240" w:lineRule="auto" w:before="151"/>
        <w:ind w:right="0"/>
        <w:jc w:val="left"/>
      </w:pPr>
      <w:r>
        <w:rPr/>
        <w:t>（</w:t>
      </w:r>
      <w:r>
        <w:rPr>
          <w:rFonts w:ascii="宋体" w:hAnsi="宋体" w:cs="宋体" w:eastAsia="宋体" w:hint="default"/>
        </w:rPr>
        <w:t>5</w:t>
      </w:r>
      <w:r>
        <w:rPr/>
        <w:t>）审议通过了《关于公司</w:t>
      </w:r>
      <w:r>
        <w:rPr>
          <w:spacing w:val="-59"/>
        </w:rPr>
        <w:t> </w:t>
      </w:r>
      <w:r>
        <w:rPr>
          <w:rFonts w:ascii="宋体" w:hAnsi="宋体" w:cs="宋体" w:eastAsia="宋体" w:hint="default"/>
        </w:rPr>
        <w:t>2009</w:t>
      </w:r>
      <w:r>
        <w:rPr>
          <w:rFonts w:ascii="宋体" w:hAnsi="宋体" w:cs="宋体" w:eastAsia="宋体" w:hint="default"/>
          <w:spacing w:val="-60"/>
        </w:rPr>
        <w:t> </w:t>
      </w:r>
      <w:r>
        <w:rPr/>
        <w:t>年度利润分配方案》；</w:t>
      </w:r>
    </w:p>
    <w:p>
      <w:pPr>
        <w:pStyle w:val="Heading3"/>
        <w:spacing w:line="240" w:lineRule="auto"/>
        <w:ind w:right="0"/>
        <w:jc w:val="left"/>
      </w:pPr>
      <w:r>
        <w:rPr/>
        <w:t>（</w:t>
      </w:r>
      <w:r>
        <w:rPr>
          <w:rFonts w:ascii="宋体" w:hAnsi="宋体" w:cs="宋体" w:eastAsia="宋体" w:hint="default"/>
        </w:rPr>
        <w:t>6</w:t>
      </w:r>
      <w:r>
        <w:rPr/>
        <w:t>）审议通过了《关于续聘会计师事务所的议案》；</w:t>
      </w:r>
    </w:p>
    <w:p>
      <w:pPr>
        <w:pStyle w:val="Heading3"/>
        <w:spacing w:line="240" w:lineRule="auto" w:before="151"/>
        <w:ind w:right="0"/>
        <w:jc w:val="left"/>
      </w:pPr>
      <w:r>
        <w:rPr/>
        <w:t>（</w:t>
      </w:r>
      <w:r>
        <w:rPr>
          <w:rFonts w:ascii="宋体" w:hAnsi="宋体" w:cs="宋体" w:eastAsia="宋体" w:hint="default"/>
        </w:rPr>
        <w:t>7</w:t>
      </w:r>
      <w:r>
        <w:rPr/>
        <w:t>）审议通过了《补选监事的议案》；</w:t>
      </w:r>
    </w:p>
    <w:p>
      <w:pPr>
        <w:pStyle w:val="Heading3"/>
        <w:spacing w:line="240" w:lineRule="auto"/>
        <w:ind w:left="620" w:right="0"/>
        <w:jc w:val="left"/>
      </w:pPr>
      <w:r>
        <w:rPr/>
        <w:t>董事会对</w:t>
      </w:r>
      <w:r>
        <w:rPr>
          <w:spacing w:val="-60"/>
        </w:rPr>
        <w:t> </w:t>
      </w:r>
      <w:r>
        <w:rPr>
          <w:rFonts w:ascii="宋体" w:hAnsi="宋体" w:cs="宋体" w:eastAsia="宋体" w:hint="default"/>
        </w:rPr>
        <w:t>2009</w:t>
      </w:r>
      <w:r>
        <w:rPr>
          <w:rFonts w:ascii="宋体" w:hAnsi="宋体" w:cs="宋体" w:eastAsia="宋体" w:hint="default"/>
          <w:spacing w:val="-60"/>
        </w:rPr>
        <w:t> </w:t>
      </w:r>
      <w:r>
        <w:rPr/>
        <w:t>年度股东大会决议的执行情况：</w:t>
      </w:r>
    </w:p>
    <w:p>
      <w:pPr>
        <w:pStyle w:val="Heading3"/>
        <w:spacing w:line="240" w:lineRule="auto" w:before="151"/>
        <w:ind w:left="620" w:right="0"/>
        <w:jc w:val="left"/>
      </w:pPr>
      <w:r>
        <w:rPr/>
        <w:t>公司董事会按照</w:t>
      </w:r>
      <w:r>
        <w:rPr>
          <w:spacing w:val="-42"/>
        </w:rPr>
        <w:t> </w:t>
      </w:r>
      <w:r>
        <w:rPr>
          <w:rFonts w:ascii="宋体" w:hAnsi="宋体" w:cs="宋体" w:eastAsia="宋体" w:hint="default"/>
        </w:rPr>
        <w:t>2009</w:t>
      </w:r>
      <w:r>
        <w:rPr>
          <w:rFonts w:ascii="宋体" w:hAnsi="宋体" w:cs="宋体" w:eastAsia="宋体" w:hint="default"/>
          <w:spacing w:val="-45"/>
        </w:rPr>
        <w:t> </w:t>
      </w:r>
      <w:r>
        <w:rPr/>
        <w:t>年度股东大会决议实施了公司</w:t>
      </w:r>
      <w:r>
        <w:rPr>
          <w:spacing w:val="-41"/>
        </w:rPr>
        <w:t> </w:t>
      </w:r>
      <w:r>
        <w:rPr>
          <w:rFonts w:ascii="宋体" w:hAnsi="宋体" w:cs="宋体" w:eastAsia="宋体" w:hint="default"/>
        </w:rPr>
        <w:t>2009</w:t>
      </w:r>
      <w:r>
        <w:rPr>
          <w:rFonts w:ascii="宋体" w:hAnsi="宋体" w:cs="宋体" w:eastAsia="宋体" w:hint="default"/>
          <w:spacing w:val="-42"/>
        </w:rPr>
        <w:t> </w:t>
      </w:r>
      <w:r>
        <w:rPr/>
        <w:t>年度利润分配方案：以</w:t>
      </w:r>
      <w:r>
        <w:rPr>
          <w:spacing w:val="-42"/>
        </w:rPr>
        <w:t> </w:t>
      </w:r>
      <w:r>
        <w:rPr>
          <w:rFonts w:ascii="宋体" w:hAnsi="宋体" w:cs="宋体" w:eastAsia="宋体" w:hint="default"/>
        </w:rPr>
        <w:t>2009</w:t>
      </w:r>
      <w:r>
        <w:rPr>
          <w:rFonts w:ascii="宋体" w:hAnsi="宋体" w:cs="宋体" w:eastAsia="宋体" w:hint="default"/>
          <w:spacing w:val="-42"/>
        </w:rPr>
        <w:t> </w:t>
      </w:r>
      <w:r>
        <w:rPr/>
        <w:t>年</w:t>
      </w:r>
      <w:r>
        <w:rPr>
          <w:spacing w:val="-45"/>
        </w:rPr>
        <w:t> </w:t>
      </w:r>
      <w:r>
        <w:rPr>
          <w:rFonts w:ascii="宋体" w:hAnsi="宋体" w:cs="宋体" w:eastAsia="宋体" w:hint="default"/>
        </w:rPr>
        <w:t>12</w:t>
      </w:r>
      <w:r>
        <w:rPr>
          <w:rFonts w:ascii="宋体" w:hAnsi="宋体" w:cs="宋体" w:eastAsia="宋体" w:hint="default"/>
          <w:spacing w:val="-42"/>
        </w:rPr>
        <w:t> </w:t>
      </w:r>
      <w:r>
        <w:rPr/>
        <w:t>月</w:t>
      </w:r>
    </w:p>
    <w:p>
      <w:pPr>
        <w:pStyle w:val="Heading3"/>
        <w:spacing w:line="240" w:lineRule="auto"/>
        <w:ind w:right="0"/>
        <w:jc w:val="left"/>
      </w:pPr>
      <w:r>
        <w:rPr>
          <w:rFonts w:ascii="宋体" w:hAnsi="宋体" w:cs="宋体" w:eastAsia="宋体" w:hint="default"/>
        </w:rPr>
        <w:t>31</w:t>
      </w:r>
      <w:r>
        <w:rPr>
          <w:rFonts w:ascii="宋体" w:hAnsi="宋体" w:cs="宋体" w:eastAsia="宋体" w:hint="default"/>
          <w:spacing w:val="-51"/>
        </w:rPr>
        <w:t> </w:t>
      </w:r>
      <w:r>
        <w:rPr/>
        <w:t>日公司总股本</w:t>
      </w:r>
      <w:r>
        <w:rPr>
          <w:spacing w:val="-50"/>
        </w:rPr>
        <w:t> </w:t>
      </w:r>
      <w:r>
        <w:rPr>
          <w:rFonts w:ascii="宋体" w:hAnsi="宋体" w:cs="宋体" w:eastAsia="宋体" w:hint="default"/>
        </w:rPr>
        <w:t>121,541,400</w:t>
      </w:r>
      <w:r>
        <w:rPr>
          <w:rFonts w:ascii="宋体" w:hAnsi="宋体" w:cs="宋体" w:eastAsia="宋体" w:hint="default"/>
          <w:spacing w:val="-50"/>
        </w:rPr>
        <w:t> </w:t>
      </w:r>
      <w:r>
        <w:rPr/>
        <w:t>股为基数，向全体股东每</w:t>
      </w:r>
      <w:r>
        <w:rPr>
          <w:spacing w:val="-50"/>
        </w:rPr>
        <w:t> </w:t>
      </w:r>
      <w:r>
        <w:rPr>
          <w:rFonts w:ascii="宋体" w:hAnsi="宋体" w:cs="宋体" w:eastAsia="宋体" w:hint="default"/>
        </w:rPr>
        <w:t>10</w:t>
      </w:r>
      <w:r>
        <w:rPr>
          <w:rFonts w:ascii="宋体" w:hAnsi="宋体" w:cs="宋体" w:eastAsia="宋体" w:hint="default"/>
          <w:spacing w:val="-51"/>
        </w:rPr>
        <w:t> </w:t>
      </w:r>
      <w:r>
        <w:rPr/>
        <w:t>股送</w:t>
      </w:r>
      <w:r>
        <w:rPr>
          <w:spacing w:val="-51"/>
        </w:rPr>
        <w:t> </w:t>
      </w:r>
      <w:r>
        <w:rPr>
          <w:rFonts w:ascii="宋体" w:hAnsi="宋体" w:cs="宋体" w:eastAsia="宋体" w:hint="default"/>
        </w:rPr>
        <w:t>2</w:t>
      </w:r>
      <w:r>
        <w:rPr>
          <w:rFonts w:ascii="宋体" w:hAnsi="宋体" w:cs="宋体" w:eastAsia="宋体" w:hint="default"/>
          <w:spacing w:val="-51"/>
        </w:rPr>
        <w:t> </w:t>
      </w:r>
      <w:r>
        <w:rPr/>
        <w:t>股红股派发现金红利</w:t>
      </w:r>
      <w:r>
        <w:rPr>
          <w:spacing w:val="-50"/>
        </w:rPr>
        <w:t> </w:t>
      </w:r>
      <w:r>
        <w:rPr>
          <w:rFonts w:ascii="宋体" w:hAnsi="宋体" w:cs="宋体" w:eastAsia="宋体" w:hint="default"/>
        </w:rPr>
        <w:t>0.23</w:t>
      </w:r>
      <w:r>
        <w:rPr>
          <w:rFonts w:ascii="宋体" w:hAnsi="宋体" w:cs="宋体" w:eastAsia="宋体" w:hint="default"/>
          <w:spacing w:val="-51"/>
        </w:rPr>
        <w:t> </w:t>
      </w:r>
      <w:r>
        <w:rPr/>
        <w:t>元（含</w:t>
      </w:r>
    </w:p>
    <w:p>
      <w:pPr>
        <w:pStyle w:val="Heading3"/>
        <w:spacing w:line="240" w:lineRule="auto" w:before="151"/>
        <w:ind w:right="0"/>
        <w:jc w:val="left"/>
      </w:pPr>
      <w:r>
        <w:rPr>
          <w:spacing w:val="-4"/>
        </w:rPr>
        <w:t>税），同时以资本公积转增股本，每</w:t>
      </w:r>
      <w:r>
        <w:rPr>
          <w:spacing w:val="-61"/>
        </w:rPr>
        <w:t> </w:t>
      </w:r>
      <w:r>
        <w:rPr>
          <w:rFonts w:ascii="宋体" w:hAnsi="宋体" w:cs="宋体" w:eastAsia="宋体" w:hint="default"/>
        </w:rPr>
        <w:t>10</w:t>
      </w:r>
      <w:r>
        <w:rPr>
          <w:rFonts w:ascii="宋体" w:hAnsi="宋体" w:cs="宋体" w:eastAsia="宋体" w:hint="default"/>
          <w:spacing w:val="-62"/>
        </w:rPr>
        <w:t> </w:t>
      </w:r>
      <w:r>
        <w:rPr/>
        <w:t>股转增</w:t>
      </w:r>
      <w:r>
        <w:rPr>
          <w:spacing w:val="-62"/>
        </w:rPr>
        <w:t> </w:t>
      </w:r>
      <w:r>
        <w:rPr>
          <w:rFonts w:ascii="宋体" w:hAnsi="宋体" w:cs="宋体" w:eastAsia="宋体" w:hint="default"/>
        </w:rPr>
        <w:t>5</w:t>
      </w:r>
      <w:r>
        <w:rPr>
          <w:rFonts w:ascii="宋体" w:hAnsi="宋体" w:cs="宋体" w:eastAsia="宋体" w:hint="default"/>
          <w:spacing w:val="-62"/>
        </w:rPr>
        <w:t> </w:t>
      </w:r>
      <w:r>
        <w:rPr/>
        <w:t>股。共计派发现金红利</w:t>
      </w:r>
      <w:r>
        <w:rPr>
          <w:spacing w:val="-62"/>
        </w:rPr>
        <w:t> </w:t>
      </w:r>
      <w:r>
        <w:rPr>
          <w:rFonts w:ascii="宋体" w:hAnsi="宋体" w:cs="宋体" w:eastAsia="宋体" w:hint="default"/>
        </w:rPr>
        <w:t>2,795,452.20</w:t>
      </w:r>
      <w:r>
        <w:rPr>
          <w:rFonts w:ascii="宋体" w:hAnsi="宋体" w:cs="宋体" w:eastAsia="宋体" w:hint="default"/>
          <w:spacing w:val="-62"/>
        </w:rPr>
        <w:t> </w:t>
      </w:r>
      <w:r>
        <w:rPr>
          <w:spacing w:val="-4"/>
        </w:rPr>
        <w:t>元，以资本公</w:t>
      </w:r>
    </w:p>
    <w:p>
      <w:pPr>
        <w:pStyle w:val="Heading3"/>
        <w:spacing w:line="240" w:lineRule="auto"/>
        <w:ind w:right="0"/>
        <w:jc w:val="left"/>
      </w:pPr>
      <w:r>
        <w:rPr/>
        <w:t>积转增股</w:t>
      </w:r>
      <w:r>
        <w:rPr>
          <w:spacing w:val="-60"/>
        </w:rPr>
        <w:t> </w:t>
      </w:r>
      <w:r>
        <w:rPr>
          <w:rFonts w:ascii="宋体" w:hAnsi="宋体" w:cs="宋体" w:eastAsia="宋体" w:hint="default"/>
        </w:rPr>
        <w:t>60,770,700.00</w:t>
      </w:r>
      <w:r>
        <w:rPr>
          <w:rFonts w:ascii="宋体" w:hAnsi="宋体" w:cs="宋体" w:eastAsia="宋体" w:hint="default"/>
          <w:spacing w:val="-61"/>
        </w:rPr>
        <w:t> </w:t>
      </w:r>
      <w:r>
        <w:rPr/>
        <w:t>股。</w:t>
      </w:r>
    </w:p>
    <w:p>
      <w:pPr>
        <w:pStyle w:val="Heading3"/>
        <w:spacing w:line="240" w:lineRule="auto" w:before="151"/>
        <w:ind w:left="620" w:right="0"/>
        <w:jc w:val="left"/>
      </w:pPr>
      <w:r>
        <w:rPr/>
        <w:t>继续聘请中准会计师事务所有限公司为公司</w:t>
      </w:r>
      <w:r>
        <w:rPr>
          <w:spacing w:val="-59"/>
        </w:rPr>
        <w:t> </w:t>
      </w:r>
      <w:r>
        <w:rPr>
          <w:rFonts w:ascii="宋体" w:hAnsi="宋体" w:cs="宋体" w:eastAsia="宋体" w:hint="default"/>
        </w:rPr>
        <w:t>2010</w:t>
      </w:r>
      <w:r>
        <w:rPr>
          <w:rFonts w:ascii="宋体" w:hAnsi="宋体" w:cs="宋体" w:eastAsia="宋体" w:hint="default"/>
          <w:spacing w:val="-60"/>
        </w:rPr>
        <w:t> </w:t>
      </w:r>
      <w:r>
        <w:rPr/>
        <w:t>年度财务报告审计机构。</w:t>
      </w:r>
    </w:p>
    <w:p>
      <w:pPr>
        <w:pStyle w:val="Heading3"/>
        <w:spacing w:line="355" w:lineRule="auto"/>
        <w:ind w:right="707" w:firstLine="480"/>
        <w:jc w:val="left"/>
      </w:pP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rPr>
        <w:t>8</w:t>
      </w:r>
      <w:r>
        <w:rPr>
          <w:rFonts w:ascii="宋体" w:hAnsi="宋体" w:cs="宋体" w:eastAsia="宋体" w:hint="default"/>
          <w:spacing w:val="-53"/>
        </w:rPr>
        <w:t> </w:t>
      </w:r>
      <w:r>
        <w:rPr/>
        <w:t>日上午</w:t>
      </w:r>
      <w:r>
        <w:rPr>
          <w:spacing w:val="-52"/>
        </w:rPr>
        <w:t> </w:t>
      </w:r>
      <w:r>
        <w:rPr>
          <w:rFonts w:ascii="宋体" w:hAnsi="宋体" w:cs="宋体" w:eastAsia="宋体" w:hint="default"/>
        </w:rPr>
        <w:t>9</w:t>
      </w:r>
      <w:r>
        <w:rPr>
          <w:rFonts w:ascii="宋体" w:hAnsi="宋体" w:cs="宋体" w:eastAsia="宋体" w:hint="default"/>
          <w:spacing w:val="-53"/>
        </w:rPr>
        <w:t> </w:t>
      </w:r>
      <w:r>
        <w:rPr/>
        <w:t>时在吉林省长春市南关区东头道街</w:t>
      </w:r>
      <w:r>
        <w:rPr>
          <w:spacing w:val="-53"/>
        </w:rPr>
        <w:t> </w:t>
      </w:r>
      <w:r>
        <w:rPr>
          <w:rFonts w:ascii="宋体" w:hAnsi="宋体" w:cs="宋体" w:eastAsia="宋体" w:hint="default"/>
        </w:rPr>
        <w:t>1</w:t>
      </w:r>
      <w:r>
        <w:rPr>
          <w:rFonts w:ascii="宋体" w:hAnsi="宋体" w:cs="宋体" w:eastAsia="宋体" w:hint="default"/>
          <w:spacing w:val="-53"/>
        </w:rPr>
        <w:t> </w:t>
      </w:r>
      <w:r>
        <w:rPr/>
        <w:t>号公司会议室举行</w:t>
      </w:r>
      <w:r>
        <w:rPr>
          <w:spacing w:val="-52"/>
        </w:rPr>
        <w:t> </w:t>
      </w:r>
      <w:r>
        <w:rPr>
          <w:rFonts w:ascii="宋体" w:hAnsi="宋体" w:cs="宋体" w:eastAsia="宋体" w:hint="default"/>
        </w:rPr>
        <w:t>2010</w:t>
      </w:r>
      <w:r>
        <w:rPr>
          <w:rFonts w:ascii="宋体" w:hAnsi="宋体" w:cs="宋体" w:eastAsia="宋体" w:hint="default"/>
          <w:spacing w:val="-53"/>
        </w:rPr>
        <w:t> </w:t>
      </w:r>
      <w:r>
        <w:rPr/>
        <w:t>年第一 次临时股东大会，会议审议通过了如下决议：</w:t>
      </w:r>
    </w:p>
    <w:p>
      <w:pPr>
        <w:pStyle w:val="Heading3"/>
        <w:spacing w:line="240" w:lineRule="auto" w:before="38"/>
        <w:ind w:right="0"/>
        <w:jc w:val="left"/>
      </w:pPr>
      <w:r>
        <w:rPr/>
        <w:t>（</w:t>
      </w:r>
      <w:r>
        <w:rPr>
          <w:rFonts w:ascii="宋体" w:hAnsi="宋体" w:cs="宋体" w:eastAsia="宋体" w:hint="default"/>
        </w:rPr>
        <w:t>1</w:t>
      </w:r>
      <w:r>
        <w:rPr/>
        <w:t>）审议通过了《关于提名郭春生先生担任第四届董事会董事的议案》；</w:t>
      </w:r>
    </w:p>
    <w:p>
      <w:pPr>
        <w:pStyle w:val="Heading3"/>
        <w:spacing w:line="240" w:lineRule="auto"/>
        <w:ind w:right="0"/>
        <w:jc w:val="left"/>
      </w:pPr>
      <w:r>
        <w:rPr/>
        <w:t>（</w:t>
      </w:r>
      <w:r>
        <w:rPr>
          <w:rFonts w:ascii="宋体" w:hAnsi="宋体" w:cs="宋体" w:eastAsia="宋体" w:hint="default"/>
        </w:rPr>
        <w:t>2</w:t>
      </w:r>
      <w:r>
        <w:rPr/>
        <w:t>）审议通过了《关于提名祖春香女士担任第四届董事会董事的议案》；</w:t>
      </w:r>
    </w:p>
    <w:p>
      <w:pPr>
        <w:pStyle w:val="Heading3"/>
        <w:spacing w:line="240" w:lineRule="auto" w:before="152"/>
        <w:ind w:right="0"/>
        <w:jc w:val="left"/>
      </w:pPr>
      <w:r>
        <w:rPr/>
        <w:t>（</w:t>
      </w:r>
      <w:r>
        <w:rPr>
          <w:rFonts w:ascii="宋体" w:hAnsi="宋体" w:cs="宋体" w:eastAsia="宋体" w:hint="default"/>
        </w:rPr>
        <w:t>3</w:t>
      </w:r>
      <w:r>
        <w:rPr/>
        <w:t>）审议通过了《关于提名秦静女士担任第四届董事会董事的议案》；</w:t>
      </w:r>
    </w:p>
    <w:p>
      <w:pPr>
        <w:pStyle w:val="Heading3"/>
        <w:spacing w:line="240" w:lineRule="auto"/>
        <w:ind w:right="0"/>
        <w:jc w:val="left"/>
      </w:pPr>
      <w:r>
        <w:rPr/>
        <w:t>（</w:t>
      </w:r>
      <w:r>
        <w:rPr>
          <w:rFonts w:ascii="宋体" w:hAnsi="宋体" w:cs="宋体" w:eastAsia="宋体" w:hint="default"/>
        </w:rPr>
        <w:t>4</w:t>
      </w:r>
      <w:r>
        <w:rPr/>
        <w:t>）审议通过了《关于提名殷金龙先生担任第四届董事会董事的议案》；</w:t>
      </w:r>
    </w:p>
    <w:p>
      <w:pPr>
        <w:pStyle w:val="Heading3"/>
        <w:spacing w:line="240" w:lineRule="auto" w:before="151"/>
        <w:ind w:right="0"/>
        <w:jc w:val="left"/>
      </w:pPr>
      <w:r>
        <w:rPr/>
        <w:t>（</w:t>
      </w:r>
      <w:r>
        <w:rPr>
          <w:rFonts w:ascii="宋体" w:hAnsi="宋体" w:cs="宋体" w:eastAsia="宋体" w:hint="default"/>
        </w:rPr>
        <w:t>5</w:t>
      </w:r>
      <w:r>
        <w:rPr/>
        <w:t>）审议通过了《关于提名徐卫东先生担任第四届董事会董事的议案》；</w:t>
      </w:r>
    </w:p>
    <w:p>
      <w:pPr>
        <w:pStyle w:val="Heading3"/>
        <w:spacing w:line="240" w:lineRule="auto"/>
        <w:ind w:right="0"/>
        <w:jc w:val="left"/>
      </w:pPr>
      <w:r>
        <w:rPr/>
        <w:t>（</w:t>
      </w:r>
      <w:r>
        <w:rPr>
          <w:rFonts w:ascii="宋体" w:hAnsi="宋体" w:cs="宋体" w:eastAsia="宋体" w:hint="default"/>
        </w:rPr>
        <w:t>6</w:t>
      </w:r>
      <w:r>
        <w:rPr/>
        <w:t>）审议通过了《关于提名李飞女士担任第四届董事会董事的议案》；</w:t>
      </w:r>
    </w:p>
    <w:p>
      <w:pPr>
        <w:pStyle w:val="Heading3"/>
        <w:spacing w:line="240" w:lineRule="auto" w:before="151"/>
        <w:ind w:right="0"/>
        <w:jc w:val="left"/>
      </w:pPr>
      <w:r>
        <w:rPr/>
        <w:t>（</w:t>
      </w:r>
      <w:r>
        <w:rPr>
          <w:rFonts w:ascii="宋体" w:hAnsi="宋体" w:cs="宋体" w:eastAsia="宋体" w:hint="default"/>
        </w:rPr>
        <w:t>7</w:t>
      </w:r>
      <w:r>
        <w:rPr/>
        <w:t>）审议通过了《关于提名方勇先生担任第四届董事会董事的议案》；</w:t>
      </w:r>
    </w:p>
    <w:p>
      <w:pPr>
        <w:pStyle w:val="Heading3"/>
        <w:spacing w:line="240" w:lineRule="auto"/>
        <w:ind w:right="0"/>
        <w:jc w:val="left"/>
      </w:pPr>
      <w:r>
        <w:rPr/>
        <w:t>（</w:t>
      </w:r>
      <w:r>
        <w:rPr>
          <w:rFonts w:ascii="宋体" w:hAnsi="宋体" w:cs="宋体" w:eastAsia="宋体" w:hint="default"/>
        </w:rPr>
        <w:t>8</w:t>
      </w:r>
      <w:r>
        <w:rPr/>
        <w:t>）审议通过了《关于提名范水波先生担任第四届监事会监事的议案》；</w:t>
      </w:r>
    </w:p>
    <w:p>
      <w:pPr>
        <w:pStyle w:val="Heading3"/>
        <w:spacing w:line="240" w:lineRule="auto" w:before="151"/>
        <w:ind w:right="0"/>
        <w:jc w:val="left"/>
      </w:pPr>
      <w:r>
        <w:rPr/>
        <w:t>（</w:t>
      </w:r>
      <w:r>
        <w:rPr>
          <w:rFonts w:ascii="宋体" w:hAnsi="宋体" w:cs="宋体" w:eastAsia="宋体" w:hint="default"/>
        </w:rPr>
        <w:t>9</w:t>
      </w:r>
      <w:r>
        <w:rPr/>
        <w:t>）审议通过了《关于提名韩明先生担任第四届监事会监事的议案》；</w:t>
      </w:r>
    </w:p>
    <w:p>
      <w:pPr>
        <w:spacing w:after="0" w:line="240" w:lineRule="auto"/>
        <w:jc w:val="left"/>
        <w:sectPr>
          <w:pgSz w:w="11910" w:h="16840"/>
          <w:pgMar w:header="720" w:footer="956" w:top="1300" w:bottom="1140" w:left="580" w:right="0"/>
        </w:sectPr>
      </w:pPr>
    </w:p>
    <w:p>
      <w:pPr>
        <w:pStyle w:val="Heading3"/>
        <w:spacing w:line="240" w:lineRule="auto" w:before="13"/>
        <w:ind w:right="0"/>
        <w:jc w:val="both"/>
      </w:pPr>
      <w:r>
        <w:rPr/>
        <w:pict>
          <v:group style="position:absolute;margin-left:34.560001pt;margin-top:2.305654pt;width:508.3pt;height:.1pt;mso-position-horizontal-relative:page;mso-position-vertical-relative:paragraph;z-index:-534544" coordorigin="691,46" coordsize="10166,2">
            <v:shape style="position:absolute;left:691;top:46;width:10166;height:2" coordorigin="691,46" coordsize="10166,0" path="m691,46l10857,46e" filled="false" stroked="true" strokeweight=".72pt" strokecolor="#000000">
              <v:path arrowok="t"/>
            </v:shape>
            <w10:wrap type="none"/>
          </v:group>
        </w:pict>
      </w:r>
      <w:r>
        <w:rPr/>
        <w:t>（</w:t>
      </w:r>
      <w:r>
        <w:rPr>
          <w:rFonts w:ascii="宋体" w:hAnsi="宋体" w:cs="宋体" w:eastAsia="宋体" w:hint="default"/>
        </w:rPr>
        <w:t>10</w:t>
      </w:r>
      <w:r>
        <w:rPr/>
        <w:t>）审议通过了《关于修改公司章程的议案》。</w:t>
      </w:r>
    </w:p>
    <w:p>
      <w:pPr>
        <w:pStyle w:val="Heading3"/>
        <w:spacing w:line="357" w:lineRule="auto" w:before="152"/>
        <w:ind w:right="716" w:firstLine="480"/>
        <w:jc w:val="both"/>
      </w:pPr>
      <w:r>
        <w:rPr>
          <w:rFonts w:ascii="宋体" w:hAnsi="宋体" w:cs="宋体" w:eastAsia="宋体" w:hint="default"/>
        </w:rPr>
        <w:t>3</w:t>
      </w:r>
      <w:r>
        <w:rPr/>
        <w:t>、</w:t>
      </w:r>
      <w:r>
        <w:rPr>
          <w:rFonts w:ascii="宋体" w:hAnsi="宋体" w:cs="宋体" w:eastAsia="宋体" w:hint="default"/>
        </w:rPr>
        <w:t>2010</w:t>
      </w:r>
      <w:r>
        <w:rPr>
          <w:rFonts w:ascii="宋体" w:hAnsi="宋体" w:cs="宋体" w:eastAsia="宋体" w:hint="default"/>
          <w:spacing w:val="-49"/>
        </w:rPr>
        <w:t> </w:t>
      </w:r>
      <w:r>
        <w:rPr/>
        <w:t>年</w:t>
      </w:r>
      <w:r>
        <w:rPr>
          <w:spacing w:val="-48"/>
        </w:rPr>
        <w:t> </w:t>
      </w:r>
      <w:r>
        <w:rPr>
          <w:rFonts w:ascii="宋体" w:hAnsi="宋体" w:cs="宋体" w:eastAsia="宋体" w:hint="default"/>
        </w:rPr>
        <w:t>7</w:t>
      </w:r>
      <w:r>
        <w:rPr>
          <w:rFonts w:ascii="宋体" w:hAnsi="宋体" w:cs="宋体" w:eastAsia="宋体" w:hint="default"/>
          <w:spacing w:val="-48"/>
        </w:rPr>
        <w:t> </w:t>
      </w:r>
      <w:r>
        <w:rPr/>
        <w:t>月</w:t>
      </w:r>
      <w:r>
        <w:rPr>
          <w:spacing w:val="-48"/>
        </w:rPr>
        <w:t> </w:t>
      </w:r>
      <w:r>
        <w:rPr>
          <w:rFonts w:ascii="宋体" w:hAnsi="宋体" w:cs="宋体" w:eastAsia="宋体" w:hint="default"/>
        </w:rPr>
        <w:t>21</w:t>
      </w:r>
      <w:r>
        <w:rPr>
          <w:rFonts w:ascii="宋体" w:hAnsi="宋体" w:cs="宋体" w:eastAsia="宋体" w:hint="default"/>
          <w:spacing w:val="-48"/>
        </w:rPr>
        <w:t> </w:t>
      </w:r>
      <w:r>
        <w:rPr/>
        <w:t>日在长春市南关区东头道街</w:t>
      </w:r>
      <w:r>
        <w:rPr>
          <w:spacing w:val="-48"/>
        </w:rPr>
        <w:t> </w:t>
      </w:r>
      <w:r>
        <w:rPr>
          <w:rFonts w:ascii="宋体" w:hAnsi="宋体" w:cs="宋体" w:eastAsia="宋体" w:hint="default"/>
        </w:rPr>
        <w:t>1</w:t>
      </w:r>
      <w:r>
        <w:rPr>
          <w:rFonts w:ascii="宋体" w:hAnsi="宋体" w:cs="宋体" w:eastAsia="宋体" w:hint="default"/>
          <w:spacing w:val="-48"/>
        </w:rPr>
        <w:t> </w:t>
      </w:r>
      <w:r>
        <w:rPr/>
        <w:t>号公司会议室召开二○一○年第二次临时股东 大会，会议审议通过了如下决议：</w:t>
      </w:r>
    </w:p>
    <w:p>
      <w:pPr>
        <w:pStyle w:val="Heading3"/>
        <w:spacing w:line="240" w:lineRule="auto" w:before="34"/>
        <w:ind w:right="0"/>
        <w:jc w:val="both"/>
      </w:pPr>
      <w:r>
        <w:rPr/>
        <w:t>（</w:t>
      </w:r>
      <w:r>
        <w:rPr>
          <w:rFonts w:ascii="宋体" w:hAnsi="宋体" w:cs="宋体" w:eastAsia="宋体" w:hint="default"/>
        </w:rPr>
        <w:t>1</w:t>
      </w:r>
      <w:r>
        <w:rPr/>
        <w:t>）审议通过《关于公司符合向特定对象非公开发行股票条件的议案》；</w:t>
      </w:r>
    </w:p>
    <w:p>
      <w:pPr>
        <w:pStyle w:val="Heading3"/>
        <w:spacing w:line="240" w:lineRule="auto"/>
        <w:ind w:right="0"/>
        <w:jc w:val="both"/>
      </w:pPr>
      <w:r>
        <w:rPr/>
        <w:t>（</w:t>
      </w:r>
      <w:r>
        <w:rPr>
          <w:rFonts w:ascii="宋体" w:hAnsi="宋体" w:cs="宋体" w:eastAsia="宋体" w:hint="default"/>
        </w:rPr>
        <w:t>2</w:t>
      </w:r>
      <w:r>
        <w:rPr/>
        <w:t>）审议通过《关于公司</w:t>
      </w:r>
      <w:r>
        <w:rPr>
          <w:spacing w:val="-61"/>
        </w:rPr>
        <w:t> </w:t>
      </w:r>
      <w:r>
        <w:rPr>
          <w:rFonts w:ascii="宋体" w:hAnsi="宋体" w:cs="宋体" w:eastAsia="宋体" w:hint="default"/>
        </w:rPr>
        <w:t>2010</w:t>
      </w:r>
      <w:r>
        <w:rPr>
          <w:rFonts w:ascii="宋体" w:hAnsi="宋体" w:cs="宋体" w:eastAsia="宋体" w:hint="default"/>
          <w:spacing w:val="-60"/>
        </w:rPr>
        <w:t> </w:t>
      </w:r>
      <w:r>
        <w:rPr/>
        <w:t>年度非公开发行股票方案的议案》；</w:t>
      </w:r>
    </w:p>
    <w:p>
      <w:pPr>
        <w:pStyle w:val="Heading3"/>
        <w:spacing w:line="240" w:lineRule="auto" w:before="151"/>
        <w:ind w:right="0"/>
        <w:jc w:val="both"/>
      </w:pPr>
      <w:r>
        <w:rPr/>
        <w:t>（</w:t>
      </w:r>
      <w:r>
        <w:rPr>
          <w:rFonts w:ascii="宋体" w:hAnsi="宋体" w:cs="宋体" w:eastAsia="宋体" w:hint="default"/>
        </w:rPr>
        <w:t>3</w:t>
      </w:r>
      <w:r>
        <w:rPr/>
        <w:t>）审议通过《公司</w:t>
      </w:r>
      <w:r>
        <w:rPr>
          <w:rFonts w:ascii="宋体" w:hAnsi="宋体" w:cs="宋体" w:eastAsia="宋体" w:hint="default"/>
        </w:rPr>
        <w:t>&lt;</w:t>
      </w:r>
      <w:r>
        <w:rPr/>
        <w:t>关于</w:t>
      </w:r>
      <w:r>
        <w:rPr>
          <w:spacing w:val="-61"/>
        </w:rPr>
        <w:t> </w:t>
      </w:r>
      <w:r>
        <w:rPr>
          <w:rFonts w:ascii="宋体" w:hAnsi="宋体" w:cs="宋体" w:eastAsia="宋体" w:hint="default"/>
        </w:rPr>
        <w:t>2010</w:t>
      </w:r>
      <w:r>
        <w:rPr>
          <w:rFonts w:ascii="宋体" w:hAnsi="宋体" w:cs="宋体" w:eastAsia="宋体" w:hint="default"/>
          <w:spacing w:val="-61"/>
        </w:rPr>
        <w:t> </w:t>
      </w:r>
      <w:r>
        <w:rPr/>
        <w:t>年度非公开发行股票预案</w:t>
      </w:r>
      <w:r>
        <w:rPr>
          <w:rFonts w:ascii="宋体" w:hAnsi="宋体" w:cs="宋体" w:eastAsia="宋体" w:hint="default"/>
        </w:rPr>
        <w:t>&gt;</w:t>
      </w:r>
      <w:r>
        <w:rPr/>
        <w:t>的议案》；</w:t>
      </w:r>
    </w:p>
    <w:p>
      <w:pPr>
        <w:pStyle w:val="Heading3"/>
        <w:spacing w:line="240" w:lineRule="auto"/>
        <w:ind w:right="0"/>
        <w:jc w:val="both"/>
      </w:pPr>
      <w:r>
        <w:rPr/>
        <w:t>（</w:t>
      </w:r>
      <w:r>
        <w:rPr>
          <w:rFonts w:ascii="宋体" w:hAnsi="宋体" w:cs="宋体" w:eastAsia="宋体" w:hint="default"/>
        </w:rPr>
        <w:t>4</w:t>
      </w:r>
      <w:r>
        <w:rPr/>
        <w:t>）审议通过了《关于</w:t>
      </w:r>
      <w:r>
        <w:rPr>
          <w:spacing w:val="-61"/>
        </w:rPr>
        <w:t> </w:t>
      </w:r>
      <w:r>
        <w:rPr>
          <w:rFonts w:ascii="宋体" w:hAnsi="宋体" w:cs="宋体" w:eastAsia="宋体" w:hint="default"/>
        </w:rPr>
        <w:t>2010</w:t>
      </w:r>
      <w:r>
        <w:rPr>
          <w:rFonts w:ascii="宋体" w:hAnsi="宋体" w:cs="宋体" w:eastAsia="宋体" w:hint="default"/>
          <w:spacing w:val="-60"/>
        </w:rPr>
        <w:t> </w:t>
      </w:r>
      <w:r>
        <w:rPr/>
        <w:t>年度非公开发行股票募集资金运用的可行性研究报告的议案》；</w:t>
      </w:r>
    </w:p>
    <w:p>
      <w:pPr>
        <w:pStyle w:val="Heading3"/>
        <w:spacing w:line="357" w:lineRule="auto" w:before="151"/>
        <w:ind w:right="720"/>
        <w:jc w:val="both"/>
      </w:pPr>
      <w:r>
        <w:rPr/>
        <w:t>（</w:t>
      </w:r>
      <w:r>
        <w:rPr>
          <w:rFonts w:ascii="宋体" w:hAnsi="宋体" w:cs="宋体" w:eastAsia="宋体" w:hint="default"/>
        </w:rPr>
        <w:t>5</w:t>
      </w:r>
      <w:r>
        <w:rPr/>
        <w:t>）审议通过《关于提请股东大会授权董事会办理本次公司向特定对象非公开发行股票相关事宜的</w:t>
      </w:r>
      <w:r>
        <w:rPr>
          <w:spacing w:val="-100"/>
        </w:rPr>
        <w:t> </w:t>
      </w:r>
      <w:r>
        <w:rPr>
          <w:spacing w:val="-100"/>
        </w:rPr>
      </w:r>
      <w:r>
        <w:rPr/>
        <w:t>议案》；</w:t>
      </w:r>
    </w:p>
    <w:p>
      <w:pPr>
        <w:pStyle w:val="Heading3"/>
        <w:spacing w:line="357" w:lineRule="auto" w:before="34"/>
        <w:ind w:left="620" w:right="4086" w:hanging="480"/>
        <w:jc w:val="left"/>
      </w:pPr>
      <w:r>
        <w:rPr/>
        <w:t>（</w:t>
      </w:r>
      <w:r>
        <w:rPr>
          <w:rFonts w:ascii="宋体" w:hAnsi="宋体" w:cs="宋体" w:eastAsia="宋体" w:hint="default"/>
        </w:rPr>
        <w:t>6</w:t>
      </w:r>
      <w:r>
        <w:rPr/>
        <w:t>）审议通过《公司董事会关于前次募集资金使用情况的说明》； 董事会对</w:t>
      </w:r>
      <w:r>
        <w:rPr>
          <w:spacing w:val="-60"/>
        </w:rPr>
        <w:t> </w:t>
      </w:r>
      <w:r>
        <w:rPr>
          <w:rFonts w:ascii="宋体" w:hAnsi="宋体" w:cs="宋体" w:eastAsia="宋体" w:hint="default"/>
        </w:rPr>
        <w:t>2010</w:t>
      </w:r>
      <w:r>
        <w:rPr>
          <w:rFonts w:ascii="宋体" w:hAnsi="宋体" w:cs="宋体" w:eastAsia="宋体" w:hint="default"/>
          <w:spacing w:val="-60"/>
        </w:rPr>
        <w:t> </w:t>
      </w:r>
      <w:r>
        <w:rPr/>
        <w:t>年第二次临时股东大会决议的执行情况：</w:t>
      </w:r>
    </w:p>
    <w:p>
      <w:pPr>
        <w:pStyle w:val="Heading3"/>
        <w:spacing w:line="357" w:lineRule="auto" w:before="36"/>
        <w:ind w:right="716" w:firstLine="480"/>
        <w:jc w:val="both"/>
      </w:pPr>
      <w:r>
        <w:rPr/>
        <w:t>公司董事会按照</w:t>
      </w:r>
      <w:r>
        <w:rPr>
          <w:spacing w:val="-58"/>
        </w:rPr>
        <w:t> </w:t>
      </w:r>
      <w:r>
        <w:rPr>
          <w:rFonts w:ascii="宋体" w:hAnsi="宋体" w:cs="宋体" w:eastAsia="宋体" w:hint="default"/>
        </w:rPr>
        <w:t>2010</w:t>
      </w:r>
      <w:r>
        <w:rPr>
          <w:rFonts w:ascii="宋体" w:hAnsi="宋体" w:cs="宋体" w:eastAsia="宋体" w:hint="default"/>
          <w:spacing w:val="-58"/>
        </w:rPr>
        <w:t> </w:t>
      </w:r>
      <w:r>
        <w:rPr/>
        <w:t>年第二次临时股东大会决议实施了</w:t>
      </w:r>
      <w:r>
        <w:rPr>
          <w:spacing w:val="-56"/>
        </w:rPr>
        <w:t> </w:t>
      </w:r>
      <w:r>
        <w:rPr>
          <w:rFonts w:ascii="宋体" w:hAnsi="宋体" w:cs="宋体" w:eastAsia="宋体" w:hint="default"/>
        </w:rPr>
        <w:t>2010</w:t>
      </w:r>
      <w:r>
        <w:rPr>
          <w:rFonts w:ascii="宋体" w:hAnsi="宋体" w:cs="宋体" w:eastAsia="宋体" w:hint="default"/>
          <w:spacing w:val="-58"/>
        </w:rPr>
        <w:t> </w:t>
      </w:r>
      <w:r>
        <w:rPr>
          <w:spacing w:val="-7"/>
        </w:rPr>
        <w:t>年非公开发行股票的方案：经中国</w:t>
      </w:r>
      <w:r>
        <w:rPr/>
        <w:t> </w:t>
      </w:r>
      <w:r>
        <w:rPr>
          <w:spacing w:val="8"/>
        </w:rPr>
        <w:t>证券监督管理委员会《关于核准吉林紫鑫药业股份有限公司非公开发行股票的批复》（证监许可</w:t>
      </w:r>
      <w:r>
        <w:rPr>
          <w:spacing w:val="-96"/>
        </w:rPr>
        <w:t> </w:t>
      </w:r>
      <w:r>
        <w:rPr>
          <w:spacing w:val="-96"/>
        </w:rPr>
      </w:r>
      <w:r>
        <w:rPr>
          <w:rFonts w:ascii="宋体" w:hAnsi="宋体" w:cs="宋体" w:eastAsia="宋体" w:hint="default"/>
        </w:rPr>
        <w:t>[2010]1815</w:t>
      </w:r>
      <w:r>
        <w:rPr>
          <w:rFonts w:ascii="宋体" w:hAnsi="宋体" w:cs="宋体" w:eastAsia="宋体" w:hint="default"/>
          <w:spacing w:val="21"/>
        </w:rPr>
        <w:t> </w:t>
      </w:r>
      <w:r>
        <w:rPr/>
        <w:t>号），由保荐机构东北证券股份有限公司作为主承销商，通过非公开发行方式向特定投</w:t>
      </w:r>
    </w:p>
    <w:p>
      <w:pPr>
        <w:pStyle w:val="Heading3"/>
        <w:spacing w:line="240" w:lineRule="auto" w:before="34"/>
        <w:ind w:right="0"/>
        <w:jc w:val="both"/>
      </w:pPr>
      <w:r>
        <w:rPr/>
        <w:t>资者发行。通过本次发行的认购询价、申购过程，本公司最终确定本次发行数量为 </w:t>
      </w:r>
      <w:r>
        <w:rPr>
          <w:rFonts w:ascii="宋体" w:hAnsi="宋体" w:cs="宋体" w:eastAsia="宋体" w:hint="default"/>
        </w:rPr>
        <w:t>49,875,311</w:t>
      </w:r>
      <w:r>
        <w:rPr>
          <w:rFonts w:ascii="宋体" w:hAnsi="宋体" w:cs="宋体" w:eastAsia="宋体" w:hint="default"/>
          <w:spacing w:val="-94"/>
        </w:rPr>
        <w:t> </w:t>
      </w:r>
      <w:r>
        <w:rPr/>
        <w:t>股，</w:t>
      </w:r>
    </w:p>
    <w:p>
      <w:pPr>
        <w:pStyle w:val="Heading3"/>
        <w:spacing w:line="357" w:lineRule="auto"/>
        <w:ind w:right="716"/>
        <w:jc w:val="both"/>
        <w:rPr>
          <w:rFonts w:ascii="宋体" w:hAnsi="宋体" w:cs="宋体" w:eastAsia="宋体" w:hint="default"/>
        </w:rPr>
      </w:pPr>
      <w:r>
        <w:rPr/>
        <w:t>每股面值为人民币</w:t>
      </w:r>
      <w:r>
        <w:rPr>
          <w:spacing w:val="-54"/>
        </w:rPr>
        <w:t> </w:t>
      </w:r>
      <w:r>
        <w:rPr>
          <w:rFonts w:ascii="宋体" w:hAnsi="宋体" w:cs="宋体" w:eastAsia="宋体" w:hint="default"/>
        </w:rPr>
        <w:t>1.00</w:t>
      </w:r>
      <w:r>
        <w:rPr>
          <w:rFonts w:ascii="宋体" w:hAnsi="宋体" w:cs="宋体" w:eastAsia="宋体" w:hint="default"/>
          <w:spacing w:val="-54"/>
        </w:rPr>
        <w:t> </w:t>
      </w:r>
      <w:r>
        <w:rPr/>
        <w:t>元、每股发行价格为人民币</w:t>
      </w:r>
      <w:r>
        <w:rPr>
          <w:spacing w:val="-54"/>
        </w:rPr>
        <w:t> </w:t>
      </w:r>
      <w:r>
        <w:rPr>
          <w:rFonts w:ascii="宋体" w:hAnsi="宋体" w:cs="宋体" w:eastAsia="宋体" w:hint="default"/>
        </w:rPr>
        <w:t>20.05</w:t>
      </w:r>
      <w:r>
        <w:rPr>
          <w:rFonts w:ascii="宋体" w:hAnsi="宋体" w:cs="宋体" w:eastAsia="宋体" w:hint="default"/>
          <w:spacing w:val="-54"/>
        </w:rPr>
        <w:t> </w:t>
      </w:r>
      <w:r>
        <w:rPr/>
        <w:t>元，、向吉林长白山股权投资管理有限公 </w:t>
      </w:r>
      <w:r>
        <w:rPr>
          <w:spacing w:val="-3"/>
        </w:rPr>
        <w:t>司、兴业全球基金管理有限公司、太平资产管理有限公司、百年化妆护理品有限公司、天津硅谷天堂</w:t>
      </w:r>
      <w:r>
        <w:rPr>
          <w:spacing w:val="-84"/>
        </w:rPr>
        <w:t> </w:t>
      </w:r>
      <w:r>
        <w:rPr>
          <w:spacing w:val="-84"/>
        </w:rPr>
      </w:r>
      <w:r>
        <w:rPr>
          <w:spacing w:val="3"/>
        </w:rPr>
        <w:t>鲲鹏股权投资基金合伙企业（有限合伙）、杨录军为特定投资者发行，共募集资金</w:t>
      </w:r>
      <w:r>
        <w:rPr>
          <w:spacing w:val="23"/>
        </w:rPr>
        <w:t> </w:t>
      </w:r>
      <w:r>
        <w:rPr>
          <w:rFonts w:ascii="宋体" w:hAnsi="宋体" w:cs="宋体" w:eastAsia="宋体" w:hint="default"/>
        </w:rPr>
        <w:t>99,999.998555</w:t>
      </w:r>
    </w:p>
    <w:p>
      <w:pPr>
        <w:pStyle w:val="Heading3"/>
        <w:spacing w:line="357" w:lineRule="auto" w:before="34"/>
        <w:ind w:right="714"/>
        <w:jc w:val="both"/>
      </w:pPr>
      <w:r>
        <w:rPr/>
        <w:t>万元，扣除发行费用</w:t>
      </w:r>
      <w:r>
        <w:rPr>
          <w:spacing w:val="-53"/>
        </w:rPr>
        <w:t> </w:t>
      </w:r>
      <w:r>
        <w:rPr>
          <w:rFonts w:ascii="宋体" w:hAnsi="宋体" w:cs="宋体" w:eastAsia="宋体" w:hint="default"/>
        </w:rPr>
        <w:t>1,354.987531</w:t>
      </w:r>
      <w:r>
        <w:rPr>
          <w:rFonts w:ascii="宋体" w:hAnsi="宋体" w:cs="宋体" w:eastAsia="宋体" w:hint="default"/>
          <w:spacing w:val="-53"/>
        </w:rPr>
        <w:t> </w:t>
      </w:r>
      <w:r>
        <w:rPr/>
        <w:t>万元，募集资金净额为</w:t>
      </w:r>
      <w:r>
        <w:rPr>
          <w:spacing w:val="-53"/>
        </w:rPr>
        <w:t> </w:t>
      </w:r>
      <w:r>
        <w:rPr>
          <w:rFonts w:ascii="宋体" w:hAnsi="宋体" w:cs="宋体" w:eastAsia="宋体" w:hint="default"/>
        </w:rPr>
        <w:t>98,645.011024</w:t>
      </w:r>
      <w:r>
        <w:rPr>
          <w:rFonts w:ascii="宋体" w:hAnsi="宋体" w:cs="宋体" w:eastAsia="宋体" w:hint="default"/>
          <w:spacing w:val="-53"/>
        </w:rPr>
        <w:t> </w:t>
      </w:r>
      <w:r>
        <w:rPr/>
        <w:t>万元。本次发行的募集资 </w:t>
      </w:r>
      <w:r>
        <w:rPr>
          <w:spacing w:val="-3"/>
        </w:rPr>
        <w:t>金将投资于四个人参产品系列化项目，在吉林省人参主产区延吉市、敦化市、通化市、磐石市分别建</w:t>
      </w:r>
      <w:r>
        <w:rPr>
          <w:spacing w:val="-84"/>
        </w:rPr>
        <w:t> </w:t>
      </w:r>
      <w:r>
        <w:rPr>
          <w:spacing w:val="-84"/>
        </w:rPr>
      </w:r>
      <w:r>
        <w:rPr>
          <w:spacing w:val="-3"/>
        </w:rPr>
        <w:t>设四个人参生产加工基地，从事人参的深加工和精加工，主要生产品种将增加生晒参、大力参、模压</w:t>
      </w:r>
      <w:r>
        <w:rPr>
          <w:spacing w:val="-84"/>
        </w:rPr>
        <w:t> </w:t>
      </w:r>
      <w:r>
        <w:rPr>
          <w:spacing w:val="-84"/>
        </w:rPr>
      </w:r>
      <w:r>
        <w:rPr/>
        <w:t>红参、相关中成药、人参酵素饮料等。</w:t>
      </w:r>
    </w:p>
    <w:p>
      <w:pPr>
        <w:pStyle w:val="Heading3"/>
        <w:spacing w:line="357" w:lineRule="auto" w:before="34"/>
        <w:ind w:right="716" w:firstLine="480"/>
        <w:jc w:val="both"/>
      </w:pPr>
      <w:r>
        <w:rPr>
          <w:rFonts w:ascii="宋体" w:hAnsi="宋体" w:cs="宋体" w:eastAsia="宋体" w:hint="default"/>
          <w:spacing w:val="-6"/>
        </w:rPr>
        <w:t>4</w:t>
      </w:r>
      <w:r>
        <w:rPr>
          <w:spacing w:val="-6"/>
        </w:rPr>
        <w:t>、</w:t>
      </w:r>
      <w:r>
        <w:rPr>
          <w:rFonts w:ascii="宋体" w:hAnsi="宋体" w:cs="宋体" w:eastAsia="宋体" w:hint="default"/>
          <w:spacing w:val="-6"/>
        </w:rPr>
        <w:t>2010</w:t>
      </w:r>
      <w:r>
        <w:rPr>
          <w:rFonts w:ascii="宋体" w:hAnsi="宋体" w:cs="宋体" w:eastAsia="宋体" w:hint="default"/>
          <w:spacing w:val="-61"/>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5</w:t>
      </w:r>
      <w:r>
        <w:rPr>
          <w:rFonts w:ascii="宋体" w:hAnsi="宋体" w:cs="宋体" w:eastAsia="宋体" w:hint="default"/>
          <w:spacing w:val="-60"/>
        </w:rPr>
        <w:t> </w:t>
      </w:r>
      <w:r>
        <w:rPr/>
        <w:t>日在长春市南关区东头道街</w:t>
      </w:r>
      <w:r>
        <w:rPr>
          <w:spacing w:val="-60"/>
        </w:rPr>
        <w:t> </w:t>
      </w:r>
      <w:r>
        <w:rPr>
          <w:rFonts w:ascii="宋体" w:hAnsi="宋体" w:cs="宋体" w:eastAsia="宋体" w:hint="default"/>
        </w:rPr>
        <w:t>1</w:t>
      </w:r>
      <w:r>
        <w:rPr>
          <w:rFonts w:ascii="宋体" w:hAnsi="宋体" w:cs="宋体" w:eastAsia="宋体" w:hint="default"/>
          <w:spacing w:val="-60"/>
        </w:rPr>
        <w:t> </w:t>
      </w:r>
      <w:r>
        <w:rPr/>
        <w:t>号公司会议室召开二○一○年第三次临时股东大 会，会议审议通过了如下决议：</w:t>
      </w:r>
    </w:p>
    <w:p>
      <w:pPr>
        <w:pStyle w:val="Heading3"/>
        <w:spacing w:line="240" w:lineRule="auto" w:before="34"/>
        <w:ind w:right="0"/>
        <w:jc w:val="both"/>
      </w:pPr>
      <w:r>
        <w:rPr/>
        <w:t>（</w:t>
      </w:r>
      <w:r>
        <w:rPr>
          <w:rFonts w:ascii="宋体" w:hAnsi="宋体" w:cs="宋体" w:eastAsia="宋体" w:hint="default"/>
        </w:rPr>
        <w:t>1</w:t>
      </w:r>
      <w:r>
        <w:rPr/>
        <w:t>）审议通过《关于申请中国建设银行柳河支行贷款的议案》；</w:t>
      </w:r>
    </w:p>
    <w:p>
      <w:pPr>
        <w:pStyle w:val="Heading3"/>
        <w:spacing w:line="240" w:lineRule="auto"/>
        <w:ind w:right="0"/>
        <w:jc w:val="both"/>
      </w:pPr>
      <w:r>
        <w:rPr/>
        <w:t>（</w:t>
      </w:r>
      <w:r>
        <w:rPr>
          <w:rFonts w:ascii="宋体" w:hAnsi="宋体" w:cs="宋体" w:eastAsia="宋体" w:hint="default"/>
        </w:rPr>
        <w:t>2</w:t>
      </w:r>
      <w:r>
        <w:rPr/>
        <w:t>）审议通过《关于补选董事的议案》</w:t>
      </w:r>
    </w:p>
    <w:p>
      <w:pPr>
        <w:spacing w:after="0" w:line="240" w:lineRule="auto"/>
        <w:jc w:val="both"/>
        <w:sectPr>
          <w:pgSz w:w="11910" w:h="16840"/>
          <w:pgMar w:header="720" w:footer="956" w:top="1300" w:bottom="1140" w:left="580" w:right="0"/>
        </w:sectPr>
      </w:pPr>
    </w:p>
    <w:p>
      <w:pPr>
        <w:spacing w:line="240" w:lineRule="auto" w:before="13"/>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1"/>
        <w:tabs>
          <w:tab w:pos="4892" w:val="left" w:leader="none"/>
        </w:tabs>
        <w:spacing w:line="240" w:lineRule="auto"/>
        <w:ind w:left="3606" w:right="0"/>
        <w:jc w:val="left"/>
        <w:rPr>
          <w:b w:val="0"/>
          <w:bCs w:val="0"/>
        </w:rPr>
      </w:pPr>
      <w:bookmarkStart w:name="_TOC_250004" w:id="7"/>
      <w:r>
        <w:rPr>
          <w:w w:val="95"/>
        </w:rPr>
        <w:t>第七节</w:t>
        <w:tab/>
      </w:r>
      <w:r>
        <w:rPr/>
        <w:t>董事会工作报告</w:t>
      </w:r>
      <w:bookmarkEnd w:id="7"/>
      <w:r>
        <w:rPr>
          <w:b w:val="0"/>
          <w:bCs w:val="0"/>
        </w:rPr>
      </w:r>
    </w:p>
    <w:p>
      <w:pPr>
        <w:spacing w:line="240" w:lineRule="auto" w:before="12"/>
        <w:rPr>
          <w:rFonts w:ascii="黑体" w:hAnsi="黑体" w:cs="黑体" w:eastAsia="黑体" w:hint="default"/>
          <w:b/>
          <w:bCs/>
          <w:sz w:val="41"/>
          <w:szCs w:val="41"/>
        </w:rPr>
      </w:pPr>
    </w:p>
    <w:p>
      <w:pPr>
        <w:pStyle w:val="Heading2"/>
        <w:spacing w:line="240" w:lineRule="auto"/>
        <w:ind w:left="500" w:right="0"/>
        <w:jc w:val="left"/>
        <w:rPr>
          <w:b w:val="0"/>
          <w:bCs w:val="0"/>
        </w:rPr>
      </w:pPr>
      <w:r>
        <w:rPr/>
        <w:t>一、公司经营情况</w:t>
      </w:r>
      <w:r>
        <w:rPr>
          <w:b w:val="0"/>
          <w:bCs w:val="0"/>
        </w:rPr>
      </w:r>
    </w:p>
    <w:p>
      <w:pPr>
        <w:pStyle w:val="Heading2"/>
        <w:spacing w:line="240" w:lineRule="auto" w:before="151"/>
        <w:ind w:left="351" w:right="0"/>
        <w:jc w:val="left"/>
        <w:rPr>
          <w:b w:val="0"/>
          <w:bCs w:val="0"/>
        </w:rPr>
      </w:pPr>
      <w:r>
        <w:rPr/>
        <w:t>（一）报告期内公司经营情况的回顾</w:t>
      </w:r>
      <w:r>
        <w:rPr>
          <w:b w:val="0"/>
          <w:bCs w:val="0"/>
        </w:rPr>
      </w:r>
    </w:p>
    <w:p>
      <w:pPr>
        <w:pStyle w:val="Heading3"/>
        <w:spacing w:line="357" w:lineRule="auto"/>
        <w:ind w:right="578" w:firstLine="470"/>
        <w:jc w:val="left"/>
      </w:pPr>
      <w:r>
        <w:rPr>
          <w:rFonts w:ascii="宋体" w:hAnsi="宋体" w:cs="宋体" w:eastAsia="宋体" w:hint="default"/>
        </w:rPr>
        <w:t>2010</w:t>
      </w:r>
      <w:r>
        <w:rPr>
          <w:rFonts w:ascii="宋体" w:hAnsi="宋体" w:cs="宋体" w:eastAsia="宋体" w:hint="default"/>
          <w:spacing w:val="-82"/>
        </w:rPr>
        <w:t> </w:t>
      </w:r>
      <w:r>
        <w:rPr/>
        <w:t>年，国内外经济环境总体上呈现回暖之势，中央政府采取系列政策措施转变经济增长方式， </w:t>
      </w:r>
      <w:r>
        <w:rPr>
          <w:spacing w:val="-3"/>
        </w:rPr>
        <w:t>积极扩大内需，新医改法案及系列配套设施开始逐步实施，为医药行业的发展提供了良好的机遇。同</w:t>
      </w:r>
      <w:r>
        <w:rPr>
          <w:spacing w:val="-84"/>
        </w:rPr>
        <w:t> </w:t>
      </w:r>
      <w:r>
        <w:rPr>
          <w:spacing w:val="-84"/>
        </w:rPr>
      </w:r>
      <w:r>
        <w:rPr/>
        <w:t>时吉林省政府陆续出台一系列扶持人参产业的政策，为人参产业的发展创造了良好的条件。</w:t>
      </w:r>
    </w:p>
    <w:p>
      <w:pPr>
        <w:pStyle w:val="Heading2"/>
        <w:spacing w:line="240" w:lineRule="auto" w:before="34"/>
        <w:ind w:left="612" w:right="0"/>
        <w:jc w:val="left"/>
        <w:rPr>
          <w:b w:val="0"/>
          <w:bCs w:val="0"/>
        </w:rPr>
      </w:pPr>
      <w:r>
        <w:rPr>
          <w:rFonts w:ascii="宋体" w:hAnsi="宋体" w:cs="宋体" w:eastAsia="宋体" w:hint="default"/>
        </w:rPr>
        <w:t>1</w:t>
      </w:r>
      <w:r>
        <w:rPr/>
        <w:t>、逐步转变销售模式，开发新的销售渠道</w:t>
      </w:r>
      <w:r>
        <w:rPr>
          <w:b w:val="0"/>
          <w:bCs w:val="0"/>
        </w:rPr>
      </w:r>
    </w:p>
    <w:p>
      <w:pPr>
        <w:pStyle w:val="Heading3"/>
        <w:spacing w:line="355" w:lineRule="auto"/>
        <w:ind w:left="610" w:right="578"/>
        <w:jc w:val="left"/>
      </w:pPr>
      <w:r>
        <w:rPr/>
        <w:t>（</w:t>
      </w:r>
      <w:r>
        <w:rPr>
          <w:rFonts w:ascii="宋体" w:hAnsi="宋体" w:cs="宋体" w:eastAsia="宋体" w:hint="default"/>
        </w:rPr>
        <w:t>1</w:t>
      </w:r>
      <w:r>
        <w:rPr/>
        <w:t>）保证原有处方药销售，逐步提高销售量 </w:t>
      </w:r>
      <w:r>
        <w:rPr>
          <w:spacing w:val="-3"/>
        </w:rPr>
        <w:t>公司自成立以来，致力于产品的处方药开发与销售，已经与全国</w:t>
      </w:r>
      <w:r>
        <w:rPr>
          <w:spacing w:val="-59"/>
        </w:rPr>
        <w:t> </w:t>
      </w:r>
      <w:r>
        <w:rPr>
          <w:rFonts w:ascii="宋体" w:hAnsi="宋体" w:cs="宋体" w:eastAsia="宋体" w:hint="default"/>
        </w:rPr>
        <w:t>3000</w:t>
      </w:r>
      <w:r>
        <w:rPr>
          <w:rFonts w:ascii="宋体" w:hAnsi="宋体" w:cs="宋体" w:eastAsia="宋体" w:hint="default"/>
          <w:spacing w:val="-59"/>
        </w:rPr>
        <w:t> </w:t>
      </w:r>
      <w:r>
        <w:rPr/>
        <w:t>多家二级甲等以上的医院、</w:t>
      </w:r>
    </w:p>
    <w:p>
      <w:pPr>
        <w:pStyle w:val="Heading3"/>
        <w:spacing w:line="357" w:lineRule="auto" w:before="38"/>
        <w:ind w:right="713"/>
        <w:jc w:val="both"/>
      </w:pPr>
      <w:r>
        <w:rPr>
          <w:rFonts w:ascii="宋体" w:hAnsi="宋体" w:cs="宋体" w:eastAsia="宋体" w:hint="default"/>
        </w:rPr>
        <w:t>900 </w:t>
      </w:r>
      <w:r>
        <w:rPr>
          <w:spacing w:val="-3"/>
        </w:rPr>
        <w:t>多家医药经销单位建立了长期稳定的业务关系，构建了层次鲜明、效率突出的临床销售网络。</w:t>
      </w:r>
      <w:r>
        <w:rPr>
          <w:spacing w:val="-90"/>
        </w:rPr>
        <w:t> </w:t>
      </w:r>
      <w:r>
        <w:rPr/>
        <w:t>与</w:t>
      </w:r>
      <w:r>
        <w:rPr/>
        <w:t> </w:t>
      </w:r>
      <w:r>
        <w:rPr>
          <w:spacing w:val="-3"/>
        </w:rPr>
        <w:t>此同时，销售团队将利用具有优势的品牌“紫鑫”、现代化完善的中成药企业以及上市药企等优势，</w:t>
      </w:r>
      <w:r>
        <w:rPr>
          <w:spacing w:val="-85"/>
        </w:rPr>
        <w:t> </w:t>
      </w:r>
      <w:r>
        <w:rPr>
          <w:spacing w:val="-85"/>
        </w:rPr>
      </w:r>
      <w:r>
        <w:rPr>
          <w:spacing w:val="-3"/>
        </w:rPr>
        <w:t>突出体现紫鑫药品高疗效、高品质的产品特质，加大处方药市场开拓与产品的推广，使得产品的处方</w:t>
      </w:r>
      <w:r>
        <w:rPr>
          <w:spacing w:val="-83"/>
        </w:rPr>
        <w:t> </w:t>
      </w:r>
      <w:r>
        <w:rPr>
          <w:spacing w:val="-83"/>
        </w:rPr>
      </w:r>
      <w:r>
        <w:rPr/>
        <w:t>药销售网络得到不断的扩展。</w:t>
      </w:r>
    </w:p>
    <w:p>
      <w:pPr>
        <w:pStyle w:val="Heading3"/>
        <w:spacing w:line="240" w:lineRule="auto" w:before="34"/>
        <w:ind w:left="610" w:right="0"/>
        <w:jc w:val="left"/>
      </w:pPr>
      <w:r>
        <w:rPr/>
        <w:t>（</w:t>
      </w:r>
      <w:r>
        <w:rPr>
          <w:rFonts w:ascii="宋体" w:hAnsi="宋体" w:cs="宋体" w:eastAsia="宋体" w:hint="default"/>
        </w:rPr>
        <w:t>2</w:t>
      </w:r>
      <w:r>
        <w:rPr/>
        <w:t>）不断加强</w:t>
      </w:r>
      <w:r>
        <w:rPr>
          <w:spacing w:val="-61"/>
        </w:rPr>
        <w:t> </w:t>
      </w:r>
      <w:r>
        <w:rPr>
          <w:rFonts w:ascii="宋体" w:hAnsi="宋体" w:cs="宋体" w:eastAsia="宋体" w:hint="default"/>
        </w:rPr>
        <w:t>OTC</w:t>
      </w:r>
      <w:r>
        <w:rPr>
          <w:rFonts w:ascii="宋体" w:hAnsi="宋体" w:cs="宋体" w:eastAsia="宋体" w:hint="default"/>
          <w:spacing w:val="-60"/>
        </w:rPr>
        <w:t> </w:t>
      </w:r>
      <w:r>
        <w:rPr/>
        <w:t>市场的开发，完善</w:t>
      </w:r>
      <w:r>
        <w:rPr>
          <w:spacing w:val="-60"/>
        </w:rPr>
        <w:t> </w:t>
      </w:r>
      <w:r>
        <w:rPr>
          <w:rFonts w:ascii="宋体" w:hAnsi="宋体" w:cs="宋体" w:eastAsia="宋体" w:hint="default"/>
        </w:rPr>
        <w:t>OTC</w:t>
      </w:r>
      <w:r>
        <w:rPr>
          <w:rFonts w:ascii="宋体" w:hAnsi="宋体" w:cs="宋体" w:eastAsia="宋体" w:hint="default"/>
          <w:spacing w:val="-60"/>
        </w:rPr>
        <w:t> </w:t>
      </w:r>
      <w:r>
        <w:rPr/>
        <w:t>销售网络</w:t>
      </w:r>
    </w:p>
    <w:p>
      <w:pPr>
        <w:pStyle w:val="Heading3"/>
        <w:spacing w:line="357" w:lineRule="auto"/>
        <w:ind w:right="583" w:firstLine="470"/>
        <w:jc w:val="left"/>
      </w:pPr>
      <w:r>
        <w:rPr>
          <w:spacing w:val="-3"/>
        </w:rPr>
        <w:t>据有关数据显示，我国目前拥有</w:t>
      </w:r>
      <w:r>
        <w:rPr>
          <w:spacing w:val="-61"/>
        </w:rPr>
        <w:t> </w:t>
      </w:r>
      <w:r>
        <w:rPr>
          <w:rFonts w:ascii="宋体" w:hAnsi="宋体" w:cs="宋体" w:eastAsia="宋体" w:hint="default"/>
        </w:rPr>
        <w:t>4000</w:t>
      </w:r>
      <w:r>
        <w:rPr>
          <w:rFonts w:ascii="宋体" w:hAnsi="宋体" w:cs="宋体" w:eastAsia="宋体" w:hint="default"/>
          <w:spacing w:val="-62"/>
        </w:rPr>
        <w:t> </w:t>
      </w:r>
      <w:r>
        <w:rPr/>
        <w:t>多种</w:t>
      </w:r>
      <w:r>
        <w:rPr>
          <w:spacing w:val="-62"/>
        </w:rPr>
        <w:t> </w:t>
      </w:r>
      <w:r>
        <w:rPr>
          <w:rFonts w:ascii="宋体" w:hAnsi="宋体" w:cs="宋体" w:eastAsia="宋体" w:hint="default"/>
        </w:rPr>
        <w:t>OTC</w:t>
      </w:r>
      <w:r>
        <w:rPr>
          <w:rFonts w:ascii="宋体" w:hAnsi="宋体" w:cs="宋体" w:eastAsia="宋体" w:hint="default"/>
          <w:spacing w:val="-62"/>
        </w:rPr>
        <w:t> </w:t>
      </w:r>
      <w:r>
        <w:rPr/>
        <w:t>药品，大约占我国上市药品总量的</w:t>
      </w:r>
      <w:r>
        <w:rPr>
          <w:spacing w:val="-61"/>
        </w:rPr>
        <w:t> </w:t>
      </w:r>
      <w:r>
        <w:rPr>
          <w:rFonts w:ascii="宋体" w:hAnsi="宋体" w:cs="宋体" w:eastAsia="宋体" w:hint="default"/>
          <w:spacing w:val="-5"/>
        </w:rPr>
        <w:t>25%</w:t>
      </w:r>
      <w:r>
        <w:rPr>
          <w:spacing w:val="-5"/>
        </w:rPr>
        <w:t>。中国</w:t>
      </w:r>
      <w:r>
        <w:rPr>
          <w:spacing w:val="-62"/>
        </w:rPr>
        <w:t> </w:t>
      </w:r>
      <w:r>
        <w:rPr>
          <w:rFonts w:ascii="宋体" w:hAnsi="宋体" w:cs="宋体" w:eastAsia="宋体" w:hint="default"/>
        </w:rPr>
        <w:t>OTC </w:t>
      </w:r>
      <w:r>
        <w:rPr/>
        <w:t>市场年增长率超过</w:t>
      </w:r>
      <w:r>
        <w:rPr>
          <w:spacing w:val="-31"/>
        </w:rPr>
        <w:t> </w:t>
      </w:r>
      <w:r>
        <w:rPr>
          <w:rFonts w:ascii="宋体" w:hAnsi="宋体" w:cs="宋体" w:eastAsia="宋体" w:hint="default"/>
        </w:rPr>
        <w:t>20%</w:t>
      </w:r>
      <w:r>
        <w:rPr/>
        <w:t>，并且预计未来</w:t>
      </w:r>
      <w:r>
        <w:rPr>
          <w:spacing w:val="-31"/>
        </w:rPr>
        <w:t> </w:t>
      </w:r>
      <w:r>
        <w:rPr>
          <w:rFonts w:ascii="宋体" w:hAnsi="宋体" w:cs="宋体" w:eastAsia="宋体" w:hint="default"/>
        </w:rPr>
        <w:t>10</w:t>
      </w:r>
      <w:r>
        <w:rPr>
          <w:rFonts w:ascii="宋体" w:hAnsi="宋体" w:cs="宋体" w:eastAsia="宋体" w:hint="default"/>
          <w:spacing w:val="-32"/>
        </w:rPr>
        <w:t> </w:t>
      </w:r>
      <w:r>
        <w:rPr/>
        <w:t>年将保持这样的增长速度。随着全民经济收入、卫生保健 意识的增强</w:t>
      </w:r>
      <w:r>
        <w:rPr>
          <w:spacing w:val="-54"/>
        </w:rPr>
        <w:t> </w:t>
      </w:r>
      <w:r>
        <w:rPr>
          <w:rFonts w:ascii="宋体" w:hAnsi="宋体" w:cs="宋体" w:eastAsia="宋体" w:hint="default"/>
        </w:rPr>
        <w:t>OTC</w:t>
      </w:r>
      <w:r>
        <w:rPr>
          <w:rFonts w:ascii="宋体" w:hAnsi="宋体" w:cs="宋体" w:eastAsia="宋体" w:hint="default"/>
          <w:spacing w:val="-55"/>
        </w:rPr>
        <w:t> </w:t>
      </w:r>
      <w:r>
        <w:rPr>
          <w:spacing w:val="-5"/>
        </w:rPr>
        <w:t>药品消费的份额在逐年增加，全国的</w:t>
      </w:r>
      <w:r>
        <w:rPr>
          <w:spacing w:val="-54"/>
        </w:rPr>
        <w:t> </w:t>
      </w:r>
      <w:r>
        <w:rPr>
          <w:rFonts w:ascii="宋体" w:hAnsi="宋体" w:cs="宋体" w:eastAsia="宋体" w:hint="default"/>
        </w:rPr>
        <w:t>OTC</w:t>
      </w:r>
      <w:r>
        <w:rPr>
          <w:rFonts w:ascii="宋体" w:hAnsi="宋体" w:cs="宋体" w:eastAsia="宋体" w:hint="default"/>
          <w:spacing w:val="-54"/>
        </w:rPr>
        <w:t> </w:t>
      </w:r>
      <w:r>
        <w:rPr>
          <w:spacing w:val="-8"/>
        </w:rPr>
        <w:t>市场的上升潜力巨大。服用方便，安全性高、</w:t>
      </w:r>
      <w:r>
        <w:rPr/>
        <w:t> 副作用低的特点，使得中成药将会成为</w:t>
      </w:r>
      <w:r>
        <w:rPr>
          <w:spacing w:val="-65"/>
        </w:rPr>
        <w:t> </w:t>
      </w:r>
      <w:r>
        <w:rPr>
          <w:rFonts w:ascii="宋体" w:hAnsi="宋体" w:cs="宋体" w:eastAsia="宋体" w:hint="default"/>
        </w:rPr>
        <w:t>OTC</w:t>
      </w:r>
      <w:r>
        <w:rPr>
          <w:rFonts w:ascii="宋体" w:hAnsi="宋体" w:cs="宋体" w:eastAsia="宋体" w:hint="default"/>
          <w:spacing w:val="-66"/>
        </w:rPr>
        <w:t> </w:t>
      </w:r>
      <w:r>
        <w:rPr>
          <w:spacing w:val="-3"/>
        </w:rPr>
        <w:t>市场的主要增长份额，公司正是抓住这个市场契机，大力</w:t>
      </w:r>
      <w:r>
        <w:rPr/>
        <w:t> 开拓</w:t>
      </w:r>
      <w:r>
        <w:rPr>
          <w:spacing w:val="-60"/>
        </w:rPr>
        <w:t> </w:t>
      </w:r>
      <w:r>
        <w:rPr>
          <w:rFonts w:ascii="宋体" w:hAnsi="宋体" w:cs="宋体" w:eastAsia="宋体" w:hint="default"/>
        </w:rPr>
        <w:t>OTC</w:t>
      </w:r>
      <w:r>
        <w:rPr>
          <w:rFonts w:ascii="宋体" w:hAnsi="宋体" w:cs="宋体" w:eastAsia="宋体" w:hint="default"/>
          <w:spacing w:val="-60"/>
        </w:rPr>
        <w:t> </w:t>
      </w:r>
      <w:r>
        <w:rPr/>
        <w:t>市场。</w:t>
      </w:r>
    </w:p>
    <w:p>
      <w:pPr>
        <w:pStyle w:val="Heading3"/>
        <w:spacing w:line="357" w:lineRule="auto" w:before="34"/>
        <w:ind w:right="581" w:firstLine="470"/>
        <w:jc w:val="left"/>
      </w:pPr>
      <w:r>
        <w:rPr>
          <w:spacing w:val="-3"/>
        </w:rPr>
        <w:t>目前，公司已与全国多家大型连锁药店进行合作销售，顺利使产品进入当地的主流销售通路。今</w:t>
      </w:r>
      <w:r>
        <w:rPr/>
        <w:t> 后将继续加大</w:t>
      </w:r>
      <w:r>
        <w:rPr>
          <w:spacing w:val="-60"/>
        </w:rPr>
        <w:t> </w:t>
      </w:r>
      <w:r>
        <w:rPr>
          <w:rFonts w:ascii="宋体" w:hAnsi="宋体" w:cs="宋体" w:eastAsia="宋体" w:hint="default"/>
        </w:rPr>
        <w:t>OTC</w:t>
      </w:r>
      <w:r>
        <w:rPr>
          <w:rFonts w:ascii="宋体" w:hAnsi="宋体" w:cs="宋体" w:eastAsia="宋体" w:hint="default"/>
          <w:spacing w:val="-60"/>
        </w:rPr>
        <w:t> </w:t>
      </w:r>
      <w:r>
        <w:rPr>
          <w:spacing w:val="-8"/>
        </w:rPr>
        <w:t>产品的销售力度。同时深度的与各合作商建立促销机制，保证</w:t>
      </w:r>
      <w:r>
        <w:rPr>
          <w:spacing w:val="-59"/>
        </w:rPr>
        <w:t> </w:t>
      </w:r>
      <w:r>
        <w:rPr>
          <w:rFonts w:ascii="宋体" w:hAnsi="宋体" w:cs="宋体" w:eastAsia="宋体" w:hint="default"/>
        </w:rPr>
        <w:t>OTC</w:t>
      </w:r>
      <w:r>
        <w:rPr>
          <w:rFonts w:ascii="宋体" w:hAnsi="宋体" w:cs="宋体" w:eastAsia="宋体" w:hint="default"/>
          <w:spacing w:val="-60"/>
        </w:rPr>
        <w:t> </w:t>
      </w:r>
      <w:r>
        <w:rPr/>
        <w:t>产品的销售份额， 逐步完善</w:t>
      </w:r>
      <w:r>
        <w:rPr>
          <w:spacing w:val="-57"/>
        </w:rPr>
        <w:t> </w:t>
      </w:r>
      <w:r>
        <w:rPr>
          <w:rFonts w:ascii="宋体" w:hAnsi="宋体" w:cs="宋体" w:eastAsia="宋体" w:hint="default"/>
        </w:rPr>
        <w:t>OTC</w:t>
      </w:r>
      <w:r>
        <w:rPr>
          <w:rFonts w:ascii="宋体" w:hAnsi="宋体" w:cs="宋体" w:eastAsia="宋体" w:hint="default"/>
          <w:spacing w:val="-58"/>
        </w:rPr>
        <w:t> </w:t>
      </w:r>
      <w:r>
        <w:rPr>
          <w:spacing w:val="-3"/>
        </w:rPr>
        <w:t>销售网络。将开发工作深入化、细致化，真正介入市场竞争，建立合理、稳定的销售网</w:t>
      </w:r>
      <w:r>
        <w:rPr>
          <w:spacing w:val="-113"/>
        </w:rPr>
        <w:t> </w:t>
      </w:r>
      <w:r>
        <w:rPr>
          <w:spacing w:val="-113"/>
        </w:rPr>
      </w:r>
      <w:r>
        <w:rPr/>
        <w:t>络。</w:t>
      </w:r>
    </w:p>
    <w:p>
      <w:pPr>
        <w:pStyle w:val="Heading3"/>
        <w:spacing w:line="357" w:lineRule="auto" w:before="34"/>
        <w:ind w:left="610" w:right="0"/>
        <w:jc w:val="left"/>
      </w:pPr>
      <w:r>
        <w:rPr/>
        <w:t>（</w:t>
      </w:r>
      <w:r>
        <w:rPr>
          <w:rFonts w:ascii="宋体" w:hAnsi="宋体" w:cs="宋体" w:eastAsia="宋体" w:hint="default"/>
        </w:rPr>
        <w:t>3</w:t>
      </w:r>
      <w:r>
        <w:rPr/>
        <w:t>）响应国策，强化基本药销售 </w:t>
      </w:r>
      <w:r>
        <w:rPr>
          <w:spacing w:val="-3"/>
        </w:rPr>
        <w:t>基本药物使用政策，是国家医疗改革的核心。真正的保证了基层医疗单位的用药规范，同时让广</w:t>
      </w:r>
    </w:p>
    <w:p>
      <w:pPr>
        <w:pStyle w:val="Heading3"/>
        <w:spacing w:line="240" w:lineRule="auto" w:before="36"/>
        <w:ind w:right="0"/>
        <w:jc w:val="both"/>
      </w:pPr>
      <w:r>
        <w:rPr/>
        <w:t>大患者用上价格合理，疗效确切、性价比很高的药品。</w:t>
      </w:r>
    </w:p>
    <w:p>
      <w:pPr>
        <w:pStyle w:val="Heading3"/>
        <w:spacing w:line="357" w:lineRule="auto" w:before="151"/>
        <w:ind w:right="702" w:firstLine="470"/>
        <w:jc w:val="left"/>
      </w:pPr>
      <w:r>
        <w:rPr/>
        <w:t>目前公司有</w:t>
      </w:r>
      <w:r>
        <w:rPr>
          <w:spacing w:val="-55"/>
        </w:rPr>
        <w:t> </w:t>
      </w:r>
      <w:r>
        <w:rPr>
          <w:rFonts w:ascii="宋体" w:hAnsi="宋体" w:cs="宋体" w:eastAsia="宋体" w:hint="default"/>
        </w:rPr>
        <w:t>26</w:t>
      </w:r>
      <w:r>
        <w:rPr>
          <w:rFonts w:ascii="宋体" w:hAnsi="宋体" w:cs="宋体" w:eastAsia="宋体" w:hint="default"/>
          <w:spacing w:val="-55"/>
        </w:rPr>
        <w:t> </w:t>
      </w:r>
      <w:r>
        <w:rPr>
          <w:spacing w:val="-6"/>
        </w:rPr>
        <w:t>个产品进入国家第一批《国家基本药物目录》，覆盖了心脑、消化、骨伤、妇幼等</w:t>
      </w:r>
      <w:r>
        <w:rPr/>
        <w:t> </w:t>
      </w:r>
      <w:r>
        <w:rPr>
          <w:spacing w:val="-3"/>
        </w:rPr>
        <w:t>多个临床应用范围。公司将积极参与各省的基本药物招标采购，为全国各地的基层医疗单位提供优质</w:t>
      </w:r>
    </w:p>
    <w:p>
      <w:pPr>
        <w:spacing w:after="0" w:line="357" w:lineRule="auto"/>
        <w:jc w:val="left"/>
        <w:sectPr>
          <w:pgSz w:w="11910" w:h="16840"/>
          <w:pgMar w:header="720" w:footer="956" w:top="1300" w:bottom="1140" w:left="580" w:right="0"/>
        </w:sectPr>
      </w:pPr>
    </w:p>
    <w:p>
      <w:pPr>
        <w:pStyle w:val="Heading3"/>
        <w:spacing w:line="240" w:lineRule="auto" w:before="13"/>
        <w:ind w:right="0"/>
        <w:jc w:val="left"/>
      </w:pPr>
      <w:r>
        <w:rPr/>
        <w:pict>
          <v:group style="position:absolute;margin-left:34.560001pt;margin-top:2.305654pt;width:508.3pt;height:.1pt;mso-position-horizontal-relative:page;mso-position-vertical-relative:paragraph;z-index:-534496" coordorigin="691,46" coordsize="10166,2">
            <v:shape style="position:absolute;left:691;top:46;width:10166;height:2" coordorigin="691,46" coordsize="10166,0" path="m691,46l10857,46e" filled="false" stroked="true" strokeweight=".72pt" strokecolor="#000000">
              <v:path arrowok="t"/>
            </v:shape>
            <w10:wrap type="none"/>
          </v:group>
        </w:pict>
      </w:r>
      <w:r>
        <w:rPr/>
        <w:t>高效的基本药物品种，将销售网络建立到离消费者最近的社区、乡镇等基层医疗机构。</w:t>
      </w:r>
    </w:p>
    <w:p>
      <w:pPr>
        <w:pStyle w:val="Heading3"/>
        <w:spacing w:line="357" w:lineRule="auto" w:before="152"/>
        <w:ind w:left="610" w:right="591" w:hanging="111"/>
        <w:jc w:val="left"/>
      </w:pPr>
      <w:r>
        <w:rPr/>
        <w:t>（</w:t>
      </w:r>
      <w:r>
        <w:rPr>
          <w:rFonts w:ascii="宋体" w:hAnsi="宋体" w:cs="宋体" w:eastAsia="宋体" w:hint="default"/>
        </w:rPr>
        <w:t>4</w:t>
      </w:r>
      <w:r>
        <w:rPr/>
        <w:t>）参与新型农村合作医疗体系，进入第三终端销售领域 </w:t>
      </w:r>
      <w:r>
        <w:rPr>
          <w:spacing w:val="-5"/>
        </w:rPr>
        <w:t>中国的人口分布主要以农村乡镇为主，因此农村、乡镇医疗用药容量巨大。公司的部分价格适中、</w:t>
      </w:r>
    </w:p>
    <w:p>
      <w:pPr>
        <w:pStyle w:val="Heading3"/>
        <w:spacing w:line="357" w:lineRule="auto" w:before="34"/>
        <w:ind w:right="719"/>
        <w:jc w:val="both"/>
      </w:pPr>
      <w:r>
        <w:rPr>
          <w:spacing w:val="-3"/>
        </w:rPr>
        <w:t>疗程短、见效快的普药产品积极参与到新农村合作医疗的用药项目，介入农村卫生院、乡镇卫生院等</w:t>
      </w:r>
      <w:r>
        <w:rPr>
          <w:spacing w:val="-84"/>
        </w:rPr>
        <w:t> </w:t>
      </w:r>
      <w:r>
        <w:rPr>
          <w:spacing w:val="-84"/>
        </w:rPr>
      </w:r>
      <w:r>
        <w:rPr>
          <w:spacing w:val="-3"/>
        </w:rPr>
        <w:t>用药单位的销售。开发市场容量巨大的第三终端销售领域，为解决农村看病难、用药难、劣药假药多</w:t>
      </w:r>
      <w:r>
        <w:rPr>
          <w:spacing w:val="-84"/>
        </w:rPr>
        <w:t> </w:t>
      </w:r>
      <w:r>
        <w:rPr>
          <w:spacing w:val="-84"/>
        </w:rPr>
      </w:r>
      <w:r>
        <w:rPr/>
        <w:t>的问题，贡献医药生产企业的社会力量。</w:t>
      </w:r>
    </w:p>
    <w:p>
      <w:pPr>
        <w:spacing w:line="355" w:lineRule="auto" w:before="36"/>
        <w:ind w:left="620" w:right="0" w:firstLine="2"/>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、抓住吉林省振兴人参产业规划的契机，积极发展人参产业</w:t>
      </w:r>
      <w:r>
        <w:rPr>
          <w:rFonts w:ascii="宋体" w:hAnsi="宋体" w:cs="宋体" w:eastAsia="宋体" w:hint="default"/>
          <w:b/>
          <w:bCs/>
          <w:w w:val="99"/>
          <w:sz w:val="24"/>
          <w:szCs w:val="24"/>
        </w:rPr>
        <w:t> </w:t>
      </w:r>
      <w:r>
        <w:rPr>
          <w:rFonts w:ascii="宋体" w:hAnsi="宋体" w:cs="宋体" w:eastAsia="宋体" w:hint="default"/>
          <w:spacing w:val="-3"/>
          <w:sz w:val="24"/>
          <w:szCs w:val="24"/>
        </w:rPr>
        <w:t>公司自成立以来，一直以现代中药和中药现代化为目标，在严格按照标准组织生产的同时，勇于</w:t>
      </w:r>
    </w:p>
    <w:p>
      <w:pPr>
        <w:pStyle w:val="Heading3"/>
        <w:spacing w:line="355" w:lineRule="auto" w:before="39"/>
        <w:ind w:right="704"/>
        <w:jc w:val="left"/>
      </w:pPr>
      <w:r>
        <w:rPr/>
        <w:t>自主创新，始终致力于药品研究与新产品开发。</w:t>
      </w:r>
      <w:r>
        <w:rPr>
          <w:rFonts w:ascii="宋体" w:hAnsi="宋体" w:cs="宋体" w:eastAsia="宋体" w:hint="default"/>
        </w:rPr>
        <w:t>2010</w:t>
      </w:r>
      <w:r>
        <w:rPr>
          <w:rFonts w:ascii="宋体" w:hAnsi="宋体" w:cs="宋体" w:eastAsia="宋体" w:hint="default"/>
          <w:spacing w:val="22"/>
        </w:rPr>
        <w:t> </w:t>
      </w:r>
      <w:r>
        <w:rPr/>
        <w:t>年我公司加大对人参产业的投入力度，先后投 资</w:t>
      </w:r>
      <w:r>
        <w:rPr>
          <w:spacing w:val="-55"/>
        </w:rPr>
        <w:t> </w:t>
      </w:r>
      <w:r>
        <w:rPr>
          <w:rFonts w:ascii="宋体" w:hAnsi="宋体" w:cs="宋体" w:eastAsia="宋体" w:hint="default"/>
        </w:rPr>
        <w:t>6.2</w:t>
      </w:r>
      <w:r>
        <w:rPr>
          <w:rFonts w:ascii="宋体" w:hAnsi="宋体" w:cs="宋体" w:eastAsia="宋体" w:hint="default"/>
          <w:spacing w:val="-55"/>
        </w:rPr>
        <w:t> </w:t>
      </w:r>
      <w:r>
        <w:rPr/>
        <w:t>亿元进行人参原料的采购加工，又在资本市场上完成了</w:t>
      </w:r>
      <w:r>
        <w:rPr>
          <w:spacing w:val="-54"/>
        </w:rPr>
        <w:t> </w:t>
      </w:r>
      <w:r>
        <w:rPr>
          <w:rFonts w:ascii="宋体" w:hAnsi="宋体" w:cs="宋体" w:eastAsia="宋体" w:hint="default"/>
        </w:rPr>
        <w:t>10</w:t>
      </w:r>
      <w:r>
        <w:rPr>
          <w:rFonts w:ascii="宋体" w:hAnsi="宋体" w:cs="宋体" w:eastAsia="宋体" w:hint="default"/>
          <w:spacing w:val="-55"/>
        </w:rPr>
        <w:t> </w:t>
      </w:r>
      <w:r>
        <w:rPr/>
        <w:t>亿元的再融资项目，围绕吉林省人</w:t>
      </w:r>
    </w:p>
    <w:p>
      <w:pPr>
        <w:pStyle w:val="Heading3"/>
        <w:spacing w:line="357" w:lineRule="auto" w:before="38"/>
        <w:ind w:right="591"/>
        <w:jc w:val="left"/>
      </w:pPr>
      <w:r>
        <w:rPr>
          <w:spacing w:val="-3"/>
        </w:rPr>
        <w:t>参主产区建立了四个人参生产加工基地。同年</w:t>
      </w:r>
      <w:r>
        <w:rPr>
          <w:spacing w:val="-51"/>
        </w:rPr>
        <w:t> </w:t>
      </w:r>
      <w:r>
        <w:rPr>
          <w:rFonts w:ascii="宋体" w:hAnsi="宋体" w:cs="宋体" w:eastAsia="宋体" w:hint="default"/>
        </w:rPr>
        <w:t>6</w:t>
      </w:r>
      <w:r>
        <w:rPr>
          <w:rFonts w:ascii="宋体" w:hAnsi="宋体" w:cs="宋体" w:eastAsia="宋体" w:hint="default"/>
          <w:spacing w:val="-52"/>
        </w:rPr>
        <w:t> </w:t>
      </w:r>
      <w:r>
        <w:rPr>
          <w:spacing w:val="-3"/>
        </w:rPr>
        <w:t>月，成立了吉林紫鑫人参研发有限公司和吉林紫鑫药</w:t>
      </w:r>
      <w:r>
        <w:rPr>
          <w:spacing w:val="-104"/>
        </w:rPr>
        <w:t> </w:t>
      </w:r>
      <w:r>
        <w:rPr>
          <w:spacing w:val="-104"/>
        </w:rPr>
      </w:r>
      <w:r>
        <w:rPr/>
        <w:t>物研发有限公司两家研发公司，对食品、化妆品、保健品在内的多个人参系列产品，加大研发力度。 </w:t>
      </w:r>
      <w:r>
        <w:rPr>
          <w:rFonts w:ascii="宋体" w:hAnsi="宋体" w:cs="宋体" w:eastAsia="宋体" w:hint="default"/>
        </w:rPr>
        <w:t>2011</w:t>
      </w:r>
      <w:r>
        <w:rPr>
          <w:rFonts w:ascii="宋体" w:hAnsi="宋体" w:cs="宋体" w:eastAsia="宋体" w:hint="default"/>
          <w:spacing w:val="-31"/>
        </w:rPr>
        <w:t> </w:t>
      </w:r>
      <w:r>
        <w:rPr/>
        <w:t>年</w:t>
      </w:r>
      <w:r>
        <w:rPr>
          <w:spacing w:val="-32"/>
        </w:rPr>
        <w:t> </w:t>
      </w:r>
      <w:r>
        <w:rPr>
          <w:rFonts w:ascii="宋体" w:hAnsi="宋体" w:cs="宋体" w:eastAsia="宋体" w:hint="default"/>
        </w:rPr>
        <w:t>2</w:t>
      </w:r>
      <w:r>
        <w:rPr>
          <w:rFonts w:ascii="宋体" w:hAnsi="宋体" w:cs="宋体" w:eastAsia="宋体" w:hint="default"/>
          <w:spacing w:val="-32"/>
        </w:rPr>
        <w:t> </w:t>
      </w:r>
      <w:r>
        <w:rPr/>
        <w:t>月，我公司与通化市政府、中科院北京基因组研究所共同协作，成功绘制出人参基因组图 </w:t>
      </w:r>
      <w:r>
        <w:rPr>
          <w:spacing w:val="-5"/>
        </w:rPr>
        <w:t>谱，揭开了人参的神秘面纱，为人参的种植、防病、开发与人参产业发展振兴提供了强大的科技支撑。</w:t>
      </w:r>
    </w:p>
    <w:p>
      <w:pPr>
        <w:pStyle w:val="Heading2"/>
        <w:spacing w:line="240" w:lineRule="auto" w:before="34"/>
        <w:ind w:left="574" w:right="0"/>
        <w:jc w:val="left"/>
        <w:rPr>
          <w:b w:val="0"/>
          <w:bCs w:val="0"/>
        </w:rPr>
      </w:pPr>
      <w:r>
        <w:rPr>
          <w:rFonts w:ascii="宋体" w:hAnsi="宋体" w:cs="宋体" w:eastAsia="宋体" w:hint="default"/>
        </w:rPr>
        <w:t>3</w:t>
      </w:r>
      <w:r>
        <w:rPr/>
        <w:t>、全面推行预算管理，完善企业制度建设，建立科学有效的奖惩机制</w:t>
      </w:r>
      <w:r>
        <w:rPr>
          <w:b w:val="0"/>
          <w:bCs w:val="0"/>
        </w:rPr>
      </w:r>
    </w:p>
    <w:p>
      <w:pPr>
        <w:pStyle w:val="Heading3"/>
        <w:spacing w:line="240" w:lineRule="auto"/>
        <w:ind w:left="620" w:right="0"/>
        <w:jc w:val="left"/>
      </w:pPr>
      <w:r>
        <w:rPr/>
        <w:t>（</w:t>
      </w:r>
      <w:r>
        <w:rPr>
          <w:rFonts w:ascii="宋体" w:hAnsi="宋体" w:cs="宋体" w:eastAsia="宋体" w:hint="default"/>
        </w:rPr>
        <w:t>1</w:t>
      </w:r>
      <w:r>
        <w:rPr/>
        <w:t>）公司严格执行全面预算管理，加大执行力度，使资金的使用有计划，高效率运转；</w:t>
      </w:r>
    </w:p>
    <w:p>
      <w:pPr>
        <w:pStyle w:val="Heading3"/>
        <w:spacing w:line="240" w:lineRule="auto" w:before="152"/>
        <w:ind w:left="620" w:right="0"/>
        <w:jc w:val="left"/>
      </w:pPr>
      <w:r>
        <w:rPr/>
        <w:t>（</w:t>
      </w:r>
      <w:r>
        <w:rPr>
          <w:rFonts w:ascii="宋体" w:hAnsi="宋体" w:cs="宋体" w:eastAsia="宋体" w:hint="default"/>
        </w:rPr>
        <w:t>2</w:t>
      </w:r>
      <w:r>
        <w:rPr/>
        <w:t>）修订各项管理制度，完善企业制度建设，加大企业文化建设；</w:t>
      </w:r>
    </w:p>
    <w:p>
      <w:pPr>
        <w:spacing w:line="355" w:lineRule="auto" w:before="154"/>
        <w:ind w:left="612" w:right="3367" w:firstLine="7"/>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）建立科学有效的奖惩机制，加强绩效管理，开展绩效考评工作。 </w:t>
      </w:r>
      <w:r>
        <w:rPr>
          <w:rFonts w:ascii="宋体" w:hAnsi="宋体" w:cs="宋体" w:eastAsia="宋体" w:hint="default"/>
          <w:b/>
          <w:bCs/>
          <w:sz w:val="24"/>
          <w:szCs w:val="24"/>
        </w:rPr>
        <w:t>4</w:t>
      </w:r>
      <w:r>
        <w:rPr>
          <w:rFonts w:ascii="宋体" w:hAnsi="宋体" w:cs="宋体" w:eastAsia="宋体" w:hint="default"/>
          <w:b/>
          <w:bCs/>
          <w:sz w:val="24"/>
          <w:szCs w:val="24"/>
        </w:rPr>
        <w:t>、抓好科研开发工作，为企业可持续发展奠定基础</w:t>
      </w:r>
      <w:r>
        <w:rPr>
          <w:rFonts w:ascii="宋体" w:hAnsi="宋体" w:cs="宋体" w:eastAsia="宋体" w:hint="default"/>
          <w:sz w:val="24"/>
          <w:szCs w:val="24"/>
        </w:rPr>
      </w:r>
    </w:p>
    <w:p>
      <w:pPr>
        <w:pStyle w:val="Heading3"/>
        <w:spacing w:line="355" w:lineRule="auto" w:before="38"/>
        <w:ind w:right="591" w:firstLine="470"/>
        <w:jc w:val="left"/>
      </w:pPr>
      <w:r>
        <w:rPr/>
        <w:t>（</w:t>
      </w:r>
      <w:r>
        <w:rPr>
          <w:rFonts w:ascii="宋体" w:hAnsi="宋体" w:cs="宋体" w:eastAsia="宋体" w:hint="default"/>
        </w:rPr>
        <w:t>1</w:t>
      </w:r>
      <w:r>
        <w:rPr/>
        <w:t>）为增强公司研发实力，为公司技术成果转让、咨询提供新的平台，报告期内公司出资成立 </w:t>
      </w:r>
      <w:r>
        <w:rPr>
          <w:spacing w:val="-5"/>
        </w:rPr>
        <w:t>了两家研发公司，并与国内多所大学、科研机构建立合作关系。为公司的可持续发展提供了技术支持；</w:t>
      </w:r>
    </w:p>
    <w:p>
      <w:pPr>
        <w:pStyle w:val="Heading3"/>
        <w:spacing w:line="240" w:lineRule="auto" w:before="38"/>
        <w:ind w:left="620" w:right="0"/>
        <w:jc w:val="left"/>
      </w:pPr>
      <w:r>
        <w:rPr/>
        <w:t>（</w:t>
      </w:r>
      <w:r>
        <w:rPr>
          <w:rFonts w:ascii="宋体" w:hAnsi="宋体" w:cs="宋体" w:eastAsia="宋体" w:hint="default"/>
        </w:rPr>
        <w:t>2</w:t>
      </w:r>
      <w:r>
        <w:rPr/>
        <w:t>）报告期已经开展各期研究工作的新药多种，并相继进入各期临床试验；</w:t>
      </w:r>
    </w:p>
    <w:p>
      <w:pPr>
        <w:pStyle w:val="Heading3"/>
        <w:spacing w:line="357" w:lineRule="auto" w:before="151"/>
        <w:ind w:right="716" w:firstLine="480"/>
        <w:jc w:val="both"/>
      </w:pPr>
      <w:r>
        <w:rPr/>
        <w:t>（</w:t>
      </w:r>
      <w:r>
        <w:rPr>
          <w:rFonts w:ascii="宋体" w:hAnsi="宋体" w:cs="宋体" w:eastAsia="宋体" w:hint="default"/>
        </w:rPr>
        <w:t>3</w:t>
      </w:r>
      <w:r>
        <w:rPr/>
        <w:t>）根据公司推进人参产业快速发展的战略需要，研制了以人参酵素为代表的多个含人参系列 </w:t>
      </w:r>
      <w:r>
        <w:rPr>
          <w:spacing w:val="-3"/>
        </w:rPr>
        <w:t>食品类别，并完成了多个含人参原料系列食品的注册申报工作，并积极承担了吉林省人工种植人参进</w:t>
      </w:r>
      <w:r>
        <w:rPr>
          <w:spacing w:val="-84"/>
        </w:rPr>
        <w:t> </w:t>
      </w:r>
      <w:r>
        <w:rPr>
          <w:spacing w:val="-84"/>
        </w:rPr>
      </w:r>
      <w:r>
        <w:rPr>
          <w:spacing w:val="-3"/>
        </w:rPr>
        <w:t>入食品试点工作的基础研究样品提供等项工作。研制开发了五味贞甘颗粒（暂定名）、人参叶茶颗粒</w:t>
      </w:r>
    </w:p>
    <w:p>
      <w:pPr>
        <w:pStyle w:val="Heading3"/>
        <w:spacing w:line="357" w:lineRule="auto" w:before="36"/>
        <w:ind w:left="620" w:right="0" w:hanging="480"/>
        <w:jc w:val="left"/>
      </w:pPr>
      <w:r>
        <w:rPr>
          <w:spacing w:val="-8"/>
        </w:rPr>
        <w:t>（暂定名）、人参果颗粒（暂定名）、软糖系列产品（</w:t>
      </w:r>
      <w:r>
        <w:rPr>
          <w:rFonts w:ascii="宋体" w:hAnsi="宋体" w:cs="宋体" w:eastAsia="宋体" w:hint="default"/>
          <w:spacing w:val="-8"/>
        </w:rPr>
        <w:t>DHA</w:t>
      </w:r>
      <w:r>
        <w:rPr>
          <w:spacing w:val="-8"/>
        </w:rPr>
        <w:t>、</w:t>
      </w:r>
      <w:r>
        <w:rPr>
          <w:rFonts w:ascii="宋体" w:hAnsi="宋体" w:cs="宋体" w:eastAsia="宋体" w:hint="default"/>
          <w:spacing w:val="-8"/>
        </w:rPr>
        <w:t>Ca</w:t>
      </w:r>
      <w:r>
        <w:rPr>
          <w:spacing w:val="-8"/>
        </w:rPr>
        <w:t>、人参）和五味子饮料等多种保健食品。</w:t>
      </w:r>
      <w:r>
        <w:rPr>
          <w:spacing w:val="-76"/>
        </w:rPr>
        <w:t> </w:t>
      </w:r>
      <w:r>
        <w:rPr>
          <w:spacing w:val="-76"/>
        </w:rPr>
      </w:r>
      <w:r>
        <w:rPr>
          <w:rFonts w:ascii="宋体" w:hAnsi="宋体" w:cs="宋体" w:eastAsia="宋体" w:hint="default"/>
          <w:b/>
          <w:bCs/>
        </w:rPr>
        <w:t>5</w:t>
      </w:r>
      <w:r>
        <w:rPr>
          <w:rFonts w:ascii="宋体" w:hAnsi="宋体" w:cs="宋体" w:eastAsia="宋体" w:hint="default"/>
          <w:b/>
          <w:bCs/>
        </w:rPr>
        <w:t>、多种渠道培养人才，增强团队建设</w:t>
      </w:r>
      <w:r>
        <w:rPr>
          <w:rFonts w:ascii="宋体" w:hAnsi="宋体" w:cs="宋体" w:eastAsia="宋体" w:hint="default"/>
          <w:b/>
          <w:bCs/>
          <w:w w:val="99"/>
        </w:rPr>
        <w:t> </w:t>
      </w:r>
      <w:r>
        <w:rPr>
          <w:spacing w:val="-6"/>
        </w:rPr>
        <w:t>人力资源储备尚显不足，特别是企业管理人员，各主要系统部门都需要加强，根据公司发展规划，</w:t>
      </w:r>
    </w:p>
    <w:p>
      <w:pPr>
        <w:pStyle w:val="Heading3"/>
        <w:spacing w:line="355" w:lineRule="auto" w:before="36"/>
        <w:ind w:right="0"/>
        <w:jc w:val="left"/>
      </w:pPr>
      <w:r>
        <w:rPr>
          <w:spacing w:val="-3"/>
        </w:rPr>
        <w:t>报告期加大对生产、销售、管理、研发等人员的引进，并通过在职培训、脱产学习等多种方式，加强</w:t>
      </w:r>
      <w:r>
        <w:rPr>
          <w:spacing w:val="-85"/>
        </w:rPr>
        <w:t> </w:t>
      </w:r>
      <w:r>
        <w:rPr>
          <w:spacing w:val="-85"/>
        </w:rPr>
      </w:r>
      <w:r>
        <w:rPr/>
        <w:t>公司后备生产经营管理、技术研发等人才的培养，满足公司快速发展中对相关人才的迫切需求。</w:t>
      </w:r>
    </w:p>
    <w:p>
      <w:pPr>
        <w:pStyle w:val="Heading2"/>
        <w:spacing w:line="240" w:lineRule="auto" w:before="38"/>
        <w:ind w:left="612" w:right="0"/>
        <w:jc w:val="left"/>
        <w:rPr>
          <w:b w:val="0"/>
          <w:bCs w:val="0"/>
        </w:rPr>
      </w:pPr>
      <w:r>
        <w:rPr>
          <w:rFonts w:ascii="宋体" w:hAnsi="宋体" w:cs="宋体" w:eastAsia="宋体" w:hint="default"/>
        </w:rPr>
        <w:t>6</w:t>
      </w:r>
      <w:r>
        <w:rPr/>
        <w:t>、恪尽职守，积极进取，持续加强财务工作</w:t>
      </w:r>
      <w:r>
        <w:rPr>
          <w:b w:val="0"/>
          <w:bCs w:val="0"/>
        </w:rPr>
      </w:r>
    </w:p>
    <w:p>
      <w:pPr>
        <w:spacing w:after="0" w:line="240" w:lineRule="auto"/>
        <w:jc w:val="left"/>
        <w:sectPr>
          <w:pgSz w:w="11910" w:h="16840"/>
          <w:pgMar w:header="720" w:footer="956" w:top="1300" w:bottom="1140" w:left="580" w:right="0"/>
        </w:sectPr>
      </w:pPr>
    </w:p>
    <w:p>
      <w:pPr>
        <w:pStyle w:val="Heading3"/>
        <w:spacing w:line="357" w:lineRule="auto" w:before="13"/>
        <w:ind w:left="160" w:right="719" w:firstLine="480"/>
        <w:jc w:val="both"/>
      </w:pPr>
      <w:r>
        <w:rPr/>
        <w:pict>
          <v:group style="position:absolute;margin-left:34.560001pt;margin-top:2.305654pt;width:508.3pt;height:.1pt;mso-position-horizontal-relative:page;mso-position-vertical-relative:paragraph;z-index:-534472" coordorigin="691,46" coordsize="10166,2">
            <v:shape style="position:absolute;left:691;top:46;width:10166;height:2" coordorigin="691,46" coordsize="10166,0" path="m691,46l10857,46e" filled="false" stroked="true" strokeweight=".72pt" strokecolor="#000000">
              <v:path arrowok="t"/>
            </v:shape>
            <w10:wrap type="none"/>
          </v:group>
        </w:pict>
      </w:r>
      <w:r>
        <w:rPr/>
        <w:t>（</w:t>
      </w:r>
      <w:r>
        <w:rPr>
          <w:rFonts w:ascii="宋体" w:hAnsi="宋体" w:cs="宋体" w:eastAsia="宋体" w:hint="default"/>
        </w:rPr>
        <w:t>1</w:t>
      </w:r>
      <w:r>
        <w:rPr/>
        <w:t>）为不断满足公司快速发展形势下对财务工作的新要求，财务部门积极调整，内部挖潜，外 </w:t>
      </w:r>
      <w:r>
        <w:rPr>
          <w:spacing w:val="-3"/>
        </w:rPr>
        <w:t>部补充，完善了整个财务体系的建设，从而避免了公司财务管理上的风险，为公司健康发展打下良好</w:t>
      </w:r>
      <w:r>
        <w:rPr>
          <w:spacing w:val="-84"/>
        </w:rPr>
        <w:t> </w:t>
      </w:r>
      <w:r>
        <w:rPr>
          <w:spacing w:val="-84"/>
        </w:rPr>
      </w:r>
      <w:r>
        <w:rPr/>
        <w:t>的基础；</w:t>
      </w:r>
    </w:p>
    <w:p>
      <w:pPr>
        <w:pStyle w:val="Heading3"/>
        <w:spacing w:line="357" w:lineRule="auto" w:before="34"/>
        <w:ind w:left="160" w:right="716" w:firstLine="480"/>
        <w:jc w:val="both"/>
      </w:pPr>
      <w:r>
        <w:rPr>
          <w:spacing w:val="-5"/>
        </w:rPr>
        <w:t>（</w:t>
      </w:r>
      <w:r>
        <w:rPr>
          <w:rFonts w:ascii="宋体" w:hAnsi="宋体" w:cs="宋体" w:eastAsia="宋体" w:hint="default"/>
          <w:spacing w:val="-5"/>
        </w:rPr>
        <w:t>2</w:t>
      </w:r>
      <w:r>
        <w:rPr>
          <w:spacing w:val="-5"/>
        </w:rPr>
        <w:t>）</w:t>
      </w:r>
      <w:r>
        <w:rPr>
          <w:rFonts w:ascii="宋体" w:hAnsi="宋体" w:cs="宋体" w:eastAsia="宋体" w:hint="default"/>
          <w:spacing w:val="-5"/>
        </w:rPr>
        <w:t>2010</w:t>
      </w:r>
      <w:r>
        <w:rPr>
          <w:rFonts w:ascii="宋体" w:hAnsi="宋体" w:cs="宋体" w:eastAsia="宋体" w:hint="default"/>
          <w:spacing w:val="-57"/>
        </w:rPr>
        <w:t> </w:t>
      </w:r>
      <w:r>
        <w:rPr/>
        <w:t>年公司实现营业收入</w:t>
      </w:r>
      <w:r>
        <w:rPr>
          <w:spacing w:val="-56"/>
        </w:rPr>
        <w:t> </w:t>
      </w:r>
      <w:r>
        <w:rPr>
          <w:rFonts w:ascii="宋体" w:hAnsi="宋体" w:cs="宋体" w:eastAsia="宋体" w:hint="default"/>
        </w:rPr>
        <w:t>642,417,445.93</w:t>
      </w:r>
      <w:r>
        <w:rPr>
          <w:rFonts w:ascii="宋体" w:hAnsi="宋体" w:cs="宋体" w:eastAsia="宋体" w:hint="default"/>
          <w:spacing w:val="-56"/>
        </w:rPr>
        <w:t> </w:t>
      </w:r>
      <w:r>
        <w:rPr>
          <w:spacing w:val="-4"/>
        </w:rPr>
        <w:t>元，较上年同期增长</w:t>
      </w:r>
      <w:r>
        <w:rPr>
          <w:spacing w:val="-56"/>
        </w:rPr>
        <w:t> </w:t>
      </w:r>
      <w:r>
        <w:rPr>
          <w:rFonts w:ascii="宋体" w:hAnsi="宋体" w:cs="宋体" w:eastAsia="宋体" w:hint="default"/>
          <w:spacing w:val="-3"/>
        </w:rPr>
        <w:t>150.66%</w:t>
      </w:r>
      <w:r>
        <w:rPr>
          <w:spacing w:val="-3"/>
        </w:rPr>
        <w:t>，实现归属于上市</w:t>
      </w:r>
      <w:r>
        <w:rPr/>
        <w:t> 公司股东的净利润</w:t>
      </w:r>
      <w:r>
        <w:rPr>
          <w:spacing w:val="-60"/>
        </w:rPr>
        <w:t> </w:t>
      </w:r>
      <w:r>
        <w:rPr>
          <w:rFonts w:ascii="宋体" w:hAnsi="宋体" w:cs="宋体" w:eastAsia="宋体" w:hint="default"/>
        </w:rPr>
        <w:t>173,173,606.20</w:t>
      </w:r>
      <w:r>
        <w:rPr>
          <w:rFonts w:ascii="宋体" w:hAnsi="宋体" w:cs="宋体" w:eastAsia="宋体" w:hint="default"/>
          <w:spacing w:val="-60"/>
        </w:rPr>
        <w:t> </w:t>
      </w:r>
      <w:r>
        <w:rPr/>
        <w:t>元，同比增长</w:t>
      </w:r>
      <w:r>
        <w:rPr>
          <w:spacing w:val="-60"/>
        </w:rPr>
        <w:t> </w:t>
      </w:r>
      <w:r>
        <w:rPr>
          <w:rFonts w:ascii="宋体" w:hAnsi="宋体" w:cs="宋体" w:eastAsia="宋体" w:hint="default"/>
        </w:rPr>
        <w:t>183.53%</w:t>
      </w:r>
      <w:r>
        <w:rPr/>
        <w:t>。</w:t>
      </w:r>
    </w:p>
    <w:p>
      <w:pPr>
        <w:pStyle w:val="Heading2"/>
        <w:spacing w:line="357" w:lineRule="auto" w:before="34"/>
        <w:ind w:left="642" w:right="6164" w:hanging="60"/>
        <w:jc w:val="left"/>
        <w:rPr>
          <w:b w:val="0"/>
          <w:bCs w:val="0"/>
        </w:rPr>
      </w:pPr>
      <w:r>
        <w:rPr/>
        <w:t>（二）</w:t>
      </w:r>
      <w:r>
        <w:rPr>
          <w:rFonts w:ascii="宋体" w:hAnsi="宋体" w:cs="宋体" w:eastAsia="宋体" w:hint="default"/>
        </w:rPr>
        <w:t>2010</w:t>
      </w:r>
      <w:r>
        <w:rPr/>
        <w:t>年度公司主营业务及其经营状况</w:t>
      </w:r>
      <w:r>
        <w:rPr>
          <w:w w:val="99"/>
        </w:rPr>
        <w:t> </w:t>
      </w:r>
      <w:r>
        <w:rPr/>
        <w:t>１、主营业务的范围</w:t>
      </w:r>
      <w:r>
        <w:rPr>
          <w:b w:val="0"/>
          <w:bCs w:val="0"/>
        </w:rPr>
      </w:r>
    </w:p>
    <w:p>
      <w:pPr>
        <w:pStyle w:val="Heading3"/>
        <w:spacing w:line="357" w:lineRule="auto" w:before="34"/>
        <w:ind w:left="160" w:right="606" w:firstLine="480"/>
        <w:jc w:val="left"/>
      </w:pPr>
      <w:r>
        <w:rPr/>
        <w:t>经营范围为：“加工销售中成药，化学药制剂（口服液、片剂、胶囊）及保健食品，药材原料， </w:t>
      </w:r>
      <w:r>
        <w:rPr>
          <w:spacing w:val="-3"/>
        </w:rPr>
        <w:t>针织品加工，种养殖业；设计、制作，代理电视，报纸，灯箱，路牌广告业务；经营本企业产品及相</w:t>
      </w:r>
      <w:r>
        <w:rPr>
          <w:spacing w:val="-84"/>
        </w:rPr>
        <w:t> </w:t>
      </w:r>
      <w:r>
        <w:rPr>
          <w:spacing w:val="-84"/>
        </w:rPr>
      </w:r>
      <w:r>
        <w:rPr>
          <w:spacing w:val="-3"/>
        </w:rPr>
        <w:t>关技术的出口业务（国家限定公司经营或禁止出口的商品除外）；经营本企业生产科研所需的原辅材</w:t>
      </w:r>
      <w:r>
        <w:rPr>
          <w:spacing w:val="-88"/>
        </w:rPr>
        <w:t> </w:t>
      </w:r>
      <w:r>
        <w:rPr>
          <w:spacing w:val="-88"/>
        </w:rPr>
      </w:r>
      <w:r>
        <w:rPr>
          <w:spacing w:val="-3"/>
        </w:rPr>
        <w:t>料、机械设备、仪器仪表、零配件及相关技术的进出口业务（国家限定公司经营或禁止出口的商品除</w:t>
      </w:r>
      <w:r>
        <w:rPr>
          <w:spacing w:val="-84"/>
        </w:rPr>
        <w:t> </w:t>
      </w:r>
      <w:r>
        <w:rPr>
          <w:spacing w:val="-84"/>
        </w:rPr>
      </w:r>
      <w:r>
        <w:rPr>
          <w:spacing w:val="-4"/>
        </w:rPr>
        <w:t>外），经营本企业的进料加工和‘三来一补’业务；避疫熏香、避疫香包生产”。</w:t>
      </w:r>
    </w:p>
    <w:p>
      <w:pPr>
        <w:pStyle w:val="Heading3"/>
        <w:spacing w:line="357" w:lineRule="auto" w:before="34"/>
        <w:ind w:left="160" w:right="720" w:firstLine="480"/>
        <w:jc w:val="both"/>
      </w:pPr>
      <w:r>
        <w:rPr>
          <w:spacing w:val="-3"/>
        </w:rPr>
        <w:t>公司主要从事中成药的研发、生产、销售和中药材种植业务，以治疗心脑血管、消化系统疾病和</w:t>
      </w:r>
      <w:r>
        <w:rPr/>
        <w:t> </w:t>
      </w:r>
      <w:r>
        <w:rPr>
          <w:spacing w:val="-3"/>
        </w:rPr>
        <w:t>骨伤类中成药为主导品种，现有主要产品有活血通脉片、醒脑再造胶囊、复方益肝灵片、麝香接骨胶</w:t>
      </w:r>
      <w:r>
        <w:rPr>
          <w:spacing w:val="-84"/>
        </w:rPr>
        <w:t> </w:t>
      </w:r>
      <w:r>
        <w:rPr>
          <w:spacing w:val="-84"/>
        </w:rPr>
      </w:r>
      <w:r>
        <w:rPr/>
        <w:t>囊、四妙丸和补肾安神口服液、六味地黄软胶囊、人参系列产品等。</w:t>
      </w:r>
    </w:p>
    <w:p>
      <w:pPr>
        <w:pStyle w:val="Heading2"/>
        <w:spacing w:line="240" w:lineRule="auto" w:before="36"/>
        <w:ind w:left="834" w:right="587"/>
        <w:jc w:val="left"/>
        <w:rPr>
          <w:b w:val="0"/>
          <w:bCs w:val="0"/>
        </w:rPr>
      </w:pPr>
      <w:r>
        <w:rPr>
          <w:rFonts w:ascii="宋体" w:hAnsi="宋体" w:cs="宋体" w:eastAsia="宋体" w:hint="default"/>
        </w:rPr>
        <w:t>2</w:t>
      </w:r>
      <w:r>
        <w:rPr/>
        <w:t>、主营业务分行业、分产品情况表</w:t>
      </w:r>
      <w:r>
        <w:rPr>
          <w:b w:val="0"/>
          <w:bCs w:val="0"/>
        </w:rPr>
      </w:r>
    </w:p>
    <w:p>
      <w:pPr>
        <w:spacing w:before="159"/>
        <w:ind w:left="0" w:right="71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before="0"/>
        <w:ind w:left="0" w:right="556" w:firstLine="0"/>
        <w:jc w:val="center"/>
        <w:rPr>
          <w:rFonts w:ascii="宋体" w:hAnsi="宋体" w:cs="宋体" w:eastAsia="宋体" w:hint="default"/>
          <w:sz w:val="18"/>
          <w:szCs w:val="18"/>
        </w:rPr>
      </w:pPr>
      <w:r>
        <w:rPr/>
        <w:pict>
          <v:group style="position:absolute;margin-left:34.560001pt;margin-top:.43173pt;width:526.3pt;height:.1pt;mso-position-horizontal-relative:page;mso-position-vertical-relative:paragraph;z-index:-534448" coordorigin="691,9" coordsize="10526,2">
            <v:shape style="position:absolute;left:691;top:9;width:10526;height:2" coordorigin="691,9" coordsize="10526,0" path="m691,9l11217,9e" filled="false" stroked="true" strokeweight="1.44pt" strokecolor="#000000">
              <v:path arrowok="t"/>
            </v:shape>
            <w10:wrap type="none"/>
          </v:group>
        </w:pict>
      </w:r>
      <w:r>
        <w:rPr>
          <w:rFonts w:ascii="宋体" w:hAnsi="宋体" w:cs="宋体" w:eastAsia="宋体" w:hint="default"/>
          <w:sz w:val="18"/>
          <w:szCs w:val="18"/>
        </w:rPr>
        <w:t>主营业务分行业情况</w:t>
      </w:r>
    </w:p>
    <w:p>
      <w:pPr>
        <w:spacing w:line="240" w:lineRule="auto" w:before="11"/>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1788"/>
        <w:gridCol w:w="1481"/>
        <w:gridCol w:w="1644"/>
        <w:gridCol w:w="1628"/>
        <w:gridCol w:w="1349"/>
        <w:gridCol w:w="1433"/>
        <w:gridCol w:w="1202"/>
      </w:tblGrid>
      <w:tr>
        <w:trPr>
          <w:trHeight w:val="614" w:hRule="exact"/>
        </w:trPr>
        <w:tc>
          <w:tcPr>
            <w:tcW w:w="178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4"/>
              <w:ind w:left="4" w:right="0"/>
              <w:jc w:val="center"/>
              <w:rPr>
                <w:rFonts w:ascii="宋体" w:hAnsi="宋体" w:cs="宋体" w:eastAsia="宋体" w:hint="default"/>
                <w:sz w:val="18"/>
                <w:szCs w:val="18"/>
              </w:rPr>
            </w:pPr>
            <w:r>
              <w:rPr>
                <w:rFonts w:ascii="宋体" w:hAnsi="宋体" w:cs="宋体" w:eastAsia="宋体" w:hint="default"/>
                <w:sz w:val="18"/>
                <w:szCs w:val="18"/>
              </w:rPr>
              <w:t>分行业或分产品</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7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11"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宋体" w:hAnsi="宋体" w:cs="宋体" w:eastAsia="宋体" w:hint="default"/>
                <w:sz w:val="18"/>
                <w:szCs w:val="18"/>
              </w:rPr>
              <w:t>%</w:t>
            </w:r>
            <w:r>
              <w:rPr>
                <w:rFonts w:ascii="宋体" w:hAnsi="宋体" w:cs="宋体" w:eastAsia="宋体" w:hint="default"/>
                <w:sz w:val="18"/>
                <w:szCs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 w:right="0"/>
              <w:jc w:val="center"/>
              <w:rPr>
                <w:rFonts w:ascii="宋体" w:hAnsi="宋体" w:cs="宋体" w:eastAsia="宋体" w:hint="default"/>
                <w:sz w:val="18"/>
                <w:szCs w:val="18"/>
              </w:rPr>
            </w:pPr>
            <w:r>
              <w:rPr>
                <w:rFonts w:ascii="宋体" w:hAnsi="宋体" w:cs="宋体" w:eastAsia="宋体" w:hint="default"/>
                <w:sz w:val="18"/>
                <w:szCs w:val="18"/>
              </w:rPr>
              <w:t>营业收入比上年</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营业成本比上年</w:t>
            </w: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毛利率比上年</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96" w:hRule="exact"/>
        </w:trPr>
        <w:tc>
          <w:tcPr>
            <w:tcW w:w="178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4" w:right="0"/>
              <w:jc w:val="center"/>
              <w:rPr>
                <w:rFonts w:ascii="宋体" w:hAnsi="宋体" w:cs="宋体" w:eastAsia="宋体" w:hint="default"/>
                <w:sz w:val="18"/>
                <w:szCs w:val="18"/>
              </w:rPr>
            </w:pPr>
            <w:r>
              <w:rPr>
                <w:rFonts w:ascii="宋体" w:hAnsi="宋体" w:cs="宋体" w:eastAsia="宋体" w:hint="default"/>
                <w:sz w:val="18"/>
                <w:szCs w:val="18"/>
              </w:rPr>
              <w:t>中成药行业</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28,318.94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6,625.13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76.61%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777" w:right="0"/>
              <w:jc w:val="left"/>
              <w:rPr>
                <w:rFonts w:ascii="宋体" w:hAnsi="宋体" w:cs="宋体" w:eastAsia="宋体" w:hint="default"/>
                <w:sz w:val="18"/>
                <w:szCs w:val="18"/>
              </w:rPr>
            </w:pPr>
            <w:r>
              <w:rPr>
                <w:rFonts w:ascii="宋体"/>
                <w:sz w:val="18"/>
              </w:rPr>
              <w:t>10.50%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59" w:right="0"/>
              <w:jc w:val="left"/>
              <w:rPr>
                <w:rFonts w:ascii="宋体" w:hAnsi="宋体" w:cs="宋体" w:eastAsia="宋体" w:hint="default"/>
                <w:sz w:val="18"/>
                <w:szCs w:val="18"/>
              </w:rPr>
            </w:pPr>
            <w:r>
              <w:rPr>
                <w:rFonts w:ascii="宋体"/>
                <w:sz w:val="18"/>
              </w:rPr>
              <w:t>10.69%</w:t>
            </w:r>
          </w:p>
        </w:tc>
        <w:tc>
          <w:tcPr>
            <w:tcW w:w="1202"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left="628" w:right="0"/>
              <w:jc w:val="left"/>
              <w:rPr>
                <w:rFonts w:ascii="宋体" w:hAnsi="宋体" w:cs="宋体" w:eastAsia="宋体" w:hint="default"/>
                <w:sz w:val="18"/>
                <w:szCs w:val="18"/>
              </w:rPr>
            </w:pPr>
            <w:r>
              <w:rPr>
                <w:rFonts w:ascii="宋体"/>
                <w:sz w:val="18"/>
              </w:rPr>
              <w:t>-0.04%</w:t>
            </w:r>
          </w:p>
        </w:tc>
      </w:tr>
      <w:tr>
        <w:trPr>
          <w:trHeight w:val="398" w:hRule="exact"/>
        </w:trPr>
        <w:tc>
          <w:tcPr>
            <w:tcW w:w="1788"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6" w:right="0"/>
              <w:jc w:val="center"/>
              <w:rPr>
                <w:rFonts w:ascii="宋体" w:hAnsi="宋体" w:cs="宋体" w:eastAsia="宋体" w:hint="default"/>
                <w:sz w:val="18"/>
                <w:szCs w:val="18"/>
              </w:rPr>
            </w:pPr>
            <w:r>
              <w:rPr>
                <w:rFonts w:ascii="宋体" w:hAnsi="宋体" w:cs="宋体" w:eastAsia="宋体" w:hint="default"/>
                <w:sz w:val="18"/>
                <w:szCs w:val="18"/>
              </w:rPr>
              <w:t>人参系列产品</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35,922.81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22,369.37</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37.73%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nil" w:sz="6" w:space="0" w:color="auto"/>
            </w:tcBorders>
          </w:tcPr>
          <w:p>
            <w:pPr/>
          </w:p>
        </w:tc>
      </w:tr>
    </w:tbl>
    <w:p>
      <w:pPr>
        <w:spacing w:line="220" w:lineRule="exact" w:before="0"/>
        <w:ind w:left="0" w:right="556" w:firstLine="0"/>
        <w:jc w:val="center"/>
        <w:rPr>
          <w:rFonts w:ascii="宋体" w:hAnsi="宋体" w:cs="宋体" w:eastAsia="宋体" w:hint="default"/>
          <w:sz w:val="18"/>
          <w:szCs w:val="18"/>
        </w:rPr>
      </w:pPr>
      <w:r>
        <w:rPr>
          <w:rFonts w:ascii="宋体" w:hAnsi="宋体" w:cs="宋体" w:eastAsia="宋体" w:hint="default"/>
          <w:sz w:val="18"/>
          <w:szCs w:val="18"/>
        </w:rPr>
        <w:t>主营业务分产品情况</w:t>
      </w:r>
    </w:p>
    <w:p>
      <w:pPr>
        <w:spacing w:line="240" w:lineRule="auto" w:before="10"/>
        <w:rPr>
          <w:rFonts w:ascii="宋体" w:hAnsi="宋体" w:cs="宋体" w:eastAsia="宋体"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1832"/>
        <w:gridCol w:w="1465"/>
        <w:gridCol w:w="1644"/>
        <w:gridCol w:w="1616"/>
        <w:gridCol w:w="1368"/>
        <w:gridCol w:w="1397"/>
        <w:gridCol w:w="1219"/>
      </w:tblGrid>
      <w:tr>
        <w:trPr>
          <w:trHeight w:val="396"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9" w:right="0"/>
              <w:jc w:val="center"/>
              <w:rPr>
                <w:rFonts w:ascii="宋体" w:hAnsi="宋体" w:cs="宋体" w:eastAsia="宋体" w:hint="default"/>
                <w:sz w:val="18"/>
                <w:szCs w:val="18"/>
              </w:rPr>
            </w:pPr>
            <w:r>
              <w:rPr>
                <w:rFonts w:ascii="宋体" w:hAnsi="宋体" w:cs="宋体" w:eastAsia="宋体" w:hint="default"/>
                <w:sz w:val="18"/>
                <w:szCs w:val="18"/>
              </w:rPr>
              <w:t>四妙丸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5,884.10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837.49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85.77%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16.95%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41.26%</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5"/>
              <w:jc w:val="right"/>
              <w:rPr>
                <w:rFonts w:ascii="宋体" w:hAnsi="宋体" w:cs="宋体" w:eastAsia="宋体" w:hint="default"/>
                <w:sz w:val="18"/>
                <w:szCs w:val="18"/>
              </w:rPr>
            </w:pPr>
            <w:r>
              <w:rPr>
                <w:rFonts w:ascii="宋体"/>
                <w:spacing w:val="-1"/>
                <w:sz w:val="18"/>
              </w:rPr>
              <w:t>-2.45%</w:t>
            </w:r>
          </w:p>
        </w:tc>
      </w:tr>
      <w:tr>
        <w:trPr>
          <w:trHeight w:val="399"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活血通脉片</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4,070.91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1,482.30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63.59%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10.08%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52.68%</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z w:val="18"/>
              </w:rPr>
              <w:t>-10.16%</w:t>
            </w:r>
          </w:p>
        </w:tc>
      </w:tr>
      <w:tr>
        <w:trPr>
          <w:trHeight w:val="396"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6" w:right="0"/>
              <w:jc w:val="center"/>
              <w:rPr>
                <w:rFonts w:ascii="宋体" w:hAnsi="宋体" w:cs="宋体" w:eastAsia="宋体" w:hint="default"/>
                <w:sz w:val="18"/>
                <w:szCs w:val="18"/>
              </w:rPr>
            </w:pPr>
            <w:r>
              <w:rPr>
                <w:rFonts w:ascii="宋体" w:hAnsi="宋体" w:cs="宋体" w:eastAsia="宋体" w:hint="default"/>
                <w:sz w:val="18"/>
                <w:szCs w:val="18"/>
              </w:rPr>
              <w:t>醒脑再造胶囊</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2,885.50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543.62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81.16%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-1.31%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z w:val="18"/>
              </w:rPr>
              <w:t>8.56%</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5"/>
              <w:jc w:val="right"/>
              <w:rPr>
                <w:rFonts w:ascii="宋体" w:hAnsi="宋体" w:cs="宋体" w:eastAsia="宋体" w:hint="default"/>
                <w:sz w:val="18"/>
                <w:szCs w:val="18"/>
              </w:rPr>
            </w:pPr>
            <w:r>
              <w:rPr>
                <w:rFonts w:ascii="宋体"/>
                <w:spacing w:val="-1"/>
                <w:sz w:val="18"/>
              </w:rPr>
              <w:t>-1.71%</w:t>
            </w:r>
          </w:p>
        </w:tc>
      </w:tr>
      <w:tr>
        <w:trPr>
          <w:trHeight w:val="398"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肾复康胶囊</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2,362.69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443.78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81.22%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18.73%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20.07%</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5"/>
              <w:jc w:val="right"/>
              <w:rPr>
                <w:rFonts w:ascii="宋体" w:hAnsi="宋体" w:cs="宋体" w:eastAsia="宋体" w:hint="default"/>
                <w:sz w:val="18"/>
                <w:szCs w:val="18"/>
              </w:rPr>
            </w:pPr>
            <w:r>
              <w:rPr>
                <w:rFonts w:ascii="宋体"/>
                <w:spacing w:val="-1"/>
                <w:sz w:val="18"/>
              </w:rPr>
              <w:t>-0.21%</w:t>
            </w:r>
          </w:p>
        </w:tc>
      </w:tr>
      <w:tr>
        <w:trPr>
          <w:trHeight w:val="396"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六味地黄软胶囊</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2,227.84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427.19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80.82%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z w:val="18"/>
              </w:rPr>
              <w:t>6.92%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z w:val="18"/>
              </w:rPr>
              <w:t>-21.65%</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z w:val="18"/>
              </w:rPr>
              <w:t>6.99%</w:t>
            </w:r>
          </w:p>
        </w:tc>
      </w:tr>
      <w:tr>
        <w:trPr>
          <w:trHeight w:val="398"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8" w:right="0"/>
              <w:jc w:val="center"/>
              <w:rPr>
                <w:rFonts w:ascii="宋体" w:hAnsi="宋体" w:cs="宋体" w:eastAsia="宋体" w:hint="default"/>
                <w:sz w:val="18"/>
                <w:szCs w:val="18"/>
              </w:rPr>
            </w:pPr>
            <w:r>
              <w:rPr>
                <w:rFonts w:ascii="宋体" w:hAnsi="宋体" w:cs="宋体" w:eastAsia="宋体" w:hint="default"/>
                <w:sz w:val="18"/>
                <w:szCs w:val="18"/>
              </w:rPr>
              <w:t>补肾安神口服液</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2"/>
              <w:jc w:val="right"/>
              <w:rPr>
                <w:rFonts w:ascii="宋体" w:hAnsi="宋体" w:cs="宋体" w:eastAsia="宋体" w:hint="default"/>
                <w:sz w:val="18"/>
                <w:szCs w:val="18"/>
              </w:rPr>
            </w:pPr>
            <w:r>
              <w:rPr>
                <w:rFonts w:ascii="宋体"/>
                <w:spacing w:val="-1"/>
                <w:sz w:val="18"/>
              </w:rPr>
              <w:t>2,199.63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515.60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pacing w:val="-1"/>
                <w:sz w:val="18"/>
              </w:rPr>
              <w:t>76.56%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10.10%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z w:val="18"/>
              </w:rPr>
              <w:t>-15.12%</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z w:val="18"/>
              </w:rPr>
              <w:t>6.97%</w:t>
            </w:r>
          </w:p>
        </w:tc>
      </w:tr>
      <w:tr>
        <w:trPr>
          <w:trHeight w:val="396"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6" w:right="0"/>
              <w:jc w:val="center"/>
              <w:rPr>
                <w:rFonts w:ascii="宋体" w:hAnsi="宋体" w:cs="宋体" w:eastAsia="宋体" w:hint="default"/>
                <w:sz w:val="18"/>
                <w:szCs w:val="18"/>
              </w:rPr>
            </w:pPr>
            <w:r>
              <w:rPr>
                <w:rFonts w:ascii="宋体" w:hAnsi="宋体" w:cs="宋体" w:eastAsia="宋体" w:hint="default"/>
                <w:sz w:val="18"/>
                <w:szCs w:val="18"/>
              </w:rPr>
              <w:t>复方益肝灵片</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2"/>
              <w:jc w:val="right"/>
              <w:rPr>
                <w:rFonts w:ascii="宋体" w:hAnsi="宋体" w:cs="宋体" w:eastAsia="宋体" w:hint="default"/>
                <w:sz w:val="18"/>
                <w:szCs w:val="18"/>
              </w:rPr>
            </w:pPr>
            <w:r>
              <w:rPr>
                <w:rFonts w:ascii="宋体"/>
                <w:spacing w:val="-1"/>
                <w:sz w:val="18"/>
              </w:rPr>
              <w:t>2,086.85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宋体" w:hAnsi="宋体" w:cs="宋体" w:eastAsia="宋体" w:hint="default"/>
                <w:sz w:val="18"/>
                <w:szCs w:val="18"/>
              </w:rPr>
            </w:pPr>
            <w:r>
              <w:rPr>
                <w:rFonts w:ascii="宋体"/>
                <w:spacing w:val="-1"/>
                <w:sz w:val="18"/>
              </w:rPr>
              <w:t>447.81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宋体" w:hAnsi="宋体" w:cs="宋体" w:eastAsia="宋体" w:hint="default"/>
                <w:sz w:val="18"/>
                <w:szCs w:val="18"/>
              </w:rPr>
            </w:pPr>
            <w:r>
              <w:rPr>
                <w:rFonts w:ascii="宋体"/>
                <w:spacing w:val="-1"/>
                <w:sz w:val="18"/>
              </w:rPr>
              <w:t>78.54%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1"/>
              <w:jc w:val="right"/>
              <w:rPr>
                <w:rFonts w:ascii="宋体" w:hAnsi="宋体" w:cs="宋体" w:eastAsia="宋体" w:hint="default"/>
                <w:sz w:val="18"/>
                <w:szCs w:val="18"/>
              </w:rPr>
            </w:pPr>
            <w:r>
              <w:rPr>
                <w:rFonts w:ascii="宋体"/>
                <w:sz w:val="18"/>
              </w:rPr>
              <w:t>3.37%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18"/>
              <w:jc w:val="right"/>
              <w:rPr>
                <w:rFonts w:ascii="宋体" w:hAnsi="宋体" w:cs="宋体" w:eastAsia="宋体" w:hint="default"/>
                <w:sz w:val="18"/>
                <w:szCs w:val="18"/>
              </w:rPr>
            </w:pPr>
            <w:r>
              <w:rPr>
                <w:rFonts w:ascii="宋体"/>
                <w:spacing w:val="-1"/>
                <w:sz w:val="18"/>
              </w:rPr>
              <w:t>10.20%</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spacing w:val="-1"/>
                <w:sz w:val="18"/>
              </w:rPr>
              <w:t>-1.33%</w:t>
            </w:r>
          </w:p>
        </w:tc>
      </w:tr>
      <w:tr>
        <w:trPr>
          <w:trHeight w:val="396" w:hRule="exact"/>
        </w:trPr>
        <w:tc>
          <w:tcPr>
            <w:tcW w:w="183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萆薢分清丸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1"/>
              <w:jc w:val="right"/>
              <w:rPr>
                <w:rFonts w:ascii="宋体" w:hAnsi="宋体" w:cs="宋体" w:eastAsia="宋体" w:hint="default"/>
                <w:sz w:val="18"/>
                <w:szCs w:val="18"/>
              </w:rPr>
            </w:pPr>
            <w:r>
              <w:rPr>
                <w:rFonts w:ascii="宋体"/>
                <w:spacing w:val="-1"/>
                <w:sz w:val="18"/>
              </w:rPr>
              <w:t>940.27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宋体" w:hAnsi="宋体" w:cs="宋体" w:eastAsia="宋体" w:hint="default"/>
                <w:sz w:val="18"/>
                <w:szCs w:val="18"/>
              </w:rPr>
            </w:pPr>
            <w:r>
              <w:rPr>
                <w:rFonts w:ascii="宋体"/>
                <w:spacing w:val="-1"/>
                <w:sz w:val="18"/>
              </w:rPr>
              <w:t>123.12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
              <w:jc w:val="right"/>
              <w:rPr>
                <w:rFonts w:ascii="宋体" w:hAnsi="宋体" w:cs="宋体" w:eastAsia="宋体" w:hint="default"/>
                <w:sz w:val="18"/>
                <w:szCs w:val="18"/>
              </w:rPr>
            </w:pPr>
            <w:r>
              <w:rPr>
                <w:rFonts w:ascii="宋体"/>
                <w:spacing w:val="-1"/>
                <w:sz w:val="18"/>
              </w:rPr>
              <w:t>86.91%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z w:val="18"/>
              </w:rPr>
              <w:t>8.31%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z w:val="18"/>
              </w:rPr>
              <w:t>3.17%</w:t>
            </w:r>
          </w:p>
        </w:tc>
        <w:tc>
          <w:tcPr>
            <w:tcW w:w="1219" w:type="dxa"/>
            <w:tcBorders>
              <w:top w:val="single" w:sz="4" w:space="0" w:color="000000"/>
              <w:left w:val="single" w:sz="4" w:space="0" w:color="000000"/>
              <w:bottom w:val="single" w:sz="4"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z w:val="18"/>
              </w:rPr>
              <w:t>0.65%</w:t>
            </w:r>
          </w:p>
        </w:tc>
      </w:tr>
      <w:tr>
        <w:trPr>
          <w:trHeight w:val="408" w:hRule="exact"/>
        </w:trPr>
        <w:tc>
          <w:tcPr>
            <w:tcW w:w="18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sz w:val="18"/>
                <w:szCs w:val="18"/>
              </w:rPr>
              <w:t>当归补血丸</w:t>
            </w:r>
          </w:p>
        </w:tc>
        <w:tc>
          <w:tcPr>
            <w:tcW w:w="14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21"/>
              <w:jc w:val="right"/>
              <w:rPr>
                <w:rFonts w:ascii="宋体" w:hAnsi="宋体" w:cs="宋体" w:eastAsia="宋体" w:hint="default"/>
                <w:sz w:val="18"/>
                <w:szCs w:val="18"/>
              </w:rPr>
            </w:pPr>
            <w:r>
              <w:rPr>
                <w:rFonts w:ascii="宋体"/>
                <w:spacing w:val="-1"/>
                <w:sz w:val="18"/>
              </w:rPr>
              <w:t>809.96</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8"/>
              <w:jc w:val="right"/>
              <w:rPr>
                <w:rFonts w:ascii="宋体" w:hAnsi="宋体" w:cs="宋体" w:eastAsia="宋体" w:hint="default"/>
                <w:sz w:val="18"/>
                <w:szCs w:val="18"/>
              </w:rPr>
            </w:pPr>
            <w:r>
              <w:rPr>
                <w:rFonts w:ascii="宋体"/>
                <w:spacing w:val="-1"/>
                <w:sz w:val="18"/>
              </w:rPr>
              <w:t>103.32</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6"/>
              <w:ind w:right="18"/>
              <w:jc w:val="right"/>
              <w:rPr>
                <w:rFonts w:ascii="宋体" w:hAnsi="宋体" w:cs="宋体" w:eastAsia="宋体" w:hint="default"/>
                <w:sz w:val="18"/>
                <w:szCs w:val="18"/>
              </w:rPr>
            </w:pPr>
            <w:r>
              <w:rPr>
                <w:rFonts w:ascii="宋体"/>
                <w:spacing w:val="-1"/>
                <w:sz w:val="18"/>
              </w:rPr>
              <w:t>87.24%</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21"/>
              <w:jc w:val="right"/>
              <w:rPr>
                <w:rFonts w:ascii="宋体" w:hAnsi="宋体" w:cs="宋体" w:eastAsia="宋体" w:hint="default"/>
                <w:sz w:val="18"/>
                <w:szCs w:val="18"/>
              </w:rPr>
            </w:pPr>
            <w:r>
              <w:rPr>
                <w:rFonts w:ascii="宋体"/>
                <w:spacing w:val="-1"/>
                <w:sz w:val="18"/>
              </w:rPr>
              <w:t>20.26%</w:t>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right="18"/>
              <w:jc w:val="right"/>
              <w:rPr>
                <w:rFonts w:ascii="宋体" w:hAnsi="宋体" w:cs="宋体" w:eastAsia="宋体" w:hint="default"/>
                <w:sz w:val="18"/>
                <w:szCs w:val="18"/>
              </w:rPr>
            </w:pPr>
            <w:r>
              <w:rPr>
                <w:rFonts w:ascii="宋体"/>
                <w:sz w:val="18"/>
              </w:rPr>
              <w:t>8.14%</w:t>
            </w:r>
          </w:p>
        </w:tc>
        <w:tc>
          <w:tcPr>
            <w:tcW w:w="1219" w:type="dxa"/>
            <w:tcBorders>
              <w:top w:val="single" w:sz="4" w:space="0" w:color="000000"/>
              <w:left w:val="single" w:sz="4" w:space="0" w:color="000000"/>
              <w:bottom w:val="single" w:sz="12" w:space="0" w:color="000000"/>
              <w:right w:val="nil" w:sz="6" w:space="0" w:color="auto"/>
            </w:tcBorders>
          </w:tcPr>
          <w:p>
            <w:pPr>
              <w:pStyle w:val="TableParagraph"/>
              <w:spacing w:line="222" w:lineRule="exact"/>
              <w:ind w:right="26"/>
              <w:jc w:val="right"/>
              <w:rPr>
                <w:rFonts w:ascii="宋体" w:hAnsi="宋体" w:cs="宋体" w:eastAsia="宋体" w:hint="default"/>
                <w:sz w:val="18"/>
                <w:szCs w:val="18"/>
              </w:rPr>
            </w:pPr>
            <w:r>
              <w:rPr>
                <w:rFonts w:ascii="宋体"/>
                <w:sz w:val="18"/>
              </w:rPr>
              <w:t>1.43%</w:t>
            </w:r>
          </w:p>
        </w:tc>
      </w:tr>
    </w:tbl>
    <w:p>
      <w:pPr>
        <w:spacing w:after="0" w:line="222" w:lineRule="exact"/>
        <w:jc w:val="right"/>
        <w:rPr>
          <w:rFonts w:ascii="宋体" w:hAnsi="宋体" w:cs="宋体" w:eastAsia="宋体" w:hint="default"/>
          <w:sz w:val="18"/>
          <w:szCs w:val="18"/>
        </w:rPr>
        <w:sectPr>
          <w:pgSz w:w="11910" w:h="16840"/>
          <w:pgMar w:header="720" w:footer="956" w:top="1300" w:bottom="1140" w:left="560" w:right="0"/>
        </w:sectPr>
      </w:pPr>
    </w:p>
    <w:p>
      <w:pPr>
        <w:spacing w:line="240" w:lineRule="auto" w:before="7"/>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1832"/>
        <w:gridCol w:w="1465"/>
        <w:gridCol w:w="1644"/>
        <w:gridCol w:w="1616"/>
        <w:gridCol w:w="1368"/>
        <w:gridCol w:w="1397"/>
        <w:gridCol w:w="1219"/>
      </w:tblGrid>
      <w:tr>
        <w:trPr>
          <w:trHeight w:val="413" w:hRule="exact"/>
        </w:trPr>
        <w:tc>
          <w:tcPr>
            <w:tcW w:w="183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3"/>
              <w:ind w:left="381"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46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22"/>
              <w:jc w:val="right"/>
              <w:rPr>
                <w:rFonts w:ascii="宋体" w:hAnsi="宋体" w:cs="宋体" w:eastAsia="宋体" w:hint="default"/>
                <w:sz w:val="18"/>
                <w:szCs w:val="18"/>
              </w:rPr>
            </w:pPr>
            <w:r>
              <w:rPr>
                <w:rFonts w:ascii="宋体"/>
                <w:spacing w:val="-1"/>
                <w:sz w:val="18"/>
              </w:rPr>
              <w:t>35,922.81</w:t>
            </w:r>
          </w:p>
        </w:tc>
        <w:tc>
          <w:tcPr>
            <w:tcW w:w="16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22,369.37</w:t>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pacing w:val="-1"/>
                <w:sz w:val="18"/>
              </w:rPr>
              <w:t>37.73%</w:t>
            </w:r>
          </w:p>
        </w:tc>
        <w:tc>
          <w:tcPr>
            <w:tcW w:w="1368" w:type="dxa"/>
            <w:tcBorders>
              <w:top w:val="single" w:sz="12" w:space="0" w:color="000000"/>
              <w:left w:val="single" w:sz="4" w:space="0" w:color="000000"/>
              <w:bottom w:val="single" w:sz="4" w:space="0" w:color="000000"/>
              <w:right w:val="single" w:sz="4" w:space="0" w:color="000000"/>
            </w:tcBorders>
          </w:tcPr>
          <w:p>
            <w:pPr/>
          </w:p>
        </w:tc>
        <w:tc>
          <w:tcPr>
            <w:tcW w:w="1397" w:type="dxa"/>
            <w:tcBorders>
              <w:top w:val="single" w:sz="12" w:space="0" w:color="000000"/>
              <w:left w:val="single" w:sz="4" w:space="0" w:color="000000"/>
              <w:bottom w:val="single" w:sz="4" w:space="0" w:color="000000"/>
              <w:right w:val="single" w:sz="4" w:space="0" w:color="000000"/>
            </w:tcBorders>
          </w:tcPr>
          <w:p>
            <w:pPr/>
          </w:p>
        </w:tc>
        <w:tc>
          <w:tcPr>
            <w:tcW w:w="1219" w:type="dxa"/>
            <w:tcBorders>
              <w:top w:val="single" w:sz="12" w:space="0" w:color="000000"/>
              <w:left w:val="single" w:sz="4" w:space="0" w:color="000000"/>
              <w:bottom w:val="single" w:sz="4" w:space="0" w:color="000000"/>
              <w:right w:val="nil" w:sz="6" w:space="0" w:color="auto"/>
            </w:tcBorders>
          </w:tcPr>
          <w:p>
            <w:pPr/>
          </w:p>
        </w:tc>
      </w:tr>
      <w:tr>
        <w:trPr>
          <w:trHeight w:val="408" w:hRule="exact"/>
        </w:trPr>
        <w:tc>
          <w:tcPr>
            <w:tcW w:w="183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4,851.18</w:t>
            </w:r>
          </w:p>
        </w:tc>
        <w:tc>
          <w:tcPr>
            <w:tcW w:w="16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1,700.89</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64.94%</w:t>
            </w:r>
          </w:p>
        </w:tc>
        <w:tc>
          <w:tcPr>
            <w:tcW w:w="1368"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left="794" w:right="0"/>
              <w:jc w:val="left"/>
              <w:rPr>
                <w:rFonts w:ascii="宋体" w:hAnsi="宋体" w:cs="宋体" w:eastAsia="宋体" w:hint="default"/>
                <w:sz w:val="18"/>
                <w:szCs w:val="18"/>
              </w:rPr>
            </w:pPr>
            <w:r>
              <w:rPr>
                <w:rFonts w:ascii="宋体"/>
                <w:sz w:val="18"/>
              </w:rPr>
              <w:t>11.68%</w:t>
            </w:r>
          </w:p>
        </w:tc>
        <w:tc>
          <w:tcPr>
            <w:tcW w:w="1397" w:type="dxa"/>
            <w:tcBorders>
              <w:top w:val="single" w:sz="4" w:space="0" w:color="000000"/>
              <w:left w:val="single" w:sz="4" w:space="0" w:color="000000"/>
              <w:bottom w:val="single" w:sz="12" w:space="0" w:color="000000"/>
              <w:right w:val="single" w:sz="4" w:space="0" w:color="000000"/>
            </w:tcBorders>
          </w:tcPr>
          <w:p>
            <w:pPr>
              <w:pStyle w:val="TableParagraph"/>
              <w:spacing w:line="222" w:lineRule="exact"/>
              <w:ind w:left="826" w:right="0"/>
              <w:jc w:val="left"/>
              <w:rPr>
                <w:rFonts w:ascii="宋体" w:hAnsi="宋体" w:cs="宋体" w:eastAsia="宋体" w:hint="default"/>
                <w:sz w:val="18"/>
                <w:szCs w:val="18"/>
              </w:rPr>
            </w:pPr>
            <w:r>
              <w:rPr>
                <w:rFonts w:ascii="宋体"/>
                <w:sz w:val="18"/>
              </w:rPr>
              <w:t>-4.29%</w:t>
            </w:r>
          </w:p>
        </w:tc>
        <w:tc>
          <w:tcPr>
            <w:tcW w:w="1219" w:type="dxa"/>
            <w:tcBorders>
              <w:top w:val="single" w:sz="4" w:space="0" w:color="000000"/>
              <w:left w:val="single" w:sz="4" w:space="0" w:color="000000"/>
              <w:bottom w:val="single" w:sz="12" w:space="0" w:color="000000"/>
              <w:right w:val="nil" w:sz="6" w:space="0" w:color="auto"/>
            </w:tcBorders>
          </w:tcPr>
          <w:p>
            <w:pPr>
              <w:pStyle w:val="TableParagraph"/>
              <w:spacing w:line="222" w:lineRule="exact"/>
              <w:ind w:left="734" w:right="0"/>
              <w:jc w:val="left"/>
              <w:rPr>
                <w:rFonts w:ascii="宋体" w:hAnsi="宋体" w:cs="宋体" w:eastAsia="宋体" w:hint="default"/>
                <w:sz w:val="18"/>
                <w:szCs w:val="18"/>
              </w:rPr>
            </w:pPr>
            <w:r>
              <w:rPr>
                <w:rFonts w:ascii="宋体"/>
                <w:sz w:val="18"/>
              </w:rPr>
              <w:t>5.85%</w:t>
            </w:r>
          </w:p>
        </w:tc>
      </w:tr>
    </w:tbl>
    <w:p>
      <w:pPr>
        <w:spacing w:after="0" w:line="222" w:lineRule="exact"/>
        <w:jc w:val="left"/>
        <w:rPr>
          <w:rFonts w:ascii="宋体" w:hAnsi="宋体" w:cs="宋体" w:eastAsia="宋体" w:hint="default"/>
          <w:sz w:val="18"/>
          <w:szCs w:val="18"/>
        </w:rPr>
        <w:sectPr>
          <w:pgSz w:w="11910" w:h="16840"/>
          <w:pgMar w:header="720" w:footer="956" w:top="1300" w:bottom="1140" w:left="560" w:right="0"/>
        </w:sectPr>
      </w:pPr>
    </w:p>
    <w:p>
      <w:pPr>
        <w:pStyle w:val="Heading3"/>
        <w:spacing w:line="274" w:lineRule="exact" w:before="0"/>
        <w:ind w:left="160" w:right="-20"/>
        <w:jc w:val="left"/>
      </w:pPr>
      <w:r>
        <w:rPr/>
        <w:t>主营业务分地区情况</w:t>
      </w:r>
    </w:p>
    <w:p>
      <w:pPr>
        <w:spacing w:line="240" w:lineRule="auto" w:before="7"/>
        <w:rPr>
          <w:rFonts w:ascii="宋体" w:hAnsi="宋体" w:cs="宋体" w:eastAsia="宋体" w:hint="default"/>
          <w:sz w:val="21"/>
          <w:szCs w:val="21"/>
        </w:rPr>
      </w:pPr>
      <w:r>
        <w:rPr/>
        <w:br w:type="column"/>
      </w:r>
      <w:r>
        <w:rPr>
          <w:rFonts w:ascii="宋体"/>
          <w:sz w:val="21"/>
        </w:rPr>
      </w:r>
    </w:p>
    <w:p>
      <w:pPr>
        <w:spacing w:before="0"/>
        <w:ind w:left="160"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580" w:bottom="0" w:left="560" w:right="0"/>
          <w:cols w:num="2" w:equalWidth="0">
            <w:col w:w="2321" w:space="7248"/>
            <w:col w:w="1781"/>
          </w:cols>
        </w:sectPr>
      </w:pPr>
    </w:p>
    <w:p>
      <w:pPr>
        <w:spacing w:line="240" w:lineRule="auto" w:before="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736"/>
        <w:gridCol w:w="3263"/>
        <w:gridCol w:w="4541"/>
      </w:tblGrid>
      <w:tr>
        <w:trPr>
          <w:trHeight w:val="389" w:hRule="exact"/>
        </w:trPr>
        <w:tc>
          <w:tcPr>
            <w:tcW w:w="273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39"/>
              <w:ind w:left="19" w:right="0"/>
              <w:jc w:val="center"/>
              <w:rPr>
                <w:rFonts w:ascii="宋体" w:hAnsi="宋体" w:cs="宋体" w:eastAsia="宋体" w:hint="default"/>
                <w:sz w:val="18"/>
                <w:szCs w:val="18"/>
              </w:rPr>
            </w:pPr>
            <w:r>
              <w:rPr>
                <w:rFonts w:ascii="宋体" w:hAnsi="宋体" w:cs="宋体" w:eastAsia="宋体" w:hint="default"/>
                <w:sz w:val="18"/>
                <w:szCs w:val="18"/>
              </w:rPr>
              <w:t>地区</w:t>
            </w:r>
          </w:p>
        </w:tc>
        <w:tc>
          <w:tcPr>
            <w:tcW w:w="326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45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9"/>
              <w:ind w:left="1228"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宋体" w:hAnsi="宋体" w:cs="宋体" w:eastAsia="宋体" w:hint="default"/>
                <w:sz w:val="18"/>
                <w:szCs w:val="18"/>
              </w:rPr>
              <w:t>%</w:t>
            </w:r>
            <w:r>
              <w:rPr>
                <w:rFonts w:ascii="宋体" w:hAnsi="宋体" w:cs="宋体" w:eastAsia="宋体" w:hint="default"/>
                <w:sz w:val="18"/>
                <w:szCs w:val="18"/>
              </w:rPr>
              <w:t>）</w:t>
            </w:r>
          </w:p>
        </w:tc>
      </w:tr>
      <w:tr>
        <w:trPr>
          <w:trHeight w:val="396" w:hRule="exact"/>
        </w:trPr>
        <w:tc>
          <w:tcPr>
            <w:tcW w:w="27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pacing w:val="-1"/>
                <w:sz w:val="18"/>
              </w:rPr>
              <w:t>32,587.14</w:t>
            </w:r>
          </w:p>
        </w:tc>
        <w:tc>
          <w:tcPr>
            <w:tcW w:w="4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z w:val="18"/>
              </w:rPr>
              <w:t>273.80%</w:t>
            </w:r>
          </w:p>
        </w:tc>
      </w:tr>
      <w:tr>
        <w:trPr>
          <w:trHeight w:val="398" w:hRule="exact"/>
        </w:trPr>
        <w:tc>
          <w:tcPr>
            <w:tcW w:w="27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pacing w:val="-1"/>
                <w:sz w:val="18"/>
              </w:rPr>
              <w:t>9,982.76</w:t>
            </w:r>
          </w:p>
        </w:tc>
        <w:tc>
          <w:tcPr>
            <w:tcW w:w="4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5"/>
              <w:jc w:val="right"/>
              <w:rPr>
                <w:rFonts w:ascii="宋体" w:hAnsi="宋体" w:cs="宋体" w:eastAsia="宋体" w:hint="default"/>
                <w:sz w:val="18"/>
                <w:szCs w:val="18"/>
              </w:rPr>
            </w:pPr>
            <w:r>
              <w:rPr>
                <w:rFonts w:ascii="宋体"/>
                <w:spacing w:val="-1"/>
                <w:sz w:val="18"/>
              </w:rPr>
              <w:t>81.16%</w:t>
            </w:r>
          </w:p>
        </w:tc>
      </w:tr>
      <w:tr>
        <w:trPr>
          <w:trHeight w:val="396" w:hRule="exact"/>
        </w:trPr>
        <w:tc>
          <w:tcPr>
            <w:tcW w:w="27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pacing w:val="-1"/>
                <w:sz w:val="18"/>
              </w:rPr>
              <w:t>8,617.56</w:t>
            </w:r>
          </w:p>
        </w:tc>
        <w:tc>
          <w:tcPr>
            <w:tcW w:w="4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7"/>
              <w:jc w:val="right"/>
              <w:rPr>
                <w:rFonts w:ascii="宋体" w:hAnsi="宋体" w:cs="宋体" w:eastAsia="宋体" w:hint="default"/>
                <w:sz w:val="18"/>
                <w:szCs w:val="18"/>
              </w:rPr>
            </w:pPr>
            <w:r>
              <w:rPr>
                <w:rFonts w:ascii="宋体"/>
                <w:sz w:val="18"/>
              </w:rPr>
              <w:t>710.11%</w:t>
            </w:r>
          </w:p>
        </w:tc>
      </w:tr>
      <w:tr>
        <w:trPr>
          <w:trHeight w:val="396" w:hRule="exact"/>
        </w:trPr>
        <w:tc>
          <w:tcPr>
            <w:tcW w:w="273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9"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
              <w:jc w:val="right"/>
              <w:rPr>
                <w:rFonts w:ascii="宋体" w:hAnsi="宋体" w:cs="宋体" w:eastAsia="宋体" w:hint="default"/>
                <w:sz w:val="18"/>
                <w:szCs w:val="18"/>
              </w:rPr>
            </w:pPr>
            <w:r>
              <w:rPr>
                <w:rFonts w:ascii="宋体"/>
                <w:spacing w:val="-1"/>
                <w:sz w:val="18"/>
              </w:rPr>
              <w:t>7,814.15</w:t>
            </w:r>
          </w:p>
        </w:tc>
        <w:tc>
          <w:tcPr>
            <w:tcW w:w="4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right="25"/>
              <w:jc w:val="right"/>
              <w:rPr>
                <w:rFonts w:ascii="宋体" w:hAnsi="宋体" w:cs="宋体" w:eastAsia="宋体" w:hint="default"/>
                <w:sz w:val="18"/>
                <w:szCs w:val="18"/>
              </w:rPr>
            </w:pPr>
            <w:r>
              <w:rPr>
                <w:rFonts w:ascii="宋体"/>
                <w:spacing w:val="-1"/>
                <w:sz w:val="18"/>
              </w:rPr>
              <w:t>14.12%</w:t>
            </w:r>
          </w:p>
        </w:tc>
      </w:tr>
      <w:tr>
        <w:trPr>
          <w:trHeight w:val="398" w:hRule="exact"/>
        </w:trPr>
        <w:tc>
          <w:tcPr>
            <w:tcW w:w="2736" w:type="dxa"/>
            <w:tcBorders>
              <w:top w:val="single" w:sz="4" w:space="0" w:color="000000"/>
              <w:left w:val="nil" w:sz="6" w:space="0" w:color="auto"/>
              <w:bottom w:val="single" w:sz="4" w:space="0" w:color="000000"/>
              <w:right w:val="single" w:sz="4" w:space="0" w:color="000000"/>
            </w:tcBorders>
          </w:tcPr>
          <w:p>
            <w:pPr>
              <w:pStyle w:val="TableParagraph"/>
              <w:spacing w:line="222" w:lineRule="exact"/>
              <w:ind w:left="19"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right="19"/>
              <w:jc w:val="right"/>
              <w:rPr>
                <w:rFonts w:ascii="宋体" w:hAnsi="宋体" w:cs="宋体" w:eastAsia="宋体" w:hint="default"/>
                <w:sz w:val="18"/>
                <w:szCs w:val="18"/>
              </w:rPr>
            </w:pPr>
            <w:r>
              <w:rPr>
                <w:rFonts w:ascii="宋体"/>
                <w:spacing w:val="-1"/>
                <w:sz w:val="18"/>
              </w:rPr>
              <w:t>4,081.12</w:t>
            </w:r>
          </w:p>
        </w:tc>
        <w:tc>
          <w:tcPr>
            <w:tcW w:w="454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25"/>
              <w:jc w:val="right"/>
              <w:rPr>
                <w:rFonts w:ascii="宋体" w:hAnsi="宋体" w:cs="宋体" w:eastAsia="宋体" w:hint="default"/>
                <w:sz w:val="18"/>
                <w:szCs w:val="18"/>
              </w:rPr>
            </w:pPr>
            <w:r>
              <w:rPr>
                <w:rFonts w:ascii="宋体"/>
                <w:spacing w:val="-1"/>
                <w:sz w:val="18"/>
              </w:rPr>
              <w:t>60.27%</w:t>
            </w:r>
          </w:p>
        </w:tc>
      </w:tr>
      <w:tr>
        <w:trPr>
          <w:trHeight w:val="409" w:hRule="exact"/>
        </w:trPr>
        <w:tc>
          <w:tcPr>
            <w:tcW w:w="2736" w:type="dxa"/>
            <w:tcBorders>
              <w:top w:val="single" w:sz="4" w:space="0" w:color="000000"/>
              <w:left w:val="nil" w:sz="6" w:space="0" w:color="auto"/>
              <w:bottom w:val="single" w:sz="12" w:space="0" w:color="000000"/>
              <w:right w:val="single" w:sz="4" w:space="0" w:color="000000"/>
            </w:tcBorders>
          </w:tcPr>
          <w:p>
            <w:pPr>
              <w:pStyle w:val="TableParagraph"/>
              <w:spacing w:line="223" w:lineRule="exact"/>
              <w:ind w:left="19" w:right="0"/>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3263" w:type="dxa"/>
            <w:tcBorders>
              <w:top w:val="single" w:sz="4" w:space="0" w:color="000000"/>
              <w:left w:val="single" w:sz="4" w:space="0" w:color="000000"/>
              <w:bottom w:val="single" w:sz="12" w:space="0" w:color="000000"/>
              <w:right w:val="single" w:sz="4" w:space="0" w:color="000000"/>
            </w:tcBorders>
          </w:tcPr>
          <w:p>
            <w:pPr>
              <w:pStyle w:val="TableParagraph"/>
              <w:spacing w:line="223" w:lineRule="exact"/>
              <w:ind w:right="19"/>
              <w:jc w:val="right"/>
              <w:rPr>
                <w:rFonts w:ascii="宋体" w:hAnsi="宋体" w:cs="宋体" w:eastAsia="宋体" w:hint="default"/>
                <w:sz w:val="18"/>
                <w:szCs w:val="18"/>
              </w:rPr>
            </w:pPr>
            <w:r>
              <w:rPr>
                <w:rFonts w:ascii="宋体"/>
                <w:spacing w:val="-1"/>
                <w:sz w:val="18"/>
              </w:rPr>
              <w:t>1,159.02</w:t>
            </w:r>
          </w:p>
        </w:tc>
        <w:tc>
          <w:tcPr>
            <w:tcW w:w="454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7"/>
              <w:ind w:right="25"/>
              <w:jc w:val="right"/>
              <w:rPr>
                <w:rFonts w:ascii="宋体" w:hAnsi="宋体" w:cs="宋体" w:eastAsia="宋体" w:hint="default"/>
                <w:sz w:val="18"/>
                <w:szCs w:val="18"/>
              </w:rPr>
            </w:pPr>
            <w:r>
              <w:rPr>
                <w:rFonts w:ascii="宋体"/>
                <w:spacing w:val="-1"/>
                <w:sz w:val="18"/>
              </w:rPr>
              <w:t>22.95%</w:t>
            </w:r>
          </w:p>
        </w:tc>
      </w:tr>
    </w:tbl>
    <w:p>
      <w:pPr>
        <w:pStyle w:val="Heading2"/>
        <w:spacing w:line="274" w:lineRule="exact"/>
        <w:ind w:left="642" w:right="587"/>
        <w:jc w:val="left"/>
        <w:rPr>
          <w:b w:val="0"/>
          <w:bCs w:val="0"/>
        </w:rPr>
      </w:pPr>
      <w:r>
        <w:rPr>
          <w:rFonts w:ascii="宋体" w:hAnsi="宋体" w:cs="宋体" w:eastAsia="宋体" w:hint="default"/>
        </w:rPr>
        <w:t>4</w:t>
      </w:r>
      <w:r>
        <w:rPr/>
        <w:t>、报告期内公司财务报表同比发生重大变动的说明</w:t>
      </w:r>
      <w:r>
        <w:rPr>
          <w:b w:val="0"/>
          <w:bCs w:val="0"/>
        </w:rPr>
      </w:r>
    </w:p>
    <w:p>
      <w:pPr>
        <w:pStyle w:val="Heading3"/>
        <w:spacing w:line="357" w:lineRule="auto" w:before="151"/>
        <w:ind w:left="160" w:right="716" w:firstLine="480"/>
        <w:jc w:val="both"/>
      </w:pPr>
      <w:r>
        <w:rPr/>
        <w:t>（</w:t>
      </w:r>
      <w:r>
        <w:rPr>
          <w:rFonts w:ascii="宋体" w:hAnsi="宋体" w:cs="宋体" w:eastAsia="宋体" w:hint="default"/>
        </w:rPr>
        <w:t>1</w:t>
      </w:r>
      <w:r>
        <w:rPr/>
        <w:t>）货币资金期末较期初增加</w:t>
      </w:r>
      <w:r>
        <w:rPr>
          <w:spacing w:val="-31"/>
        </w:rPr>
        <w:t> </w:t>
      </w:r>
      <w:r>
        <w:rPr>
          <w:rFonts w:ascii="宋体" w:hAnsi="宋体" w:cs="宋体" w:eastAsia="宋体" w:hint="default"/>
        </w:rPr>
        <w:t>131,209.50</w:t>
      </w:r>
      <w:r>
        <w:rPr>
          <w:rFonts w:ascii="宋体" w:hAnsi="宋体" w:cs="宋体" w:eastAsia="宋体" w:hint="default"/>
          <w:spacing w:val="-32"/>
        </w:rPr>
        <w:t> </w:t>
      </w:r>
      <w:r>
        <w:rPr/>
        <w:t>万元，增加</w:t>
      </w:r>
      <w:r>
        <w:rPr>
          <w:spacing w:val="-31"/>
        </w:rPr>
        <w:t> </w:t>
      </w:r>
      <w:r>
        <w:rPr>
          <w:rFonts w:ascii="宋体" w:hAnsi="宋体" w:cs="宋体" w:eastAsia="宋体" w:hint="default"/>
        </w:rPr>
        <w:t>1361.10%</w:t>
      </w:r>
      <w:r>
        <w:rPr/>
        <w:t>，主要原因是本公司本期非公 开发行</w:t>
      </w:r>
      <w:r>
        <w:rPr>
          <w:spacing w:val="-60"/>
        </w:rPr>
        <w:t> </w:t>
      </w:r>
      <w:r>
        <w:rPr>
          <w:rFonts w:ascii="宋体" w:hAnsi="宋体" w:cs="宋体" w:eastAsia="宋体" w:hint="default"/>
        </w:rPr>
        <w:t>A</w:t>
      </w:r>
      <w:r>
        <w:rPr>
          <w:rFonts w:ascii="宋体" w:hAnsi="宋体" w:cs="宋体" w:eastAsia="宋体" w:hint="default"/>
          <w:spacing w:val="-60"/>
        </w:rPr>
        <w:t> </w:t>
      </w:r>
      <w:r>
        <w:rPr/>
        <w:t>股普通股募集资金</w:t>
      </w:r>
      <w:r>
        <w:rPr>
          <w:spacing w:val="-61"/>
        </w:rPr>
        <w:t> </w:t>
      </w:r>
      <w:r>
        <w:rPr>
          <w:rFonts w:ascii="宋体" w:hAnsi="宋体" w:cs="宋体" w:eastAsia="宋体" w:hint="default"/>
        </w:rPr>
        <w:t>98,799.99</w:t>
      </w:r>
      <w:r>
        <w:rPr>
          <w:rFonts w:ascii="宋体" w:hAnsi="宋体" w:cs="宋体" w:eastAsia="宋体" w:hint="default"/>
          <w:spacing w:val="-60"/>
        </w:rPr>
        <w:t> </w:t>
      </w:r>
      <w:r>
        <w:rPr/>
        <w:t>万元所致；</w:t>
      </w:r>
    </w:p>
    <w:p>
      <w:pPr>
        <w:pStyle w:val="Heading3"/>
        <w:spacing w:line="357" w:lineRule="auto" w:before="34"/>
        <w:ind w:left="160" w:right="716" w:firstLine="480"/>
        <w:jc w:val="both"/>
      </w:pPr>
      <w:r>
        <w:rPr/>
        <w:t>（</w:t>
      </w:r>
      <w:r>
        <w:rPr>
          <w:rFonts w:ascii="宋体" w:hAnsi="宋体" w:cs="宋体" w:eastAsia="宋体" w:hint="default"/>
        </w:rPr>
        <w:t>2</w:t>
      </w:r>
      <w:r>
        <w:rPr/>
        <w:t>）预付账款期末较期初增加</w:t>
      </w:r>
      <w:r>
        <w:rPr>
          <w:spacing w:val="-31"/>
        </w:rPr>
        <w:t> </w:t>
      </w:r>
      <w:r>
        <w:rPr>
          <w:rFonts w:ascii="宋体" w:hAnsi="宋体" w:cs="宋体" w:eastAsia="宋体" w:hint="default"/>
        </w:rPr>
        <w:t>32,077.12</w:t>
      </w:r>
      <w:r>
        <w:rPr>
          <w:rFonts w:ascii="宋体" w:hAnsi="宋体" w:cs="宋体" w:eastAsia="宋体" w:hint="default"/>
          <w:spacing w:val="-32"/>
        </w:rPr>
        <w:t> </w:t>
      </w:r>
      <w:r>
        <w:rPr/>
        <w:t>万元，增加</w:t>
      </w:r>
      <w:r>
        <w:rPr>
          <w:spacing w:val="-31"/>
        </w:rPr>
        <w:t> </w:t>
      </w:r>
      <w:r>
        <w:rPr>
          <w:rFonts w:ascii="宋体" w:hAnsi="宋体" w:cs="宋体" w:eastAsia="宋体" w:hint="default"/>
        </w:rPr>
        <w:t>781.37%</w:t>
      </w:r>
      <w:r>
        <w:rPr/>
        <w:t>，主要原因是本公司为配合非公 开发行人参产品系列项目，本期预付在地参采购款</w:t>
      </w:r>
      <w:r>
        <w:rPr>
          <w:spacing w:val="-59"/>
        </w:rPr>
        <w:t> </w:t>
      </w:r>
      <w:r>
        <w:rPr>
          <w:rFonts w:ascii="宋体" w:hAnsi="宋体" w:cs="宋体" w:eastAsia="宋体" w:hint="default"/>
        </w:rPr>
        <w:t>28,608</w:t>
      </w:r>
      <w:r>
        <w:rPr>
          <w:rFonts w:ascii="宋体" w:hAnsi="宋体" w:cs="宋体" w:eastAsia="宋体" w:hint="default"/>
          <w:spacing w:val="-60"/>
        </w:rPr>
        <w:t> </w:t>
      </w:r>
      <w:r>
        <w:rPr/>
        <w:t>万元所致；</w:t>
      </w:r>
    </w:p>
    <w:p>
      <w:pPr>
        <w:pStyle w:val="Heading3"/>
        <w:spacing w:line="357" w:lineRule="auto" w:before="34"/>
        <w:ind w:left="160" w:right="716" w:firstLine="480"/>
        <w:jc w:val="both"/>
      </w:pPr>
      <w:r>
        <w:rPr/>
        <w:t>（</w:t>
      </w:r>
      <w:r>
        <w:rPr>
          <w:rFonts w:ascii="宋体" w:hAnsi="宋体" w:cs="宋体" w:eastAsia="宋体" w:hint="default"/>
        </w:rPr>
        <w:t>3</w:t>
      </w:r>
      <w:r>
        <w:rPr/>
        <w:t>）存货期末较期初增加</w:t>
      </w:r>
      <w:r>
        <w:rPr>
          <w:spacing w:val="-31"/>
        </w:rPr>
        <w:t> </w:t>
      </w:r>
      <w:r>
        <w:rPr>
          <w:rFonts w:ascii="宋体" w:hAnsi="宋体" w:cs="宋体" w:eastAsia="宋体" w:hint="default"/>
        </w:rPr>
        <w:t>14,255.49</w:t>
      </w:r>
      <w:r>
        <w:rPr>
          <w:rFonts w:ascii="宋体" w:hAnsi="宋体" w:cs="宋体" w:eastAsia="宋体" w:hint="default"/>
          <w:spacing w:val="-32"/>
        </w:rPr>
        <w:t> </w:t>
      </w:r>
      <w:r>
        <w:rPr/>
        <w:t>万元，增加</w:t>
      </w:r>
      <w:r>
        <w:rPr>
          <w:spacing w:val="-31"/>
        </w:rPr>
        <w:t> </w:t>
      </w:r>
      <w:r>
        <w:rPr>
          <w:rFonts w:ascii="宋体" w:hAnsi="宋体" w:cs="宋体" w:eastAsia="宋体" w:hint="default"/>
        </w:rPr>
        <w:t>467.61%</w:t>
      </w:r>
      <w:r>
        <w:rPr/>
        <w:t>，主要原因是本公司为配合非公开发 行人参产品系列项目，本期增加人参储备较多所致；</w:t>
      </w:r>
    </w:p>
    <w:p>
      <w:pPr>
        <w:pStyle w:val="Heading3"/>
        <w:spacing w:line="357" w:lineRule="auto" w:before="34"/>
        <w:ind w:left="160" w:right="719" w:firstLine="480"/>
        <w:jc w:val="both"/>
      </w:pPr>
      <w:r>
        <w:rPr/>
        <w:t>（</w:t>
      </w:r>
      <w:r>
        <w:rPr>
          <w:rFonts w:ascii="宋体" w:hAnsi="宋体" w:cs="宋体" w:eastAsia="宋体" w:hint="default"/>
        </w:rPr>
        <w:t>4</w:t>
      </w:r>
      <w:r>
        <w:rPr/>
        <w:t>）在建工程期末较期初减少</w:t>
      </w:r>
      <w:r>
        <w:rPr>
          <w:spacing w:val="-55"/>
        </w:rPr>
        <w:t> </w:t>
      </w:r>
      <w:r>
        <w:rPr>
          <w:rFonts w:ascii="宋体" w:hAnsi="宋体" w:cs="宋体" w:eastAsia="宋体" w:hint="default"/>
        </w:rPr>
        <w:t>2,054.62</w:t>
      </w:r>
      <w:r>
        <w:rPr>
          <w:rFonts w:ascii="宋体" w:hAnsi="宋体" w:cs="宋体" w:eastAsia="宋体" w:hint="default"/>
          <w:spacing w:val="-55"/>
        </w:rPr>
        <w:t> </w:t>
      </w:r>
      <w:r>
        <w:rPr/>
        <w:t>万元，主要原因是本公司</w:t>
      </w:r>
      <w:r>
        <w:rPr>
          <w:spacing w:val="-55"/>
        </w:rPr>
        <w:t> </w:t>
      </w:r>
      <w:r>
        <w:rPr>
          <w:rFonts w:ascii="宋体" w:hAnsi="宋体" w:cs="宋体" w:eastAsia="宋体" w:hint="default"/>
        </w:rPr>
        <w:t>2010</w:t>
      </w:r>
      <w:r>
        <w:rPr>
          <w:rFonts w:ascii="宋体" w:hAnsi="宋体" w:cs="宋体" w:eastAsia="宋体" w:hint="default"/>
          <w:spacing w:val="-55"/>
        </w:rPr>
        <w:t> </w:t>
      </w:r>
      <w:r>
        <w:rPr/>
        <w:t>年度在建工程已经达到 预计可使用状态，转入固定资产核算；</w:t>
      </w:r>
    </w:p>
    <w:p>
      <w:pPr>
        <w:pStyle w:val="Heading3"/>
        <w:spacing w:line="357" w:lineRule="auto" w:before="36"/>
        <w:ind w:left="160" w:right="716" w:firstLine="480"/>
        <w:jc w:val="both"/>
      </w:pPr>
      <w:r>
        <w:rPr/>
        <w:t>（</w:t>
      </w:r>
      <w:r>
        <w:rPr>
          <w:rFonts w:ascii="宋体" w:hAnsi="宋体" w:cs="宋体" w:eastAsia="宋体" w:hint="default"/>
        </w:rPr>
        <w:t>5</w:t>
      </w:r>
      <w:r>
        <w:rPr/>
        <w:t>）无形资产期末较期初增加</w:t>
      </w:r>
      <w:r>
        <w:rPr>
          <w:spacing w:val="-31"/>
        </w:rPr>
        <w:t> </w:t>
      </w:r>
      <w:r>
        <w:rPr>
          <w:rFonts w:ascii="宋体" w:hAnsi="宋体" w:cs="宋体" w:eastAsia="宋体" w:hint="default"/>
        </w:rPr>
        <w:t>12,048.24</w:t>
      </w:r>
      <w:r>
        <w:rPr>
          <w:rFonts w:ascii="宋体" w:hAnsi="宋体" w:cs="宋体" w:eastAsia="宋体" w:hint="default"/>
          <w:spacing w:val="-32"/>
        </w:rPr>
        <w:t> </w:t>
      </w:r>
      <w:r>
        <w:rPr/>
        <w:t>万元，增加</w:t>
      </w:r>
      <w:r>
        <w:rPr>
          <w:spacing w:val="-31"/>
        </w:rPr>
        <w:t> </w:t>
      </w:r>
      <w:r>
        <w:rPr>
          <w:rFonts w:ascii="宋体" w:hAnsi="宋体" w:cs="宋体" w:eastAsia="宋体" w:hint="default"/>
        </w:rPr>
        <w:t>251.03%</w:t>
      </w:r>
      <w:r>
        <w:rPr/>
        <w:t>，主要是由于新增土地使用权， </w:t>
      </w:r>
      <w:r>
        <w:rPr>
          <w:spacing w:val="-3"/>
        </w:rPr>
        <w:t>是位于延吉、通化、敦化、磐石四个厂区的土地，其是为公司非公开发行股票募集资金项目（人参产</w:t>
      </w:r>
      <w:r>
        <w:rPr>
          <w:spacing w:val="-88"/>
        </w:rPr>
        <w:t> </w:t>
      </w:r>
      <w:r>
        <w:rPr>
          <w:spacing w:val="-88"/>
        </w:rPr>
      </w:r>
      <w:r>
        <w:rPr/>
        <w:t>品系列化项目）所购；</w:t>
      </w:r>
    </w:p>
    <w:p>
      <w:pPr>
        <w:pStyle w:val="Heading3"/>
        <w:spacing w:line="357" w:lineRule="auto" w:before="34"/>
        <w:ind w:left="160" w:right="716" w:firstLine="480"/>
        <w:jc w:val="both"/>
      </w:pPr>
      <w:r>
        <w:rPr/>
        <w:t>（</w:t>
      </w:r>
      <w:r>
        <w:rPr>
          <w:rFonts w:ascii="宋体" w:hAnsi="宋体" w:cs="宋体" w:eastAsia="宋体" w:hint="default"/>
        </w:rPr>
        <w:t>6</w:t>
      </w:r>
      <w:r>
        <w:rPr/>
        <w:t>）短期借款期末较期初增加</w:t>
      </w:r>
      <w:r>
        <w:rPr>
          <w:spacing w:val="-67"/>
        </w:rPr>
        <w:t> </w:t>
      </w:r>
      <w:r>
        <w:rPr>
          <w:rFonts w:ascii="宋体" w:hAnsi="宋体" w:cs="宋体" w:eastAsia="宋体" w:hint="default"/>
        </w:rPr>
        <w:t>73,200</w:t>
      </w:r>
      <w:r>
        <w:rPr>
          <w:rFonts w:ascii="宋体" w:hAnsi="宋体" w:cs="宋体" w:eastAsia="宋体" w:hint="default"/>
          <w:spacing w:val="-67"/>
        </w:rPr>
        <w:t> </w:t>
      </w:r>
      <w:r>
        <w:rPr>
          <w:spacing w:val="-3"/>
        </w:rPr>
        <w:t>万元，增加</w:t>
      </w:r>
      <w:r>
        <w:rPr>
          <w:spacing w:val="-67"/>
        </w:rPr>
        <w:t> </w:t>
      </w:r>
      <w:r>
        <w:rPr>
          <w:rFonts w:ascii="宋体" w:hAnsi="宋体" w:cs="宋体" w:eastAsia="宋体" w:hint="default"/>
        </w:rPr>
        <w:t>418.29%</w:t>
      </w:r>
      <w:r>
        <w:rPr/>
        <w:t>，主要是本公司流动资金贷款增加所 致；</w:t>
      </w:r>
    </w:p>
    <w:p>
      <w:pPr>
        <w:pStyle w:val="Heading3"/>
        <w:spacing w:line="357" w:lineRule="auto" w:before="34"/>
        <w:ind w:left="160" w:right="716" w:firstLine="480"/>
        <w:jc w:val="both"/>
      </w:pPr>
      <w:r>
        <w:rPr/>
        <w:t>（</w:t>
      </w:r>
      <w:r>
        <w:rPr>
          <w:rFonts w:ascii="宋体" w:hAnsi="宋体" w:cs="宋体" w:eastAsia="宋体" w:hint="default"/>
        </w:rPr>
        <w:t>7</w:t>
      </w:r>
      <w:r>
        <w:rPr/>
        <w:t>）应付账款期末较期初增加</w:t>
      </w:r>
      <w:r>
        <w:rPr>
          <w:spacing w:val="-67"/>
        </w:rPr>
        <w:t> </w:t>
      </w:r>
      <w:r>
        <w:rPr>
          <w:rFonts w:ascii="宋体" w:hAnsi="宋体" w:cs="宋体" w:eastAsia="宋体" w:hint="default"/>
        </w:rPr>
        <w:t>4,206.84</w:t>
      </w:r>
      <w:r>
        <w:rPr>
          <w:rFonts w:ascii="宋体" w:hAnsi="宋体" w:cs="宋体" w:eastAsia="宋体" w:hint="default"/>
          <w:spacing w:val="-67"/>
        </w:rPr>
        <w:t> </w:t>
      </w:r>
      <w:r>
        <w:rPr>
          <w:spacing w:val="-3"/>
        </w:rPr>
        <w:t>万元，增加</w:t>
      </w:r>
      <w:r>
        <w:rPr>
          <w:spacing w:val="-67"/>
        </w:rPr>
        <w:t> </w:t>
      </w:r>
      <w:r>
        <w:rPr>
          <w:rFonts w:ascii="宋体" w:hAnsi="宋体" w:cs="宋体" w:eastAsia="宋体" w:hint="default"/>
        </w:rPr>
        <w:t>175.50%</w:t>
      </w:r>
      <w:r>
        <w:rPr/>
        <w:t>，主要原因是本公司本期采购的药 材、原煤等款项尚未到付款期进行支付所致；</w:t>
      </w:r>
    </w:p>
    <w:p>
      <w:pPr>
        <w:pStyle w:val="Heading3"/>
        <w:spacing w:line="357" w:lineRule="auto" w:before="34"/>
        <w:ind w:left="160" w:right="716" w:firstLine="480"/>
        <w:jc w:val="both"/>
      </w:pPr>
      <w:r>
        <w:rPr/>
        <w:t>（</w:t>
      </w:r>
      <w:r>
        <w:rPr>
          <w:rFonts w:ascii="宋体" w:hAnsi="宋体" w:cs="宋体" w:eastAsia="宋体" w:hint="default"/>
        </w:rPr>
        <w:t>8</w:t>
      </w:r>
      <w:r>
        <w:rPr/>
        <w:t>）专项应付款期末较期初减少</w:t>
      </w:r>
      <w:r>
        <w:rPr>
          <w:spacing w:val="-67"/>
        </w:rPr>
        <w:t> </w:t>
      </w:r>
      <w:r>
        <w:rPr>
          <w:rFonts w:ascii="宋体" w:hAnsi="宋体" w:cs="宋体" w:eastAsia="宋体" w:hint="default"/>
        </w:rPr>
        <w:t>520</w:t>
      </w:r>
      <w:r>
        <w:rPr>
          <w:rFonts w:ascii="宋体" w:hAnsi="宋体" w:cs="宋体" w:eastAsia="宋体" w:hint="default"/>
          <w:spacing w:val="-67"/>
        </w:rPr>
        <w:t> </w:t>
      </w:r>
      <w:r>
        <w:rPr>
          <w:spacing w:val="-3"/>
        </w:rPr>
        <w:t>万元，减少</w:t>
      </w:r>
      <w:r>
        <w:rPr>
          <w:spacing w:val="-67"/>
        </w:rPr>
        <w:t> </w:t>
      </w:r>
      <w:r>
        <w:rPr>
          <w:rFonts w:ascii="宋体" w:hAnsi="宋体" w:cs="宋体" w:eastAsia="宋体" w:hint="default"/>
        </w:rPr>
        <w:t>79.75%</w:t>
      </w:r>
      <w:r>
        <w:rPr/>
        <w:t>，主要原因是吉林草还丹药业有限公司 </w:t>
      </w:r>
      <w:r>
        <w:rPr>
          <w:spacing w:val="-5"/>
        </w:rPr>
        <w:t>共计收到“年产</w:t>
      </w:r>
      <w:r>
        <w:rPr>
          <w:spacing w:val="-75"/>
        </w:rPr>
        <w:t> </w:t>
      </w:r>
      <w:r>
        <w:rPr>
          <w:rFonts w:ascii="宋体" w:hAnsi="宋体" w:cs="宋体" w:eastAsia="宋体" w:hint="default"/>
        </w:rPr>
        <w:t>2</w:t>
      </w:r>
      <w:r>
        <w:rPr>
          <w:rFonts w:ascii="宋体" w:hAnsi="宋体" w:cs="宋体" w:eastAsia="宋体" w:hint="default"/>
          <w:spacing w:val="-75"/>
        </w:rPr>
        <w:t> </w:t>
      </w:r>
      <w:r>
        <w:rPr/>
        <w:t>亿粒藿香祛暑软胶囊”项目政府补助</w:t>
      </w:r>
      <w:r>
        <w:rPr>
          <w:spacing w:val="-74"/>
        </w:rPr>
        <w:t> </w:t>
      </w:r>
      <w:r>
        <w:rPr>
          <w:rFonts w:ascii="宋体" w:hAnsi="宋体" w:cs="宋体" w:eastAsia="宋体" w:hint="default"/>
        </w:rPr>
        <w:t>506</w:t>
      </w:r>
      <w:r>
        <w:rPr>
          <w:rFonts w:ascii="宋体" w:hAnsi="宋体" w:cs="宋体" w:eastAsia="宋体" w:hint="default"/>
          <w:spacing w:val="-75"/>
        </w:rPr>
        <w:t> </w:t>
      </w:r>
      <w:r>
        <w:rPr/>
        <w:t>万元，该项目在本期已经吉林省发改委验 收通过，根据文件规定项目验收合格后转为资本公积处理；</w:t>
      </w:r>
    </w:p>
    <w:p>
      <w:pPr>
        <w:pStyle w:val="Heading3"/>
        <w:spacing w:line="355" w:lineRule="auto" w:before="36"/>
        <w:ind w:left="160" w:right="716" w:firstLine="480"/>
        <w:jc w:val="both"/>
      </w:pPr>
      <w:r>
        <w:rPr/>
        <w:t>（</w:t>
      </w:r>
      <w:r>
        <w:rPr>
          <w:rFonts w:ascii="宋体" w:hAnsi="宋体" w:cs="宋体" w:eastAsia="宋体" w:hint="default"/>
        </w:rPr>
        <w:t>9</w:t>
      </w:r>
      <w:r>
        <w:rPr/>
        <w:t>）股本期末较期初增加</w:t>
      </w:r>
      <w:r>
        <w:rPr>
          <w:spacing w:val="-22"/>
        </w:rPr>
        <w:t> </w:t>
      </w:r>
      <w:r>
        <w:rPr>
          <w:rFonts w:ascii="宋体" w:hAnsi="宋体" w:cs="宋体" w:eastAsia="宋体" w:hint="default"/>
        </w:rPr>
        <w:t>13,495.43</w:t>
      </w:r>
      <w:r>
        <w:rPr>
          <w:rFonts w:ascii="宋体" w:hAnsi="宋体" w:cs="宋体" w:eastAsia="宋体" w:hint="default"/>
          <w:spacing w:val="-22"/>
        </w:rPr>
        <w:t> </w:t>
      </w:r>
      <w:r>
        <w:rPr/>
        <w:t>万元</w:t>
      </w:r>
      <w:r>
        <w:rPr>
          <w:spacing w:val="2"/>
        </w:rPr>
        <w:t> </w:t>
      </w:r>
      <w:r>
        <w:rPr/>
        <w:t>，增加</w:t>
      </w:r>
      <w:r>
        <w:rPr>
          <w:spacing w:val="-22"/>
        </w:rPr>
        <w:t> </w:t>
      </w:r>
      <w:r>
        <w:rPr>
          <w:rFonts w:ascii="宋体" w:hAnsi="宋体" w:cs="宋体" w:eastAsia="宋体" w:hint="default"/>
          <w:spacing w:val="-12"/>
        </w:rPr>
        <w:t>111.04%</w:t>
      </w:r>
      <w:r>
        <w:rPr>
          <w:spacing w:val="-12"/>
        </w:rPr>
        <w:t>，主要原因是：○</w:t>
      </w:r>
      <w:r>
        <w:rPr>
          <w:rFonts w:ascii="宋体" w:hAnsi="宋体" w:cs="宋体" w:eastAsia="宋体" w:hint="default"/>
          <w:spacing w:val="-12"/>
        </w:rPr>
        <w:t>1</w:t>
      </w:r>
      <w:r>
        <w:rPr>
          <w:rFonts w:ascii="宋体" w:hAnsi="宋体" w:cs="宋体" w:eastAsia="宋体" w:hint="default"/>
          <w:spacing w:val="-59"/>
        </w:rPr>
        <w:t> </w:t>
      </w:r>
      <w:r>
        <w:rPr/>
        <w:t>根据本公司</w:t>
      </w:r>
      <w:r>
        <w:rPr>
          <w:spacing w:val="-22"/>
        </w:rPr>
        <w:t> </w:t>
      </w:r>
      <w:r>
        <w:rPr>
          <w:rFonts w:ascii="宋体" w:hAnsi="宋体" w:cs="宋体" w:eastAsia="宋体" w:hint="default"/>
        </w:rPr>
        <w:t>2009 </w:t>
      </w:r>
      <w:r>
        <w:rPr/>
        <w:t>年度股东大会决议和修改后章程的规定，公司申请增加注册资本人民币</w:t>
      </w:r>
      <w:r>
        <w:rPr>
          <w:spacing w:val="-53"/>
        </w:rPr>
        <w:t> </w:t>
      </w:r>
      <w:r>
        <w:rPr>
          <w:rFonts w:ascii="宋体" w:hAnsi="宋体" w:cs="宋体" w:eastAsia="宋体" w:hint="default"/>
        </w:rPr>
        <w:t>8,507.898</w:t>
      </w:r>
      <w:r>
        <w:rPr>
          <w:rFonts w:ascii="宋体" w:hAnsi="宋体" w:cs="宋体" w:eastAsia="宋体" w:hint="default"/>
          <w:spacing w:val="-54"/>
        </w:rPr>
        <w:t> </w:t>
      </w:r>
      <w:r>
        <w:rPr/>
        <w:t>万元，以</w:t>
      </w:r>
      <w:r>
        <w:rPr>
          <w:spacing w:val="-54"/>
        </w:rPr>
        <w:t> </w:t>
      </w:r>
      <w:r>
        <w:rPr>
          <w:rFonts w:ascii="宋体" w:hAnsi="宋体" w:cs="宋体" w:eastAsia="宋体" w:hint="default"/>
        </w:rPr>
        <w:t>2009</w:t>
      </w:r>
      <w:r>
        <w:rPr>
          <w:rFonts w:ascii="宋体" w:hAnsi="宋体" w:cs="宋体" w:eastAsia="宋体" w:hint="default"/>
          <w:spacing w:val="-54"/>
        </w:rPr>
        <w:t> </w:t>
      </w:r>
      <w:r>
        <w:rPr/>
        <w:t>年</w:t>
      </w:r>
    </w:p>
    <w:p>
      <w:pPr>
        <w:pStyle w:val="Heading3"/>
        <w:spacing w:line="240" w:lineRule="auto" w:before="38"/>
        <w:ind w:left="160" w:right="0"/>
        <w:jc w:val="left"/>
      </w:pP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日总股本</w:t>
      </w:r>
      <w:r>
        <w:rPr>
          <w:spacing w:val="-61"/>
        </w:rPr>
        <w:t> </w:t>
      </w:r>
      <w:r>
        <w:rPr>
          <w:rFonts w:ascii="宋体" w:hAnsi="宋体" w:cs="宋体" w:eastAsia="宋体" w:hint="default"/>
        </w:rPr>
        <w:t>121,541,400</w:t>
      </w:r>
      <w:r>
        <w:rPr>
          <w:rFonts w:ascii="宋体" w:hAnsi="宋体" w:cs="宋体" w:eastAsia="宋体" w:hint="default"/>
          <w:spacing w:val="-60"/>
        </w:rPr>
        <w:t> </w:t>
      </w:r>
      <w:r>
        <w:rPr/>
        <w:t>股为基数</w:t>
      </w:r>
      <w:r>
        <w:rPr>
          <w:spacing w:val="-92"/>
        </w:rPr>
        <w:t>，</w:t>
      </w:r>
      <w:r>
        <w:rPr/>
        <w:t>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股送</w:t>
      </w:r>
      <w:r>
        <w:rPr>
          <w:spacing w:val="-60"/>
        </w:rPr>
        <w:t> </w:t>
      </w:r>
      <w:r>
        <w:rPr>
          <w:rFonts w:ascii="宋体" w:hAnsi="宋体" w:cs="宋体" w:eastAsia="宋体" w:hint="default"/>
        </w:rPr>
        <w:t>2</w:t>
      </w:r>
      <w:r>
        <w:rPr>
          <w:rFonts w:ascii="宋体" w:hAnsi="宋体" w:cs="宋体" w:eastAsia="宋体" w:hint="default"/>
          <w:spacing w:val="-60"/>
        </w:rPr>
        <w:t> </w:t>
      </w:r>
      <w:r>
        <w:rPr/>
        <w:t>股</w:t>
      </w:r>
      <w:r>
        <w:rPr>
          <w:spacing w:val="-92"/>
        </w:rPr>
        <w:t>、</w:t>
      </w:r>
      <w:r>
        <w:rPr/>
        <w:t>派发现金红利</w:t>
      </w:r>
      <w:r>
        <w:rPr>
          <w:spacing w:val="-60"/>
        </w:rPr>
        <w:t> </w:t>
      </w:r>
      <w:r>
        <w:rPr>
          <w:rFonts w:ascii="宋体" w:hAnsi="宋体" w:cs="宋体" w:eastAsia="宋体" w:hint="default"/>
        </w:rPr>
        <w:t>0.23</w:t>
      </w:r>
      <w:r>
        <w:rPr>
          <w:rFonts w:ascii="宋体" w:hAnsi="宋体" w:cs="宋体" w:eastAsia="宋体" w:hint="default"/>
          <w:spacing w:val="-60"/>
        </w:rPr>
        <w:t> </w:t>
      </w:r>
      <w:r>
        <w:rPr>
          <w:spacing w:val="-92"/>
        </w:rPr>
        <w:t>元</w:t>
      </w:r>
      <w:r>
        <w:rPr/>
        <w:t>（含税</w:t>
      </w:r>
      <w:r>
        <w:rPr>
          <w:spacing w:val="-120"/>
        </w:rPr>
        <w:t>）</w:t>
      </w:r>
      <w:r>
        <w:rPr/>
        <w:t>，</w:t>
      </w:r>
    </w:p>
    <w:p>
      <w:pPr>
        <w:spacing w:after="0" w:line="240" w:lineRule="auto"/>
        <w:jc w:val="left"/>
        <w:sectPr>
          <w:type w:val="continuous"/>
          <w:pgSz w:w="11910" w:h="16840"/>
          <w:pgMar w:top="1580" w:bottom="0" w:left="560" w:right="0"/>
        </w:sectPr>
      </w:pPr>
    </w:p>
    <w:p>
      <w:pPr>
        <w:pStyle w:val="Heading3"/>
        <w:spacing w:line="357" w:lineRule="auto" w:before="13"/>
        <w:ind w:right="591"/>
        <w:jc w:val="left"/>
      </w:pPr>
      <w:r>
        <w:rPr/>
        <w:pict>
          <v:group style="position:absolute;margin-left:34.560001pt;margin-top:2.305654pt;width:508.3pt;height:.1pt;mso-position-horizontal-relative:page;mso-position-vertical-relative:paragraph;z-index:-534424" coordorigin="691,46" coordsize="10166,2">
            <v:shape style="position:absolute;left:691;top:46;width:10166;height:2" coordorigin="691,46" coordsize="10166,0" path="m691,46l10857,46e" filled="false" stroked="true" strokeweight=".72pt" strokecolor="#000000">
              <v:path arrowok="t"/>
            </v:shape>
            <w10:wrap type="none"/>
          </v:group>
        </w:pict>
      </w:r>
      <w:r>
        <w:rPr/>
        <w:t>同时以资本公积转增股本，每</w:t>
      </w:r>
      <w:r>
        <w:rPr>
          <w:spacing w:val="-57"/>
        </w:rPr>
        <w:t> </w:t>
      </w:r>
      <w:r>
        <w:rPr>
          <w:rFonts w:ascii="宋体" w:hAnsi="宋体" w:cs="宋体" w:eastAsia="宋体" w:hint="default"/>
        </w:rPr>
        <w:t>10</w:t>
      </w:r>
      <w:r>
        <w:rPr>
          <w:rFonts w:ascii="宋体" w:hAnsi="宋体" w:cs="宋体" w:eastAsia="宋体" w:hint="default"/>
          <w:spacing w:val="-58"/>
        </w:rPr>
        <w:t> </w:t>
      </w:r>
      <w:r>
        <w:rPr/>
        <w:t>股转增</w:t>
      </w:r>
      <w:r>
        <w:rPr>
          <w:spacing w:val="-58"/>
        </w:rPr>
        <w:t> </w:t>
      </w:r>
      <w:r>
        <w:rPr>
          <w:rFonts w:ascii="宋体" w:hAnsi="宋体" w:cs="宋体" w:eastAsia="宋体" w:hint="default"/>
        </w:rPr>
        <w:t>5</w:t>
      </w:r>
      <w:r>
        <w:rPr>
          <w:rFonts w:ascii="宋体" w:hAnsi="宋体" w:cs="宋体" w:eastAsia="宋体" w:hint="default"/>
          <w:spacing w:val="-58"/>
        </w:rPr>
        <w:t> </w:t>
      </w:r>
      <w:r>
        <w:rPr/>
        <w:t>股，每股面值</w:t>
      </w:r>
      <w:r>
        <w:rPr>
          <w:spacing w:val="-57"/>
        </w:rPr>
        <w:t> </w:t>
      </w:r>
      <w:r>
        <w:rPr>
          <w:rFonts w:ascii="宋体" w:hAnsi="宋体" w:cs="宋体" w:eastAsia="宋体" w:hint="default"/>
        </w:rPr>
        <w:t>1</w:t>
      </w:r>
      <w:r>
        <w:rPr>
          <w:rFonts w:ascii="宋体" w:hAnsi="宋体" w:cs="宋体" w:eastAsia="宋体" w:hint="default"/>
          <w:spacing w:val="-58"/>
        </w:rPr>
        <w:t> </w:t>
      </w:r>
      <w:r>
        <w:rPr/>
        <w:t>元，增加股本总额为人民币</w:t>
      </w:r>
      <w:r>
        <w:rPr>
          <w:spacing w:val="-57"/>
        </w:rPr>
        <w:t> </w:t>
      </w:r>
      <w:r>
        <w:rPr>
          <w:rFonts w:ascii="宋体" w:hAnsi="宋体" w:cs="宋体" w:eastAsia="宋体" w:hint="default"/>
        </w:rPr>
        <w:t>8,507.898</w:t>
      </w:r>
      <w:r>
        <w:rPr>
          <w:rFonts w:ascii="宋体" w:hAnsi="宋体" w:cs="宋体" w:eastAsia="宋体" w:hint="default"/>
          <w:spacing w:val="-58"/>
        </w:rPr>
        <w:t> </w:t>
      </w:r>
      <w:r>
        <w:rPr/>
        <w:t>万 </w:t>
      </w:r>
      <w:r>
        <w:rPr>
          <w:spacing w:val="-57"/>
        </w:rPr>
        <w:t>元；○</w:t>
      </w:r>
      <w:r>
        <w:rPr>
          <w:rFonts w:ascii="宋体" w:hAnsi="宋体" w:cs="宋体" w:eastAsia="宋体" w:hint="default"/>
          <w:spacing w:val="-57"/>
        </w:rPr>
        <w:t>2</w:t>
      </w:r>
      <w:r>
        <w:rPr>
          <w:rFonts w:ascii="宋体" w:hAnsi="宋体" w:cs="宋体" w:eastAsia="宋体" w:hint="default"/>
          <w:spacing w:val="-50"/>
        </w:rPr>
        <w:t> </w:t>
      </w:r>
      <w:r>
        <w:rPr>
          <w:spacing w:val="-2"/>
        </w:rPr>
        <w:t>本公司经中国证券监督管理委员会《关于核准吉林紫鑫药业股份有限公司非公开发行股票的批</w:t>
      </w:r>
      <w:r>
        <w:rPr>
          <w:spacing w:val="-97"/>
        </w:rPr>
        <w:t> </w:t>
      </w:r>
      <w:r>
        <w:rPr>
          <w:spacing w:val="-97"/>
        </w:rPr>
      </w:r>
      <w:r>
        <w:rPr>
          <w:spacing w:val="-8"/>
        </w:rPr>
        <w:t>复》（证监许可</w:t>
      </w:r>
      <w:r>
        <w:rPr>
          <w:rFonts w:ascii="宋体" w:hAnsi="宋体" w:cs="宋体" w:eastAsia="宋体" w:hint="default"/>
          <w:spacing w:val="-8"/>
        </w:rPr>
        <w:t>[2010]1815</w:t>
      </w:r>
      <w:r>
        <w:rPr>
          <w:rFonts w:ascii="宋体" w:hAnsi="宋体" w:cs="宋体" w:eastAsia="宋体" w:hint="default"/>
          <w:spacing w:val="-42"/>
        </w:rPr>
        <w:t> </w:t>
      </w:r>
      <w:r>
        <w:rPr>
          <w:spacing w:val="-10"/>
        </w:rPr>
        <w:t>号），核准公司非公开发行</w:t>
      </w:r>
      <w:r>
        <w:rPr>
          <w:spacing w:val="-41"/>
        </w:rPr>
        <w:t> </w:t>
      </w:r>
      <w:r>
        <w:rPr>
          <w:rFonts w:ascii="宋体" w:hAnsi="宋体" w:cs="宋体" w:eastAsia="宋体" w:hint="default"/>
        </w:rPr>
        <w:t>A</w:t>
      </w:r>
      <w:r>
        <w:rPr>
          <w:rFonts w:ascii="宋体" w:hAnsi="宋体" w:cs="宋体" w:eastAsia="宋体" w:hint="default"/>
          <w:spacing w:val="-42"/>
        </w:rPr>
        <w:t> </w:t>
      </w:r>
      <w:r>
        <w:rPr/>
        <w:t>股股票不超过</w:t>
      </w:r>
      <w:r>
        <w:rPr>
          <w:spacing w:val="-42"/>
        </w:rPr>
        <w:t> </w:t>
      </w:r>
      <w:r>
        <w:rPr>
          <w:rFonts w:ascii="宋体" w:hAnsi="宋体" w:cs="宋体" w:eastAsia="宋体" w:hint="default"/>
        </w:rPr>
        <w:t>9,000</w:t>
      </w:r>
      <w:r>
        <w:rPr>
          <w:rFonts w:ascii="宋体" w:hAnsi="宋体" w:cs="宋体" w:eastAsia="宋体" w:hint="default"/>
          <w:spacing w:val="-42"/>
        </w:rPr>
        <w:t> </w:t>
      </w:r>
      <w:r>
        <w:rPr/>
        <w:t>万股，由保荐机构东北</w:t>
      </w:r>
      <w:r>
        <w:rPr>
          <w:spacing w:val="-116"/>
        </w:rPr>
        <w:t> </w:t>
      </w:r>
      <w:r>
        <w:rPr>
          <w:spacing w:val="-5"/>
        </w:rPr>
        <w:t>证券股份有限公司作为主承销商，通过非公开发行方式向特定投资者发行。通过本次发行的认购询价、</w:t>
      </w:r>
      <w:r>
        <w:rPr>
          <w:spacing w:val="-110"/>
        </w:rPr>
        <w:t> </w:t>
      </w:r>
      <w:r>
        <w:rPr>
          <w:spacing w:val="-110"/>
        </w:rPr>
      </w:r>
      <w:r>
        <w:rPr/>
        <w:t>申购过程，公司最终确定本次发行数量为</w:t>
      </w:r>
      <w:r>
        <w:rPr>
          <w:spacing w:val="-53"/>
        </w:rPr>
        <w:t> </w:t>
      </w:r>
      <w:r>
        <w:rPr>
          <w:rFonts w:ascii="宋体" w:hAnsi="宋体" w:cs="宋体" w:eastAsia="宋体" w:hint="default"/>
        </w:rPr>
        <w:t>4987.5311</w:t>
      </w:r>
      <w:r>
        <w:rPr>
          <w:rFonts w:ascii="宋体" w:hAnsi="宋体" w:cs="宋体" w:eastAsia="宋体" w:hint="default"/>
          <w:spacing w:val="-54"/>
        </w:rPr>
        <w:t> </w:t>
      </w:r>
      <w:r>
        <w:rPr/>
        <w:t>万股，每股面值为人民币</w:t>
      </w:r>
      <w:r>
        <w:rPr>
          <w:spacing w:val="-53"/>
        </w:rPr>
        <w:t> </w:t>
      </w:r>
      <w:r>
        <w:rPr>
          <w:rFonts w:ascii="宋体" w:hAnsi="宋体" w:cs="宋体" w:eastAsia="宋体" w:hint="default"/>
        </w:rPr>
        <w:t>1.00</w:t>
      </w:r>
      <w:r>
        <w:rPr>
          <w:rFonts w:ascii="宋体" w:hAnsi="宋体" w:cs="宋体" w:eastAsia="宋体" w:hint="default"/>
          <w:spacing w:val="-54"/>
        </w:rPr>
        <w:t> </w:t>
      </w:r>
      <w:r>
        <w:rPr/>
        <w:t>元、每股发行价</w:t>
      </w:r>
    </w:p>
    <w:p>
      <w:pPr>
        <w:pStyle w:val="Heading3"/>
        <w:spacing w:line="240" w:lineRule="auto" w:before="34"/>
        <w:ind w:right="0"/>
        <w:jc w:val="left"/>
      </w:pPr>
      <w:r>
        <w:rPr/>
        <w:t>格为人民币</w:t>
      </w:r>
      <w:r>
        <w:rPr>
          <w:spacing w:val="-60"/>
        </w:rPr>
        <w:t> </w:t>
      </w:r>
      <w:r>
        <w:rPr>
          <w:rFonts w:ascii="宋体" w:hAnsi="宋体" w:cs="宋体" w:eastAsia="宋体" w:hint="default"/>
        </w:rPr>
        <w:t>20.05</w:t>
      </w:r>
      <w:r>
        <w:rPr>
          <w:rFonts w:ascii="宋体" w:hAnsi="宋体" w:cs="宋体" w:eastAsia="宋体" w:hint="default"/>
          <w:spacing w:val="-61"/>
        </w:rPr>
        <w:t> </w:t>
      </w:r>
      <w:r>
        <w:rPr/>
        <w:t>元，增加注册资本人民币</w:t>
      </w:r>
      <w:r>
        <w:rPr>
          <w:spacing w:val="-60"/>
        </w:rPr>
        <w:t> </w:t>
      </w:r>
      <w:r>
        <w:rPr>
          <w:rFonts w:ascii="宋体" w:hAnsi="宋体" w:cs="宋体" w:eastAsia="宋体" w:hint="default"/>
        </w:rPr>
        <w:t>4987.5311</w:t>
      </w:r>
      <w:r>
        <w:rPr>
          <w:rFonts w:ascii="宋体" w:hAnsi="宋体" w:cs="宋体" w:eastAsia="宋体" w:hint="default"/>
          <w:spacing w:val="-60"/>
        </w:rPr>
        <w:t> </w:t>
      </w:r>
      <w:r>
        <w:rPr/>
        <w:t>万元；</w:t>
      </w:r>
    </w:p>
    <w:p>
      <w:pPr>
        <w:pStyle w:val="Heading3"/>
        <w:spacing w:line="240" w:lineRule="auto"/>
        <w:ind w:left="620" w:right="0"/>
        <w:jc w:val="left"/>
        <w:rPr>
          <w:rFonts w:ascii="宋体" w:hAnsi="宋体" w:cs="宋体" w:eastAsia="宋体" w:hint="default"/>
        </w:rPr>
      </w:pPr>
      <w:r>
        <w:rPr/>
        <w:t>（</w:t>
      </w:r>
      <w:r>
        <w:rPr>
          <w:rFonts w:ascii="宋体" w:hAnsi="宋体" w:cs="宋体" w:eastAsia="宋体" w:hint="default"/>
        </w:rPr>
        <w:t>10</w:t>
      </w:r>
      <w:r>
        <w:rPr>
          <w:spacing w:val="-84"/>
        </w:rPr>
        <w:t>）</w:t>
      </w:r>
      <w:r>
        <w:rPr/>
        <w:t>资本公积期末较期初增加</w:t>
      </w:r>
      <w:r>
        <w:rPr>
          <w:spacing w:val="-60"/>
        </w:rPr>
        <w:t> </w:t>
      </w:r>
      <w:r>
        <w:rPr>
          <w:rFonts w:ascii="宋体" w:hAnsi="宋体" w:cs="宋体" w:eastAsia="宋体" w:hint="default"/>
        </w:rPr>
        <w:t>88,013.88</w:t>
      </w:r>
      <w:r>
        <w:rPr>
          <w:rFonts w:ascii="宋体" w:hAnsi="宋体" w:cs="宋体" w:eastAsia="宋体" w:hint="default"/>
          <w:spacing w:val="-60"/>
        </w:rPr>
        <w:t> </w:t>
      </w:r>
      <w:r>
        <w:rPr/>
        <w:t>万元</w:t>
      </w:r>
      <w:r>
        <w:rPr>
          <w:spacing w:val="-84"/>
        </w:rPr>
        <w:t>，</w:t>
      </w:r>
      <w:r>
        <w:rPr/>
        <w:t>增加</w:t>
      </w:r>
      <w:r>
        <w:rPr>
          <w:spacing w:val="-60"/>
        </w:rPr>
        <w:t> </w:t>
      </w:r>
      <w:r>
        <w:rPr>
          <w:rFonts w:ascii="宋体" w:hAnsi="宋体" w:cs="宋体" w:eastAsia="宋体" w:hint="default"/>
        </w:rPr>
        <w:t>878.61%</w:t>
      </w:r>
      <w:r>
        <w:rPr>
          <w:spacing w:val="-84"/>
        </w:rPr>
        <w:t>。</w:t>
      </w:r>
      <w:r>
        <w:rPr/>
        <w:t>主要原因是</w:t>
      </w:r>
      <w:r>
        <w:rPr>
          <w:spacing w:val="-84"/>
        </w:rPr>
        <w:t>：</w:t>
      </w:r>
      <w:r>
        <w:rPr>
          <w:spacing w:val="-180"/>
        </w:rPr>
        <w:t>○</w:t>
      </w:r>
      <w:r>
        <w:rPr>
          <w:rFonts w:ascii="宋体" w:hAnsi="宋体" w:cs="宋体" w:eastAsia="宋体" w:hint="default"/>
        </w:rPr>
        <w:t>1</w:t>
      </w:r>
      <w:r>
        <w:rPr>
          <w:rFonts w:ascii="宋体" w:hAnsi="宋体" w:cs="宋体" w:eastAsia="宋体" w:hint="default"/>
          <w:spacing w:val="-60"/>
        </w:rPr>
        <w:t> </w:t>
      </w:r>
      <w:r>
        <w:rPr/>
        <w:t>根据本公司</w:t>
      </w:r>
      <w:r>
        <w:rPr>
          <w:spacing w:val="-60"/>
        </w:rPr>
        <w:t> </w:t>
      </w:r>
      <w:r>
        <w:rPr>
          <w:rFonts w:ascii="宋体" w:hAnsi="宋体" w:cs="宋体" w:eastAsia="宋体" w:hint="default"/>
        </w:rPr>
        <w:t>2009</w:t>
      </w:r>
    </w:p>
    <w:p>
      <w:pPr>
        <w:pStyle w:val="Heading3"/>
        <w:spacing w:line="240" w:lineRule="auto" w:before="151"/>
        <w:ind w:right="0"/>
        <w:jc w:val="left"/>
      </w:pPr>
      <w:r>
        <w:rPr/>
        <w:t>年度股东大会决议和修改后章程的规定，公司申请增加注册资本人民币</w:t>
      </w:r>
      <w:r>
        <w:rPr>
          <w:spacing w:val="-53"/>
        </w:rPr>
        <w:t> </w:t>
      </w:r>
      <w:r>
        <w:rPr>
          <w:rFonts w:ascii="宋体" w:hAnsi="宋体" w:cs="宋体" w:eastAsia="宋体" w:hint="default"/>
        </w:rPr>
        <w:t>8,507.898</w:t>
      </w:r>
      <w:r>
        <w:rPr>
          <w:rFonts w:ascii="宋体" w:hAnsi="宋体" w:cs="宋体" w:eastAsia="宋体" w:hint="default"/>
          <w:spacing w:val="-54"/>
        </w:rPr>
        <w:t> </w:t>
      </w:r>
      <w:r>
        <w:rPr/>
        <w:t>万元，以</w:t>
      </w:r>
      <w:r>
        <w:rPr>
          <w:spacing w:val="-54"/>
        </w:rPr>
        <w:t> </w:t>
      </w:r>
      <w:r>
        <w:rPr>
          <w:rFonts w:ascii="宋体" w:hAnsi="宋体" w:cs="宋体" w:eastAsia="宋体" w:hint="default"/>
        </w:rPr>
        <w:t>2009</w:t>
      </w:r>
      <w:r>
        <w:rPr>
          <w:rFonts w:ascii="宋体" w:hAnsi="宋体" w:cs="宋体" w:eastAsia="宋体" w:hint="default"/>
          <w:spacing w:val="-54"/>
        </w:rPr>
        <w:t> </w:t>
      </w:r>
      <w:r>
        <w:rPr/>
        <w:t>年</w:t>
      </w:r>
    </w:p>
    <w:p>
      <w:pPr>
        <w:pStyle w:val="Heading3"/>
        <w:spacing w:line="240" w:lineRule="auto"/>
        <w:ind w:right="0"/>
        <w:jc w:val="left"/>
      </w:pP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日总股本</w:t>
      </w:r>
      <w:r>
        <w:rPr>
          <w:spacing w:val="-61"/>
        </w:rPr>
        <w:t> </w:t>
      </w:r>
      <w:r>
        <w:rPr>
          <w:rFonts w:ascii="宋体" w:hAnsi="宋体" w:cs="宋体" w:eastAsia="宋体" w:hint="default"/>
        </w:rPr>
        <w:t>121,541,400</w:t>
      </w:r>
      <w:r>
        <w:rPr>
          <w:rFonts w:ascii="宋体" w:hAnsi="宋体" w:cs="宋体" w:eastAsia="宋体" w:hint="default"/>
          <w:spacing w:val="-60"/>
        </w:rPr>
        <w:t> </w:t>
      </w:r>
      <w:r>
        <w:rPr/>
        <w:t>股为基数</w:t>
      </w:r>
      <w:r>
        <w:rPr>
          <w:spacing w:val="-92"/>
        </w:rPr>
        <w:t>，</w:t>
      </w:r>
      <w:r>
        <w:rPr/>
        <w:t>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股送</w:t>
      </w:r>
      <w:r>
        <w:rPr>
          <w:spacing w:val="-60"/>
        </w:rPr>
        <w:t> </w:t>
      </w:r>
      <w:r>
        <w:rPr>
          <w:rFonts w:ascii="宋体" w:hAnsi="宋体" w:cs="宋体" w:eastAsia="宋体" w:hint="default"/>
        </w:rPr>
        <w:t>2</w:t>
      </w:r>
      <w:r>
        <w:rPr>
          <w:rFonts w:ascii="宋体" w:hAnsi="宋体" w:cs="宋体" w:eastAsia="宋体" w:hint="default"/>
          <w:spacing w:val="-60"/>
        </w:rPr>
        <w:t> </w:t>
      </w:r>
      <w:r>
        <w:rPr/>
        <w:t>股</w:t>
      </w:r>
      <w:r>
        <w:rPr>
          <w:spacing w:val="-92"/>
        </w:rPr>
        <w:t>、</w:t>
      </w:r>
      <w:r>
        <w:rPr/>
        <w:t>派发现金红利</w:t>
      </w:r>
      <w:r>
        <w:rPr>
          <w:spacing w:val="-60"/>
        </w:rPr>
        <w:t> </w:t>
      </w:r>
      <w:r>
        <w:rPr>
          <w:rFonts w:ascii="宋体" w:hAnsi="宋体" w:cs="宋体" w:eastAsia="宋体" w:hint="default"/>
        </w:rPr>
        <w:t>0.23</w:t>
      </w:r>
      <w:r>
        <w:rPr>
          <w:rFonts w:ascii="宋体" w:hAnsi="宋体" w:cs="宋体" w:eastAsia="宋体" w:hint="default"/>
          <w:spacing w:val="-60"/>
        </w:rPr>
        <w:t> </w:t>
      </w:r>
      <w:r>
        <w:rPr>
          <w:spacing w:val="-92"/>
        </w:rPr>
        <w:t>元</w:t>
      </w:r>
      <w:r>
        <w:rPr/>
        <w:t>（含税</w:t>
      </w:r>
      <w:r>
        <w:rPr>
          <w:spacing w:val="-120"/>
        </w:rPr>
        <w:t>）</w:t>
      </w:r>
      <w:r>
        <w:rPr/>
        <w:t>，</w:t>
      </w:r>
    </w:p>
    <w:p>
      <w:pPr>
        <w:pStyle w:val="Heading3"/>
        <w:spacing w:line="357" w:lineRule="auto" w:before="151"/>
        <w:ind w:right="716"/>
        <w:jc w:val="both"/>
      </w:pPr>
      <w:r>
        <w:rPr/>
        <w:t>同时以资本公积转增股本，每</w:t>
      </w:r>
      <w:r>
        <w:rPr>
          <w:spacing w:val="-57"/>
        </w:rPr>
        <w:t> </w:t>
      </w:r>
      <w:r>
        <w:rPr>
          <w:rFonts w:ascii="宋体" w:hAnsi="宋体" w:cs="宋体" w:eastAsia="宋体" w:hint="default"/>
        </w:rPr>
        <w:t>10</w:t>
      </w:r>
      <w:r>
        <w:rPr>
          <w:rFonts w:ascii="宋体" w:hAnsi="宋体" w:cs="宋体" w:eastAsia="宋体" w:hint="default"/>
          <w:spacing w:val="-58"/>
        </w:rPr>
        <w:t> </w:t>
      </w:r>
      <w:r>
        <w:rPr/>
        <w:t>股转增</w:t>
      </w:r>
      <w:r>
        <w:rPr>
          <w:spacing w:val="-58"/>
        </w:rPr>
        <w:t> </w:t>
      </w:r>
      <w:r>
        <w:rPr>
          <w:rFonts w:ascii="宋体" w:hAnsi="宋体" w:cs="宋体" w:eastAsia="宋体" w:hint="default"/>
        </w:rPr>
        <w:t>5</w:t>
      </w:r>
      <w:r>
        <w:rPr>
          <w:rFonts w:ascii="宋体" w:hAnsi="宋体" w:cs="宋体" w:eastAsia="宋体" w:hint="default"/>
          <w:spacing w:val="-58"/>
        </w:rPr>
        <w:t> </w:t>
      </w:r>
      <w:r>
        <w:rPr/>
        <w:t>股，每股面值</w:t>
      </w:r>
      <w:r>
        <w:rPr>
          <w:spacing w:val="-57"/>
        </w:rPr>
        <w:t> </w:t>
      </w:r>
      <w:r>
        <w:rPr>
          <w:rFonts w:ascii="宋体" w:hAnsi="宋体" w:cs="宋体" w:eastAsia="宋体" w:hint="default"/>
        </w:rPr>
        <w:t>1</w:t>
      </w:r>
      <w:r>
        <w:rPr>
          <w:rFonts w:ascii="宋体" w:hAnsi="宋体" w:cs="宋体" w:eastAsia="宋体" w:hint="default"/>
          <w:spacing w:val="-58"/>
        </w:rPr>
        <w:t> </w:t>
      </w:r>
      <w:r>
        <w:rPr/>
        <w:t>元，增加股本总额为人民币</w:t>
      </w:r>
      <w:r>
        <w:rPr>
          <w:spacing w:val="-57"/>
        </w:rPr>
        <w:t> </w:t>
      </w:r>
      <w:r>
        <w:rPr>
          <w:rFonts w:ascii="宋体" w:hAnsi="宋体" w:cs="宋体" w:eastAsia="宋体" w:hint="default"/>
        </w:rPr>
        <w:t>8,507.898</w:t>
      </w:r>
      <w:r>
        <w:rPr>
          <w:rFonts w:ascii="宋体" w:hAnsi="宋体" w:cs="宋体" w:eastAsia="宋体" w:hint="default"/>
          <w:spacing w:val="-58"/>
        </w:rPr>
        <w:t> </w:t>
      </w:r>
      <w:r>
        <w:rPr/>
        <w:t>万 元，减少资本公积</w:t>
      </w:r>
      <w:r>
        <w:rPr>
          <w:spacing w:val="-48"/>
        </w:rPr>
        <w:t> </w:t>
      </w:r>
      <w:r>
        <w:rPr>
          <w:rFonts w:ascii="宋体" w:hAnsi="宋体" w:cs="宋体" w:eastAsia="宋体" w:hint="default"/>
        </w:rPr>
        <w:t>6,077.07</w:t>
      </w:r>
      <w:r>
        <w:rPr>
          <w:rFonts w:ascii="宋体" w:hAnsi="宋体" w:cs="宋体" w:eastAsia="宋体" w:hint="default"/>
          <w:spacing w:val="-48"/>
        </w:rPr>
        <w:t> </w:t>
      </w:r>
      <w:r>
        <w:rPr>
          <w:spacing w:val="-36"/>
        </w:rPr>
        <w:t>万元；○</w:t>
      </w:r>
      <w:r>
        <w:rPr>
          <w:rFonts w:ascii="宋体" w:hAnsi="宋体" w:cs="宋体" w:eastAsia="宋体" w:hint="default"/>
          <w:spacing w:val="-36"/>
        </w:rPr>
        <w:t>2</w:t>
      </w:r>
      <w:r>
        <w:rPr>
          <w:rFonts w:ascii="宋体" w:hAnsi="宋体" w:cs="宋体" w:eastAsia="宋体" w:hint="default"/>
          <w:spacing w:val="-60"/>
        </w:rPr>
        <w:t> </w:t>
      </w:r>
      <w:r>
        <w:rPr/>
        <w:t>本公司经中国证券监督管理委员会《关于核准吉林紫鑫药业股 </w:t>
      </w:r>
      <w:r>
        <w:rPr>
          <w:spacing w:val="-4"/>
        </w:rPr>
        <w:t>份有限公司非公开发行股票的批复》（证监许可</w:t>
      </w:r>
      <w:r>
        <w:rPr>
          <w:rFonts w:ascii="宋体" w:hAnsi="宋体" w:cs="宋体" w:eastAsia="宋体" w:hint="default"/>
          <w:spacing w:val="-4"/>
        </w:rPr>
        <w:t>[2010]1815</w:t>
      </w:r>
      <w:r>
        <w:rPr>
          <w:rFonts w:ascii="宋体" w:hAnsi="宋体" w:cs="宋体" w:eastAsia="宋体" w:hint="default"/>
        </w:rPr>
        <w:t> </w:t>
      </w:r>
      <w:r>
        <w:rPr>
          <w:spacing w:val="-10"/>
        </w:rPr>
        <w:t>号），核准公司非公开发行</w:t>
      </w:r>
      <w:r>
        <w:rPr/>
        <w:t> </w:t>
      </w:r>
      <w:r>
        <w:rPr>
          <w:rFonts w:ascii="宋体" w:hAnsi="宋体" w:cs="宋体" w:eastAsia="宋体" w:hint="default"/>
        </w:rPr>
        <w:t>A</w:t>
      </w:r>
      <w:r>
        <w:rPr>
          <w:rFonts w:ascii="宋体" w:hAnsi="宋体" w:cs="宋体" w:eastAsia="宋体" w:hint="default"/>
          <w:spacing w:val="-90"/>
        </w:rPr>
        <w:t> </w:t>
      </w:r>
      <w:r>
        <w:rPr/>
        <w:t>股股票不超 过 </w:t>
      </w:r>
      <w:r>
        <w:rPr>
          <w:rFonts w:ascii="宋体" w:hAnsi="宋体" w:cs="宋体" w:eastAsia="宋体" w:hint="default"/>
        </w:rPr>
        <w:t>9,000</w:t>
      </w:r>
      <w:r>
        <w:rPr>
          <w:rFonts w:ascii="宋体" w:hAnsi="宋体" w:cs="宋体" w:eastAsia="宋体" w:hint="default"/>
          <w:spacing w:val="-96"/>
        </w:rPr>
        <w:t> </w:t>
      </w:r>
      <w:r>
        <w:rPr>
          <w:spacing w:val="-3"/>
        </w:rPr>
        <w:t>万股，由保荐机构东北证券股份有限公司作为主承销商，通过非公开发行方式向特定投资者</w:t>
      </w:r>
    </w:p>
    <w:p>
      <w:pPr>
        <w:pStyle w:val="Heading3"/>
        <w:spacing w:line="240" w:lineRule="auto" w:before="36"/>
        <w:ind w:right="0"/>
        <w:jc w:val="left"/>
      </w:pPr>
      <w:r>
        <w:rPr>
          <w:spacing w:val="-3"/>
        </w:rPr>
        <w:t>发行。通过本次发行的认购询价、申购过程，公司最终确定本次发行数量为 </w:t>
      </w:r>
      <w:r>
        <w:rPr>
          <w:rFonts w:ascii="宋体" w:hAnsi="宋体" w:cs="宋体" w:eastAsia="宋体" w:hint="default"/>
        </w:rPr>
        <w:t>4987.5311</w:t>
      </w:r>
      <w:r>
        <w:rPr>
          <w:rFonts w:ascii="宋体" w:hAnsi="宋体" w:cs="宋体" w:eastAsia="宋体" w:hint="default"/>
          <w:spacing w:val="-89"/>
        </w:rPr>
        <w:t> </w:t>
      </w:r>
      <w:r>
        <w:rPr>
          <w:spacing w:val="-4"/>
        </w:rPr>
        <w:t>万股，每股面</w:t>
      </w:r>
    </w:p>
    <w:p>
      <w:pPr>
        <w:pStyle w:val="Heading3"/>
        <w:spacing w:line="240" w:lineRule="auto" w:before="151"/>
        <w:ind w:right="0"/>
        <w:jc w:val="left"/>
      </w:pPr>
      <w:r>
        <w:rPr/>
        <w:t>值为人民币</w:t>
      </w:r>
      <w:r>
        <w:rPr>
          <w:spacing w:val="-59"/>
        </w:rPr>
        <w:t> </w:t>
      </w:r>
      <w:r>
        <w:rPr>
          <w:rFonts w:ascii="宋体" w:hAnsi="宋体" w:cs="宋体" w:eastAsia="宋体" w:hint="default"/>
        </w:rPr>
        <w:t>1.00</w:t>
      </w:r>
      <w:r>
        <w:rPr>
          <w:rFonts w:ascii="宋体" w:hAnsi="宋体" w:cs="宋体" w:eastAsia="宋体" w:hint="default"/>
          <w:spacing w:val="-60"/>
        </w:rPr>
        <w:t> </w:t>
      </w:r>
      <w:r>
        <w:rPr>
          <w:spacing w:val="-4"/>
        </w:rPr>
        <w:t>元、每股发行价格为人民币</w:t>
      </w:r>
      <w:r>
        <w:rPr>
          <w:spacing w:val="-59"/>
        </w:rPr>
        <w:t> </w:t>
      </w:r>
      <w:r>
        <w:rPr>
          <w:rFonts w:ascii="宋体" w:hAnsi="宋体" w:cs="宋体" w:eastAsia="宋体" w:hint="default"/>
        </w:rPr>
        <w:t>20.05</w:t>
      </w:r>
      <w:r>
        <w:rPr>
          <w:rFonts w:ascii="宋体" w:hAnsi="宋体" w:cs="宋体" w:eastAsia="宋体" w:hint="default"/>
          <w:spacing w:val="-59"/>
        </w:rPr>
        <w:t> </w:t>
      </w:r>
      <w:r>
        <w:rPr>
          <w:spacing w:val="-5"/>
        </w:rPr>
        <w:t>元，增加注册资本人民币</w:t>
      </w:r>
      <w:r>
        <w:rPr>
          <w:spacing w:val="-59"/>
        </w:rPr>
        <w:t> </w:t>
      </w:r>
      <w:r>
        <w:rPr>
          <w:rFonts w:ascii="宋体" w:hAnsi="宋体" w:cs="宋体" w:eastAsia="宋体" w:hint="default"/>
        </w:rPr>
        <w:t>4987.5311</w:t>
      </w:r>
      <w:r>
        <w:rPr>
          <w:rFonts w:ascii="宋体" w:hAnsi="宋体" w:cs="宋体" w:eastAsia="宋体" w:hint="default"/>
          <w:spacing w:val="-59"/>
        </w:rPr>
        <w:t> </w:t>
      </w:r>
      <w:r>
        <w:rPr/>
        <w:t>万股</w:t>
      </w:r>
      <w:r>
        <w:rPr>
          <w:rFonts w:ascii="宋体" w:hAnsi="宋体" w:cs="宋体" w:eastAsia="宋体" w:hint="default"/>
        </w:rPr>
        <w:t>,</w:t>
      </w:r>
      <w:r>
        <w:rPr/>
        <w:t>增加资</w:t>
      </w:r>
    </w:p>
    <w:p>
      <w:pPr>
        <w:pStyle w:val="Heading3"/>
        <w:spacing w:line="240" w:lineRule="auto"/>
        <w:ind w:right="0"/>
        <w:jc w:val="left"/>
      </w:pPr>
      <w:r>
        <w:rPr/>
        <w:t>本公积</w:t>
      </w:r>
      <w:r>
        <w:rPr>
          <w:spacing w:val="-24"/>
        </w:rPr>
        <w:t> </w:t>
      </w:r>
      <w:r>
        <w:rPr>
          <w:rFonts w:ascii="宋体" w:hAnsi="宋体" w:cs="宋体" w:eastAsia="宋体" w:hint="default"/>
        </w:rPr>
        <w:t>93,657.48</w:t>
      </w:r>
      <w:r>
        <w:rPr>
          <w:rFonts w:ascii="宋体" w:hAnsi="宋体" w:cs="宋体" w:eastAsia="宋体" w:hint="default"/>
          <w:spacing w:val="-25"/>
        </w:rPr>
        <w:t> </w:t>
      </w:r>
      <w:r>
        <w:rPr/>
        <w:t>万元；</w:t>
      </w:r>
      <w:r>
        <w:rPr>
          <w:spacing w:val="-180"/>
        </w:rPr>
        <w:t>○</w:t>
      </w:r>
      <w:r>
        <w:rPr>
          <w:rFonts w:ascii="宋体" w:hAnsi="宋体" w:cs="宋体" w:eastAsia="宋体" w:hint="default"/>
        </w:rPr>
        <w:t>3</w:t>
      </w:r>
      <w:r>
        <w:rPr>
          <w:rFonts w:ascii="宋体" w:hAnsi="宋体" w:cs="宋体" w:eastAsia="宋体" w:hint="default"/>
          <w:spacing w:val="-60"/>
        </w:rPr>
        <w:t> </w:t>
      </w:r>
      <w:r>
        <w:rPr/>
        <w:t>吉林草还丹药业有限公司“年产</w:t>
      </w:r>
      <w:r>
        <w:rPr>
          <w:spacing w:val="-23"/>
        </w:rPr>
        <w:t> </w:t>
      </w:r>
      <w:r>
        <w:rPr>
          <w:rFonts w:ascii="宋体" w:hAnsi="宋体" w:cs="宋体" w:eastAsia="宋体" w:hint="default"/>
        </w:rPr>
        <w:t>2</w:t>
      </w:r>
      <w:r>
        <w:rPr>
          <w:rFonts w:ascii="宋体" w:hAnsi="宋体" w:cs="宋体" w:eastAsia="宋体" w:hint="default"/>
          <w:spacing w:val="-24"/>
        </w:rPr>
        <w:t> </w:t>
      </w:r>
      <w:r>
        <w:rPr/>
        <w:t>亿粒藿香祛暑软胶囊”项目政府补助</w:t>
      </w:r>
    </w:p>
    <w:p>
      <w:pPr>
        <w:pStyle w:val="Heading3"/>
        <w:spacing w:line="357" w:lineRule="auto" w:before="152"/>
        <w:ind w:right="698"/>
        <w:jc w:val="left"/>
      </w:pPr>
      <w:r>
        <w:rPr>
          <w:rFonts w:ascii="宋体" w:hAnsi="宋体" w:cs="宋体" w:eastAsia="宋体" w:hint="default"/>
        </w:rPr>
        <w:t>506</w:t>
      </w:r>
      <w:r>
        <w:rPr>
          <w:rFonts w:ascii="宋体" w:hAnsi="宋体" w:cs="宋体" w:eastAsia="宋体" w:hint="default"/>
          <w:spacing w:val="-71"/>
        </w:rPr>
        <w:t> </w:t>
      </w:r>
      <w:r>
        <w:rPr/>
        <w:t>万元本期经吉林省发改委验收通过，根据文件规定项目验收合格后扣除递延所得税负债</w:t>
      </w:r>
      <w:r>
        <w:rPr>
          <w:spacing w:val="-70"/>
        </w:rPr>
        <w:t> </w:t>
      </w:r>
      <w:r>
        <w:rPr>
          <w:rFonts w:ascii="宋体" w:hAnsi="宋体" w:cs="宋体" w:eastAsia="宋体" w:hint="default"/>
        </w:rPr>
        <w:t>72.53</w:t>
      </w:r>
      <w:r>
        <w:rPr>
          <w:rFonts w:ascii="宋体" w:hAnsi="宋体" w:cs="宋体" w:eastAsia="宋体" w:hint="default"/>
          <w:spacing w:val="-71"/>
        </w:rPr>
        <w:t> </w:t>
      </w:r>
      <w:r>
        <w:rPr/>
        <w:t>万 元后转为其他资本公积；</w:t>
      </w:r>
    </w:p>
    <w:p>
      <w:pPr>
        <w:pStyle w:val="Heading3"/>
        <w:spacing w:line="357" w:lineRule="auto" w:before="34"/>
        <w:ind w:right="719" w:firstLine="480"/>
        <w:jc w:val="both"/>
      </w:pPr>
      <w:r>
        <w:rPr/>
        <w:t>（</w:t>
      </w:r>
      <w:r>
        <w:rPr>
          <w:rFonts w:ascii="宋体" w:hAnsi="宋体" w:cs="宋体" w:eastAsia="宋体" w:hint="default"/>
        </w:rPr>
        <w:t>11</w:t>
      </w:r>
      <w:r>
        <w:rPr/>
        <w:t>）主营业务收入本期较上期增加</w:t>
      </w:r>
      <w:r>
        <w:rPr>
          <w:spacing w:val="-67"/>
        </w:rPr>
        <w:t> </w:t>
      </w:r>
      <w:r>
        <w:rPr>
          <w:rFonts w:ascii="宋体" w:hAnsi="宋体" w:cs="宋体" w:eastAsia="宋体" w:hint="default"/>
        </w:rPr>
        <w:t>38,612.98</w:t>
      </w:r>
      <w:r>
        <w:rPr>
          <w:rFonts w:ascii="宋体" w:hAnsi="宋体" w:cs="宋体" w:eastAsia="宋体" w:hint="default"/>
          <w:spacing w:val="-67"/>
        </w:rPr>
        <w:t> </w:t>
      </w:r>
      <w:r>
        <w:rPr>
          <w:spacing w:val="-3"/>
        </w:rPr>
        <w:t>万元，增加</w:t>
      </w:r>
      <w:r>
        <w:rPr>
          <w:spacing w:val="-67"/>
        </w:rPr>
        <w:t> </w:t>
      </w:r>
      <w:r>
        <w:rPr>
          <w:rFonts w:ascii="宋体" w:hAnsi="宋体" w:cs="宋体" w:eastAsia="宋体" w:hint="default"/>
        </w:rPr>
        <w:t>150.66%</w:t>
      </w:r>
      <w:r>
        <w:rPr/>
        <w:t>，主要原因是公司本期新增 加的人参系列产品销售收入所致；</w:t>
      </w:r>
    </w:p>
    <w:p>
      <w:pPr>
        <w:pStyle w:val="Heading3"/>
        <w:spacing w:line="357" w:lineRule="auto" w:before="34"/>
        <w:ind w:right="716" w:firstLine="480"/>
        <w:jc w:val="both"/>
      </w:pPr>
      <w:r>
        <w:rPr/>
        <w:t>（</w:t>
      </w:r>
      <w:r>
        <w:rPr>
          <w:rFonts w:ascii="宋体" w:hAnsi="宋体" w:cs="宋体" w:eastAsia="宋体" w:hint="default"/>
        </w:rPr>
        <w:t>12</w:t>
      </w:r>
      <w:r>
        <w:rPr/>
        <w:t>）管理费用本期较上期增加</w:t>
      </w:r>
      <w:r>
        <w:rPr>
          <w:spacing w:val="-67"/>
        </w:rPr>
        <w:t> </w:t>
      </w:r>
      <w:r>
        <w:rPr>
          <w:rFonts w:ascii="宋体" w:hAnsi="宋体" w:cs="宋体" w:eastAsia="宋体" w:hint="default"/>
        </w:rPr>
        <w:t>1,708.08</w:t>
      </w:r>
      <w:r>
        <w:rPr>
          <w:rFonts w:ascii="宋体" w:hAnsi="宋体" w:cs="宋体" w:eastAsia="宋体" w:hint="default"/>
          <w:spacing w:val="-67"/>
        </w:rPr>
        <w:t> </w:t>
      </w:r>
      <w:r>
        <w:rPr>
          <w:spacing w:val="-3"/>
        </w:rPr>
        <w:t>万元，增加</w:t>
      </w:r>
      <w:r>
        <w:rPr>
          <w:spacing w:val="-67"/>
        </w:rPr>
        <w:t> </w:t>
      </w:r>
      <w:r>
        <w:rPr>
          <w:rFonts w:ascii="宋体" w:hAnsi="宋体" w:cs="宋体" w:eastAsia="宋体" w:hint="default"/>
        </w:rPr>
        <w:t>66.47%</w:t>
      </w:r>
      <w:r>
        <w:rPr/>
        <w:t>，主要原因是随着本公司业务规模 </w:t>
      </w:r>
      <w:r>
        <w:rPr>
          <w:spacing w:val="-3"/>
        </w:rPr>
        <w:t>的扩大，与之相关的各项管理费用如人员工资、差旅费、办公费、业务招待费、折旧费、无形资产摊</w:t>
      </w:r>
      <w:r>
        <w:rPr>
          <w:spacing w:val="-84"/>
        </w:rPr>
        <w:t> </w:t>
      </w:r>
      <w:r>
        <w:rPr>
          <w:spacing w:val="-84"/>
        </w:rPr>
      </w:r>
      <w:r>
        <w:rPr/>
        <w:t>销等较上年同期增长较大所致；</w:t>
      </w:r>
    </w:p>
    <w:p>
      <w:pPr>
        <w:pStyle w:val="Heading3"/>
        <w:spacing w:line="355" w:lineRule="auto" w:before="36"/>
        <w:ind w:right="716" w:firstLine="480"/>
        <w:jc w:val="both"/>
      </w:pPr>
      <w:r>
        <w:rPr/>
        <w:t>（</w:t>
      </w:r>
      <w:r>
        <w:rPr>
          <w:rFonts w:ascii="宋体" w:hAnsi="宋体" w:cs="宋体" w:eastAsia="宋体" w:hint="default"/>
        </w:rPr>
        <w:t>13</w:t>
      </w:r>
      <w:r>
        <w:rPr/>
        <w:t>）财务费用本期较上期增加</w:t>
      </w:r>
      <w:r>
        <w:rPr>
          <w:spacing w:val="-31"/>
        </w:rPr>
        <w:t> </w:t>
      </w:r>
      <w:r>
        <w:rPr>
          <w:rFonts w:ascii="宋体" w:hAnsi="宋体" w:cs="宋体" w:eastAsia="宋体" w:hint="default"/>
        </w:rPr>
        <w:t>1,684.57</w:t>
      </w:r>
      <w:r>
        <w:rPr>
          <w:rFonts w:ascii="宋体" w:hAnsi="宋体" w:cs="宋体" w:eastAsia="宋体" w:hint="default"/>
          <w:spacing w:val="-32"/>
        </w:rPr>
        <w:t> </w:t>
      </w:r>
      <w:r>
        <w:rPr/>
        <w:t>万元，增加</w:t>
      </w:r>
      <w:r>
        <w:rPr>
          <w:spacing w:val="-31"/>
        </w:rPr>
        <w:t> </w:t>
      </w:r>
      <w:r>
        <w:rPr>
          <w:rFonts w:ascii="宋体" w:hAnsi="宋体" w:cs="宋体" w:eastAsia="宋体" w:hint="default"/>
        </w:rPr>
        <w:t>186.26%</w:t>
      </w:r>
      <w:r>
        <w:rPr/>
        <w:t>，主要原因是本公司本期新增短 期借款</w:t>
      </w:r>
      <w:r>
        <w:rPr>
          <w:spacing w:val="-60"/>
        </w:rPr>
        <w:t> </w:t>
      </w:r>
      <w:r>
        <w:rPr>
          <w:rFonts w:ascii="宋体" w:hAnsi="宋体" w:cs="宋体" w:eastAsia="宋体" w:hint="default"/>
        </w:rPr>
        <w:t>7.32</w:t>
      </w:r>
      <w:r>
        <w:rPr>
          <w:rFonts w:ascii="宋体" w:hAnsi="宋体" w:cs="宋体" w:eastAsia="宋体" w:hint="default"/>
          <w:spacing w:val="-61"/>
        </w:rPr>
        <w:t> </w:t>
      </w:r>
      <w:r>
        <w:rPr/>
        <w:t>亿元致使利息支出较上年同期增长较大所致；</w:t>
      </w:r>
    </w:p>
    <w:p>
      <w:pPr>
        <w:pStyle w:val="Heading3"/>
        <w:spacing w:line="357" w:lineRule="auto" w:before="38"/>
        <w:ind w:right="713" w:firstLine="480"/>
        <w:jc w:val="both"/>
      </w:pPr>
      <w:r>
        <w:rPr>
          <w:spacing w:val="-1"/>
        </w:rPr>
        <w:t>（</w:t>
      </w:r>
      <w:r>
        <w:rPr>
          <w:rFonts w:ascii="宋体" w:hAnsi="宋体" w:cs="宋体" w:eastAsia="宋体" w:hint="default"/>
          <w:spacing w:val="-1"/>
        </w:rPr>
        <w:t>14</w:t>
      </w:r>
      <w:r>
        <w:rPr>
          <w:spacing w:val="-1"/>
        </w:rPr>
        <w:t>）所得税本期较上期减少</w:t>
      </w:r>
      <w:r>
        <w:rPr>
          <w:spacing w:val="-56"/>
        </w:rPr>
        <w:t> </w:t>
      </w:r>
      <w:r>
        <w:rPr>
          <w:rFonts w:ascii="宋体" w:hAnsi="宋体" w:cs="宋体" w:eastAsia="宋体" w:hint="default"/>
        </w:rPr>
        <w:t>738.82</w:t>
      </w:r>
      <w:r>
        <w:rPr>
          <w:rFonts w:ascii="宋体" w:hAnsi="宋体" w:cs="宋体" w:eastAsia="宋体" w:hint="default"/>
          <w:spacing w:val="-56"/>
        </w:rPr>
        <w:t> </w:t>
      </w:r>
      <w:r>
        <w:rPr>
          <w:spacing w:val="-2"/>
        </w:rPr>
        <w:t>万元，减少</w:t>
      </w:r>
      <w:r>
        <w:rPr>
          <w:spacing w:val="-56"/>
        </w:rPr>
        <w:t> </w:t>
      </w:r>
      <w:r>
        <w:rPr>
          <w:rFonts w:ascii="宋体" w:hAnsi="宋体" w:cs="宋体" w:eastAsia="宋体" w:hint="default"/>
          <w:spacing w:val="-14"/>
        </w:rPr>
        <w:t>82.96%</w:t>
      </w:r>
      <w:r>
        <w:rPr>
          <w:spacing w:val="-14"/>
        </w:rPr>
        <w:t>，主要原因是：○</w:t>
      </w:r>
      <w:r>
        <w:rPr>
          <w:rFonts w:ascii="宋体" w:hAnsi="宋体" w:cs="宋体" w:eastAsia="宋体" w:hint="default"/>
          <w:spacing w:val="-14"/>
        </w:rPr>
        <w:t>1</w:t>
      </w:r>
      <w:r>
        <w:rPr>
          <w:rFonts w:ascii="宋体" w:hAnsi="宋体" w:cs="宋体" w:eastAsia="宋体" w:hint="default"/>
          <w:spacing w:val="-56"/>
        </w:rPr>
        <w:t> </w:t>
      </w:r>
      <w:r>
        <w:rPr/>
        <w:t>公司本期收到主管税 务机关对“技术改造国产设备投资抵免企业所得税”的批复，抵免本期所得税额</w:t>
      </w:r>
      <w:r>
        <w:rPr>
          <w:spacing w:val="-46"/>
        </w:rPr>
        <w:t> </w:t>
      </w:r>
      <w:r>
        <w:rPr>
          <w:rFonts w:ascii="宋体" w:hAnsi="宋体" w:cs="宋体" w:eastAsia="宋体" w:hint="default"/>
        </w:rPr>
        <w:t>551.71</w:t>
      </w:r>
      <w:r>
        <w:rPr>
          <w:rFonts w:ascii="宋体" w:hAnsi="宋体" w:cs="宋体" w:eastAsia="宋体" w:hint="default"/>
          <w:spacing w:val="-47"/>
        </w:rPr>
        <w:t> </w:t>
      </w:r>
      <w:r>
        <w:rPr>
          <w:spacing w:val="-36"/>
        </w:rPr>
        <w:t>万元。○</w:t>
      </w:r>
      <w:r>
        <w:rPr>
          <w:rFonts w:ascii="宋体" w:hAnsi="宋体" w:cs="宋体" w:eastAsia="宋体" w:hint="default"/>
          <w:spacing w:val="-36"/>
        </w:rPr>
        <w:t>2</w:t>
      </w:r>
      <w:r>
        <w:rPr>
          <w:rFonts w:ascii="宋体" w:hAnsi="宋体" w:cs="宋体" w:eastAsia="宋体" w:hint="default"/>
          <w:spacing w:val="-60"/>
        </w:rPr>
        <w:t> </w:t>
      </w:r>
      <w:r>
        <w:rPr/>
        <w:t>本 公司人参加工符合农产品初加工范畴，根据国家有关规定免交企业所得税。</w:t>
      </w:r>
    </w:p>
    <w:p>
      <w:pPr>
        <w:pStyle w:val="Heading2"/>
        <w:spacing w:line="240" w:lineRule="auto" w:before="36"/>
        <w:ind w:left="622" w:right="0"/>
        <w:jc w:val="left"/>
        <w:rPr>
          <w:b w:val="0"/>
          <w:bCs w:val="0"/>
        </w:rPr>
      </w:pPr>
      <w:r>
        <w:rPr>
          <w:rFonts w:ascii="宋体" w:hAnsi="宋体" w:cs="宋体" w:eastAsia="宋体" w:hint="default"/>
        </w:rPr>
        <w:t>5</w:t>
      </w:r>
      <w:r>
        <w:rPr/>
        <w:t>、报告期内没有对利润产生重大影响的其他经营业务活动。</w:t>
      </w:r>
      <w:r>
        <w:rPr>
          <w:b w:val="0"/>
          <w:bCs w:val="0"/>
        </w:rPr>
      </w:r>
    </w:p>
    <w:p>
      <w:pPr>
        <w:pStyle w:val="Heading2"/>
        <w:spacing w:line="240" w:lineRule="auto" w:before="151"/>
        <w:ind w:left="622" w:right="0"/>
        <w:jc w:val="left"/>
        <w:rPr>
          <w:b w:val="0"/>
          <w:bCs w:val="0"/>
        </w:rPr>
      </w:pPr>
      <w:r>
        <w:rPr>
          <w:rFonts w:ascii="宋体" w:hAnsi="宋体" w:cs="宋体" w:eastAsia="宋体" w:hint="default"/>
        </w:rPr>
        <w:t>6</w:t>
      </w:r>
      <w:r>
        <w:rPr/>
        <w:t>、公司主要控股公司及对外投资的经营情况及业绩说明</w:t>
      </w:r>
      <w:r>
        <w:rPr>
          <w:b w:val="0"/>
          <w:bCs w:val="0"/>
        </w:rPr>
      </w:r>
    </w:p>
    <w:p>
      <w:pPr>
        <w:pStyle w:val="Heading3"/>
        <w:spacing w:line="240" w:lineRule="auto"/>
        <w:ind w:left="620" w:right="0"/>
        <w:jc w:val="left"/>
      </w:pPr>
      <w:r>
        <w:rPr/>
        <w:t>（</w:t>
      </w:r>
      <w:r>
        <w:rPr>
          <w:rFonts w:ascii="宋体" w:hAnsi="宋体" w:cs="宋体" w:eastAsia="宋体" w:hint="default"/>
        </w:rPr>
        <w:t>1</w:t>
      </w:r>
      <w:r>
        <w:rPr/>
        <w:t>）吉林紫鑫敦化医药药材有限公司</w:t>
      </w:r>
    </w:p>
    <w:p>
      <w:pPr>
        <w:spacing w:after="0" w:line="240" w:lineRule="auto"/>
        <w:jc w:val="left"/>
        <w:sectPr>
          <w:pgSz w:w="11910" w:h="16840"/>
          <w:pgMar w:header="720" w:footer="956" w:top="1300" w:bottom="1140" w:left="580" w:right="0"/>
        </w:sectPr>
      </w:pPr>
    </w:p>
    <w:p>
      <w:pPr>
        <w:pStyle w:val="Heading3"/>
        <w:spacing w:line="357" w:lineRule="auto" w:before="13"/>
        <w:ind w:right="718" w:firstLine="480"/>
        <w:jc w:val="both"/>
      </w:pPr>
      <w:r>
        <w:rPr/>
        <w:pict>
          <v:group style="position:absolute;margin-left:34.560001pt;margin-top:2.305654pt;width:508.3pt;height:.1pt;mso-position-horizontal-relative:page;mso-position-vertical-relative:paragraph;z-index:-534400" coordorigin="691,46" coordsize="10166,2">
            <v:shape style="position:absolute;left:691;top:46;width:10166;height:2" coordorigin="691,46" coordsize="10166,0" path="m691,46l10857,46e" filled="false" stroked="true" strokeweight=".72pt" strokecolor="#000000">
              <v:path arrowok="t"/>
            </v:shape>
            <w10:wrap type="none"/>
          </v:group>
        </w:pict>
      </w:r>
      <w:r>
        <w:rPr>
          <w:spacing w:val="-5"/>
        </w:rPr>
        <w:t>该公司成立于</w:t>
      </w:r>
      <w:r>
        <w:rPr>
          <w:rFonts w:ascii="宋体" w:hAnsi="宋体" w:cs="宋体" w:eastAsia="宋体" w:hint="default"/>
          <w:spacing w:val="-5"/>
        </w:rPr>
        <w:t>2001</w:t>
      </w:r>
      <w:r>
        <w:rPr>
          <w:spacing w:val="-5"/>
        </w:rPr>
        <w:t>年</w:t>
      </w:r>
      <w:r>
        <w:rPr>
          <w:rFonts w:ascii="宋体" w:hAnsi="宋体" w:cs="宋体" w:eastAsia="宋体" w:hint="default"/>
          <w:spacing w:val="-5"/>
        </w:rPr>
        <w:t>8</w:t>
      </w:r>
      <w:r>
        <w:rPr>
          <w:spacing w:val="-5"/>
        </w:rPr>
        <w:t>月</w:t>
      </w:r>
      <w:r>
        <w:rPr>
          <w:rFonts w:ascii="宋体" w:hAnsi="宋体" w:cs="宋体" w:eastAsia="宋体" w:hint="default"/>
          <w:spacing w:val="-5"/>
        </w:rPr>
        <w:t>6</w:t>
      </w:r>
      <w:r>
        <w:rPr>
          <w:spacing w:val="-5"/>
        </w:rPr>
        <w:t>日，住所：吉林省敦化经济开发区，法人代表：聂春梅，注册资本：</w:t>
      </w:r>
      <w:r>
        <w:rPr>
          <w:rFonts w:ascii="宋体" w:hAnsi="宋体" w:cs="宋体" w:eastAsia="宋体" w:hint="default"/>
          <w:spacing w:val="-5"/>
        </w:rPr>
        <w:t>100</w:t>
      </w:r>
      <w:r>
        <w:rPr>
          <w:rFonts w:ascii="宋体" w:hAnsi="宋体" w:cs="宋体" w:eastAsia="宋体" w:hint="default"/>
        </w:rPr>
        <w:t> </w:t>
      </w:r>
      <w:r>
        <w:rPr>
          <w:spacing w:val="-3"/>
        </w:rPr>
        <w:t>万元，经营范围为：中药材、中成药、中药饮片、化学药制剂、抗生素、生化药品批发、零售。公司</w:t>
      </w:r>
      <w:r>
        <w:rPr>
          <w:spacing w:val="-90"/>
        </w:rPr>
        <w:t> </w:t>
      </w:r>
      <w:r>
        <w:rPr>
          <w:spacing w:val="-90"/>
        </w:rPr>
      </w:r>
      <w:r>
        <w:rPr>
          <w:spacing w:val="-15"/>
        </w:rPr>
        <w:t>股东：紫鑫药业（持股</w:t>
      </w:r>
      <w:r>
        <w:rPr>
          <w:rFonts w:ascii="宋体" w:hAnsi="宋体" w:cs="宋体" w:eastAsia="宋体" w:hint="default"/>
          <w:spacing w:val="-15"/>
        </w:rPr>
        <w:t>99%</w:t>
      </w:r>
      <w:r>
        <w:rPr>
          <w:spacing w:val="-15"/>
        </w:rPr>
        <w:t>）、聂春梅（持股</w:t>
      </w:r>
      <w:r>
        <w:rPr>
          <w:rFonts w:ascii="宋体" w:hAnsi="宋体" w:cs="宋体" w:eastAsia="宋体" w:hint="default"/>
          <w:spacing w:val="-15"/>
        </w:rPr>
        <w:t>1%</w:t>
      </w:r>
      <w:r>
        <w:rPr>
          <w:spacing w:val="-15"/>
        </w:rPr>
        <w:t>）。</w:t>
      </w:r>
      <w:r>
        <w:rPr/>
      </w:r>
    </w:p>
    <w:p>
      <w:pPr>
        <w:pStyle w:val="Heading3"/>
        <w:spacing w:line="240" w:lineRule="auto" w:before="34"/>
        <w:ind w:left="620" w:right="0"/>
        <w:jc w:val="left"/>
      </w:pPr>
      <w:r>
        <w:rPr>
          <w:rFonts w:ascii="宋体" w:hAnsi="宋体" w:cs="宋体" w:eastAsia="宋体" w:hint="default"/>
        </w:rPr>
        <w:t>2010</w:t>
      </w:r>
      <w:r>
        <w:rPr>
          <w:rFonts w:ascii="宋体" w:hAnsi="宋体" w:cs="宋体" w:eastAsia="宋体" w:hint="default"/>
          <w:spacing w:val="-60"/>
        </w:rPr>
        <w:t> </w:t>
      </w:r>
      <w:r>
        <w:rPr/>
        <w:t>年公司实现营业收入</w:t>
      </w:r>
      <w:r>
        <w:rPr>
          <w:spacing w:val="-60"/>
        </w:rPr>
        <w:t> </w:t>
      </w:r>
      <w:r>
        <w:rPr>
          <w:rFonts w:ascii="宋体" w:hAnsi="宋体" w:cs="宋体" w:eastAsia="宋体" w:hint="default"/>
        </w:rPr>
        <w:t>55,972,023.52</w:t>
      </w:r>
      <w:r>
        <w:rPr>
          <w:rFonts w:ascii="宋体" w:hAnsi="宋体" w:cs="宋体" w:eastAsia="宋体" w:hint="default"/>
          <w:spacing w:val="-60"/>
        </w:rPr>
        <w:t> </w:t>
      </w:r>
      <w:r>
        <w:rPr>
          <w:spacing w:val="-3"/>
        </w:rPr>
        <w:t>元，净利润</w:t>
      </w:r>
      <w:r>
        <w:rPr>
          <w:rFonts w:ascii="宋体" w:hAnsi="宋体" w:cs="宋体" w:eastAsia="宋体" w:hint="default"/>
          <w:spacing w:val="-3"/>
        </w:rPr>
        <w:t>-805,410.45</w:t>
      </w:r>
      <w:r>
        <w:rPr>
          <w:rFonts w:ascii="宋体" w:hAnsi="宋体" w:cs="宋体" w:eastAsia="宋体" w:hint="default"/>
          <w:spacing w:val="-60"/>
        </w:rPr>
        <w:t> </w:t>
      </w:r>
      <w:r>
        <w:rPr>
          <w:spacing w:val="-12"/>
        </w:rPr>
        <w:t>元。截止</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pStyle w:val="Heading3"/>
        <w:spacing w:line="240" w:lineRule="auto"/>
        <w:ind w:right="0"/>
        <w:jc w:val="both"/>
      </w:pPr>
      <w:r>
        <w:rPr/>
        <w:t>公司净资产总额为</w:t>
      </w:r>
      <w:r>
        <w:rPr>
          <w:spacing w:val="-60"/>
        </w:rPr>
        <w:t> </w:t>
      </w:r>
      <w:r>
        <w:rPr>
          <w:rFonts w:ascii="宋体" w:hAnsi="宋体" w:cs="宋体" w:eastAsia="宋体" w:hint="default"/>
        </w:rPr>
        <w:t>1,469,229.03</w:t>
      </w:r>
      <w:r>
        <w:rPr>
          <w:rFonts w:ascii="宋体" w:hAnsi="宋体" w:cs="宋体" w:eastAsia="宋体" w:hint="default"/>
          <w:spacing w:val="-60"/>
        </w:rPr>
        <w:t> </w:t>
      </w:r>
      <w:r>
        <w:rPr/>
        <w:t>元。</w:t>
      </w:r>
    </w:p>
    <w:p>
      <w:pPr>
        <w:pStyle w:val="Heading3"/>
        <w:spacing w:line="357" w:lineRule="auto" w:before="151"/>
        <w:ind w:left="620" w:right="726"/>
        <w:jc w:val="left"/>
      </w:pPr>
      <w:r>
        <w:rPr/>
        <w:t>（</w:t>
      </w:r>
      <w:r>
        <w:rPr>
          <w:rFonts w:ascii="宋体" w:hAnsi="宋体" w:cs="宋体" w:eastAsia="宋体" w:hint="default"/>
        </w:rPr>
        <w:t>2</w:t>
      </w:r>
      <w:r>
        <w:rPr/>
        <w:t>）吉林紫鑫红石种养殖有限公司 公司成立于</w:t>
      </w:r>
      <w:r>
        <w:rPr>
          <w:rFonts w:ascii="宋体" w:hAnsi="宋体" w:cs="宋体" w:eastAsia="宋体" w:hint="default"/>
        </w:rPr>
        <w:t>2008</w:t>
      </w:r>
      <w:r>
        <w:rPr/>
        <w:t>年</w:t>
      </w:r>
      <w:r>
        <w:rPr>
          <w:rFonts w:ascii="宋体" w:hAnsi="宋体" w:cs="宋体" w:eastAsia="宋体" w:hint="default"/>
        </w:rPr>
        <w:t>7</w:t>
      </w:r>
      <w:r>
        <w:rPr/>
        <w:t>月</w:t>
      </w:r>
      <w:r>
        <w:rPr>
          <w:rFonts w:ascii="宋体" w:hAnsi="宋体" w:cs="宋体" w:eastAsia="宋体" w:hint="default"/>
        </w:rPr>
        <w:t>25</w:t>
      </w:r>
      <w:r>
        <w:rPr/>
        <w:t>日，为本公司全资子公司。住所：柳河县红石镇，法人代表：刘宝武，</w:t>
      </w:r>
    </w:p>
    <w:p>
      <w:pPr>
        <w:pStyle w:val="Heading3"/>
        <w:spacing w:line="357" w:lineRule="auto" w:before="34"/>
        <w:ind w:right="0"/>
        <w:jc w:val="left"/>
      </w:pPr>
      <w:r>
        <w:rPr>
          <w:spacing w:val="-5"/>
        </w:rPr>
        <w:t>注册资本：</w:t>
      </w:r>
      <w:r>
        <w:rPr>
          <w:rFonts w:ascii="宋体" w:hAnsi="宋体" w:cs="宋体" w:eastAsia="宋体" w:hint="default"/>
          <w:spacing w:val="-5"/>
        </w:rPr>
        <w:t>1000</w:t>
      </w:r>
      <w:r>
        <w:rPr>
          <w:spacing w:val="-5"/>
        </w:rPr>
        <w:t>万元，经营范围为：中药材种植销售、动物养殖、农副产品收购（以上项目国家法律、</w:t>
      </w:r>
      <w:r>
        <w:rPr>
          <w:spacing w:val="-102"/>
        </w:rPr>
        <w:t> </w:t>
      </w:r>
      <w:r>
        <w:rPr>
          <w:spacing w:val="-102"/>
        </w:rPr>
      </w:r>
      <w:r>
        <w:rPr>
          <w:spacing w:val="-11"/>
        </w:rPr>
        <w:t>法规需前置审批的凭许可证经营）。公司股东：紫鑫药业（持股</w:t>
      </w:r>
      <w:r>
        <w:rPr>
          <w:rFonts w:ascii="宋体" w:hAnsi="宋体" w:cs="宋体" w:eastAsia="宋体" w:hint="default"/>
          <w:spacing w:val="-11"/>
        </w:rPr>
        <w:t>100%</w:t>
      </w:r>
      <w:r>
        <w:rPr>
          <w:spacing w:val="-11"/>
        </w:rPr>
        <w:t>）。</w:t>
      </w:r>
      <w:r>
        <w:rPr/>
      </w:r>
    </w:p>
    <w:p>
      <w:pPr>
        <w:pStyle w:val="Heading3"/>
        <w:spacing w:line="240" w:lineRule="auto" w:before="34"/>
        <w:ind w:left="620" w:right="0"/>
        <w:jc w:val="left"/>
      </w:pPr>
      <w:r>
        <w:rPr>
          <w:rFonts w:ascii="宋体" w:hAnsi="宋体" w:cs="宋体" w:eastAsia="宋体" w:hint="default"/>
        </w:rPr>
        <w:t>2010</w:t>
      </w:r>
      <w:r>
        <w:rPr>
          <w:rFonts w:ascii="宋体" w:hAnsi="宋体" w:cs="宋体" w:eastAsia="宋体" w:hint="default"/>
          <w:spacing w:val="-64"/>
        </w:rPr>
        <w:t> </w:t>
      </w:r>
      <w:r>
        <w:rPr/>
        <w:t>年实现营业收入</w:t>
      </w:r>
      <w:r>
        <w:rPr>
          <w:spacing w:val="-65"/>
        </w:rPr>
        <w:t> </w:t>
      </w:r>
      <w:r>
        <w:rPr>
          <w:rFonts w:ascii="宋体" w:hAnsi="宋体" w:cs="宋体" w:eastAsia="宋体" w:hint="default"/>
        </w:rPr>
        <w:t>573,680.00</w:t>
      </w:r>
      <w:r>
        <w:rPr>
          <w:rFonts w:ascii="宋体" w:hAnsi="宋体" w:cs="宋体" w:eastAsia="宋体" w:hint="default"/>
          <w:spacing w:val="-64"/>
        </w:rPr>
        <w:t> </w:t>
      </w:r>
      <w:r>
        <w:rPr/>
        <w:t>元，产生净利润</w:t>
      </w:r>
      <w:r>
        <w:rPr>
          <w:rFonts w:ascii="宋体" w:hAnsi="宋体" w:cs="宋体" w:eastAsia="宋体" w:hint="default"/>
        </w:rPr>
        <w:t>-5,669.21</w:t>
      </w:r>
      <w:r>
        <w:rPr>
          <w:rFonts w:ascii="宋体" w:hAnsi="宋体" w:cs="宋体" w:eastAsia="宋体" w:hint="default"/>
          <w:spacing w:val="-64"/>
        </w:rPr>
        <w:t> </w:t>
      </w:r>
      <w:r>
        <w:rPr>
          <w:spacing w:val="-8"/>
        </w:rPr>
        <w:t>元。截止</w:t>
      </w:r>
      <w:r>
        <w:rPr>
          <w:spacing w:val="-64"/>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spacing w:val="-8"/>
        </w:rPr>
        <w:t>日，公司</w:t>
      </w:r>
    </w:p>
    <w:p>
      <w:pPr>
        <w:pStyle w:val="Heading3"/>
        <w:spacing w:line="240" w:lineRule="auto"/>
        <w:ind w:right="0"/>
        <w:jc w:val="both"/>
      </w:pPr>
      <w:r>
        <w:rPr/>
        <w:t>净资产总额为</w:t>
      </w:r>
      <w:r>
        <w:rPr>
          <w:spacing w:val="-60"/>
        </w:rPr>
        <w:t> </w:t>
      </w:r>
      <w:r>
        <w:rPr>
          <w:rFonts w:ascii="宋体" w:hAnsi="宋体" w:cs="宋体" w:eastAsia="宋体" w:hint="default"/>
        </w:rPr>
        <w:t>9,859,476.37</w:t>
      </w:r>
      <w:r>
        <w:rPr>
          <w:rFonts w:ascii="宋体" w:hAnsi="宋体" w:cs="宋体" w:eastAsia="宋体" w:hint="default"/>
          <w:spacing w:val="-60"/>
        </w:rPr>
        <w:t> </w:t>
      </w:r>
      <w:r>
        <w:rPr/>
        <w:t>元。</w:t>
      </w:r>
    </w:p>
    <w:p>
      <w:pPr>
        <w:pStyle w:val="Heading3"/>
        <w:spacing w:line="355" w:lineRule="auto"/>
        <w:ind w:left="620" w:right="0"/>
        <w:jc w:val="left"/>
      </w:pPr>
      <w:r>
        <w:rPr/>
        <w:t>（</w:t>
      </w:r>
      <w:r>
        <w:rPr>
          <w:rFonts w:ascii="宋体" w:hAnsi="宋体" w:cs="宋体" w:eastAsia="宋体" w:hint="default"/>
        </w:rPr>
        <w:t>3</w:t>
      </w:r>
      <w:r>
        <w:rPr/>
        <w:t>）吉林草还丹药业有限公司 </w:t>
      </w:r>
      <w:r>
        <w:rPr>
          <w:spacing w:val="-3"/>
        </w:rPr>
        <w:t>该公司成立于</w:t>
      </w:r>
      <w:r>
        <w:rPr>
          <w:rFonts w:ascii="宋体" w:hAnsi="宋体" w:cs="宋体" w:eastAsia="宋体" w:hint="default"/>
          <w:spacing w:val="-3"/>
        </w:rPr>
        <w:t>2002</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8</w:t>
      </w:r>
      <w:r>
        <w:rPr>
          <w:spacing w:val="-3"/>
        </w:rPr>
        <w:t>日，住所：敦化市经济开发区工业区九号，法人代表：关利国，注册资</w:t>
      </w:r>
    </w:p>
    <w:p>
      <w:pPr>
        <w:pStyle w:val="Heading3"/>
        <w:spacing w:line="357" w:lineRule="auto" w:before="38"/>
        <w:ind w:right="716"/>
        <w:jc w:val="both"/>
      </w:pPr>
      <w:r>
        <w:rPr>
          <w:spacing w:val="-3"/>
        </w:rPr>
        <w:t>本：</w:t>
      </w:r>
      <w:r>
        <w:rPr>
          <w:rFonts w:ascii="宋体" w:hAnsi="宋体" w:cs="宋体" w:eastAsia="宋体" w:hint="default"/>
          <w:spacing w:val="-3"/>
        </w:rPr>
        <w:t>5000</w:t>
      </w:r>
      <w:r>
        <w:rPr>
          <w:spacing w:val="-3"/>
        </w:rPr>
        <w:t>万元，经营范围为：中成药、中药材、化学药品制剂加工销售（按药品生产许可证批准生产</w:t>
      </w:r>
      <w:r>
        <w:rPr>
          <w:spacing w:val="-76"/>
        </w:rPr>
        <w:t> </w:t>
      </w:r>
      <w:r>
        <w:rPr>
          <w:spacing w:val="-76"/>
        </w:rPr>
      </w:r>
      <w:r>
        <w:rPr>
          <w:spacing w:val="-3"/>
        </w:rPr>
        <w:t>的项目生产经营）、食品加工、销售、酒精、白酒及饮料酒制造（按酒类生产许可证批准的项目范围</w:t>
      </w:r>
      <w:r>
        <w:rPr>
          <w:spacing w:val="-108"/>
        </w:rPr>
        <w:t> </w:t>
      </w:r>
      <w:r>
        <w:rPr>
          <w:spacing w:val="-108"/>
        </w:rPr>
      </w:r>
      <w:r>
        <w:rPr>
          <w:spacing w:val="-3"/>
        </w:rPr>
        <w:t>生产经营）、针织品加工、广告业、种养殖业、在法律法规允许范围内从事进出品业务。公司股东：</w:t>
      </w:r>
      <w:r>
        <w:rPr>
          <w:spacing w:val="-108"/>
        </w:rPr>
        <w:t> </w:t>
      </w:r>
      <w:r>
        <w:rPr>
          <w:spacing w:val="-108"/>
        </w:rPr>
      </w:r>
      <w:r>
        <w:rPr>
          <w:spacing w:val="-19"/>
        </w:rPr>
        <w:t>紫鑫药业（持股</w:t>
      </w:r>
      <w:r>
        <w:rPr>
          <w:rFonts w:ascii="宋体" w:hAnsi="宋体" w:cs="宋体" w:eastAsia="宋体" w:hint="default"/>
          <w:spacing w:val="-19"/>
        </w:rPr>
        <w:t>100%</w:t>
      </w:r>
      <w:r>
        <w:rPr>
          <w:spacing w:val="-19"/>
        </w:rPr>
        <w:t>）。</w:t>
      </w:r>
      <w:r>
        <w:rPr/>
      </w:r>
    </w:p>
    <w:p>
      <w:pPr>
        <w:pStyle w:val="Heading3"/>
        <w:spacing w:line="240" w:lineRule="auto" w:before="36"/>
        <w:ind w:left="620" w:right="0"/>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0"/>
        </w:rPr>
        <w:t> </w:t>
      </w:r>
      <w:r>
        <w:rPr/>
        <w:t>年公司实现营业收</w:t>
      </w:r>
      <w:r>
        <w:rPr>
          <w:spacing w:val="-61"/>
        </w:rPr>
        <w:t> </w:t>
      </w:r>
      <w:r>
        <w:rPr>
          <w:rFonts w:ascii="宋体" w:hAnsi="宋体" w:cs="宋体" w:eastAsia="宋体" w:hint="default"/>
        </w:rPr>
        <w:t>368,016,936.41</w:t>
      </w:r>
      <w:r>
        <w:rPr>
          <w:rFonts w:ascii="宋体" w:hAnsi="宋体" w:cs="宋体" w:eastAsia="宋体" w:hint="default"/>
          <w:spacing w:val="-60"/>
        </w:rPr>
        <w:t> </w:t>
      </w:r>
      <w:r>
        <w:rPr/>
        <w:t>元，净利润</w:t>
      </w:r>
      <w:r>
        <w:rPr>
          <w:spacing w:val="-60"/>
        </w:rPr>
        <w:t> </w:t>
      </w:r>
      <w:r>
        <w:rPr>
          <w:rFonts w:ascii="宋体" w:hAnsi="宋体" w:cs="宋体" w:eastAsia="宋体" w:hint="default"/>
        </w:rPr>
        <w:t>130,891,859.04</w:t>
      </w:r>
      <w:r>
        <w:rPr>
          <w:rFonts w:ascii="宋体" w:hAnsi="宋体" w:cs="宋体" w:eastAsia="宋体" w:hint="default"/>
          <w:spacing w:val="-60"/>
        </w:rPr>
        <w:t> </w:t>
      </w:r>
      <w:r>
        <w:rPr/>
        <w:t>元。截止</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p>
    <w:p>
      <w:pPr>
        <w:pStyle w:val="Heading3"/>
        <w:spacing w:line="357" w:lineRule="auto" w:before="151"/>
        <w:ind w:left="620" w:right="2286" w:hanging="480"/>
        <w:jc w:val="left"/>
      </w:pPr>
      <w:r>
        <w:rPr/>
        <w:t>日，公司净资产总额为</w:t>
      </w:r>
      <w:r>
        <w:rPr>
          <w:spacing w:val="-60"/>
        </w:rPr>
        <w:t> </w:t>
      </w:r>
      <w:r>
        <w:rPr>
          <w:rFonts w:ascii="宋体" w:hAnsi="宋体" w:cs="宋体" w:eastAsia="宋体" w:hint="default"/>
        </w:rPr>
        <w:t>186,241,505.90</w:t>
      </w:r>
      <w:r>
        <w:rPr>
          <w:rFonts w:ascii="宋体" w:hAnsi="宋体" w:cs="宋体" w:eastAsia="宋体" w:hint="default"/>
          <w:spacing w:val="-60"/>
        </w:rPr>
        <w:t> </w:t>
      </w:r>
      <w:r>
        <w:rPr/>
        <w:t>元。 </w:t>
      </w:r>
      <w:r>
        <w:rPr>
          <w:rFonts w:ascii="宋体" w:hAnsi="宋体" w:cs="宋体" w:eastAsia="宋体" w:hint="default"/>
        </w:rPr>
        <w:t>2010</w:t>
      </w:r>
      <w:r>
        <w:rPr/>
        <w:t>年度，公司在原有中成药业务的基础上发展人参产业，实现了较好的效益。</w:t>
      </w:r>
    </w:p>
    <w:p>
      <w:pPr>
        <w:pStyle w:val="Heading3"/>
        <w:spacing w:line="357" w:lineRule="auto" w:before="34"/>
        <w:ind w:left="620" w:right="726"/>
        <w:jc w:val="left"/>
        <w:rPr>
          <w:rFonts w:ascii="宋体" w:hAnsi="宋体" w:cs="宋体" w:eastAsia="宋体" w:hint="default"/>
        </w:rPr>
      </w:pPr>
      <w:r>
        <w:rPr/>
        <w:t>（</w:t>
      </w:r>
      <w:r>
        <w:rPr>
          <w:rFonts w:ascii="宋体" w:hAnsi="宋体" w:cs="宋体" w:eastAsia="宋体" w:hint="default"/>
        </w:rPr>
        <w:t>4</w:t>
      </w:r>
      <w:r>
        <w:rPr/>
        <w:t>）吉林紫鑫初元药业有限公司 该公司成立于</w:t>
      </w:r>
      <w:r>
        <w:rPr>
          <w:rFonts w:ascii="宋体" w:hAnsi="宋体" w:cs="宋体" w:eastAsia="宋体" w:hint="default"/>
        </w:rPr>
        <w:t>2010</w:t>
      </w:r>
      <w:r>
        <w:rPr/>
        <w:t>年，住所：延边州新兴工业集中区，法定代表人：桑国强，注册资本：</w:t>
      </w:r>
      <w:r>
        <w:rPr>
          <w:rFonts w:ascii="宋体" w:hAnsi="宋体" w:cs="宋体" w:eastAsia="宋体" w:hint="default"/>
        </w:rPr>
        <w:t>2,000</w:t>
      </w:r>
    </w:p>
    <w:p>
      <w:pPr>
        <w:pStyle w:val="Heading3"/>
        <w:spacing w:line="357" w:lineRule="auto" w:before="34"/>
        <w:ind w:right="726"/>
        <w:jc w:val="left"/>
      </w:pPr>
      <w:r>
        <w:rPr/>
        <w:t>万元，经营范围：加工、销售中成药、化学药制剂（仅限于筹建</w:t>
      </w:r>
      <w:r>
        <w:rPr>
          <w:spacing w:val="-120"/>
        </w:rPr>
        <w:t>）</w:t>
      </w:r>
      <w:r>
        <w:rPr/>
        <w:t>；人参收购、销售、粗加工等。公</w:t>
      </w:r>
      <w:r>
        <w:rPr/>
        <w:t> 司股东：紫鑫药业（持股</w:t>
      </w:r>
      <w:r>
        <w:rPr>
          <w:rFonts w:ascii="宋体" w:hAnsi="宋体" w:cs="宋体" w:eastAsia="宋体" w:hint="default"/>
        </w:rPr>
        <w:t>100%</w:t>
      </w:r>
      <w:r>
        <w:rPr>
          <w:spacing w:val="-120"/>
        </w:rPr>
        <w:t>）。</w:t>
      </w:r>
      <w:r>
        <w:rPr/>
      </w:r>
    </w:p>
    <w:p>
      <w:pPr>
        <w:pStyle w:val="Heading3"/>
        <w:spacing w:line="240" w:lineRule="auto" w:before="34"/>
        <w:ind w:left="620" w:right="0"/>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0"/>
        </w:rPr>
        <w:t> </w:t>
      </w:r>
      <w:r>
        <w:rPr/>
        <w:t>年实现营业收入</w:t>
      </w:r>
      <w:r>
        <w:rPr>
          <w:spacing w:val="-61"/>
        </w:rPr>
        <w:t> </w:t>
      </w:r>
      <w:r>
        <w:rPr>
          <w:rFonts w:ascii="宋体" w:hAnsi="宋体" w:cs="宋体" w:eastAsia="宋体" w:hint="default"/>
        </w:rPr>
        <w:t>49,941,685.72</w:t>
      </w:r>
      <w:r>
        <w:rPr>
          <w:rFonts w:ascii="宋体" w:hAnsi="宋体" w:cs="宋体" w:eastAsia="宋体" w:hint="default"/>
          <w:spacing w:val="-60"/>
        </w:rPr>
        <w:t> </w:t>
      </w:r>
      <w:r>
        <w:rPr/>
        <w:t>元，产生净利润</w:t>
      </w:r>
      <w:r>
        <w:rPr>
          <w:spacing w:val="-60"/>
        </w:rPr>
        <w:t> </w:t>
      </w:r>
      <w:r>
        <w:rPr>
          <w:rFonts w:ascii="宋体" w:hAnsi="宋体" w:cs="宋体" w:eastAsia="宋体" w:hint="default"/>
        </w:rPr>
        <w:t>1,104,024.52</w:t>
      </w:r>
      <w:r>
        <w:rPr>
          <w:rFonts w:ascii="宋体" w:hAnsi="宋体" w:cs="宋体" w:eastAsia="宋体" w:hint="default"/>
          <w:spacing w:val="-60"/>
        </w:rPr>
        <w:t> </w:t>
      </w:r>
      <w:r>
        <w:rPr/>
        <w:t>元。截止</w:t>
      </w:r>
      <w:r>
        <w:rPr>
          <w:spacing w:val="-60"/>
        </w:rPr>
        <w:t> </w:t>
      </w:r>
      <w:r>
        <w:rPr>
          <w:rFonts w:ascii="宋体" w:hAnsi="宋体" w:cs="宋体" w:eastAsia="宋体" w:hint="default"/>
        </w:rPr>
        <w:t>2010</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p>
    <w:p>
      <w:pPr>
        <w:pStyle w:val="Heading3"/>
        <w:spacing w:line="240" w:lineRule="auto"/>
        <w:ind w:right="0"/>
        <w:jc w:val="both"/>
      </w:pPr>
      <w:r>
        <w:rPr/>
        <w:t>日，公司净资产总额为</w:t>
      </w:r>
      <w:r>
        <w:rPr>
          <w:spacing w:val="-60"/>
        </w:rPr>
        <w:t> </w:t>
      </w:r>
      <w:r>
        <w:rPr>
          <w:rFonts w:ascii="宋体" w:hAnsi="宋体" w:cs="宋体" w:eastAsia="宋体" w:hint="default"/>
        </w:rPr>
        <w:t>21,104,024.52</w:t>
      </w:r>
      <w:r>
        <w:rPr>
          <w:rFonts w:ascii="宋体" w:hAnsi="宋体" w:cs="宋体" w:eastAsia="宋体" w:hint="default"/>
          <w:spacing w:val="-60"/>
        </w:rPr>
        <w:t> </w:t>
      </w:r>
      <w:r>
        <w:rPr/>
        <w:t>元。</w:t>
      </w:r>
    </w:p>
    <w:p>
      <w:pPr>
        <w:pStyle w:val="Heading3"/>
        <w:spacing w:line="240" w:lineRule="auto" w:before="151"/>
        <w:ind w:left="620" w:right="0"/>
        <w:jc w:val="left"/>
      </w:pPr>
      <w:r>
        <w:rPr/>
        <w:t>（</w:t>
      </w:r>
      <w:r>
        <w:rPr>
          <w:rFonts w:ascii="宋体" w:hAnsi="宋体" w:cs="宋体" w:eastAsia="宋体" w:hint="default"/>
        </w:rPr>
        <w:t>5</w:t>
      </w:r>
      <w:r>
        <w:rPr/>
        <w:t>）吉林紫鑫般若药业有限公司</w:t>
      </w:r>
    </w:p>
    <w:p>
      <w:pPr>
        <w:pStyle w:val="Heading3"/>
        <w:spacing w:line="357" w:lineRule="auto"/>
        <w:ind w:right="713" w:firstLine="480"/>
        <w:jc w:val="both"/>
      </w:pPr>
      <w:r>
        <w:rPr/>
        <w:t>该公司成立于 </w:t>
      </w:r>
      <w:r>
        <w:rPr>
          <w:rFonts w:ascii="宋体" w:hAnsi="宋体" w:cs="宋体" w:eastAsia="宋体" w:hint="default"/>
        </w:rPr>
        <w:t>2010</w:t>
      </w:r>
      <w:r>
        <w:rPr>
          <w:rFonts w:ascii="宋体" w:hAnsi="宋体" w:cs="宋体" w:eastAsia="宋体" w:hint="default"/>
          <w:spacing w:val="-87"/>
        </w:rPr>
        <w:t> </w:t>
      </w:r>
      <w:r>
        <w:rPr>
          <w:spacing w:val="-10"/>
        </w:rPr>
        <w:t>年，住所：磐石经济开发区西点大街，法定代表人：范水波，注册资本：</w:t>
      </w:r>
      <w:r>
        <w:rPr>
          <w:rFonts w:ascii="宋体" w:hAnsi="宋体" w:cs="宋体" w:eastAsia="宋体" w:hint="default"/>
          <w:spacing w:val="-10"/>
        </w:rPr>
        <w:t>2,000</w:t>
      </w:r>
      <w:r>
        <w:rPr>
          <w:rFonts w:ascii="宋体" w:hAnsi="宋体" w:cs="宋体" w:eastAsia="宋体" w:hint="default"/>
        </w:rPr>
        <w:t> </w:t>
      </w:r>
      <w:r>
        <w:rPr>
          <w:spacing w:val="-3"/>
        </w:rPr>
        <w:t>万元，经营范围：用于中成药制造项目建设（不得从事生产活动）；农副土特产品、人参收购及深加</w:t>
      </w:r>
      <w:r>
        <w:rPr>
          <w:spacing w:val="-88"/>
        </w:rPr>
        <w:t> </w:t>
      </w:r>
      <w:r>
        <w:rPr>
          <w:spacing w:val="-88"/>
        </w:rPr>
      </w:r>
      <w:r>
        <w:rPr/>
        <w:t>工、销售等。公司股东：紫鑫药业（持股</w:t>
      </w:r>
      <w:r>
        <w:rPr>
          <w:spacing w:val="-59"/>
        </w:rPr>
        <w:t> </w:t>
      </w:r>
      <w:r>
        <w:rPr>
          <w:rFonts w:ascii="宋体" w:hAnsi="宋体" w:cs="宋体" w:eastAsia="宋体" w:hint="default"/>
          <w:spacing w:val="-40"/>
        </w:rPr>
        <w:t>100%</w:t>
      </w:r>
      <w:r>
        <w:rPr>
          <w:spacing w:val="-40"/>
        </w:rPr>
        <w:t>）。</w:t>
      </w:r>
      <w:r>
        <w:rPr/>
      </w:r>
    </w:p>
    <w:p>
      <w:pPr>
        <w:pStyle w:val="Heading3"/>
        <w:spacing w:line="240" w:lineRule="auto" w:before="36"/>
        <w:ind w:left="620" w:right="0"/>
        <w:jc w:val="left"/>
      </w:pPr>
      <w:r>
        <w:rPr>
          <w:rFonts w:ascii="宋体" w:hAnsi="宋体" w:cs="宋体" w:eastAsia="宋体" w:hint="default"/>
        </w:rPr>
        <w:t>2010</w:t>
      </w:r>
      <w:r>
        <w:rPr>
          <w:rFonts w:ascii="宋体" w:hAnsi="宋体" w:cs="宋体" w:eastAsia="宋体" w:hint="default"/>
          <w:spacing w:val="-58"/>
        </w:rPr>
        <w:t> </w:t>
      </w:r>
      <w:r>
        <w:rPr/>
        <w:t>年未实现收入，产生净利润</w:t>
      </w:r>
      <w:r>
        <w:rPr>
          <w:rFonts w:ascii="宋体" w:hAnsi="宋体" w:cs="宋体" w:eastAsia="宋体" w:hint="default"/>
        </w:rPr>
        <w:t>-794,550.76</w:t>
      </w:r>
      <w:r>
        <w:rPr>
          <w:rFonts w:ascii="宋体" w:hAnsi="宋体" w:cs="宋体" w:eastAsia="宋体" w:hint="default"/>
          <w:spacing w:val="-58"/>
        </w:rPr>
        <w:t> </w:t>
      </w:r>
      <w:r>
        <w:rPr/>
        <w:t>元。截止</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12</w:t>
      </w:r>
      <w:r>
        <w:rPr>
          <w:rFonts w:ascii="宋体" w:hAnsi="宋体" w:cs="宋体" w:eastAsia="宋体" w:hint="default"/>
          <w:spacing w:val="-56"/>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t>日，公司净资产总额为</w:t>
      </w:r>
    </w:p>
    <w:p>
      <w:pPr>
        <w:spacing w:after="0" w:line="240" w:lineRule="auto"/>
        <w:jc w:val="left"/>
        <w:sectPr>
          <w:footerReference w:type="default" r:id="rId18"/>
          <w:pgSz w:w="11910" w:h="16840"/>
          <w:pgMar w:footer="956" w:header="720" w:top="1300" w:bottom="1140" w:left="580" w:right="0"/>
          <w:pgNumType w:start="27"/>
        </w:sectPr>
      </w:pPr>
    </w:p>
    <w:p>
      <w:pPr>
        <w:pStyle w:val="Heading3"/>
        <w:spacing w:line="240" w:lineRule="auto" w:before="13"/>
        <w:ind w:right="0"/>
        <w:jc w:val="left"/>
      </w:pPr>
      <w:r>
        <w:rPr/>
        <w:pict>
          <v:group style="position:absolute;margin-left:34.560001pt;margin-top:2.305654pt;width:508.3pt;height:.1pt;mso-position-horizontal-relative:page;mso-position-vertical-relative:paragraph;z-index:-534376"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rPr>
        <w:t>19,205,449.24</w:t>
      </w:r>
      <w:r>
        <w:rPr>
          <w:rFonts w:ascii="宋体" w:hAnsi="宋体" w:cs="宋体" w:eastAsia="宋体" w:hint="default"/>
          <w:spacing w:val="-60"/>
        </w:rPr>
        <w:t> </w:t>
      </w:r>
      <w:r>
        <w:rPr/>
        <w:t>元。</w:t>
      </w:r>
    </w:p>
    <w:p>
      <w:pPr>
        <w:pStyle w:val="Heading3"/>
        <w:spacing w:line="240" w:lineRule="auto" w:before="152"/>
        <w:ind w:left="620" w:right="0"/>
        <w:jc w:val="left"/>
      </w:pPr>
      <w:r>
        <w:rPr/>
        <w:t>（</w:t>
      </w:r>
      <w:r>
        <w:rPr>
          <w:rFonts w:ascii="宋体" w:hAnsi="宋体" w:cs="宋体" w:eastAsia="宋体" w:hint="default"/>
        </w:rPr>
        <w:t>6</w:t>
      </w:r>
      <w:r>
        <w:rPr/>
        <w:t>）吉林紫鑫药物研究有限公司</w:t>
      </w:r>
    </w:p>
    <w:p>
      <w:pPr>
        <w:pStyle w:val="Heading3"/>
        <w:spacing w:line="240" w:lineRule="auto"/>
        <w:ind w:left="620" w:right="0"/>
        <w:jc w:val="left"/>
      </w:pPr>
      <w:r>
        <w:rPr/>
        <w:t>该公司成立于</w:t>
      </w:r>
      <w:r>
        <w:rPr>
          <w:spacing w:val="-55"/>
        </w:rPr>
        <w:t> </w:t>
      </w:r>
      <w:r>
        <w:rPr>
          <w:rFonts w:ascii="宋体" w:hAnsi="宋体" w:cs="宋体" w:eastAsia="宋体" w:hint="default"/>
        </w:rPr>
        <w:t>2010</w:t>
      </w:r>
      <w:r>
        <w:rPr>
          <w:rFonts w:ascii="宋体" w:hAnsi="宋体" w:cs="宋体" w:eastAsia="宋体" w:hint="default"/>
          <w:spacing w:val="-55"/>
        </w:rPr>
        <w:t> </w:t>
      </w:r>
      <w:r>
        <w:rPr/>
        <w:t>年，住所：长春市南关区东头道街</w:t>
      </w:r>
      <w:r>
        <w:rPr>
          <w:spacing w:val="-54"/>
        </w:rPr>
        <w:t> </w:t>
      </w:r>
      <w:r>
        <w:rPr>
          <w:rFonts w:ascii="宋体" w:hAnsi="宋体" w:cs="宋体" w:eastAsia="宋体" w:hint="default"/>
        </w:rPr>
        <w:t>5</w:t>
      </w:r>
      <w:r>
        <w:rPr>
          <w:rFonts w:ascii="宋体" w:hAnsi="宋体" w:cs="宋体" w:eastAsia="宋体" w:hint="default"/>
          <w:spacing w:val="-55"/>
        </w:rPr>
        <w:t> </w:t>
      </w:r>
      <w:r>
        <w:rPr/>
        <w:t>号，法定代表人：殷金龙，注册资本：</w:t>
      </w:r>
    </w:p>
    <w:p>
      <w:pPr>
        <w:pStyle w:val="Heading3"/>
        <w:spacing w:line="357" w:lineRule="auto" w:before="151"/>
        <w:ind w:right="696"/>
        <w:jc w:val="left"/>
      </w:pPr>
      <w:r>
        <w:rPr>
          <w:rFonts w:ascii="宋体" w:hAnsi="宋体" w:cs="宋体" w:eastAsia="宋体" w:hint="default"/>
        </w:rPr>
        <w:t>200</w:t>
      </w:r>
      <w:r>
        <w:rPr>
          <w:rFonts w:ascii="宋体" w:hAnsi="宋体" w:cs="宋体" w:eastAsia="宋体" w:hint="default"/>
          <w:spacing w:val="-90"/>
        </w:rPr>
        <w:t> </w:t>
      </w:r>
      <w:r>
        <w:rPr/>
        <w:t>万元，经营范围：新药、保健食品、化学原料药的研发；技术转让、技术咨询、成果转让等；公 司股东：紫鑫药业（持股</w:t>
      </w:r>
      <w:r>
        <w:rPr>
          <w:spacing w:val="-60"/>
        </w:rPr>
        <w:t> </w:t>
      </w:r>
      <w:r>
        <w:rPr>
          <w:rFonts w:ascii="宋体" w:hAnsi="宋体" w:cs="宋体" w:eastAsia="宋体" w:hint="default"/>
          <w:spacing w:val="-40"/>
        </w:rPr>
        <w:t>100%</w:t>
      </w:r>
      <w:r>
        <w:rPr>
          <w:spacing w:val="-40"/>
        </w:rPr>
        <w:t>）。</w:t>
      </w:r>
      <w:r>
        <w:rPr/>
      </w:r>
    </w:p>
    <w:p>
      <w:pPr>
        <w:pStyle w:val="Heading3"/>
        <w:spacing w:line="240" w:lineRule="auto" w:before="34"/>
        <w:ind w:left="620" w:right="0"/>
        <w:jc w:val="left"/>
      </w:pPr>
      <w:r>
        <w:rPr>
          <w:rFonts w:ascii="宋体" w:hAnsi="宋体" w:cs="宋体" w:eastAsia="宋体" w:hint="default"/>
        </w:rPr>
        <w:t>2010</w:t>
      </w:r>
      <w:r>
        <w:rPr>
          <w:rFonts w:ascii="宋体" w:hAnsi="宋体" w:cs="宋体" w:eastAsia="宋体" w:hint="default"/>
          <w:spacing w:val="-26"/>
        </w:rPr>
        <w:t> </w:t>
      </w:r>
      <w:r>
        <w:rPr/>
        <w:t>年未实现收入，产生净利润</w:t>
      </w:r>
      <w:r>
        <w:rPr>
          <w:rFonts w:ascii="宋体" w:hAnsi="宋体" w:cs="宋体" w:eastAsia="宋体" w:hint="default"/>
        </w:rPr>
        <w:t>-5,572.44</w:t>
      </w:r>
      <w:r>
        <w:rPr>
          <w:rFonts w:ascii="宋体" w:hAnsi="宋体" w:cs="宋体" w:eastAsia="宋体" w:hint="default"/>
          <w:spacing w:val="-27"/>
        </w:rPr>
        <w:t> </w:t>
      </w:r>
      <w:r>
        <w:rPr/>
        <w:t>元。截止</w:t>
      </w:r>
      <w:r>
        <w:rPr>
          <w:spacing w:val="-26"/>
        </w:rPr>
        <w:t> </w:t>
      </w:r>
      <w:r>
        <w:rPr>
          <w:rFonts w:ascii="宋体" w:hAnsi="宋体" w:cs="宋体" w:eastAsia="宋体" w:hint="default"/>
        </w:rPr>
        <w:t>2010</w:t>
      </w:r>
      <w:r>
        <w:rPr>
          <w:rFonts w:ascii="宋体" w:hAnsi="宋体" w:cs="宋体" w:eastAsia="宋体" w:hint="default"/>
          <w:spacing w:val="-27"/>
        </w:rPr>
        <w:t> </w:t>
      </w:r>
      <w:r>
        <w:rPr/>
        <w:t>年</w:t>
      </w:r>
      <w:r>
        <w:rPr>
          <w:spacing w:val="-27"/>
        </w:rPr>
        <w:t> </w:t>
      </w:r>
      <w:r>
        <w:rPr>
          <w:rFonts w:ascii="宋体" w:hAnsi="宋体" w:cs="宋体" w:eastAsia="宋体" w:hint="default"/>
        </w:rPr>
        <w:t>12</w:t>
      </w:r>
      <w:r>
        <w:rPr>
          <w:rFonts w:ascii="宋体" w:hAnsi="宋体" w:cs="宋体" w:eastAsia="宋体" w:hint="default"/>
          <w:spacing w:val="-29"/>
        </w:rPr>
        <w:t> </w:t>
      </w:r>
      <w:r>
        <w:rPr/>
        <w:t>月</w:t>
      </w:r>
      <w:r>
        <w:rPr>
          <w:spacing w:val="-27"/>
        </w:rPr>
        <w:t> </w:t>
      </w:r>
      <w:r>
        <w:rPr>
          <w:rFonts w:ascii="宋体" w:hAnsi="宋体" w:cs="宋体" w:eastAsia="宋体" w:hint="default"/>
        </w:rPr>
        <w:t>31</w:t>
      </w:r>
      <w:r>
        <w:rPr>
          <w:rFonts w:ascii="宋体" w:hAnsi="宋体" w:cs="宋体" w:eastAsia="宋体" w:hint="default"/>
          <w:spacing w:val="-27"/>
        </w:rPr>
        <w:t> </w:t>
      </w:r>
      <w:r>
        <w:rPr/>
        <w:t>日，公司净资产总额为</w:t>
      </w:r>
    </w:p>
    <w:p>
      <w:pPr>
        <w:pStyle w:val="Heading3"/>
        <w:spacing w:line="240" w:lineRule="auto"/>
        <w:ind w:right="0"/>
        <w:jc w:val="left"/>
      </w:pPr>
      <w:r>
        <w:rPr>
          <w:rFonts w:ascii="宋体" w:hAnsi="宋体" w:cs="宋体" w:eastAsia="宋体" w:hint="default"/>
        </w:rPr>
        <w:t>1,994,427.56</w:t>
      </w:r>
      <w:r>
        <w:rPr>
          <w:rFonts w:ascii="宋体" w:hAnsi="宋体" w:cs="宋体" w:eastAsia="宋体" w:hint="default"/>
          <w:spacing w:val="-60"/>
        </w:rPr>
        <w:t> </w:t>
      </w:r>
      <w:r>
        <w:rPr/>
        <w:t>元。</w:t>
      </w:r>
    </w:p>
    <w:p>
      <w:pPr>
        <w:pStyle w:val="Heading3"/>
        <w:spacing w:line="240" w:lineRule="auto" w:before="151"/>
        <w:ind w:left="620" w:right="0"/>
        <w:jc w:val="left"/>
      </w:pPr>
      <w:r>
        <w:rPr/>
        <w:t>（</w:t>
      </w:r>
      <w:r>
        <w:rPr>
          <w:rFonts w:ascii="宋体" w:hAnsi="宋体" w:cs="宋体" w:eastAsia="宋体" w:hint="default"/>
        </w:rPr>
        <w:t>7</w:t>
      </w:r>
      <w:r>
        <w:rPr/>
        <w:t>）吉林紫鑫人参研发有限公司</w:t>
      </w:r>
    </w:p>
    <w:p>
      <w:pPr>
        <w:pStyle w:val="Heading3"/>
        <w:spacing w:line="357" w:lineRule="auto"/>
        <w:ind w:right="716" w:firstLine="480"/>
        <w:jc w:val="both"/>
      </w:pPr>
      <w:r>
        <w:rPr/>
        <w:t>该公司成立于</w:t>
      </w:r>
      <w:r>
        <w:rPr>
          <w:spacing w:val="-54"/>
        </w:rPr>
        <w:t> </w:t>
      </w:r>
      <w:r>
        <w:rPr>
          <w:rFonts w:ascii="宋体" w:hAnsi="宋体" w:cs="宋体" w:eastAsia="宋体" w:hint="default"/>
        </w:rPr>
        <w:t>2010</w:t>
      </w:r>
      <w:r>
        <w:rPr>
          <w:rFonts w:ascii="宋体" w:hAnsi="宋体" w:cs="宋体" w:eastAsia="宋体" w:hint="default"/>
          <w:spacing w:val="-54"/>
        </w:rPr>
        <w:t> </w:t>
      </w:r>
      <w:r>
        <w:rPr>
          <w:spacing w:val="-3"/>
        </w:rPr>
        <w:t>年，住所：长春市南关区东头道街</w:t>
      </w:r>
      <w:r>
        <w:rPr>
          <w:spacing w:val="-53"/>
        </w:rPr>
        <w:t> </w:t>
      </w:r>
      <w:r>
        <w:rPr>
          <w:rFonts w:ascii="宋体" w:hAnsi="宋体" w:cs="宋体" w:eastAsia="宋体" w:hint="default"/>
        </w:rPr>
        <w:t>5</w:t>
      </w:r>
      <w:r>
        <w:rPr>
          <w:rFonts w:ascii="宋体" w:hAnsi="宋体" w:cs="宋体" w:eastAsia="宋体" w:hint="default"/>
          <w:spacing w:val="-54"/>
        </w:rPr>
        <w:t> </w:t>
      </w:r>
      <w:r>
        <w:rPr>
          <w:spacing w:val="-4"/>
        </w:rPr>
        <w:t>号，法定代表人：李坤，注册资本：</w:t>
      </w:r>
      <w:r>
        <w:rPr>
          <w:rFonts w:ascii="宋体" w:hAnsi="宋体" w:cs="宋体" w:eastAsia="宋体" w:hint="default"/>
          <w:spacing w:val="-4"/>
        </w:rPr>
        <w:t>200</w:t>
      </w:r>
      <w:r>
        <w:rPr>
          <w:rFonts w:ascii="宋体" w:hAnsi="宋体" w:cs="宋体" w:eastAsia="宋体" w:hint="default"/>
        </w:rPr>
        <w:t> </w:t>
      </w:r>
      <w:r>
        <w:rPr>
          <w:spacing w:val="-3"/>
        </w:rPr>
        <w:t>万元，经营范围：人参及相关产品的研发、保健食品研发；技术转让、技术咨询、成果转让等。公司</w:t>
      </w:r>
      <w:r>
        <w:rPr>
          <w:spacing w:val="-89"/>
        </w:rPr>
        <w:t> </w:t>
      </w:r>
      <w:r>
        <w:rPr>
          <w:spacing w:val="-89"/>
        </w:rPr>
      </w:r>
      <w:r>
        <w:rPr/>
        <w:t>股东：紫鑫药业（持股</w:t>
      </w:r>
      <w:r>
        <w:rPr>
          <w:spacing w:val="-60"/>
        </w:rPr>
        <w:t> </w:t>
      </w:r>
      <w:r>
        <w:rPr>
          <w:rFonts w:ascii="宋体" w:hAnsi="宋体" w:cs="宋体" w:eastAsia="宋体" w:hint="default"/>
          <w:spacing w:val="-40"/>
        </w:rPr>
        <w:t>100%</w:t>
      </w:r>
      <w:r>
        <w:rPr>
          <w:spacing w:val="-40"/>
        </w:rPr>
        <w:t>）。</w:t>
      </w:r>
      <w:r>
        <w:rPr/>
      </w:r>
    </w:p>
    <w:p>
      <w:pPr>
        <w:pStyle w:val="Heading3"/>
        <w:spacing w:line="240" w:lineRule="auto" w:before="36"/>
        <w:ind w:left="620" w:right="0"/>
        <w:jc w:val="left"/>
      </w:pPr>
      <w:r>
        <w:rPr>
          <w:rFonts w:ascii="宋体" w:hAnsi="宋体" w:cs="宋体" w:eastAsia="宋体" w:hint="default"/>
        </w:rPr>
        <w:t>2010</w:t>
      </w:r>
      <w:r>
        <w:rPr>
          <w:rFonts w:ascii="宋体" w:hAnsi="宋体" w:cs="宋体" w:eastAsia="宋体" w:hint="default"/>
          <w:spacing w:val="-26"/>
        </w:rPr>
        <w:t> </w:t>
      </w:r>
      <w:r>
        <w:rPr/>
        <w:t>年未实现收入，产生净利润</w:t>
      </w:r>
      <w:r>
        <w:rPr>
          <w:rFonts w:ascii="宋体" w:hAnsi="宋体" w:cs="宋体" w:eastAsia="宋体" w:hint="default"/>
        </w:rPr>
        <w:t>-3,901.91</w:t>
      </w:r>
      <w:r>
        <w:rPr>
          <w:rFonts w:ascii="宋体" w:hAnsi="宋体" w:cs="宋体" w:eastAsia="宋体" w:hint="default"/>
          <w:spacing w:val="-27"/>
        </w:rPr>
        <w:t> </w:t>
      </w:r>
      <w:r>
        <w:rPr/>
        <w:t>元。截止</w:t>
      </w:r>
      <w:r>
        <w:rPr>
          <w:spacing w:val="-26"/>
        </w:rPr>
        <w:t> </w:t>
      </w:r>
      <w:r>
        <w:rPr>
          <w:rFonts w:ascii="宋体" w:hAnsi="宋体" w:cs="宋体" w:eastAsia="宋体" w:hint="default"/>
        </w:rPr>
        <w:t>2010</w:t>
      </w:r>
      <w:r>
        <w:rPr>
          <w:rFonts w:ascii="宋体" w:hAnsi="宋体" w:cs="宋体" w:eastAsia="宋体" w:hint="default"/>
          <w:spacing w:val="-27"/>
        </w:rPr>
        <w:t> </w:t>
      </w:r>
      <w:r>
        <w:rPr/>
        <w:t>年</w:t>
      </w:r>
      <w:r>
        <w:rPr>
          <w:spacing w:val="-27"/>
        </w:rPr>
        <w:t> </w:t>
      </w:r>
      <w:r>
        <w:rPr>
          <w:rFonts w:ascii="宋体" w:hAnsi="宋体" w:cs="宋体" w:eastAsia="宋体" w:hint="default"/>
        </w:rPr>
        <w:t>12</w:t>
      </w:r>
      <w:r>
        <w:rPr>
          <w:rFonts w:ascii="宋体" w:hAnsi="宋体" w:cs="宋体" w:eastAsia="宋体" w:hint="default"/>
          <w:spacing w:val="-29"/>
        </w:rPr>
        <w:t> </w:t>
      </w:r>
      <w:r>
        <w:rPr/>
        <w:t>月</w:t>
      </w:r>
      <w:r>
        <w:rPr>
          <w:spacing w:val="-27"/>
        </w:rPr>
        <w:t> </w:t>
      </w:r>
      <w:r>
        <w:rPr>
          <w:rFonts w:ascii="宋体" w:hAnsi="宋体" w:cs="宋体" w:eastAsia="宋体" w:hint="default"/>
        </w:rPr>
        <w:t>31</w:t>
      </w:r>
      <w:r>
        <w:rPr>
          <w:rFonts w:ascii="宋体" w:hAnsi="宋体" w:cs="宋体" w:eastAsia="宋体" w:hint="default"/>
          <w:spacing w:val="-27"/>
        </w:rPr>
        <w:t> </w:t>
      </w:r>
      <w:r>
        <w:rPr/>
        <w:t>日，公司净资产总额为</w:t>
      </w:r>
    </w:p>
    <w:p>
      <w:pPr>
        <w:pStyle w:val="Heading3"/>
        <w:spacing w:line="240" w:lineRule="auto" w:before="151"/>
        <w:ind w:right="0"/>
        <w:jc w:val="left"/>
      </w:pPr>
      <w:r>
        <w:rPr>
          <w:rFonts w:ascii="宋体" w:hAnsi="宋体" w:cs="宋体" w:eastAsia="宋体" w:hint="default"/>
        </w:rPr>
        <w:t>1,996,098.09</w:t>
      </w:r>
      <w:r>
        <w:rPr>
          <w:rFonts w:ascii="宋体" w:hAnsi="宋体" w:cs="宋体" w:eastAsia="宋体" w:hint="default"/>
          <w:spacing w:val="-60"/>
        </w:rPr>
        <w:t> </w:t>
      </w:r>
      <w:r>
        <w:rPr/>
        <w:t>元。</w:t>
      </w:r>
    </w:p>
    <w:p>
      <w:pPr>
        <w:pStyle w:val="Heading3"/>
        <w:spacing w:line="240" w:lineRule="auto"/>
        <w:ind w:left="620" w:right="0"/>
        <w:jc w:val="left"/>
      </w:pPr>
      <w:r>
        <w:rPr/>
        <w:t>（</w:t>
      </w:r>
      <w:r>
        <w:rPr>
          <w:rFonts w:ascii="宋体" w:hAnsi="宋体" w:cs="宋体" w:eastAsia="宋体" w:hint="default"/>
        </w:rPr>
        <w:t>8</w:t>
      </w:r>
      <w:r>
        <w:rPr/>
        <w:t>）长春农村商业银行股份有限公司是本公司</w:t>
      </w:r>
      <w:r>
        <w:rPr>
          <w:spacing w:val="-54"/>
        </w:rPr>
        <w:t> </w:t>
      </w:r>
      <w:r>
        <w:rPr>
          <w:rFonts w:ascii="宋体" w:hAnsi="宋体" w:cs="宋体" w:eastAsia="宋体" w:hint="default"/>
        </w:rPr>
        <w:t>2009</w:t>
      </w:r>
      <w:r>
        <w:rPr>
          <w:rFonts w:ascii="宋体" w:hAnsi="宋体" w:cs="宋体" w:eastAsia="宋体" w:hint="default"/>
          <w:spacing w:val="-54"/>
        </w:rPr>
        <w:t> </w:t>
      </w:r>
      <w:r>
        <w:rPr/>
        <w:t>年投资入股的商业银行：总股本</w:t>
      </w:r>
      <w:r>
        <w:rPr>
          <w:spacing w:val="-54"/>
        </w:rPr>
        <w:t> </w:t>
      </w:r>
      <w:r>
        <w:rPr>
          <w:rFonts w:ascii="宋体" w:hAnsi="宋体" w:cs="宋体" w:eastAsia="宋体" w:hint="default"/>
        </w:rPr>
        <w:t>30,000</w:t>
      </w:r>
      <w:r>
        <w:rPr>
          <w:rFonts w:ascii="宋体" w:hAnsi="宋体" w:cs="宋体" w:eastAsia="宋体" w:hint="default"/>
          <w:spacing w:val="-54"/>
        </w:rPr>
        <w:t> </w:t>
      </w:r>
      <w:r>
        <w:rPr/>
        <w:t>万</w:t>
      </w:r>
    </w:p>
    <w:p>
      <w:pPr>
        <w:pStyle w:val="Heading3"/>
        <w:spacing w:line="240" w:lineRule="auto" w:before="151"/>
        <w:ind w:right="0"/>
        <w:jc w:val="left"/>
      </w:pPr>
      <w:r>
        <w:rPr/>
        <w:t>元，本公司出资</w:t>
      </w:r>
      <w:r>
        <w:rPr>
          <w:spacing w:val="-43"/>
        </w:rPr>
        <w:t> </w:t>
      </w:r>
      <w:r>
        <w:rPr>
          <w:rFonts w:ascii="宋体" w:hAnsi="宋体" w:cs="宋体" w:eastAsia="宋体" w:hint="default"/>
        </w:rPr>
        <w:t>2,800</w:t>
      </w:r>
      <w:r>
        <w:rPr>
          <w:rFonts w:ascii="宋体" w:hAnsi="宋体" w:cs="宋体" w:eastAsia="宋体" w:hint="default"/>
          <w:spacing w:val="-44"/>
        </w:rPr>
        <w:t> </w:t>
      </w:r>
      <w:r>
        <w:rPr/>
        <w:t>万元，占其股本的</w:t>
      </w:r>
      <w:r>
        <w:rPr>
          <w:spacing w:val="-43"/>
        </w:rPr>
        <w:t> </w:t>
      </w:r>
      <w:r>
        <w:rPr>
          <w:rFonts w:ascii="宋体" w:hAnsi="宋体" w:cs="宋体" w:eastAsia="宋体" w:hint="default"/>
        </w:rPr>
        <w:t>9.33%</w:t>
      </w:r>
      <w:r>
        <w:rPr/>
        <w:t>。根据长春农村商业银行股份有限公司</w:t>
      </w:r>
      <w:r>
        <w:rPr>
          <w:spacing w:val="-43"/>
        </w:rPr>
        <w:t> </w:t>
      </w:r>
      <w:r>
        <w:rPr>
          <w:rFonts w:ascii="宋体" w:hAnsi="宋体" w:cs="宋体" w:eastAsia="宋体" w:hint="default"/>
        </w:rPr>
        <w:t>2010</w:t>
      </w:r>
      <w:r>
        <w:rPr>
          <w:rFonts w:ascii="宋体" w:hAnsi="宋体" w:cs="宋体" w:eastAsia="宋体" w:hint="default"/>
          <w:spacing w:val="-44"/>
        </w:rPr>
        <w:t> </w:t>
      </w:r>
      <w:r>
        <w:rPr/>
        <w:t>年度临</w:t>
      </w:r>
    </w:p>
    <w:p>
      <w:pPr>
        <w:pStyle w:val="Heading3"/>
        <w:spacing w:line="240" w:lineRule="auto"/>
        <w:ind w:right="0"/>
        <w:jc w:val="left"/>
      </w:pPr>
      <w:r>
        <w:rPr>
          <w:spacing w:val="-3"/>
        </w:rPr>
        <w:t>时股东大会第二次会议决议规定，在原注册资本</w:t>
      </w:r>
      <w:r>
        <w:rPr>
          <w:spacing w:val="-56"/>
        </w:rPr>
        <w:t> </w:t>
      </w:r>
      <w:r>
        <w:rPr>
          <w:rFonts w:ascii="宋体" w:hAnsi="宋体" w:cs="宋体" w:eastAsia="宋体" w:hint="default"/>
        </w:rPr>
        <w:t>30,000</w:t>
      </w:r>
      <w:r>
        <w:rPr>
          <w:rFonts w:ascii="宋体" w:hAnsi="宋体" w:cs="宋体" w:eastAsia="宋体" w:hint="default"/>
          <w:spacing w:val="-56"/>
        </w:rPr>
        <w:t> </w:t>
      </w:r>
      <w:r>
        <w:rPr/>
        <w:t>万元的基础上增资</w:t>
      </w:r>
      <w:r>
        <w:rPr>
          <w:spacing w:val="-56"/>
        </w:rPr>
        <w:t> </w:t>
      </w:r>
      <w:r>
        <w:rPr>
          <w:rFonts w:ascii="宋体" w:hAnsi="宋体" w:cs="宋体" w:eastAsia="宋体" w:hint="default"/>
        </w:rPr>
        <w:t>23,760</w:t>
      </w:r>
      <w:r>
        <w:rPr>
          <w:rFonts w:ascii="宋体" w:hAnsi="宋体" w:cs="宋体" w:eastAsia="宋体" w:hint="default"/>
          <w:spacing w:val="-56"/>
        </w:rPr>
        <w:t> </w:t>
      </w:r>
      <w:r>
        <w:rPr>
          <w:spacing w:val="-6"/>
        </w:rPr>
        <w:t>万元，此次增资事</w:t>
      </w:r>
    </w:p>
    <w:p>
      <w:pPr>
        <w:pStyle w:val="Heading3"/>
        <w:spacing w:line="240" w:lineRule="auto" w:before="152"/>
        <w:ind w:right="0"/>
        <w:jc w:val="left"/>
      </w:pPr>
      <w:r>
        <w:rPr/>
        <w:t>宜业经中准会计师事务所有限公司于</w:t>
      </w:r>
      <w:r>
        <w:rPr>
          <w:spacing w:val="-47"/>
        </w:rPr>
        <w:t> </w:t>
      </w:r>
      <w:r>
        <w:rPr>
          <w:rFonts w:ascii="宋体" w:hAnsi="宋体" w:cs="宋体" w:eastAsia="宋体" w:hint="default"/>
        </w:rPr>
        <w:t>2010</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2</w:t>
      </w:r>
      <w:r>
        <w:rPr>
          <w:rFonts w:ascii="宋体" w:hAnsi="宋体" w:cs="宋体" w:eastAsia="宋体" w:hint="default"/>
          <w:spacing w:val="-48"/>
        </w:rPr>
        <w:t> </w:t>
      </w:r>
      <w:r>
        <w:rPr/>
        <w:t>日出具的中准验字【</w:t>
      </w:r>
      <w:r>
        <w:rPr>
          <w:rFonts w:ascii="宋体" w:hAnsi="宋体" w:cs="宋体" w:eastAsia="宋体" w:hint="default"/>
        </w:rPr>
        <w:t>2010</w:t>
      </w:r>
      <w:r>
        <w:rPr/>
        <w:t>】</w:t>
      </w:r>
      <w:r>
        <w:rPr>
          <w:rFonts w:ascii="宋体" w:hAnsi="宋体" w:cs="宋体" w:eastAsia="宋体" w:hint="default"/>
        </w:rPr>
        <w:t>2048</w:t>
      </w:r>
      <w:r>
        <w:rPr>
          <w:rFonts w:ascii="宋体" w:hAnsi="宋体" w:cs="宋体" w:eastAsia="宋体" w:hint="default"/>
          <w:spacing w:val="-48"/>
        </w:rPr>
        <w:t> </w:t>
      </w:r>
      <w:r>
        <w:rPr/>
        <w:t>号验资报告予</w:t>
      </w:r>
    </w:p>
    <w:p>
      <w:pPr>
        <w:pStyle w:val="Heading3"/>
        <w:spacing w:line="355" w:lineRule="auto"/>
        <w:ind w:right="581"/>
        <w:jc w:val="left"/>
      </w:pPr>
      <w:r>
        <w:rPr/>
        <w:t>以验证，变更后的注册资本为</w:t>
      </w:r>
      <w:r>
        <w:rPr>
          <w:spacing w:val="-67"/>
        </w:rPr>
        <w:t> </w:t>
      </w:r>
      <w:r>
        <w:rPr>
          <w:rFonts w:ascii="宋体" w:hAnsi="宋体" w:cs="宋体" w:eastAsia="宋体" w:hint="default"/>
        </w:rPr>
        <w:t>53,760</w:t>
      </w:r>
      <w:r>
        <w:rPr>
          <w:rFonts w:ascii="宋体" w:hAnsi="宋体" w:cs="宋体" w:eastAsia="宋体" w:hint="default"/>
          <w:spacing w:val="-67"/>
        </w:rPr>
        <w:t> </w:t>
      </w:r>
      <w:r>
        <w:rPr/>
        <w:t>万元，本公司出资</w:t>
      </w:r>
      <w:r>
        <w:rPr>
          <w:spacing w:val="-67"/>
        </w:rPr>
        <w:t> </w:t>
      </w:r>
      <w:r>
        <w:rPr>
          <w:rFonts w:ascii="宋体" w:hAnsi="宋体" w:cs="宋体" w:eastAsia="宋体" w:hint="default"/>
        </w:rPr>
        <w:t>2,800</w:t>
      </w:r>
      <w:r>
        <w:rPr>
          <w:rFonts w:ascii="宋体" w:hAnsi="宋体" w:cs="宋体" w:eastAsia="宋体" w:hint="default"/>
          <w:spacing w:val="-67"/>
        </w:rPr>
        <w:t> </w:t>
      </w:r>
      <w:r>
        <w:rPr/>
        <w:t>万元，占变更后股本总额的</w:t>
      </w:r>
      <w:r>
        <w:rPr>
          <w:spacing w:val="-67"/>
        </w:rPr>
        <w:t> </w:t>
      </w:r>
      <w:r>
        <w:rPr>
          <w:rFonts w:ascii="宋体" w:hAnsi="宋体" w:cs="宋体" w:eastAsia="宋体" w:hint="default"/>
        </w:rPr>
        <w:t>5.2083%</w:t>
      </w:r>
      <w:r>
        <w:rPr/>
        <w:t>； </w:t>
      </w:r>
      <w:r>
        <w:rPr>
          <w:rFonts w:ascii="宋体" w:hAnsi="宋体" w:cs="宋体" w:eastAsia="宋体" w:hint="default"/>
        </w:rPr>
        <w:t>2010</w:t>
      </w:r>
      <w:r>
        <w:rPr>
          <w:rFonts w:ascii="宋体" w:hAnsi="宋体" w:cs="宋体" w:eastAsia="宋体" w:hint="default"/>
          <w:spacing w:val="20"/>
        </w:rPr>
        <w:t> </w:t>
      </w:r>
      <w:r>
        <w:rPr>
          <w:spacing w:val="17"/>
        </w:rPr>
        <w:t>年该公司实现收入</w:t>
      </w:r>
      <w:r>
        <w:rPr>
          <w:spacing w:val="21"/>
        </w:rPr>
        <w:t> </w:t>
      </w:r>
      <w:r>
        <w:rPr>
          <w:rFonts w:ascii="宋体" w:hAnsi="宋体" w:cs="宋体" w:eastAsia="宋体" w:hint="default"/>
        </w:rPr>
        <w:t>481,895,538.71</w:t>
      </w:r>
      <w:r>
        <w:rPr>
          <w:rFonts w:ascii="宋体" w:hAnsi="宋体" w:cs="宋体" w:eastAsia="宋体" w:hint="default"/>
          <w:spacing w:val="23"/>
        </w:rPr>
        <w:t> </w:t>
      </w:r>
      <w:r>
        <w:rPr>
          <w:spacing w:val="15"/>
        </w:rPr>
        <w:t>元，净利润</w:t>
      </w:r>
      <w:r>
        <w:rPr>
          <w:spacing w:val="21"/>
        </w:rPr>
        <w:t> </w:t>
      </w:r>
      <w:r>
        <w:rPr>
          <w:rFonts w:ascii="宋体" w:hAnsi="宋体" w:cs="宋体" w:eastAsia="宋体" w:hint="default"/>
        </w:rPr>
        <w:t>171,875,462.41</w:t>
      </w:r>
      <w:r>
        <w:rPr>
          <w:rFonts w:ascii="宋体" w:hAnsi="宋体" w:cs="宋体" w:eastAsia="宋体" w:hint="default"/>
          <w:spacing w:val="20"/>
        </w:rPr>
        <w:t> </w:t>
      </w:r>
      <w:r>
        <w:rPr>
          <w:spacing w:val="9"/>
        </w:rPr>
        <w:t>元，</w:t>
      </w:r>
      <w:r>
        <w:rPr>
          <w:spacing w:val="-99"/>
        </w:rPr>
        <w:t> </w:t>
      </w:r>
      <w:r>
        <w:rPr>
          <w:spacing w:val="16"/>
        </w:rPr>
        <w:t>公司净资产总额为</w:t>
      </w:r>
    </w:p>
    <w:p>
      <w:pPr>
        <w:pStyle w:val="Heading3"/>
        <w:spacing w:line="240" w:lineRule="auto" w:before="38"/>
        <w:ind w:right="0"/>
        <w:jc w:val="left"/>
      </w:pPr>
      <w:r>
        <w:rPr>
          <w:rFonts w:ascii="宋体" w:hAnsi="宋体" w:cs="宋体" w:eastAsia="宋体" w:hint="default"/>
        </w:rPr>
        <w:t>1,212,582,393.10</w:t>
      </w:r>
      <w:r>
        <w:rPr>
          <w:rFonts w:ascii="宋体" w:hAnsi="宋体" w:cs="宋体" w:eastAsia="宋体" w:hint="default"/>
          <w:spacing w:val="-60"/>
        </w:rPr>
        <w:t> </w:t>
      </w:r>
      <w:r>
        <w:rPr/>
        <w:t>元。</w:t>
      </w:r>
    </w:p>
    <w:p>
      <w:pPr>
        <w:pStyle w:val="Heading3"/>
        <w:spacing w:line="240" w:lineRule="auto" w:before="151"/>
        <w:ind w:left="620" w:right="0"/>
        <w:jc w:val="left"/>
      </w:pPr>
      <w:r>
        <w:rPr/>
        <w:t>（</w:t>
      </w:r>
      <w:r>
        <w:rPr>
          <w:rFonts w:ascii="宋体" w:hAnsi="宋体" w:cs="宋体" w:eastAsia="宋体" w:hint="default"/>
        </w:rPr>
        <w:t>9</w:t>
      </w:r>
      <w:r>
        <w:rPr>
          <w:spacing w:val="-108"/>
        </w:rPr>
        <w:t>）</w:t>
      </w:r>
      <w:r>
        <w:rPr/>
        <w:t>吉林环境能源交易所有限公司是本公司</w:t>
      </w:r>
      <w:r>
        <w:rPr>
          <w:spacing w:val="-60"/>
        </w:rPr>
        <w:t> </w:t>
      </w:r>
      <w:r>
        <w:rPr>
          <w:rFonts w:ascii="宋体" w:hAnsi="宋体" w:cs="宋体" w:eastAsia="宋体" w:hint="default"/>
        </w:rPr>
        <w:t>2010</w:t>
      </w:r>
      <w:r>
        <w:rPr>
          <w:rFonts w:ascii="宋体" w:hAnsi="宋体" w:cs="宋体" w:eastAsia="宋体" w:hint="default"/>
          <w:spacing w:val="-60"/>
        </w:rPr>
        <w:t> </w:t>
      </w:r>
      <w:r>
        <w:rPr/>
        <w:t>年投资入股成立的公司</w:t>
      </w:r>
      <w:r>
        <w:rPr>
          <w:spacing w:val="-108"/>
        </w:rPr>
        <w:t>。</w:t>
      </w:r>
      <w:r>
        <w:rPr/>
        <w:t>注册资本</w:t>
      </w:r>
      <w:r>
        <w:rPr>
          <w:spacing w:val="-60"/>
        </w:rPr>
        <w:t> </w:t>
      </w:r>
      <w:r>
        <w:rPr>
          <w:rFonts w:ascii="宋体" w:hAnsi="宋体" w:cs="宋体" w:eastAsia="宋体" w:hint="default"/>
        </w:rPr>
        <w:t>2,000</w:t>
      </w:r>
      <w:r>
        <w:rPr>
          <w:rFonts w:ascii="宋体" w:hAnsi="宋体" w:cs="宋体" w:eastAsia="宋体" w:hint="default"/>
          <w:spacing w:val="-60"/>
        </w:rPr>
        <w:t> </w:t>
      </w:r>
      <w:r>
        <w:rPr/>
        <w:t>万元，</w:t>
      </w:r>
    </w:p>
    <w:p>
      <w:pPr>
        <w:pStyle w:val="Heading3"/>
        <w:spacing w:line="355" w:lineRule="auto"/>
        <w:ind w:right="702"/>
        <w:jc w:val="left"/>
      </w:pPr>
      <w:r>
        <w:rPr/>
        <w:t>本公司出资</w:t>
      </w:r>
      <w:r>
        <w:rPr>
          <w:spacing w:val="-65"/>
        </w:rPr>
        <w:t> </w:t>
      </w:r>
      <w:r>
        <w:rPr>
          <w:rFonts w:ascii="宋体" w:hAnsi="宋体" w:cs="宋体" w:eastAsia="宋体" w:hint="default"/>
        </w:rPr>
        <w:t>300</w:t>
      </w:r>
      <w:r>
        <w:rPr>
          <w:rFonts w:ascii="宋体" w:hAnsi="宋体" w:cs="宋体" w:eastAsia="宋体" w:hint="default"/>
          <w:spacing w:val="-66"/>
        </w:rPr>
        <w:t> </w:t>
      </w:r>
      <w:r>
        <w:rPr/>
        <w:t>万元，占其注册资本总额的</w:t>
      </w:r>
      <w:r>
        <w:rPr>
          <w:spacing w:val="-65"/>
        </w:rPr>
        <w:t> </w:t>
      </w:r>
      <w:r>
        <w:rPr>
          <w:rFonts w:ascii="宋体" w:hAnsi="宋体" w:cs="宋体" w:eastAsia="宋体" w:hint="default"/>
        </w:rPr>
        <w:t>15%,</w:t>
      </w:r>
      <w:r>
        <w:rPr/>
        <w:t>公司首次出资</w:t>
      </w:r>
      <w:r>
        <w:rPr>
          <w:spacing w:val="-65"/>
        </w:rPr>
        <w:t> </w:t>
      </w:r>
      <w:r>
        <w:rPr>
          <w:rFonts w:ascii="宋体" w:hAnsi="宋体" w:cs="宋体" w:eastAsia="宋体" w:hint="default"/>
        </w:rPr>
        <w:t>60</w:t>
      </w:r>
      <w:r>
        <w:rPr>
          <w:rFonts w:ascii="宋体" w:hAnsi="宋体" w:cs="宋体" w:eastAsia="宋体" w:hint="default"/>
          <w:spacing w:val="-65"/>
        </w:rPr>
        <w:t> </w:t>
      </w:r>
      <w:r>
        <w:rPr/>
        <w:t>万元，占其首次出资总额</w:t>
      </w:r>
      <w:r>
        <w:rPr>
          <w:spacing w:val="-65"/>
        </w:rPr>
        <w:t> </w:t>
      </w:r>
      <w:r>
        <w:rPr>
          <w:rFonts w:ascii="宋体" w:hAnsi="宋体" w:cs="宋体" w:eastAsia="宋体" w:hint="default"/>
        </w:rPr>
        <w:t>400</w:t>
      </w:r>
      <w:r>
        <w:rPr>
          <w:rFonts w:ascii="宋体" w:hAnsi="宋体" w:cs="宋体" w:eastAsia="宋体" w:hint="default"/>
          <w:spacing w:val="-65"/>
        </w:rPr>
        <w:t> </w:t>
      </w:r>
      <w:r>
        <w:rPr/>
        <w:t>万元 </w:t>
      </w:r>
      <w:r>
        <w:rPr>
          <w:rFonts w:ascii="宋体" w:hAnsi="宋体" w:cs="宋体" w:eastAsia="宋体" w:hint="default"/>
        </w:rPr>
        <w:t>15%</w:t>
      </w:r>
      <w:r>
        <w:rPr/>
        <w:t>。</w:t>
      </w:r>
    </w:p>
    <w:p>
      <w:pPr>
        <w:pStyle w:val="Heading2"/>
        <w:spacing w:line="240" w:lineRule="auto" w:before="38"/>
        <w:ind w:left="560" w:right="0"/>
        <w:jc w:val="left"/>
        <w:rPr>
          <w:b w:val="0"/>
          <w:bCs w:val="0"/>
        </w:rPr>
      </w:pPr>
      <w:r>
        <w:rPr/>
        <w:t>二、报告期内公司投资情况</w:t>
      </w:r>
      <w:r>
        <w:rPr>
          <w:b w:val="0"/>
          <w:bCs w:val="0"/>
        </w:rPr>
      </w:r>
    </w:p>
    <w:p>
      <w:pPr>
        <w:pStyle w:val="Heading3"/>
        <w:spacing w:line="357" w:lineRule="auto" w:before="152"/>
        <w:ind w:right="713" w:firstLine="480"/>
        <w:jc w:val="both"/>
      </w:pPr>
      <w:r>
        <w:rPr>
          <w:spacing w:val="-3"/>
        </w:rPr>
        <w:t>（一）公司第四届董事会第五次会议，审议通过了关于本次向特定对象非公开发行股票方案的相</w:t>
      </w:r>
      <w:r>
        <w:rPr/>
        <w:t> 关议案。并经公司</w:t>
      </w:r>
      <w:r>
        <w:rPr>
          <w:spacing w:val="-72"/>
        </w:rPr>
        <w:t> </w:t>
      </w:r>
      <w:r>
        <w:rPr>
          <w:rFonts w:ascii="宋体" w:hAnsi="宋体" w:cs="宋体" w:eastAsia="宋体" w:hint="default"/>
        </w:rPr>
        <w:t>2010</w:t>
      </w:r>
      <w:r>
        <w:rPr>
          <w:rFonts w:ascii="宋体" w:hAnsi="宋体" w:cs="宋体" w:eastAsia="宋体" w:hint="default"/>
          <w:spacing w:val="-71"/>
        </w:rPr>
        <w:t> </w:t>
      </w:r>
      <w:r>
        <w:rPr/>
        <w:t>年度第二次临时股东大会表决通过。经中国证监会证监许可【</w:t>
      </w:r>
      <w:r>
        <w:rPr>
          <w:rFonts w:ascii="宋体" w:hAnsi="宋体" w:cs="宋体" w:eastAsia="宋体" w:hint="default"/>
        </w:rPr>
        <w:t>2010</w:t>
      </w:r>
      <w:r>
        <w:rPr/>
        <w:t>】</w:t>
      </w:r>
      <w:r>
        <w:rPr>
          <w:rFonts w:ascii="宋体" w:hAnsi="宋体" w:cs="宋体" w:eastAsia="宋体" w:hint="default"/>
        </w:rPr>
        <w:t>1815</w:t>
      </w:r>
      <w:r>
        <w:rPr>
          <w:rFonts w:ascii="宋体" w:hAnsi="宋体" w:cs="宋体" w:eastAsia="宋体" w:hint="default"/>
          <w:spacing w:val="-71"/>
        </w:rPr>
        <w:t> </w:t>
      </w:r>
      <w:r>
        <w:rPr/>
        <w:t>号 </w:t>
      </w:r>
      <w:r>
        <w:rPr>
          <w:spacing w:val="-3"/>
        </w:rPr>
        <w:t>文件核准，公司向</w:t>
      </w:r>
      <w:r>
        <w:rPr>
          <w:spacing w:val="-71"/>
        </w:rPr>
        <w:t> </w:t>
      </w:r>
      <w:r>
        <w:rPr>
          <w:rFonts w:ascii="宋体" w:hAnsi="宋体" w:cs="宋体" w:eastAsia="宋体" w:hint="default"/>
        </w:rPr>
        <w:t>6</w:t>
      </w:r>
      <w:r>
        <w:rPr>
          <w:rFonts w:ascii="宋体" w:hAnsi="宋体" w:cs="宋体" w:eastAsia="宋体" w:hint="default"/>
          <w:spacing w:val="-71"/>
        </w:rPr>
        <w:t> </w:t>
      </w:r>
      <w:r>
        <w:rPr/>
        <w:t>位特定投资者非公开发行人民币普通股（</w:t>
      </w:r>
      <w:r>
        <w:rPr>
          <w:rFonts w:ascii="宋体" w:hAnsi="宋体" w:cs="宋体" w:eastAsia="宋体" w:hint="default"/>
        </w:rPr>
        <w:t>A</w:t>
      </w:r>
      <w:r>
        <w:rPr>
          <w:rFonts w:ascii="宋体" w:hAnsi="宋体" w:cs="宋体" w:eastAsia="宋体" w:hint="default"/>
          <w:spacing w:val="-71"/>
        </w:rPr>
        <w:t> </w:t>
      </w:r>
      <w:r>
        <w:rPr/>
        <w:t>股）</w:t>
      </w:r>
      <w:r>
        <w:rPr>
          <w:rFonts w:ascii="宋体" w:hAnsi="宋体" w:cs="宋体" w:eastAsia="宋体" w:hint="default"/>
        </w:rPr>
        <w:t>4,987.5311</w:t>
      </w:r>
      <w:r>
        <w:rPr>
          <w:rFonts w:ascii="宋体" w:hAnsi="宋体" w:cs="宋体" w:eastAsia="宋体" w:hint="default"/>
          <w:spacing w:val="-71"/>
        </w:rPr>
        <w:t> </w:t>
      </w:r>
      <w:r>
        <w:rPr>
          <w:spacing w:val="-3"/>
        </w:rPr>
        <w:t>万股，每股面值为人</w:t>
      </w:r>
      <w:r>
        <w:rPr/>
        <w:t> 民币</w:t>
      </w:r>
      <w:r>
        <w:rPr>
          <w:spacing w:val="-55"/>
        </w:rPr>
        <w:t> </w:t>
      </w:r>
      <w:r>
        <w:rPr>
          <w:rFonts w:ascii="宋体" w:hAnsi="宋体" w:cs="宋体" w:eastAsia="宋体" w:hint="default"/>
        </w:rPr>
        <w:t>1.00</w:t>
      </w:r>
      <w:r>
        <w:rPr>
          <w:rFonts w:ascii="宋体" w:hAnsi="宋体" w:cs="宋体" w:eastAsia="宋体" w:hint="default"/>
          <w:spacing w:val="-56"/>
        </w:rPr>
        <w:t> </w:t>
      </w:r>
      <w:r>
        <w:rPr/>
        <w:t>元、每股发行价格为人民币</w:t>
      </w:r>
      <w:r>
        <w:rPr>
          <w:spacing w:val="-55"/>
        </w:rPr>
        <w:t> </w:t>
      </w:r>
      <w:r>
        <w:rPr>
          <w:rFonts w:ascii="宋体" w:hAnsi="宋体" w:cs="宋体" w:eastAsia="宋体" w:hint="default"/>
        </w:rPr>
        <w:t>20.05</w:t>
      </w:r>
      <w:r>
        <w:rPr>
          <w:rFonts w:ascii="宋体" w:hAnsi="宋体" w:cs="宋体" w:eastAsia="宋体" w:hint="default"/>
          <w:spacing w:val="-56"/>
        </w:rPr>
        <w:t> </w:t>
      </w:r>
      <w:r>
        <w:rPr/>
        <w:t>元。募集资金总额为</w:t>
      </w:r>
      <w:r>
        <w:rPr>
          <w:spacing w:val="-55"/>
        </w:rPr>
        <w:t> </w:t>
      </w:r>
      <w:r>
        <w:rPr>
          <w:rFonts w:ascii="宋体" w:hAnsi="宋体" w:cs="宋体" w:eastAsia="宋体" w:hint="default"/>
        </w:rPr>
        <w:t>99,999.998555</w:t>
      </w:r>
      <w:r>
        <w:rPr>
          <w:rFonts w:ascii="宋体" w:hAnsi="宋体" w:cs="宋体" w:eastAsia="宋体" w:hint="default"/>
          <w:spacing w:val="-55"/>
        </w:rPr>
        <w:t> </w:t>
      </w:r>
      <w:r>
        <w:rPr/>
        <w:t>万元，扣除发行费</w:t>
      </w:r>
    </w:p>
    <w:p>
      <w:pPr>
        <w:pStyle w:val="Heading3"/>
        <w:spacing w:line="355" w:lineRule="auto" w:before="36"/>
        <w:ind w:right="702"/>
        <w:jc w:val="left"/>
      </w:pPr>
      <w:r>
        <w:rPr/>
        <w:t>用</w:t>
      </w:r>
      <w:r>
        <w:rPr>
          <w:spacing w:val="-54"/>
        </w:rPr>
        <w:t> </w:t>
      </w:r>
      <w:r>
        <w:rPr>
          <w:rFonts w:ascii="宋体" w:hAnsi="宋体" w:cs="宋体" w:eastAsia="宋体" w:hint="default"/>
        </w:rPr>
        <w:t>1,354.987531</w:t>
      </w:r>
      <w:r>
        <w:rPr>
          <w:rFonts w:ascii="宋体" w:hAnsi="宋体" w:cs="宋体" w:eastAsia="宋体" w:hint="default"/>
          <w:spacing w:val="-54"/>
        </w:rPr>
        <w:t> </w:t>
      </w:r>
      <w:r>
        <w:rPr/>
        <w:t>万元，募集资金净额为</w:t>
      </w:r>
      <w:r>
        <w:rPr>
          <w:spacing w:val="-54"/>
        </w:rPr>
        <w:t> </w:t>
      </w:r>
      <w:r>
        <w:rPr>
          <w:rFonts w:ascii="宋体" w:hAnsi="宋体" w:cs="宋体" w:eastAsia="宋体" w:hint="default"/>
        </w:rPr>
        <w:t>98,645.011024</w:t>
      </w:r>
      <w:r>
        <w:rPr>
          <w:rFonts w:ascii="宋体" w:hAnsi="宋体" w:cs="宋体" w:eastAsia="宋体" w:hint="default"/>
          <w:spacing w:val="-54"/>
        </w:rPr>
        <w:t> </w:t>
      </w:r>
      <w:r>
        <w:rPr/>
        <w:t>万元。本次发行的募集资金将投资于四个人 </w:t>
      </w:r>
      <w:r>
        <w:rPr>
          <w:spacing w:val="-3"/>
        </w:rPr>
        <w:t>参产品系列化项目，在吉林省人参主产区延吉市、敦化市、通化市、磐石市分别建设四个人参生产加</w:t>
      </w:r>
    </w:p>
    <w:p>
      <w:pPr>
        <w:spacing w:after="0" w:line="355" w:lineRule="auto"/>
        <w:jc w:val="left"/>
        <w:sectPr>
          <w:pgSz w:w="11910" w:h="16840"/>
          <w:pgMar w:header="720" w:footer="956" w:top="1300" w:bottom="1140" w:left="580" w:right="0"/>
        </w:sectPr>
      </w:pPr>
    </w:p>
    <w:p>
      <w:pPr>
        <w:pStyle w:val="Heading3"/>
        <w:spacing w:line="355" w:lineRule="auto" w:before="13"/>
        <w:ind w:right="591"/>
        <w:jc w:val="left"/>
      </w:pPr>
      <w:r>
        <w:rPr/>
        <w:pict>
          <v:group style="position:absolute;margin-left:34.560001pt;margin-top:2.305654pt;width:508.3pt;height:.1pt;mso-position-horizontal-relative:page;mso-position-vertical-relative:paragraph;z-index:-534352" coordorigin="691,46" coordsize="10166,2">
            <v:shape style="position:absolute;left:691;top:46;width:10166;height:2" coordorigin="691,46" coordsize="10166,0" path="m691,46l10857,46e" filled="false" stroked="true" strokeweight=".72pt" strokecolor="#000000">
              <v:path arrowok="t"/>
            </v:shape>
            <w10:wrap type="none"/>
          </v:group>
        </w:pict>
      </w:r>
      <w:r>
        <w:rPr>
          <w:spacing w:val="-5"/>
        </w:rPr>
        <w:t>工基地，从事人参的深加工和精加工，主要生产品种将增加生晒参、大力参、模压红参、相关中成药、</w:t>
      </w:r>
      <w:r>
        <w:rPr>
          <w:spacing w:val="-115"/>
        </w:rPr>
        <w:t> </w:t>
      </w:r>
      <w:r>
        <w:rPr>
          <w:spacing w:val="-115"/>
        </w:rPr>
      </w:r>
      <w:r>
        <w:rPr/>
        <w:t>人参酵素饮料等；</w:t>
      </w:r>
    </w:p>
    <w:p>
      <w:pPr>
        <w:pStyle w:val="Heading3"/>
        <w:spacing w:line="240" w:lineRule="auto" w:before="38"/>
        <w:ind w:left="620" w:right="0"/>
        <w:jc w:val="left"/>
      </w:pPr>
      <w:r>
        <w:rPr>
          <w:spacing w:val="-4"/>
        </w:rPr>
        <w:t>（二）根据本公司</w:t>
      </w:r>
      <w:r>
        <w:rPr>
          <w:spacing w:val="-59"/>
        </w:rPr>
        <w:t> </w:t>
      </w:r>
      <w:r>
        <w:rPr>
          <w:rFonts w:ascii="宋体" w:hAnsi="宋体" w:cs="宋体" w:eastAsia="宋体" w:hint="default"/>
        </w:rPr>
        <w:t>2009</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rPr>
        <w:t>18</w:t>
      </w:r>
      <w:r>
        <w:rPr>
          <w:rFonts w:ascii="宋体" w:hAnsi="宋体" w:cs="宋体" w:eastAsia="宋体" w:hint="default"/>
          <w:spacing w:val="-58"/>
        </w:rPr>
        <w:t> </w:t>
      </w:r>
      <w:r>
        <w:rPr>
          <w:spacing w:val="-3"/>
        </w:rPr>
        <w:t>日第三届董事会第十八次会议决议，审议通过了《关于注销子</w:t>
      </w:r>
    </w:p>
    <w:p>
      <w:pPr>
        <w:pStyle w:val="Heading3"/>
        <w:spacing w:line="357" w:lineRule="auto" w:before="151"/>
        <w:ind w:right="707"/>
        <w:jc w:val="left"/>
      </w:pPr>
      <w:r>
        <w:rPr>
          <w:spacing w:val="-7"/>
        </w:rPr>
        <w:t>公司融安科工贸有限公司的议案》。截至</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2"/>
        </w:rPr>
        <w:t> </w:t>
      </w:r>
      <w:r>
        <w:rPr>
          <w:rFonts w:ascii="宋体" w:hAnsi="宋体" w:cs="宋体" w:eastAsia="宋体" w:hint="default"/>
        </w:rPr>
        <w:t>30</w:t>
      </w:r>
      <w:r>
        <w:rPr>
          <w:rFonts w:ascii="宋体" w:hAnsi="宋体" w:cs="宋体" w:eastAsia="宋体" w:hint="default"/>
          <w:spacing w:val="-53"/>
        </w:rPr>
        <w:t> </w:t>
      </w:r>
      <w:r>
        <w:rPr>
          <w:spacing w:val="-1"/>
        </w:rPr>
        <w:t>日止融安公司的注销手续已办理完毕。因此</w:t>
      </w:r>
      <w:r>
        <w:rPr/>
        <w:t> 将吉林融安科工贸有限公司有关资产负债并入母公司核算。</w:t>
      </w:r>
    </w:p>
    <w:p>
      <w:pPr>
        <w:pStyle w:val="Heading3"/>
        <w:spacing w:line="357" w:lineRule="auto" w:before="34"/>
        <w:ind w:right="743" w:firstLine="420"/>
        <w:jc w:val="both"/>
      </w:pPr>
      <w:r>
        <w:rPr/>
        <w:t>（三）根据本公司</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23</w:t>
      </w:r>
      <w:r>
        <w:rPr/>
        <w:t>日第三届董事会第二十二次会议决议，审议通过了《关于向子公 </w:t>
      </w:r>
      <w:r>
        <w:rPr>
          <w:spacing w:val="-3"/>
        </w:rPr>
        <w:t>司草还丹药业增资的议案》，草还丹药业原注册资本</w:t>
      </w:r>
      <w:r>
        <w:rPr>
          <w:rFonts w:ascii="宋体" w:hAnsi="宋体" w:cs="宋体" w:eastAsia="宋体" w:hint="default"/>
          <w:spacing w:val="-3"/>
        </w:rPr>
        <w:t>1,400</w:t>
      </w:r>
      <w:r>
        <w:rPr>
          <w:spacing w:val="-3"/>
        </w:rPr>
        <w:t>万元，增资</w:t>
      </w:r>
      <w:r>
        <w:rPr>
          <w:rFonts w:ascii="宋体" w:hAnsi="宋体" w:cs="宋体" w:eastAsia="宋体" w:hint="default"/>
          <w:spacing w:val="-3"/>
        </w:rPr>
        <w:t>3,600</w:t>
      </w:r>
      <w:r>
        <w:rPr>
          <w:spacing w:val="-3"/>
        </w:rPr>
        <w:t>万元。增资后仍为本公司</w:t>
      </w:r>
      <w:r>
        <w:rPr>
          <w:spacing w:val="-92"/>
        </w:rPr>
        <w:t> </w:t>
      </w:r>
      <w:r>
        <w:rPr/>
        <w:t>的全资子公司，注册资本为</w:t>
      </w:r>
      <w:r>
        <w:rPr>
          <w:rFonts w:ascii="宋体" w:hAnsi="宋体" w:cs="宋体" w:eastAsia="宋体" w:hint="default"/>
        </w:rPr>
        <w:t>5,000</w:t>
      </w:r>
      <w:r>
        <w:rPr/>
        <w:t>万元；</w:t>
      </w:r>
    </w:p>
    <w:p>
      <w:pPr>
        <w:pStyle w:val="Heading3"/>
        <w:spacing w:line="357" w:lineRule="auto" w:before="37"/>
        <w:ind w:right="716" w:firstLine="420"/>
        <w:jc w:val="left"/>
      </w:pPr>
      <w:r>
        <w:rPr/>
        <w:t>（四）根据本公司</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10</w:t>
      </w:r>
      <w:r>
        <w:rPr/>
        <w:t>日第四届董事会第四次会议决议，审议通过了《关于成立吉林紫 </w:t>
      </w:r>
      <w:r>
        <w:rPr>
          <w:spacing w:val="-5"/>
        </w:rPr>
        <w:t>鑫般若药业有限公司的议案》，公司以自有资金</w:t>
      </w:r>
      <w:r>
        <w:rPr>
          <w:rFonts w:ascii="宋体" w:hAnsi="宋体" w:cs="宋体" w:eastAsia="宋体" w:hint="default"/>
          <w:spacing w:val="-5"/>
        </w:rPr>
        <w:t>2,000</w:t>
      </w:r>
      <w:r>
        <w:rPr>
          <w:spacing w:val="-5"/>
        </w:rPr>
        <w:t>万元在吉林省磐石市出资设立全资子公司——吉</w:t>
      </w:r>
      <w:r>
        <w:rPr>
          <w:spacing w:val="-97"/>
        </w:rPr>
        <w:t> </w:t>
      </w:r>
      <w:r>
        <w:rPr>
          <w:spacing w:val="-97"/>
        </w:rPr>
      </w:r>
      <w:r>
        <w:rPr>
          <w:spacing w:val="-3"/>
        </w:rPr>
        <w:t>林紫鑫般若药业有限公司。审议通过了《关于成立吉林紫鑫初元药业有限公司的议案》，公司以自有</w:t>
      </w:r>
      <w:r>
        <w:rPr>
          <w:spacing w:val="-106"/>
        </w:rPr>
        <w:t> </w:t>
      </w:r>
      <w:r>
        <w:rPr>
          <w:spacing w:val="-106"/>
        </w:rPr>
      </w:r>
      <w:r>
        <w:rPr/>
        <w:t>资金</w:t>
      </w:r>
      <w:r>
        <w:rPr>
          <w:rFonts w:ascii="宋体" w:hAnsi="宋体" w:cs="宋体" w:eastAsia="宋体" w:hint="default"/>
        </w:rPr>
        <w:t>2,000</w:t>
      </w:r>
      <w:r>
        <w:rPr/>
        <w:t>万元在吉林省延吉市设立全资子公司</w:t>
      </w:r>
      <w:r>
        <w:rPr>
          <w:rFonts w:ascii="宋体" w:hAnsi="宋体" w:cs="宋体" w:eastAsia="宋体" w:hint="default"/>
        </w:rPr>
        <w:t>-</w:t>
      </w:r>
      <w:r>
        <w:rPr/>
        <w:t>吉林紫鑫初元药业有限公司；</w:t>
      </w:r>
    </w:p>
    <w:p>
      <w:pPr>
        <w:pStyle w:val="Heading3"/>
        <w:spacing w:line="357" w:lineRule="auto" w:before="34"/>
        <w:ind w:right="716" w:firstLine="420"/>
        <w:jc w:val="both"/>
      </w:pPr>
      <w:r>
        <w:rPr>
          <w:spacing w:val="-4"/>
        </w:rPr>
        <w:t>（五）根据本公司</w:t>
      </w:r>
      <w:r>
        <w:rPr>
          <w:rFonts w:ascii="宋体" w:hAnsi="宋体" w:cs="宋体" w:eastAsia="宋体" w:hint="default"/>
          <w:spacing w:val="-4"/>
        </w:rPr>
        <w:t>2010</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12</w:t>
      </w:r>
      <w:r>
        <w:rPr>
          <w:spacing w:val="-4"/>
        </w:rPr>
        <w:t>日第四届董事会第六次会议决议，《关于成立吉林紫鑫药物研究有</w:t>
      </w:r>
      <w:r>
        <w:rPr/>
        <w:t> </w:t>
      </w:r>
      <w:r>
        <w:rPr>
          <w:spacing w:val="-3"/>
        </w:rPr>
        <w:t>限公司的议案》，公司以自有资金</w:t>
      </w:r>
      <w:r>
        <w:rPr>
          <w:rFonts w:ascii="宋体" w:hAnsi="宋体" w:cs="宋体" w:eastAsia="宋体" w:hint="default"/>
          <w:spacing w:val="-3"/>
        </w:rPr>
        <w:t>200</w:t>
      </w:r>
      <w:r>
        <w:rPr>
          <w:spacing w:val="-3"/>
        </w:rPr>
        <w:t>万元在吉林省长春市设立全资子公司</w:t>
      </w:r>
      <w:r>
        <w:rPr>
          <w:rFonts w:ascii="宋体" w:hAnsi="宋体" w:cs="宋体" w:eastAsia="宋体" w:hint="default"/>
          <w:spacing w:val="-3"/>
        </w:rPr>
        <w:t>-</w:t>
      </w:r>
      <w:r>
        <w:rPr>
          <w:spacing w:val="-3"/>
        </w:rPr>
        <w:t>吉林紫鑫药物研究有限公</w:t>
      </w:r>
      <w:r>
        <w:rPr>
          <w:spacing w:val="-101"/>
        </w:rPr>
        <w:t> </w:t>
      </w:r>
      <w:r>
        <w:rPr>
          <w:spacing w:val="-5"/>
        </w:rPr>
        <w:t>司的议案。审议通过了《关于成立吉林紫鑫人参研发有限公司的议案》，公司以自有资金</w:t>
      </w:r>
      <w:r>
        <w:rPr>
          <w:rFonts w:ascii="宋体" w:hAnsi="宋体" w:cs="宋体" w:eastAsia="宋体" w:hint="default"/>
          <w:spacing w:val="-5"/>
        </w:rPr>
        <w:t>200</w:t>
      </w:r>
      <w:r>
        <w:rPr>
          <w:spacing w:val="-5"/>
        </w:rPr>
        <w:t>万元在吉</w:t>
      </w:r>
      <w:r>
        <w:rPr>
          <w:spacing w:val="-104"/>
        </w:rPr>
        <w:t> </w:t>
      </w:r>
      <w:r>
        <w:rPr/>
        <w:t>林省长春市设立全资子公司</w:t>
      </w:r>
      <w:r>
        <w:rPr>
          <w:rFonts w:ascii="宋体" w:hAnsi="宋体" w:cs="宋体" w:eastAsia="宋体" w:hint="default"/>
        </w:rPr>
        <w:t>-</w:t>
      </w:r>
      <w:r>
        <w:rPr/>
        <w:t>吉林紫鑫人参研发有限公司；</w:t>
      </w:r>
    </w:p>
    <w:p>
      <w:pPr>
        <w:pStyle w:val="Heading3"/>
        <w:spacing w:line="357" w:lineRule="auto" w:before="34"/>
        <w:ind w:right="590" w:firstLine="420"/>
        <w:jc w:val="left"/>
      </w:pPr>
      <w:r>
        <w:rPr/>
        <w:t>（六）根据公司</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8</w:t>
      </w:r>
      <w:r>
        <w:rPr/>
        <w:t>日第四届董事会第九次会议决议，审议通过了《关于向吉林环境能 </w:t>
      </w:r>
      <w:r>
        <w:rPr>
          <w:spacing w:val="-5"/>
        </w:rPr>
        <w:t>源交易所有限公司进行股权投资的议案》，公司拟以自有资金认缴其注册资本</w:t>
      </w:r>
      <w:r>
        <w:rPr>
          <w:rFonts w:ascii="宋体" w:hAnsi="宋体" w:cs="宋体" w:eastAsia="宋体" w:hint="default"/>
          <w:spacing w:val="-5"/>
        </w:rPr>
        <w:t>300</w:t>
      </w:r>
      <w:r>
        <w:rPr>
          <w:spacing w:val="-5"/>
        </w:rPr>
        <w:t>万元，占其注册资本</w:t>
      </w:r>
      <w:r>
        <w:rPr>
          <w:spacing w:val="-105"/>
        </w:rPr>
        <w:t> </w:t>
      </w:r>
      <w:r>
        <w:rPr>
          <w:spacing w:val="-105"/>
        </w:rPr>
      </w:r>
      <w:r>
        <w:rPr/>
        <w:t>总额</w:t>
      </w:r>
      <w:r>
        <w:rPr>
          <w:rFonts w:ascii="宋体" w:hAnsi="宋体" w:cs="宋体" w:eastAsia="宋体" w:hint="default"/>
        </w:rPr>
        <w:t>2,000</w:t>
      </w:r>
      <w:r>
        <w:rPr/>
        <w:t>万元的比例为</w:t>
      </w:r>
      <w:r>
        <w:rPr>
          <w:rFonts w:ascii="宋体" w:hAnsi="宋体" w:cs="宋体" w:eastAsia="宋体" w:hint="default"/>
        </w:rPr>
        <w:t>15.00%</w:t>
      </w:r>
      <w:r>
        <w:rPr/>
        <w:t>。根据吉林环境能源交易所有限公司协议和章程的规定，首次出资总 额为</w:t>
      </w:r>
      <w:r>
        <w:rPr>
          <w:rFonts w:ascii="宋体" w:hAnsi="宋体" w:cs="宋体" w:eastAsia="宋体" w:hint="default"/>
        </w:rPr>
        <w:t>400</w:t>
      </w:r>
      <w:r>
        <w:rPr/>
        <w:t>万元，剩余出资</w:t>
      </w:r>
      <w:r>
        <w:rPr>
          <w:rFonts w:ascii="宋体" w:hAnsi="宋体" w:cs="宋体" w:eastAsia="宋体" w:hint="default"/>
        </w:rPr>
        <w:t>1,600</w:t>
      </w:r>
      <w:r>
        <w:rPr/>
        <w:t>万元在</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30</w:t>
      </w:r>
      <w:r>
        <w:rPr/>
        <w:t>日之前缴足。各股东首次出资</w:t>
      </w:r>
      <w:r>
        <w:rPr>
          <w:rFonts w:ascii="宋体" w:hAnsi="宋体" w:cs="宋体" w:eastAsia="宋体" w:hint="default"/>
        </w:rPr>
        <w:t>400</w:t>
      </w:r>
      <w:r>
        <w:rPr/>
        <w:t>万元经吉林金石 </w:t>
      </w:r>
      <w:r>
        <w:rPr>
          <w:spacing w:val="-2"/>
        </w:rPr>
        <w:t>会计师事务所有限责任公司于</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日出具的吉金石验字【</w:t>
      </w:r>
      <w:r>
        <w:rPr>
          <w:rFonts w:ascii="宋体" w:hAnsi="宋体" w:cs="宋体" w:eastAsia="宋体" w:hint="default"/>
          <w:spacing w:val="-2"/>
        </w:rPr>
        <w:t>2010</w:t>
      </w:r>
      <w:r>
        <w:rPr>
          <w:spacing w:val="-2"/>
        </w:rPr>
        <w:t>】第</w:t>
      </w:r>
      <w:r>
        <w:rPr>
          <w:rFonts w:ascii="宋体" w:hAnsi="宋体" w:cs="宋体" w:eastAsia="宋体" w:hint="default"/>
          <w:spacing w:val="-2"/>
        </w:rPr>
        <w:t>113</w:t>
      </w:r>
      <w:r>
        <w:rPr>
          <w:spacing w:val="-2"/>
        </w:rPr>
        <w:t>号验资报告予以验证，</w:t>
      </w:r>
      <w:r>
        <w:rPr>
          <w:spacing w:val="-111"/>
        </w:rPr>
        <w:t> </w:t>
      </w:r>
      <w:r>
        <w:rPr/>
        <w:t>本公司首次出资</w:t>
      </w:r>
      <w:r>
        <w:rPr>
          <w:rFonts w:ascii="宋体" w:hAnsi="宋体" w:cs="宋体" w:eastAsia="宋体" w:hint="default"/>
        </w:rPr>
        <w:t>60</w:t>
      </w:r>
      <w:r>
        <w:rPr/>
        <w:t>万元，占首次认缴注册资本总额</w:t>
      </w:r>
      <w:r>
        <w:rPr>
          <w:rFonts w:ascii="宋体" w:hAnsi="宋体" w:cs="宋体" w:eastAsia="宋体" w:hint="default"/>
        </w:rPr>
        <w:t>400</w:t>
      </w:r>
      <w:r>
        <w:rPr/>
        <w:t>万元的比例为</w:t>
      </w:r>
      <w:r>
        <w:rPr>
          <w:rFonts w:ascii="宋体" w:hAnsi="宋体" w:cs="宋体" w:eastAsia="宋体" w:hint="default"/>
        </w:rPr>
        <w:t>15.00%</w:t>
      </w:r>
      <w:r>
        <w:rPr/>
        <w:t>。</w:t>
      </w:r>
    </w:p>
    <w:p>
      <w:pPr>
        <w:pStyle w:val="Heading2"/>
        <w:spacing w:line="240" w:lineRule="auto" w:before="34"/>
        <w:ind w:left="560" w:right="0"/>
        <w:jc w:val="left"/>
        <w:rPr>
          <w:b w:val="0"/>
          <w:bCs w:val="0"/>
        </w:rPr>
      </w:pPr>
      <w:r>
        <w:rPr/>
        <w:t>三、公司董事会日常工作情况</w:t>
      </w:r>
      <w:r>
        <w:rPr>
          <w:b w:val="0"/>
          <w:bCs w:val="0"/>
        </w:rPr>
      </w:r>
    </w:p>
    <w:p>
      <w:pPr>
        <w:pStyle w:val="Heading3"/>
        <w:spacing w:line="357" w:lineRule="auto"/>
        <w:ind w:left="560" w:right="1266" w:firstLine="2"/>
        <w:jc w:val="left"/>
      </w:pPr>
      <w:r>
        <w:rPr>
          <w:rFonts w:ascii="宋体" w:hAnsi="宋体" w:cs="宋体" w:eastAsia="宋体" w:hint="default"/>
          <w:b/>
          <w:bCs/>
        </w:rPr>
        <w:t>（一）董事会会议情况及决议内容</w:t>
      </w:r>
      <w:r>
        <w:rPr>
          <w:rFonts w:ascii="宋体" w:hAnsi="宋体" w:cs="宋体" w:eastAsia="宋体" w:hint="default"/>
          <w:b/>
          <w:bCs/>
          <w:w w:val="99"/>
        </w:rPr>
        <w:t> </w:t>
      </w:r>
      <w:r>
        <w:rPr/>
        <w:t>报告期内，公司董事会共召开了</w:t>
      </w:r>
      <w:r>
        <w:rPr>
          <w:rFonts w:ascii="宋体" w:hAnsi="宋体" w:cs="宋体" w:eastAsia="宋体" w:hint="default"/>
        </w:rPr>
        <w:t>11</w:t>
      </w:r>
      <w:r>
        <w:rPr/>
        <w:t>次会议，会议情况如下： </w:t>
      </w:r>
      <w:r>
        <w:rPr>
          <w:rFonts w:ascii="宋体" w:hAnsi="宋体" w:cs="宋体" w:eastAsia="宋体" w:hint="default"/>
        </w:rPr>
        <w:t>1</w:t>
      </w:r>
      <w:r>
        <w:rPr/>
        <w:t>、</w:t>
      </w: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1</w:t>
      </w:r>
      <w:r>
        <w:rPr/>
        <w:t>日，公司召开了第三届董事会第二十一次会议，会议审议通过了以下事项：</w:t>
      </w:r>
    </w:p>
    <w:p>
      <w:pPr>
        <w:pStyle w:val="Heading3"/>
        <w:spacing w:line="240" w:lineRule="auto" w:before="34"/>
        <w:ind w:left="560" w:right="0"/>
        <w:jc w:val="left"/>
      </w:pPr>
      <w:r>
        <w:rPr/>
        <w:t>（</w:t>
      </w:r>
      <w:r>
        <w:rPr>
          <w:rFonts w:ascii="宋体" w:hAnsi="宋体" w:cs="宋体" w:eastAsia="宋体" w:hint="default"/>
        </w:rPr>
        <w:t>1</w:t>
      </w:r>
      <w:r>
        <w:rPr/>
        <w:t>）审议通过了《公司</w:t>
      </w:r>
      <w:r>
        <w:rPr>
          <w:rFonts w:ascii="宋体" w:hAnsi="宋体" w:cs="宋体" w:eastAsia="宋体" w:hint="default"/>
        </w:rPr>
        <w:t>2009</w:t>
      </w:r>
      <w:r>
        <w:rPr/>
        <w:t>年年度报告》及其摘要；</w:t>
      </w:r>
    </w:p>
    <w:p>
      <w:pPr>
        <w:pStyle w:val="Heading3"/>
        <w:spacing w:line="240" w:lineRule="auto"/>
        <w:ind w:left="560" w:right="0"/>
        <w:jc w:val="left"/>
      </w:pPr>
      <w:r>
        <w:rPr/>
        <w:t>（</w:t>
      </w:r>
      <w:r>
        <w:rPr>
          <w:rFonts w:ascii="宋体" w:hAnsi="宋体" w:cs="宋体" w:eastAsia="宋体" w:hint="default"/>
        </w:rPr>
        <w:t>2</w:t>
      </w:r>
      <w:r>
        <w:rPr/>
        <w:t>）审议通过了《公</w:t>
      </w:r>
      <w:r>
        <w:rPr>
          <w:spacing w:val="-1"/>
        </w:rPr>
        <w:t>司</w:t>
      </w:r>
      <w:r>
        <w:rPr>
          <w:rFonts w:ascii="宋体" w:hAnsi="宋体" w:cs="宋体" w:eastAsia="宋体" w:hint="default"/>
        </w:rPr>
        <w:t>2009</w:t>
      </w:r>
      <w:r>
        <w:rPr/>
        <w:t>年度董事会工作报告</w:t>
      </w:r>
      <w:r>
        <w:rPr>
          <w:spacing w:val="-120"/>
        </w:rPr>
        <w:t>》</w:t>
      </w:r>
      <w:r>
        <w:rPr/>
        <w:t>；</w:t>
      </w:r>
    </w:p>
    <w:p>
      <w:pPr>
        <w:pStyle w:val="Heading3"/>
        <w:spacing w:line="240" w:lineRule="auto"/>
        <w:ind w:left="560" w:right="0"/>
        <w:jc w:val="left"/>
      </w:pPr>
      <w:r>
        <w:rPr/>
        <w:t>（</w:t>
      </w:r>
      <w:r>
        <w:rPr>
          <w:rFonts w:ascii="宋体" w:hAnsi="宋体" w:cs="宋体" w:eastAsia="宋体" w:hint="default"/>
        </w:rPr>
        <w:t>3</w:t>
      </w:r>
      <w:r>
        <w:rPr/>
        <w:t>）审议通过了</w:t>
      </w:r>
      <w:r>
        <w:rPr>
          <w:spacing w:val="-1"/>
        </w:rPr>
        <w:t>《</w:t>
      </w:r>
      <w:r>
        <w:rPr>
          <w:rFonts w:ascii="宋体" w:hAnsi="宋体" w:cs="宋体" w:eastAsia="宋体" w:hint="default"/>
        </w:rPr>
        <w:t>2009</w:t>
      </w:r>
      <w:r>
        <w:rPr/>
        <w:t>年总经理工作报告和</w:t>
      </w:r>
      <w:r>
        <w:rPr>
          <w:rFonts w:ascii="宋体" w:hAnsi="宋体" w:cs="宋体" w:eastAsia="宋体" w:hint="default"/>
        </w:rPr>
        <w:t>2010</w:t>
      </w:r>
      <w:r>
        <w:rPr/>
        <w:t>年经营计划</w:t>
      </w:r>
      <w:r>
        <w:rPr>
          <w:spacing w:val="-120"/>
        </w:rPr>
        <w:t>》</w:t>
      </w:r>
      <w:r>
        <w:rPr/>
        <w:t>；</w:t>
      </w:r>
    </w:p>
    <w:p>
      <w:pPr>
        <w:pStyle w:val="Heading3"/>
        <w:spacing w:line="240" w:lineRule="auto" w:before="151"/>
        <w:ind w:left="560" w:right="0"/>
        <w:jc w:val="left"/>
      </w:pPr>
      <w:r>
        <w:rPr/>
        <w:t>（</w:t>
      </w:r>
      <w:r>
        <w:rPr>
          <w:rFonts w:ascii="宋体" w:hAnsi="宋体" w:cs="宋体" w:eastAsia="宋体" w:hint="default"/>
        </w:rPr>
        <w:t>4</w:t>
      </w:r>
      <w:r>
        <w:rPr/>
        <w:t>）审议通过了</w:t>
      </w:r>
      <w:r>
        <w:rPr>
          <w:spacing w:val="-1"/>
        </w:rPr>
        <w:t>《</w:t>
      </w:r>
      <w:r>
        <w:rPr>
          <w:rFonts w:ascii="宋体" w:hAnsi="宋体" w:cs="宋体" w:eastAsia="宋体" w:hint="default"/>
        </w:rPr>
        <w:t>2010</w:t>
      </w:r>
      <w:r>
        <w:rPr/>
        <w:t>年财务预算方案的预案</w:t>
      </w:r>
      <w:r>
        <w:rPr>
          <w:spacing w:val="-120"/>
        </w:rPr>
        <w:t>》</w:t>
      </w:r>
      <w:r>
        <w:rPr/>
        <w:t>；</w:t>
      </w:r>
    </w:p>
    <w:p>
      <w:pPr>
        <w:pStyle w:val="Heading3"/>
        <w:spacing w:line="240" w:lineRule="auto"/>
        <w:ind w:left="560" w:right="0"/>
        <w:jc w:val="left"/>
      </w:pPr>
      <w:r>
        <w:rPr/>
        <w:t>（</w:t>
      </w:r>
      <w:r>
        <w:rPr>
          <w:rFonts w:ascii="宋体" w:hAnsi="宋体" w:cs="宋体" w:eastAsia="宋体" w:hint="default"/>
        </w:rPr>
        <w:t>5</w:t>
      </w:r>
      <w:r>
        <w:rPr/>
        <w:t>）审议通过了</w:t>
      </w:r>
      <w:r>
        <w:rPr>
          <w:spacing w:val="-1"/>
        </w:rPr>
        <w:t>《</w:t>
      </w:r>
      <w:r>
        <w:rPr>
          <w:rFonts w:ascii="宋体" w:hAnsi="宋体" w:cs="宋体" w:eastAsia="宋体" w:hint="default"/>
        </w:rPr>
        <w:t>2009</w:t>
      </w:r>
      <w:r>
        <w:rPr/>
        <w:t>年度利润分配方案的预案</w:t>
      </w:r>
      <w:r>
        <w:rPr>
          <w:spacing w:val="-120"/>
        </w:rPr>
        <w:t>》</w:t>
      </w:r>
      <w:r>
        <w:rPr/>
        <w:t>；</w:t>
      </w:r>
    </w:p>
    <w:p>
      <w:pPr>
        <w:spacing w:after="0" w:line="240" w:lineRule="auto"/>
        <w:jc w:val="left"/>
        <w:sectPr>
          <w:pgSz w:w="11910" w:h="16840"/>
          <w:pgMar w:header="720" w:footer="956" w:top="1300" w:bottom="1140" w:left="580" w:right="0"/>
        </w:sectPr>
      </w:pPr>
    </w:p>
    <w:p>
      <w:pPr>
        <w:pStyle w:val="Heading3"/>
        <w:spacing w:line="240" w:lineRule="auto" w:before="13"/>
        <w:ind w:left="560" w:right="0"/>
        <w:jc w:val="left"/>
      </w:pPr>
      <w:r>
        <w:rPr/>
        <w:pict>
          <v:group style="position:absolute;margin-left:34.560001pt;margin-top:2.305654pt;width:508.3pt;height:.1pt;mso-position-horizontal-relative:page;mso-position-vertical-relative:paragraph;z-index:-534328" coordorigin="691,46" coordsize="10166,2">
            <v:shape style="position:absolute;left:691;top:46;width:10166;height:2" coordorigin="691,46" coordsize="10166,0" path="m691,46l10857,46e" filled="false" stroked="true" strokeweight=".72pt" strokecolor="#000000">
              <v:path arrowok="t"/>
            </v:shape>
            <w10:wrap type="none"/>
          </v:group>
        </w:pict>
      </w:r>
      <w:r>
        <w:rPr/>
        <w:t>（</w:t>
      </w:r>
      <w:r>
        <w:rPr>
          <w:rFonts w:ascii="宋体" w:hAnsi="宋体" w:cs="宋体" w:eastAsia="宋体" w:hint="default"/>
        </w:rPr>
        <w:t>6</w:t>
      </w:r>
      <w:r>
        <w:rPr/>
        <w:t>）审议通过了《关于续聘会计师事务所的议案</w:t>
      </w:r>
      <w:r>
        <w:rPr>
          <w:spacing w:val="-120"/>
        </w:rPr>
        <w:t>》</w:t>
      </w:r>
      <w:r>
        <w:rPr/>
        <w:t>；</w:t>
      </w:r>
    </w:p>
    <w:p>
      <w:pPr>
        <w:pStyle w:val="Heading3"/>
        <w:spacing w:line="240" w:lineRule="auto" w:before="152"/>
        <w:ind w:left="560" w:right="0"/>
        <w:jc w:val="left"/>
      </w:pPr>
      <w:r>
        <w:rPr/>
        <w:t>（</w:t>
      </w:r>
      <w:r>
        <w:rPr>
          <w:rFonts w:ascii="宋体" w:hAnsi="宋体" w:cs="宋体" w:eastAsia="宋体" w:hint="default"/>
        </w:rPr>
        <w:t>7</w:t>
      </w:r>
      <w:r>
        <w:rPr/>
        <w:t>）审</w:t>
      </w:r>
      <w:r>
        <w:rPr>
          <w:spacing w:val="-1"/>
        </w:rPr>
        <w:t>议</w:t>
      </w:r>
      <w:r>
        <w:rPr/>
        <w:t>通过了《关于聘请法律顾问的议案</w:t>
      </w:r>
      <w:r>
        <w:rPr>
          <w:spacing w:val="-120"/>
        </w:rPr>
        <w:t>》</w:t>
      </w:r>
      <w:r>
        <w:rPr/>
        <w:t>；</w:t>
      </w:r>
    </w:p>
    <w:p>
      <w:pPr>
        <w:pStyle w:val="Heading3"/>
        <w:spacing w:line="240" w:lineRule="auto"/>
        <w:ind w:left="560" w:right="0"/>
        <w:jc w:val="left"/>
      </w:pPr>
      <w:r>
        <w:rPr/>
        <w:t>（</w:t>
      </w:r>
      <w:r>
        <w:rPr>
          <w:rFonts w:ascii="宋体" w:hAnsi="宋体" w:cs="宋体" w:eastAsia="宋体" w:hint="default"/>
        </w:rPr>
        <w:t>8</w:t>
      </w:r>
      <w:r>
        <w:rPr/>
        <w:t>）审议通过了《公司董事会关于</w:t>
      </w:r>
      <w:r>
        <w:rPr>
          <w:rFonts w:ascii="宋体" w:hAnsi="宋体" w:cs="宋体" w:eastAsia="宋体" w:hint="default"/>
        </w:rPr>
        <w:t>2009</w:t>
      </w:r>
      <w:r>
        <w:rPr/>
        <w:t>年度内部控制自我评价报告的议案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9</w:t>
      </w:r>
      <w:r>
        <w:rPr/>
        <w:t>）审议通过了《召</w:t>
      </w:r>
      <w:r>
        <w:rPr>
          <w:spacing w:val="-1"/>
        </w:rPr>
        <w:t>开</w:t>
      </w:r>
      <w:r>
        <w:rPr>
          <w:rFonts w:ascii="宋体" w:hAnsi="宋体" w:cs="宋体" w:eastAsia="宋体" w:hint="default"/>
        </w:rPr>
        <w:t>2009</w:t>
      </w:r>
      <w:r>
        <w:rPr/>
        <w:t>年度股东会的议案</w:t>
      </w:r>
      <w:r>
        <w:rPr>
          <w:spacing w:val="-120"/>
        </w:rPr>
        <w:t>》</w:t>
      </w:r>
      <w:r>
        <w:rPr/>
        <w:t>；</w:t>
      </w:r>
    </w:p>
    <w:p>
      <w:pPr>
        <w:pStyle w:val="Heading3"/>
        <w:spacing w:line="240" w:lineRule="auto"/>
        <w:ind w:left="560" w:right="0"/>
        <w:jc w:val="left"/>
      </w:pPr>
      <w:r>
        <w:rPr/>
        <w:t>（</w:t>
      </w:r>
      <w:r>
        <w:rPr>
          <w:rFonts w:ascii="宋体" w:hAnsi="宋体" w:cs="宋体" w:eastAsia="宋体" w:hint="default"/>
        </w:rPr>
        <w:t>10</w:t>
      </w:r>
      <w:r>
        <w:rPr/>
        <w:t>）审议通过了《关于内幕信息知情人登记制度的议案</w:t>
      </w:r>
      <w:r>
        <w:rPr>
          <w:spacing w:val="-120"/>
        </w:rPr>
        <w:t>》</w:t>
      </w:r>
      <w:r>
        <w:rPr/>
        <w:t>；</w:t>
      </w:r>
    </w:p>
    <w:p>
      <w:pPr>
        <w:pStyle w:val="Heading3"/>
        <w:spacing w:line="357" w:lineRule="auto" w:before="151"/>
        <w:ind w:left="560" w:right="795"/>
        <w:jc w:val="left"/>
      </w:pPr>
      <w:r>
        <w:rPr>
          <w:spacing w:val="-3"/>
        </w:rPr>
        <w:t>（</w:t>
      </w:r>
      <w:r>
        <w:rPr>
          <w:rFonts w:ascii="宋体" w:hAnsi="宋体" w:cs="宋体" w:eastAsia="宋体" w:hint="default"/>
          <w:spacing w:val="-3"/>
        </w:rPr>
        <w:t>11</w:t>
      </w:r>
      <w:r>
        <w:rPr>
          <w:spacing w:val="-3"/>
        </w:rPr>
        <w:t>）审议通过了《关于董事、监事和高级管理人员持有及买卖本公司股票管理制度的议案》；</w:t>
      </w:r>
      <w:r>
        <w:rPr>
          <w:spacing w:val="-111"/>
        </w:rPr>
        <w:t> </w:t>
      </w:r>
      <w:r>
        <w:rPr>
          <w:spacing w:val="-111"/>
        </w:rPr>
      </w:r>
      <w:r>
        <w:rPr>
          <w:rFonts w:ascii="宋体" w:hAnsi="宋体" w:cs="宋体" w:eastAsia="宋体" w:hint="default"/>
        </w:rPr>
        <w:t>2</w:t>
      </w:r>
      <w:r>
        <w:rPr/>
        <w:t>、</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23</w:t>
      </w:r>
      <w:r>
        <w:rPr/>
        <w:t>日，公司召开了第三届董事会第二十二次会议，会议审议通过了以下事项：</w:t>
      </w:r>
    </w:p>
    <w:p>
      <w:pPr>
        <w:pStyle w:val="Heading3"/>
        <w:spacing w:line="240" w:lineRule="auto" w:before="34"/>
        <w:ind w:left="560" w:right="0"/>
        <w:jc w:val="left"/>
      </w:pPr>
      <w:r>
        <w:rPr/>
        <w:t>（</w:t>
      </w:r>
      <w:r>
        <w:rPr>
          <w:rFonts w:ascii="宋体" w:hAnsi="宋体" w:cs="宋体" w:eastAsia="宋体" w:hint="default"/>
        </w:rPr>
        <w:t>1</w:t>
      </w:r>
      <w:r>
        <w:rPr/>
        <w:t>）审议通过了《关于提名郭春生先生担任第四届董事会董事的议案</w:t>
      </w:r>
      <w:r>
        <w:rPr>
          <w:spacing w:val="-120"/>
        </w:rPr>
        <w:t>》</w:t>
      </w:r>
      <w:r>
        <w:rPr/>
        <w:t>；</w:t>
      </w:r>
    </w:p>
    <w:p>
      <w:pPr>
        <w:pStyle w:val="Heading3"/>
        <w:spacing w:line="240" w:lineRule="auto"/>
        <w:ind w:left="560" w:right="0"/>
        <w:jc w:val="left"/>
      </w:pPr>
      <w:r>
        <w:rPr/>
        <w:t>（</w:t>
      </w:r>
      <w:r>
        <w:rPr>
          <w:rFonts w:ascii="宋体" w:hAnsi="宋体" w:cs="宋体" w:eastAsia="宋体" w:hint="default"/>
        </w:rPr>
        <w:t>2</w:t>
      </w:r>
      <w:r>
        <w:rPr/>
        <w:t>）审议通过了《关于提名祖春香女士担任第四届董事会董事的议案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3</w:t>
      </w:r>
      <w:r>
        <w:rPr/>
        <w:t>）审议通过了《关于提名秦静女士担任第四届董事会董事的议案</w:t>
      </w:r>
      <w:r>
        <w:rPr>
          <w:spacing w:val="-120"/>
        </w:rPr>
        <w:t>》</w:t>
      </w:r>
      <w:r>
        <w:rPr/>
        <w:t>；</w:t>
      </w:r>
    </w:p>
    <w:p>
      <w:pPr>
        <w:pStyle w:val="Heading3"/>
        <w:spacing w:line="240" w:lineRule="auto"/>
        <w:ind w:left="560" w:right="0"/>
        <w:jc w:val="left"/>
      </w:pPr>
      <w:r>
        <w:rPr/>
        <w:t>（</w:t>
      </w:r>
      <w:r>
        <w:rPr>
          <w:rFonts w:ascii="宋体" w:hAnsi="宋体" w:cs="宋体" w:eastAsia="宋体" w:hint="default"/>
        </w:rPr>
        <w:t>4</w:t>
      </w:r>
      <w:r>
        <w:rPr/>
        <w:t>）审议通过了《关于提名殷金龙先生担任第四届董事会董事的议案</w:t>
      </w:r>
      <w:r>
        <w:rPr>
          <w:spacing w:val="-120"/>
        </w:rPr>
        <w:t>》</w:t>
      </w:r>
      <w:r>
        <w:rPr/>
        <w:t>；</w:t>
      </w:r>
    </w:p>
    <w:p>
      <w:pPr>
        <w:pStyle w:val="Heading3"/>
        <w:spacing w:line="240" w:lineRule="auto"/>
        <w:ind w:left="560" w:right="0"/>
        <w:jc w:val="left"/>
      </w:pPr>
      <w:r>
        <w:rPr/>
        <w:t>（</w:t>
      </w:r>
      <w:r>
        <w:rPr>
          <w:rFonts w:ascii="宋体" w:hAnsi="宋体" w:cs="宋体" w:eastAsia="宋体" w:hint="default"/>
        </w:rPr>
        <w:t>5</w:t>
      </w:r>
      <w:r>
        <w:rPr/>
        <w:t>）审议通过了《关于提名徐卫东先生担任第四届董事会董事的议案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6</w:t>
      </w:r>
      <w:r>
        <w:rPr/>
        <w:t>）审议通过了《关于提名李飞女士担任第四届董事会董事的议案</w:t>
      </w:r>
      <w:r>
        <w:rPr>
          <w:spacing w:val="-120"/>
        </w:rPr>
        <w:t>》</w:t>
      </w:r>
      <w:r>
        <w:rPr/>
        <w:t>；</w:t>
      </w:r>
    </w:p>
    <w:p>
      <w:pPr>
        <w:pStyle w:val="Heading3"/>
        <w:spacing w:line="240" w:lineRule="auto"/>
        <w:ind w:left="560" w:right="0"/>
        <w:jc w:val="left"/>
      </w:pPr>
      <w:r>
        <w:rPr/>
        <w:t>（</w:t>
      </w:r>
      <w:r>
        <w:rPr>
          <w:rFonts w:ascii="宋体" w:hAnsi="宋体" w:cs="宋体" w:eastAsia="宋体" w:hint="default"/>
        </w:rPr>
        <w:t>7</w:t>
      </w:r>
      <w:r>
        <w:rPr/>
        <w:t>）审议通过了《关于提名方勇先生担任第四届董事会董事的议案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8</w:t>
      </w:r>
      <w:r>
        <w:rPr/>
        <w:t>）审议通过了《关于修改公司章程的议案</w:t>
      </w:r>
      <w:r>
        <w:rPr>
          <w:spacing w:val="-120"/>
        </w:rPr>
        <w:t>》</w:t>
      </w:r>
      <w:r>
        <w:rPr/>
        <w:t>；</w:t>
      </w:r>
    </w:p>
    <w:p>
      <w:pPr>
        <w:pStyle w:val="Heading3"/>
        <w:spacing w:line="240" w:lineRule="auto"/>
        <w:ind w:left="560" w:right="0"/>
        <w:jc w:val="left"/>
      </w:pPr>
      <w:r>
        <w:rPr/>
        <w:t>（</w:t>
      </w:r>
      <w:r>
        <w:rPr>
          <w:rFonts w:ascii="宋体" w:hAnsi="宋体" w:cs="宋体" w:eastAsia="宋体" w:hint="default"/>
        </w:rPr>
        <w:t>9</w:t>
      </w:r>
      <w:r>
        <w:rPr/>
        <w:t>）审议通过了《关于向子公司草还丹药业增资的议案</w:t>
      </w:r>
      <w:r>
        <w:rPr>
          <w:spacing w:val="-120"/>
        </w:rPr>
        <w:t>》</w:t>
      </w:r>
      <w:r>
        <w:rPr/>
        <w:t>；</w:t>
      </w:r>
    </w:p>
    <w:p>
      <w:pPr>
        <w:pStyle w:val="Heading3"/>
        <w:spacing w:line="240" w:lineRule="auto" w:before="152"/>
        <w:ind w:left="560" w:right="0"/>
        <w:jc w:val="left"/>
      </w:pPr>
      <w:r>
        <w:rPr/>
        <w:t>（</w:t>
      </w:r>
      <w:r>
        <w:rPr>
          <w:rFonts w:ascii="宋体" w:hAnsi="宋体" w:cs="宋体" w:eastAsia="宋体" w:hint="default"/>
        </w:rPr>
        <w:t>10</w:t>
      </w:r>
      <w:r>
        <w:rPr/>
        <w:t>）审议通过了《关于增设董事会战略与投资委员会的议案</w:t>
      </w:r>
      <w:r>
        <w:rPr>
          <w:spacing w:val="-120"/>
        </w:rPr>
        <w:t>》</w:t>
      </w:r>
      <w:r>
        <w:rPr/>
        <w:t>；</w:t>
      </w:r>
    </w:p>
    <w:p>
      <w:pPr>
        <w:pStyle w:val="Heading3"/>
        <w:spacing w:line="355" w:lineRule="auto"/>
        <w:ind w:left="560" w:right="1266"/>
        <w:jc w:val="left"/>
      </w:pPr>
      <w:r>
        <w:rPr>
          <w:spacing w:val="-4"/>
        </w:rPr>
        <w:t>（</w:t>
      </w:r>
      <w:r>
        <w:rPr>
          <w:rFonts w:ascii="宋体" w:hAnsi="宋体" w:cs="宋体" w:eastAsia="宋体" w:hint="default"/>
          <w:spacing w:val="-4"/>
        </w:rPr>
        <w:t>11</w:t>
      </w:r>
      <w:r>
        <w:rPr>
          <w:spacing w:val="-4"/>
        </w:rPr>
        <w:t>）审议通过了《关于召开</w:t>
      </w:r>
      <w:r>
        <w:rPr>
          <w:rFonts w:ascii="宋体" w:hAnsi="宋体" w:cs="宋体" w:eastAsia="宋体" w:hint="default"/>
          <w:spacing w:val="-4"/>
        </w:rPr>
        <w:t>2010</w:t>
      </w:r>
      <w:r>
        <w:rPr>
          <w:spacing w:val="-4"/>
        </w:rPr>
        <w:t>年第一次临时股东大会的议案》。</w:t>
      </w:r>
      <w:r>
        <w:rPr>
          <w:spacing w:val="-108"/>
        </w:rPr>
        <w:t> </w:t>
      </w:r>
      <w:r>
        <w:rPr>
          <w:spacing w:val="-108"/>
        </w:rPr>
      </w:r>
      <w:r>
        <w:rPr>
          <w:rFonts w:ascii="宋体" w:hAnsi="宋体" w:cs="宋体" w:eastAsia="宋体" w:hint="default"/>
        </w:rPr>
        <w:t>3</w:t>
      </w:r>
      <w:r>
        <w:rPr/>
        <w:t>、</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8</w:t>
      </w:r>
      <w:r>
        <w:rPr/>
        <w:t>日，公司召开了第四届董事会第一次会议，本次会议审议通过了以下事项：</w:t>
      </w:r>
    </w:p>
    <w:p>
      <w:pPr>
        <w:pStyle w:val="Heading3"/>
        <w:spacing w:line="240" w:lineRule="auto" w:before="38"/>
        <w:ind w:left="560" w:right="0"/>
        <w:jc w:val="left"/>
      </w:pPr>
      <w:r>
        <w:rPr/>
        <w:t>（</w:t>
      </w:r>
      <w:r>
        <w:rPr>
          <w:rFonts w:ascii="宋体" w:hAnsi="宋体" w:cs="宋体" w:eastAsia="宋体" w:hint="default"/>
        </w:rPr>
        <w:t>1</w:t>
      </w:r>
      <w:r>
        <w:rPr/>
        <w:t>）审议通过了《关于选举郭春生先生担任第四届董事会董事长的议案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2</w:t>
      </w:r>
      <w:r>
        <w:rPr/>
        <w:t>）审议通过了《关于选举郭春生先生担任总经理的议案</w:t>
      </w:r>
      <w:r>
        <w:rPr>
          <w:spacing w:val="-120"/>
        </w:rPr>
        <w:t>》</w:t>
      </w:r>
      <w:r>
        <w:rPr/>
        <w:t>；</w:t>
      </w:r>
    </w:p>
    <w:p>
      <w:pPr>
        <w:pStyle w:val="Heading3"/>
        <w:spacing w:line="240" w:lineRule="auto"/>
        <w:ind w:left="560" w:right="0"/>
        <w:jc w:val="left"/>
      </w:pPr>
      <w:r>
        <w:rPr/>
        <w:t>（</w:t>
      </w:r>
      <w:r>
        <w:rPr>
          <w:rFonts w:ascii="宋体" w:hAnsi="宋体" w:cs="宋体" w:eastAsia="宋体" w:hint="default"/>
        </w:rPr>
        <w:t>3</w:t>
      </w:r>
      <w:r>
        <w:rPr/>
        <w:t>）审议通过了《关于选聘公司高管人员的议案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4</w:t>
      </w:r>
      <w:r>
        <w:rPr/>
        <w:t>）审议通过了《关于选聘公司董事会秘书的议案</w:t>
      </w:r>
      <w:r>
        <w:rPr>
          <w:spacing w:val="-120"/>
        </w:rPr>
        <w:t>》</w:t>
      </w:r>
      <w:r>
        <w:rPr/>
        <w:t>；</w:t>
      </w:r>
    </w:p>
    <w:p>
      <w:pPr>
        <w:pStyle w:val="Heading3"/>
        <w:spacing w:line="355" w:lineRule="auto"/>
        <w:ind w:left="560" w:right="0"/>
        <w:jc w:val="left"/>
        <w:rPr>
          <w:rFonts w:ascii="宋体" w:hAnsi="宋体" w:cs="宋体" w:eastAsia="宋体" w:hint="default"/>
        </w:rPr>
      </w:pPr>
      <w:r>
        <w:rPr>
          <w:spacing w:val="-5"/>
        </w:rPr>
        <w:t>（</w:t>
      </w:r>
      <w:r>
        <w:rPr>
          <w:rFonts w:ascii="宋体" w:hAnsi="宋体" w:cs="宋体" w:eastAsia="宋体" w:hint="default"/>
          <w:spacing w:val="-5"/>
        </w:rPr>
        <w:t>5</w:t>
      </w:r>
      <w:r>
        <w:rPr>
          <w:spacing w:val="-5"/>
        </w:rPr>
        <w:t>）审议通过了《关于设立第四届董事会专门委员会的议案》；</w:t>
      </w:r>
      <w:r>
        <w:rPr>
          <w:spacing w:val="-95"/>
        </w:rPr>
        <w:t> </w:t>
      </w:r>
      <w:r>
        <w:rPr>
          <w:spacing w:val="-95"/>
        </w:rPr>
      </w:r>
      <w:r>
        <w:rPr>
          <w:rFonts w:ascii="宋体" w:hAnsi="宋体" w:cs="宋体" w:eastAsia="宋体" w:hint="default"/>
          <w:spacing w:val="-1"/>
        </w:rPr>
        <w:t>4</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12</w:t>
      </w:r>
      <w:r>
        <w:rPr>
          <w:spacing w:val="-1"/>
        </w:rPr>
        <w:t>日，公司召开了第四届董事会第二次会议，本次会议审议通过了《紫鑫药业</w:t>
      </w:r>
      <w:r>
        <w:rPr>
          <w:rFonts w:ascii="宋体" w:hAnsi="宋体" w:cs="宋体" w:eastAsia="宋体" w:hint="default"/>
          <w:spacing w:val="-1"/>
        </w:rPr>
        <w:t>2010</w:t>
      </w:r>
    </w:p>
    <w:p>
      <w:pPr>
        <w:pStyle w:val="Heading3"/>
        <w:spacing w:line="355" w:lineRule="auto" w:before="38"/>
        <w:ind w:left="560" w:right="712" w:hanging="420"/>
        <w:jc w:val="left"/>
      </w:pPr>
      <w:r>
        <w:rPr/>
        <w:t>年第一季度报告全文》及正文。 </w:t>
      </w:r>
      <w:r>
        <w:rPr>
          <w:rFonts w:ascii="宋体" w:hAnsi="宋体" w:cs="宋体" w:eastAsia="宋体" w:hint="default"/>
          <w:spacing w:val="-1"/>
        </w:rPr>
        <w:t>5</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16</w:t>
      </w:r>
      <w:r>
        <w:rPr>
          <w:spacing w:val="-1"/>
        </w:rPr>
        <w:t>日，公司召开了第四届董事会第三次会议，本次会议审议通过了《关于向建设银</w:t>
      </w:r>
    </w:p>
    <w:p>
      <w:pPr>
        <w:pStyle w:val="Heading3"/>
        <w:spacing w:line="357" w:lineRule="auto" w:before="38"/>
        <w:ind w:left="560" w:right="1146" w:hanging="420"/>
        <w:jc w:val="left"/>
      </w:pPr>
      <w:r>
        <w:rPr>
          <w:spacing w:val="-8"/>
        </w:rPr>
        <w:t>行新增</w:t>
      </w:r>
      <w:r>
        <w:rPr>
          <w:rFonts w:ascii="宋体" w:hAnsi="宋体" w:cs="宋体" w:eastAsia="宋体" w:hint="default"/>
          <w:spacing w:val="-8"/>
        </w:rPr>
        <w:t>5000</w:t>
      </w:r>
      <w:r>
        <w:rPr>
          <w:spacing w:val="-8"/>
        </w:rPr>
        <w:t>万元贷款的议案》。</w:t>
      </w:r>
      <w:r>
        <w:rPr>
          <w:spacing w:val="-112"/>
        </w:rPr>
        <w:t> </w:t>
      </w:r>
      <w:r>
        <w:rPr>
          <w:spacing w:val="-112"/>
        </w:rPr>
      </w:r>
      <w:r>
        <w:rPr>
          <w:rFonts w:ascii="宋体" w:hAnsi="宋体" w:cs="宋体" w:eastAsia="宋体" w:hint="default"/>
        </w:rPr>
        <w:t>6</w:t>
      </w:r>
      <w:r>
        <w:rPr/>
        <w:t>、</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10</w:t>
      </w:r>
      <w:r>
        <w:rPr/>
        <w:t>日，公司召开了第四届董事会第四次会议，本次会议审议通过了如下议案：</w:t>
      </w:r>
    </w:p>
    <w:p>
      <w:pPr>
        <w:pStyle w:val="Heading3"/>
        <w:spacing w:line="240" w:lineRule="auto" w:before="34"/>
        <w:ind w:left="560" w:right="0"/>
        <w:jc w:val="left"/>
      </w:pPr>
      <w:r>
        <w:rPr/>
        <w:t>（</w:t>
      </w:r>
      <w:r>
        <w:rPr>
          <w:rFonts w:ascii="宋体" w:hAnsi="宋体" w:cs="宋体" w:eastAsia="宋体" w:hint="default"/>
        </w:rPr>
        <w:t>1</w:t>
      </w:r>
      <w:r>
        <w:rPr/>
        <w:t>）审议通过了《关于成立吉林紫鑫般若药业有限公司的议案》</w:t>
      </w:r>
    </w:p>
    <w:p>
      <w:pPr>
        <w:spacing w:after="0" w:line="240" w:lineRule="auto"/>
        <w:jc w:val="left"/>
        <w:sectPr>
          <w:footerReference w:type="default" r:id="rId19"/>
          <w:pgSz w:w="11910" w:h="16840"/>
          <w:pgMar w:footer="1224" w:header="720" w:top="1300" w:bottom="1420" w:left="580" w:right="0"/>
          <w:pgNumType w:start="30"/>
        </w:sectPr>
      </w:pPr>
    </w:p>
    <w:p>
      <w:pPr>
        <w:pStyle w:val="Heading3"/>
        <w:spacing w:line="240" w:lineRule="auto" w:before="13"/>
        <w:ind w:left="560" w:right="0"/>
        <w:jc w:val="left"/>
      </w:pPr>
      <w:r>
        <w:rPr/>
        <w:pict>
          <v:group style="position:absolute;margin-left:34.560001pt;margin-top:2.305654pt;width:508.3pt;height:.1pt;mso-position-horizontal-relative:page;mso-position-vertical-relative:paragraph;z-index:-534304"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rPr>
        <w:t>7</w:t>
      </w:r>
      <w:r>
        <w:rPr/>
        <w:t>、</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29</w:t>
      </w:r>
      <w:r>
        <w:rPr/>
        <w:t>日，公司召开了第四届董事会第五次会议，本次会议审议通过了如下议案：</w:t>
      </w:r>
    </w:p>
    <w:p>
      <w:pPr>
        <w:pStyle w:val="Heading3"/>
        <w:spacing w:line="240" w:lineRule="auto" w:before="152"/>
        <w:ind w:left="560" w:right="0"/>
        <w:jc w:val="left"/>
      </w:pPr>
      <w:r>
        <w:rPr/>
        <w:t>（</w:t>
      </w:r>
      <w:r>
        <w:rPr>
          <w:rFonts w:ascii="宋体" w:hAnsi="宋体" w:cs="宋体" w:eastAsia="宋体" w:hint="default"/>
        </w:rPr>
        <w:t>1</w:t>
      </w:r>
      <w:r>
        <w:rPr/>
        <w:t>）审议通过</w:t>
      </w:r>
      <w:r>
        <w:rPr>
          <w:spacing w:val="-1"/>
        </w:rPr>
        <w:t>《</w:t>
      </w:r>
      <w:r>
        <w:rPr/>
        <w:t>关于公司符合向特定对象非公开发行股票条件的议案</w:t>
      </w:r>
      <w:r>
        <w:rPr>
          <w:spacing w:val="-119"/>
        </w:rPr>
        <w:t>》</w:t>
      </w:r>
      <w:r>
        <w:rPr/>
        <w:t>；</w:t>
      </w:r>
    </w:p>
    <w:p>
      <w:pPr>
        <w:pStyle w:val="Heading3"/>
        <w:spacing w:line="240" w:lineRule="auto"/>
        <w:ind w:left="560" w:right="0"/>
        <w:jc w:val="left"/>
      </w:pPr>
      <w:r>
        <w:rPr/>
        <w:t>（</w:t>
      </w:r>
      <w:r>
        <w:rPr>
          <w:rFonts w:ascii="宋体" w:hAnsi="宋体" w:cs="宋体" w:eastAsia="宋体" w:hint="default"/>
        </w:rPr>
        <w:t>2</w:t>
      </w:r>
      <w:r>
        <w:rPr/>
        <w:t>）审议通过《关于公司</w:t>
      </w:r>
      <w:r>
        <w:rPr>
          <w:rFonts w:ascii="宋体" w:hAnsi="宋体" w:cs="宋体" w:eastAsia="宋体" w:hint="default"/>
        </w:rPr>
        <w:t>2010</w:t>
      </w:r>
      <w:r>
        <w:rPr/>
        <w:t>年度非公开发行股票方案的议案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3</w:t>
      </w:r>
      <w:r>
        <w:rPr/>
        <w:t>）审议通过《公</w:t>
      </w:r>
      <w:r>
        <w:rPr>
          <w:spacing w:val="-1"/>
        </w:rPr>
        <w:t>司</w:t>
      </w:r>
      <w:r>
        <w:rPr>
          <w:rFonts w:ascii="宋体" w:hAnsi="宋体" w:cs="宋体" w:eastAsia="宋体" w:hint="default"/>
        </w:rPr>
        <w:t>&lt;2010</w:t>
      </w:r>
      <w:r>
        <w:rPr/>
        <w:t>年度非公开发行股票预案</w:t>
      </w:r>
      <w:r>
        <w:rPr>
          <w:rFonts w:ascii="宋体" w:hAnsi="宋体" w:cs="宋体" w:eastAsia="宋体" w:hint="default"/>
        </w:rPr>
        <w:t>&gt;</w:t>
      </w:r>
      <w:r>
        <w:rPr/>
        <w:t>的议案</w:t>
      </w:r>
      <w:r>
        <w:rPr>
          <w:spacing w:val="-120"/>
        </w:rPr>
        <w:t>》</w:t>
      </w:r>
      <w:r>
        <w:rPr/>
        <w:t>；</w:t>
      </w:r>
    </w:p>
    <w:p>
      <w:pPr>
        <w:pStyle w:val="Heading3"/>
        <w:spacing w:line="240" w:lineRule="auto"/>
        <w:ind w:left="560" w:right="0"/>
        <w:jc w:val="left"/>
      </w:pPr>
      <w:r>
        <w:rPr/>
        <w:t>（</w:t>
      </w:r>
      <w:r>
        <w:rPr>
          <w:rFonts w:ascii="宋体" w:hAnsi="宋体" w:cs="宋体" w:eastAsia="宋体" w:hint="default"/>
        </w:rPr>
        <w:t>4</w:t>
      </w:r>
      <w:r>
        <w:rPr/>
        <w:t>）审议通过《关</w:t>
      </w:r>
      <w:r>
        <w:rPr>
          <w:spacing w:val="-1"/>
        </w:rPr>
        <w:t>于</w:t>
      </w:r>
      <w:r>
        <w:rPr>
          <w:rFonts w:ascii="宋体" w:hAnsi="宋体" w:cs="宋体" w:eastAsia="宋体" w:hint="default"/>
        </w:rPr>
        <w:t>2010</w:t>
      </w:r>
      <w:r>
        <w:rPr/>
        <w:t>年度非公开发行股票募集资金运用的可行性分析报告的议案</w:t>
      </w:r>
      <w:r>
        <w:rPr>
          <w:spacing w:val="-120"/>
        </w:rPr>
        <w:t>》</w:t>
      </w:r>
      <w:r>
        <w:rPr/>
        <w:t>；</w:t>
      </w:r>
    </w:p>
    <w:p>
      <w:pPr>
        <w:pStyle w:val="Heading3"/>
        <w:spacing w:line="357" w:lineRule="auto" w:before="151"/>
        <w:ind w:right="786" w:firstLine="420"/>
        <w:jc w:val="left"/>
      </w:pPr>
      <w:r>
        <w:rPr/>
        <w:t>（</w:t>
      </w:r>
      <w:r>
        <w:rPr>
          <w:rFonts w:ascii="宋体" w:hAnsi="宋体" w:cs="宋体" w:eastAsia="宋体" w:hint="default"/>
        </w:rPr>
        <w:t>5</w:t>
      </w:r>
      <w:r>
        <w:rPr/>
        <w:t>）审议通过《关于提请股东大会授权董事会办理本次公司向特定对象非公开发行股票相关事 </w:t>
      </w:r>
      <w:r>
        <w:rPr>
          <w:spacing w:val="-20"/>
        </w:rPr>
        <w:t>宜的议案》；</w:t>
      </w:r>
    </w:p>
    <w:p>
      <w:pPr>
        <w:pStyle w:val="Heading3"/>
        <w:spacing w:line="240" w:lineRule="auto" w:before="34"/>
        <w:ind w:left="560" w:right="0"/>
        <w:jc w:val="left"/>
      </w:pPr>
      <w:r>
        <w:rPr/>
        <w:t>（</w:t>
      </w:r>
      <w:r>
        <w:rPr>
          <w:rFonts w:ascii="宋体" w:hAnsi="宋体" w:cs="宋体" w:eastAsia="宋体" w:hint="default"/>
        </w:rPr>
        <w:t>6</w:t>
      </w:r>
      <w:r>
        <w:rPr/>
        <w:t>）审议通过《关</w:t>
      </w:r>
      <w:r>
        <w:rPr>
          <w:spacing w:val="-1"/>
        </w:rPr>
        <w:t>于</w:t>
      </w:r>
      <w:r>
        <w:rPr/>
        <w:t>公司前次募集资金使用情况报告的议案</w:t>
      </w:r>
      <w:r>
        <w:rPr>
          <w:spacing w:val="-120"/>
        </w:rPr>
        <w:t>》</w:t>
      </w:r>
      <w:r>
        <w:rPr/>
        <w:t>；</w:t>
      </w:r>
    </w:p>
    <w:p>
      <w:pPr>
        <w:pStyle w:val="Heading3"/>
        <w:spacing w:line="355" w:lineRule="auto"/>
        <w:ind w:left="560" w:right="786"/>
        <w:jc w:val="left"/>
      </w:pPr>
      <w:r>
        <w:rPr>
          <w:spacing w:val="-5"/>
        </w:rPr>
        <w:t>（</w:t>
      </w:r>
      <w:r>
        <w:rPr>
          <w:rFonts w:ascii="宋体" w:hAnsi="宋体" w:cs="宋体" w:eastAsia="宋体" w:hint="default"/>
          <w:spacing w:val="-5"/>
        </w:rPr>
        <w:t>7</w:t>
      </w:r>
      <w:r>
        <w:rPr>
          <w:spacing w:val="-5"/>
        </w:rPr>
        <w:t>）审议通过《关于向光大银行长春分行申请贷款的议案》。</w:t>
      </w:r>
      <w:r>
        <w:rPr>
          <w:spacing w:val="-100"/>
        </w:rPr>
        <w:t> </w:t>
      </w:r>
      <w:r>
        <w:rPr>
          <w:spacing w:val="-100"/>
        </w:rPr>
      </w:r>
      <w:r>
        <w:rPr>
          <w:rFonts w:ascii="宋体" w:hAnsi="宋体" w:cs="宋体" w:eastAsia="宋体" w:hint="default"/>
        </w:rPr>
        <w:t>8</w:t>
      </w:r>
      <w:r>
        <w:rPr/>
        <w:t>、</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12</w:t>
      </w:r>
      <w:r>
        <w:rPr/>
        <w:t>日在吉林省长春市南关区东头道街</w:t>
      </w:r>
      <w:r>
        <w:rPr>
          <w:rFonts w:ascii="宋体" w:hAnsi="宋体" w:cs="宋体" w:eastAsia="宋体" w:hint="default"/>
        </w:rPr>
        <w:t>1</w:t>
      </w:r>
      <w:r>
        <w:rPr/>
        <w:t>号公司会议室举行第四董事会第六次会议，</w:t>
      </w:r>
    </w:p>
    <w:p>
      <w:pPr>
        <w:pStyle w:val="Heading3"/>
        <w:spacing w:line="240" w:lineRule="auto" w:before="38"/>
        <w:ind w:right="0"/>
        <w:jc w:val="left"/>
      </w:pPr>
      <w:r>
        <w:rPr/>
        <w:t>通过了如下决议：</w:t>
      </w:r>
    </w:p>
    <w:p>
      <w:pPr>
        <w:pStyle w:val="Heading3"/>
        <w:spacing w:line="240" w:lineRule="auto"/>
        <w:ind w:left="560" w:right="0"/>
        <w:jc w:val="left"/>
      </w:pPr>
      <w:r>
        <w:rPr/>
        <w:t>（</w:t>
      </w:r>
      <w:r>
        <w:rPr>
          <w:rFonts w:ascii="宋体" w:hAnsi="宋体" w:cs="宋体" w:eastAsia="宋体" w:hint="default"/>
        </w:rPr>
        <w:t>1</w:t>
      </w:r>
      <w:r>
        <w:rPr/>
        <w:t>）审议通过了《关于成立吉林紫鑫药物研究有限公司的议案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2</w:t>
      </w:r>
      <w:r>
        <w:rPr/>
        <w:t>）审议通过了《关于成立吉林紫鑫人参研发有限公司的议案</w:t>
      </w:r>
      <w:r>
        <w:rPr>
          <w:spacing w:val="-120"/>
        </w:rPr>
        <w:t>》</w:t>
      </w:r>
      <w:r>
        <w:rPr/>
        <w:t>；</w:t>
      </w:r>
    </w:p>
    <w:p>
      <w:pPr>
        <w:pStyle w:val="Heading3"/>
        <w:spacing w:line="240" w:lineRule="auto"/>
        <w:ind w:left="560" w:right="0"/>
        <w:jc w:val="left"/>
      </w:pPr>
      <w:r>
        <w:rPr/>
        <w:t>（</w:t>
      </w:r>
      <w:r>
        <w:rPr>
          <w:rFonts w:ascii="宋体" w:hAnsi="宋体" w:cs="宋体" w:eastAsia="宋体" w:hint="default"/>
        </w:rPr>
        <w:t>3</w:t>
      </w:r>
      <w:r>
        <w:rPr/>
        <w:t>）审议通过了《关于申请中国建设银行柳河支行贷款的议案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4</w:t>
      </w:r>
      <w:r>
        <w:rPr/>
        <w:t>）审议通过了《关于补选董事的议案</w:t>
      </w:r>
      <w:r>
        <w:rPr>
          <w:spacing w:val="-120"/>
        </w:rPr>
        <w:t>》</w:t>
      </w:r>
      <w:r>
        <w:rPr/>
        <w:t>；</w:t>
      </w:r>
    </w:p>
    <w:p>
      <w:pPr>
        <w:pStyle w:val="Heading3"/>
        <w:spacing w:line="240" w:lineRule="auto"/>
        <w:ind w:left="560" w:right="0"/>
        <w:jc w:val="left"/>
      </w:pPr>
      <w:r>
        <w:rPr/>
        <w:t>（</w:t>
      </w:r>
      <w:r>
        <w:rPr>
          <w:rFonts w:ascii="宋体" w:hAnsi="宋体" w:cs="宋体" w:eastAsia="宋体" w:hint="default"/>
        </w:rPr>
        <w:t>5</w:t>
      </w:r>
      <w:r>
        <w:rPr/>
        <w:t>）审议通过了《关于召开</w:t>
      </w:r>
      <w:r>
        <w:rPr>
          <w:rFonts w:ascii="宋体" w:hAnsi="宋体" w:cs="宋体" w:eastAsia="宋体" w:hint="default"/>
        </w:rPr>
        <w:t>2010</w:t>
      </w:r>
      <w:r>
        <w:rPr/>
        <w:t>年第三次临时股东大会的议案</w:t>
      </w:r>
      <w:r>
        <w:rPr>
          <w:spacing w:val="-120"/>
        </w:rPr>
        <w:t>》</w:t>
      </w:r>
      <w:r>
        <w:rPr/>
        <w:t>；</w:t>
      </w:r>
    </w:p>
    <w:p>
      <w:pPr>
        <w:pStyle w:val="Heading3"/>
        <w:spacing w:line="357" w:lineRule="auto" w:before="152"/>
        <w:ind w:left="560" w:right="786"/>
        <w:jc w:val="left"/>
      </w:pPr>
      <w:r>
        <w:rPr>
          <w:spacing w:val="-5"/>
        </w:rPr>
        <w:t>（</w:t>
      </w:r>
      <w:r>
        <w:rPr>
          <w:rFonts w:ascii="宋体" w:hAnsi="宋体" w:cs="宋体" w:eastAsia="宋体" w:hint="default"/>
          <w:spacing w:val="-5"/>
        </w:rPr>
        <w:t>6</w:t>
      </w:r>
      <w:r>
        <w:rPr>
          <w:spacing w:val="-5"/>
        </w:rPr>
        <w:t>）审议通过了《关于补选审计委员会委员的议案》。</w:t>
      </w:r>
      <w:r>
        <w:rPr>
          <w:spacing w:val="-115"/>
        </w:rPr>
        <w:t> </w:t>
      </w:r>
      <w:r>
        <w:rPr>
          <w:spacing w:val="-115"/>
        </w:rPr>
      </w:r>
      <w:r>
        <w:rPr>
          <w:rFonts w:ascii="宋体" w:hAnsi="宋体" w:cs="宋体" w:eastAsia="宋体" w:hint="default"/>
        </w:rPr>
        <w:t>9</w:t>
      </w:r>
      <w:r>
        <w:rPr/>
        <w:t>、</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21</w:t>
      </w:r>
      <w:r>
        <w:rPr/>
        <w:t>日在吉林省长春市南关区东头道街</w:t>
      </w:r>
      <w:r>
        <w:rPr>
          <w:rFonts w:ascii="宋体" w:hAnsi="宋体" w:cs="宋体" w:eastAsia="宋体" w:hint="default"/>
        </w:rPr>
        <w:t>1</w:t>
      </w:r>
      <w:r>
        <w:rPr/>
        <w:t>号公司会议室举行第四董事会第七次会议，</w:t>
      </w:r>
    </w:p>
    <w:p>
      <w:pPr>
        <w:pStyle w:val="Heading3"/>
        <w:spacing w:line="357" w:lineRule="auto" w:before="34"/>
        <w:ind w:left="560" w:right="594" w:hanging="420"/>
        <w:jc w:val="left"/>
      </w:pPr>
      <w:r>
        <w:rPr/>
        <w:t>审议通过了《二○一○年半年度报告》正文及摘要。 </w:t>
      </w:r>
      <w:r>
        <w:rPr>
          <w:rFonts w:ascii="宋体" w:hAnsi="宋体" w:cs="宋体" w:eastAsia="宋体" w:hint="default"/>
          <w:spacing w:val="-1"/>
        </w:rPr>
        <w:t>10</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20</w:t>
      </w:r>
      <w:r>
        <w:rPr>
          <w:spacing w:val="-1"/>
        </w:rPr>
        <w:t>日在吉林省长春市南关区东头道街</w:t>
      </w:r>
      <w:r>
        <w:rPr>
          <w:rFonts w:ascii="宋体" w:hAnsi="宋体" w:cs="宋体" w:eastAsia="宋体" w:hint="default"/>
          <w:spacing w:val="-1"/>
        </w:rPr>
        <w:t>1</w:t>
      </w:r>
      <w:r>
        <w:rPr>
          <w:spacing w:val="-1"/>
        </w:rPr>
        <w:t>号公司会议室举行第四董事会第八次会议，</w:t>
      </w:r>
    </w:p>
    <w:p>
      <w:pPr>
        <w:pStyle w:val="Heading3"/>
        <w:spacing w:line="357" w:lineRule="auto" w:before="34"/>
        <w:ind w:left="560" w:right="666" w:hanging="420"/>
        <w:jc w:val="left"/>
      </w:pPr>
      <w:r>
        <w:rPr/>
        <w:t>审议通过了《紫鑫药业</w:t>
      </w:r>
      <w:r>
        <w:rPr>
          <w:rFonts w:ascii="宋体" w:hAnsi="宋体" w:cs="宋体" w:eastAsia="宋体" w:hint="default"/>
        </w:rPr>
        <w:t>2010</w:t>
      </w:r>
      <w:r>
        <w:rPr/>
        <w:t>年第三季度报告全文》及正文。 </w:t>
      </w:r>
      <w:r>
        <w:rPr>
          <w:rFonts w:ascii="宋体" w:hAnsi="宋体" w:cs="宋体" w:eastAsia="宋体" w:hint="default"/>
        </w:rPr>
        <w:t>11</w:t>
      </w:r>
      <w:r>
        <w:rPr/>
        <w:t>、</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8</w:t>
      </w:r>
      <w:r>
        <w:rPr/>
        <w:t>日在吉林省长春市南关区东头道街</w:t>
      </w:r>
      <w:r>
        <w:rPr>
          <w:rFonts w:ascii="宋体" w:hAnsi="宋体" w:cs="宋体" w:eastAsia="宋体" w:hint="default"/>
        </w:rPr>
        <w:t>1</w:t>
      </w:r>
      <w:r>
        <w:rPr/>
        <w:t>号公司会议室举行第四董事会第九次会议，</w:t>
      </w:r>
    </w:p>
    <w:p>
      <w:pPr>
        <w:pStyle w:val="Heading3"/>
        <w:spacing w:line="240" w:lineRule="auto" w:before="34"/>
        <w:ind w:right="0"/>
        <w:jc w:val="left"/>
      </w:pPr>
      <w:r>
        <w:rPr/>
        <w:t>通过了如下决议：</w:t>
      </w:r>
    </w:p>
    <w:p>
      <w:pPr>
        <w:pStyle w:val="Heading3"/>
        <w:spacing w:line="240" w:lineRule="auto"/>
        <w:ind w:left="560" w:right="0"/>
        <w:jc w:val="left"/>
      </w:pPr>
      <w:r>
        <w:rPr/>
        <w:t>（</w:t>
      </w:r>
      <w:r>
        <w:rPr>
          <w:rFonts w:ascii="宋体" w:hAnsi="宋体" w:cs="宋体" w:eastAsia="宋体" w:hint="default"/>
        </w:rPr>
        <w:t>1</w:t>
      </w:r>
      <w:r>
        <w:rPr/>
        <w:t>）审议通过了《关于公司风险投资内部控制制度的议案</w:t>
      </w:r>
      <w:r>
        <w:rPr>
          <w:spacing w:val="-120"/>
        </w:rPr>
        <w:t>》</w:t>
      </w:r>
      <w:r>
        <w:rPr/>
        <w:t>；</w:t>
      </w:r>
    </w:p>
    <w:p>
      <w:pPr>
        <w:pStyle w:val="Heading3"/>
        <w:spacing w:line="240" w:lineRule="auto" w:before="152"/>
        <w:ind w:left="560" w:right="0"/>
        <w:jc w:val="left"/>
      </w:pPr>
      <w:r>
        <w:rPr/>
        <w:t>（</w:t>
      </w:r>
      <w:r>
        <w:rPr>
          <w:rFonts w:ascii="宋体" w:hAnsi="宋体" w:cs="宋体" w:eastAsia="宋体" w:hint="default"/>
        </w:rPr>
        <w:t>2</w:t>
      </w:r>
      <w:r>
        <w:rPr/>
        <w:t>）审议通过了《关于向吉林环境能源交易所有限公司进行股权投资的议案</w:t>
      </w:r>
      <w:r>
        <w:rPr>
          <w:spacing w:val="-120"/>
        </w:rPr>
        <w:t>》</w:t>
      </w:r>
      <w:r>
        <w:rPr/>
        <w:t>。</w:t>
      </w:r>
    </w:p>
    <w:p>
      <w:pPr>
        <w:spacing w:line="355" w:lineRule="auto" w:before="154"/>
        <w:ind w:left="560" w:right="786" w:firstLine="2"/>
        <w:jc w:val="left"/>
        <w:rPr>
          <w:rFonts w:ascii="宋体" w:hAnsi="宋体" w:cs="宋体" w:eastAsia="宋体" w:hint="default"/>
          <w:sz w:val="24"/>
          <w:szCs w:val="24"/>
        </w:rPr>
      </w:pPr>
      <w:r>
        <w:rPr>
          <w:rFonts w:ascii="宋体" w:hAnsi="宋体" w:cs="宋体" w:eastAsia="宋体" w:hint="default"/>
          <w:b/>
          <w:bCs/>
          <w:sz w:val="24"/>
          <w:szCs w:val="24"/>
        </w:rPr>
        <w:t>（二）报告期内董事会共召集召开了</w:t>
      </w:r>
      <w:r>
        <w:rPr>
          <w:rFonts w:ascii="宋体" w:hAnsi="宋体" w:cs="宋体" w:eastAsia="宋体" w:hint="default"/>
          <w:b/>
          <w:bCs/>
          <w:sz w:val="24"/>
          <w:szCs w:val="24"/>
        </w:rPr>
        <w:t>1</w:t>
      </w:r>
      <w:r>
        <w:rPr>
          <w:rFonts w:ascii="宋体" w:hAnsi="宋体" w:cs="宋体" w:eastAsia="宋体" w:hint="default"/>
          <w:b/>
          <w:bCs/>
          <w:sz w:val="24"/>
          <w:szCs w:val="24"/>
        </w:rPr>
        <w:t>次年度股东大会，</w:t>
      </w:r>
      <w:r>
        <w:rPr>
          <w:rFonts w:ascii="宋体" w:hAnsi="宋体" w:cs="宋体" w:eastAsia="宋体" w:hint="default"/>
          <w:b/>
          <w:bCs/>
          <w:sz w:val="24"/>
          <w:szCs w:val="24"/>
        </w:rPr>
        <w:t>3</w:t>
      </w:r>
      <w:r>
        <w:rPr>
          <w:rFonts w:ascii="宋体" w:hAnsi="宋体" w:cs="宋体" w:eastAsia="宋体" w:hint="default"/>
          <w:b/>
          <w:bCs/>
          <w:sz w:val="24"/>
          <w:szCs w:val="24"/>
        </w:rPr>
        <w:t>次临时股东大会</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3</w:t>
      </w:r>
      <w:r>
        <w:rPr>
          <w:rFonts w:ascii="宋体" w:hAnsi="宋体" w:cs="宋体" w:eastAsia="宋体" w:hint="default"/>
          <w:sz w:val="24"/>
          <w:szCs w:val="24"/>
        </w:rPr>
        <w:t>月</w:t>
      </w:r>
      <w:r>
        <w:rPr>
          <w:rFonts w:ascii="宋体" w:hAnsi="宋体" w:cs="宋体" w:eastAsia="宋体" w:hint="default"/>
          <w:sz w:val="24"/>
          <w:szCs w:val="24"/>
        </w:rPr>
        <w:t>5</w:t>
      </w:r>
      <w:r>
        <w:rPr>
          <w:rFonts w:ascii="宋体" w:hAnsi="宋体" w:cs="宋体" w:eastAsia="宋体" w:hint="default"/>
          <w:sz w:val="24"/>
          <w:szCs w:val="24"/>
        </w:rPr>
        <w:t>日上午</w:t>
      </w:r>
      <w:r>
        <w:rPr>
          <w:rFonts w:ascii="宋体" w:hAnsi="宋体" w:cs="宋体" w:eastAsia="宋体" w:hint="default"/>
          <w:sz w:val="24"/>
          <w:szCs w:val="24"/>
        </w:rPr>
        <w:t>9</w:t>
      </w:r>
      <w:r>
        <w:rPr>
          <w:rFonts w:ascii="宋体" w:hAnsi="宋体" w:cs="宋体" w:eastAsia="宋体" w:hint="default"/>
          <w:sz w:val="24"/>
          <w:szCs w:val="24"/>
        </w:rPr>
        <w:t>时在吉林省长春市南关区东头道街</w:t>
      </w:r>
      <w:r>
        <w:rPr>
          <w:rFonts w:ascii="宋体" w:hAnsi="宋体" w:cs="宋体" w:eastAsia="宋体" w:hint="default"/>
          <w:sz w:val="24"/>
          <w:szCs w:val="24"/>
        </w:rPr>
        <w:t>1</w:t>
      </w:r>
      <w:r>
        <w:rPr>
          <w:rFonts w:ascii="宋体" w:hAnsi="宋体" w:cs="宋体" w:eastAsia="宋体" w:hint="default"/>
          <w:sz w:val="24"/>
          <w:szCs w:val="24"/>
        </w:rPr>
        <w:t>号公司会议室举行</w:t>
      </w:r>
      <w:r>
        <w:rPr>
          <w:rFonts w:ascii="宋体" w:hAnsi="宋体" w:cs="宋体" w:eastAsia="宋体" w:hint="default"/>
          <w:sz w:val="24"/>
          <w:szCs w:val="24"/>
        </w:rPr>
        <w:t>2009</w:t>
      </w:r>
      <w:r>
        <w:rPr>
          <w:rFonts w:ascii="宋体" w:hAnsi="宋体" w:cs="宋体" w:eastAsia="宋体" w:hint="default"/>
          <w:sz w:val="24"/>
          <w:szCs w:val="24"/>
        </w:rPr>
        <w:t>年年度股东大</w:t>
      </w:r>
    </w:p>
    <w:p>
      <w:pPr>
        <w:pStyle w:val="Heading3"/>
        <w:spacing w:line="240" w:lineRule="auto" w:before="38"/>
        <w:ind w:right="0"/>
        <w:jc w:val="left"/>
      </w:pPr>
      <w:r>
        <w:rPr/>
        <w:t>会，会议审议通过了如下决议：</w:t>
      </w:r>
    </w:p>
    <w:p>
      <w:pPr>
        <w:pStyle w:val="Heading3"/>
        <w:spacing w:line="240" w:lineRule="auto"/>
        <w:ind w:left="560" w:right="0"/>
        <w:jc w:val="left"/>
      </w:pPr>
      <w:r>
        <w:rPr/>
        <w:t>（</w:t>
      </w:r>
      <w:r>
        <w:rPr>
          <w:rFonts w:ascii="宋体" w:hAnsi="宋体" w:cs="宋体" w:eastAsia="宋体" w:hint="default"/>
        </w:rPr>
        <w:t>1</w:t>
      </w:r>
      <w:r>
        <w:rPr/>
        <w:t>）审议通过了《董事会</w:t>
      </w:r>
      <w:r>
        <w:rPr>
          <w:rFonts w:ascii="宋体" w:hAnsi="宋体" w:cs="宋体" w:eastAsia="宋体" w:hint="default"/>
        </w:rPr>
        <w:t>2009</w:t>
      </w:r>
      <w:r>
        <w:rPr/>
        <w:t>年度工作报告</w:t>
      </w:r>
      <w:r>
        <w:rPr>
          <w:spacing w:val="-120"/>
        </w:rPr>
        <w:t>》</w:t>
      </w:r>
      <w:r>
        <w:rPr/>
        <w:t>；</w:t>
      </w:r>
    </w:p>
    <w:p>
      <w:pPr>
        <w:pStyle w:val="Heading3"/>
        <w:spacing w:line="240" w:lineRule="auto" w:before="151"/>
        <w:ind w:left="560" w:right="0"/>
        <w:jc w:val="left"/>
      </w:pPr>
      <w:r>
        <w:rPr/>
        <w:t>（</w:t>
      </w:r>
      <w:r>
        <w:rPr>
          <w:rFonts w:ascii="宋体" w:hAnsi="宋体" w:cs="宋体" w:eastAsia="宋体" w:hint="default"/>
        </w:rPr>
        <w:t>2</w:t>
      </w:r>
      <w:r>
        <w:rPr/>
        <w:t>）审议通过了《</w:t>
      </w:r>
      <w:r>
        <w:rPr>
          <w:rFonts w:ascii="宋体" w:hAnsi="宋体" w:cs="宋体" w:eastAsia="宋体" w:hint="default"/>
        </w:rPr>
        <w:t>2009</w:t>
      </w:r>
      <w:r>
        <w:rPr/>
        <w:t>年年度报告》及其摘要；</w:t>
      </w:r>
    </w:p>
    <w:p>
      <w:pPr>
        <w:spacing w:after="0" w:line="240" w:lineRule="auto"/>
        <w:jc w:val="left"/>
        <w:sectPr>
          <w:footerReference w:type="default" r:id="rId20"/>
          <w:pgSz w:w="11910" w:h="16840"/>
          <w:pgMar w:footer="1224" w:header="720" w:top="1300" w:bottom="1420" w:left="580" w:right="0"/>
        </w:sectPr>
      </w:pPr>
    </w:p>
    <w:p>
      <w:pPr>
        <w:pStyle w:val="Heading3"/>
        <w:spacing w:line="240" w:lineRule="auto" w:before="13"/>
        <w:ind w:left="560" w:right="0"/>
        <w:jc w:val="left"/>
      </w:pPr>
      <w:r>
        <w:rPr/>
        <w:pict>
          <v:group style="position:absolute;margin-left:34.560001pt;margin-top:2.305654pt;width:508.3pt;height:.1pt;mso-position-horizontal-relative:page;mso-position-vertical-relative:paragraph;z-index:-534280" coordorigin="691,46" coordsize="10166,2">
            <v:shape style="position:absolute;left:691;top:46;width:10166;height:2" coordorigin="691,46" coordsize="10166,0" path="m691,46l10857,46e" filled="false" stroked="true" strokeweight=".72pt" strokecolor="#000000">
              <v:path arrowok="t"/>
            </v:shape>
            <w10:wrap type="none"/>
          </v:group>
        </w:pict>
      </w:r>
      <w:r>
        <w:rPr/>
        <w:t>（</w:t>
      </w:r>
      <w:r>
        <w:rPr>
          <w:rFonts w:ascii="宋体" w:hAnsi="宋体" w:cs="宋体" w:eastAsia="宋体" w:hint="default"/>
        </w:rPr>
        <w:t>4</w:t>
      </w:r>
      <w:r>
        <w:rPr/>
        <w:t>）审议通过了</w:t>
      </w:r>
      <w:r>
        <w:rPr>
          <w:spacing w:val="-1"/>
        </w:rPr>
        <w:t>《</w:t>
      </w:r>
      <w:r>
        <w:rPr>
          <w:rFonts w:ascii="宋体" w:hAnsi="宋体" w:cs="宋体" w:eastAsia="宋体" w:hint="default"/>
        </w:rPr>
        <w:t>2009</w:t>
      </w:r>
      <w:r>
        <w:rPr/>
        <w:t>年度财务决算和</w:t>
      </w:r>
      <w:r>
        <w:rPr>
          <w:rFonts w:ascii="宋体" w:hAnsi="宋体" w:cs="宋体" w:eastAsia="宋体" w:hint="default"/>
        </w:rPr>
        <w:t>2010</w:t>
      </w:r>
      <w:r>
        <w:rPr/>
        <w:t>年财务预算的议案</w:t>
      </w:r>
      <w:r>
        <w:rPr>
          <w:spacing w:val="-120"/>
        </w:rPr>
        <w:t>》</w:t>
      </w:r>
      <w:r>
        <w:rPr/>
        <w:t>；</w:t>
      </w:r>
    </w:p>
    <w:p>
      <w:pPr>
        <w:pStyle w:val="Heading3"/>
        <w:spacing w:line="240" w:lineRule="auto" w:before="152"/>
        <w:ind w:left="560" w:right="0"/>
        <w:jc w:val="left"/>
      </w:pPr>
      <w:r>
        <w:rPr/>
        <w:t>（</w:t>
      </w:r>
      <w:r>
        <w:rPr>
          <w:rFonts w:ascii="宋体" w:hAnsi="宋体" w:cs="宋体" w:eastAsia="宋体" w:hint="default"/>
        </w:rPr>
        <w:t>5</w:t>
      </w:r>
      <w:r>
        <w:rPr/>
        <w:t>）审议通过了《关于公司</w:t>
      </w:r>
      <w:r>
        <w:rPr>
          <w:rFonts w:ascii="宋体" w:hAnsi="宋体" w:cs="宋体" w:eastAsia="宋体" w:hint="default"/>
        </w:rPr>
        <w:t>2009</w:t>
      </w:r>
      <w:r>
        <w:rPr/>
        <w:t>年度利润分配方案</w:t>
      </w:r>
      <w:r>
        <w:rPr>
          <w:spacing w:val="-120"/>
        </w:rPr>
        <w:t>》</w:t>
      </w:r>
      <w:r>
        <w:rPr/>
        <w:t>；</w:t>
      </w:r>
    </w:p>
    <w:p>
      <w:pPr>
        <w:pStyle w:val="Heading3"/>
        <w:spacing w:line="240" w:lineRule="auto"/>
        <w:ind w:left="560" w:right="0"/>
        <w:jc w:val="left"/>
      </w:pPr>
      <w:r>
        <w:rPr/>
        <w:t>（</w:t>
      </w:r>
      <w:r>
        <w:rPr>
          <w:rFonts w:ascii="宋体" w:hAnsi="宋体" w:cs="宋体" w:eastAsia="宋体" w:hint="default"/>
        </w:rPr>
        <w:t>6</w:t>
      </w:r>
      <w:r>
        <w:rPr/>
        <w:t>）审议通过了《关于续聘会计师事务所的议案</w:t>
      </w:r>
      <w:r>
        <w:rPr>
          <w:spacing w:val="-120"/>
        </w:rPr>
        <w:t>》</w:t>
      </w:r>
      <w:r>
        <w:rPr/>
        <w:t>；</w:t>
      </w:r>
    </w:p>
    <w:p>
      <w:pPr>
        <w:pStyle w:val="Heading3"/>
        <w:spacing w:line="357" w:lineRule="auto" w:before="151"/>
        <w:ind w:left="560" w:right="786"/>
        <w:jc w:val="left"/>
      </w:pPr>
      <w:r>
        <w:rPr>
          <w:spacing w:val="-7"/>
        </w:rPr>
        <w:t>（</w:t>
      </w:r>
      <w:r>
        <w:rPr>
          <w:rFonts w:ascii="宋体" w:hAnsi="宋体" w:cs="宋体" w:eastAsia="宋体" w:hint="default"/>
          <w:spacing w:val="-7"/>
        </w:rPr>
        <w:t>7</w:t>
      </w:r>
      <w:r>
        <w:rPr>
          <w:spacing w:val="-7"/>
        </w:rPr>
        <w:t>）审议通过了《补选监事的议案》；</w:t>
      </w:r>
      <w:r>
        <w:rPr>
          <w:spacing w:val="-114"/>
        </w:rPr>
        <w:t> </w:t>
      </w:r>
      <w:r>
        <w:rPr>
          <w:spacing w:val="-114"/>
        </w:rPr>
      </w:r>
      <w:r>
        <w:rPr>
          <w:rFonts w:ascii="宋体" w:hAnsi="宋体" w:cs="宋体" w:eastAsia="宋体" w:hint="default"/>
        </w:rPr>
        <w:t>2</w:t>
      </w:r>
      <w:r>
        <w:rPr/>
        <w:t>、</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8</w:t>
      </w:r>
      <w:r>
        <w:rPr/>
        <w:t>日上午</w:t>
      </w:r>
      <w:r>
        <w:rPr>
          <w:rFonts w:ascii="宋体" w:hAnsi="宋体" w:cs="宋体" w:eastAsia="宋体" w:hint="default"/>
        </w:rPr>
        <w:t>9</w:t>
      </w:r>
      <w:r>
        <w:rPr/>
        <w:t>时在吉林省长春市南关区东头道街</w:t>
      </w:r>
      <w:r>
        <w:rPr>
          <w:rFonts w:ascii="宋体" w:hAnsi="宋体" w:cs="宋体" w:eastAsia="宋体" w:hint="default"/>
        </w:rPr>
        <w:t>1</w:t>
      </w:r>
      <w:r>
        <w:rPr/>
        <w:t>号公司会议室举行</w:t>
      </w:r>
      <w:r>
        <w:rPr>
          <w:rFonts w:ascii="宋体" w:hAnsi="宋体" w:cs="宋体" w:eastAsia="宋体" w:hint="default"/>
        </w:rPr>
        <w:t>2010</w:t>
      </w:r>
      <w:r>
        <w:rPr/>
        <w:t>年第一次临时</w:t>
      </w:r>
    </w:p>
    <w:p>
      <w:pPr>
        <w:pStyle w:val="Heading3"/>
        <w:spacing w:line="240" w:lineRule="auto" w:before="34"/>
        <w:ind w:right="0"/>
        <w:jc w:val="left"/>
      </w:pPr>
      <w:r>
        <w:rPr/>
        <w:t>股东大会，会议审议通过了如下决议：</w:t>
      </w:r>
    </w:p>
    <w:p>
      <w:pPr>
        <w:pStyle w:val="Heading3"/>
        <w:spacing w:line="240" w:lineRule="auto"/>
        <w:ind w:left="560" w:right="0"/>
        <w:jc w:val="left"/>
      </w:pPr>
      <w:r>
        <w:rPr/>
        <w:t>（</w:t>
      </w:r>
      <w:r>
        <w:rPr>
          <w:rFonts w:ascii="宋体" w:hAnsi="宋体" w:cs="宋体" w:eastAsia="宋体" w:hint="default"/>
        </w:rPr>
        <w:t>1</w:t>
      </w:r>
      <w:r>
        <w:rPr/>
        <w:t>）审议通过了《关于提名郭春生先生担任第四届董事会董事的议案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2</w:t>
      </w:r>
      <w:r>
        <w:rPr/>
        <w:t>）审议通过了《关于提名祖春香女士担任第四届董事会董事的议案</w:t>
      </w:r>
      <w:r>
        <w:rPr>
          <w:spacing w:val="-120"/>
        </w:rPr>
        <w:t>》</w:t>
      </w:r>
      <w:r>
        <w:rPr/>
        <w:t>；</w:t>
      </w:r>
    </w:p>
    <w:p>
      <w:pPr>
        <w:pStyle w:val="Heading3"/>
        <w:spacing w:line="240" w:lineRule="auto"/>
        <w:ind w:left="560" w:right="0"/>
        <w:jc w:val="left"/>
      </w:pPr>
      <w:r>
        <w:rPr/>
        <w:t>（</w:t>
      </w:r>
      <w:r>
        <w:rPr>
          <w:rFonts w:ascii="宋体" w:hAnsi="宋体" w:cs="宋体" w:eastAsia="宋体" w:hint="default"/>
        </w:rPr>
        <w:t>3</w:t>
      </w:r>
      <w:r>
        <w:rPr/>
        <w:t>）审议通过了《关于提名秦静女士担任第四届董事会董事的议案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4</w:t>
      </w:r>
      <w:r>
        <w:rPr/>
        <w:t>）审议通过了《关于提名殷金龙先生担任第四届董事会董事的议案</w:t>
      </w:r>
      <w:r>
        <w:rPr>
          <w:spacing w:val="-120"/>
        </w:rPr>
        <w:t>》</w:t>
      </w:r>
      <w:r>
        <w:rPr/>
        <w:t>；</w:t>
      </w:r>
    </w:p>
    <w:p>
      <w:pPr>
        <w:pStyle w:val="Heading3"/>
        <w:spacing w:line="240" w:lineRule="auto"/>
        <w:ind w:left="560" w:right="0"/>
        <w:jc w:val="left"/>
      </w:pPr>
      <w:r>
        <w:rPr/>
        <w:t>（</w:t>
      </w:r>
      <w:r>
        <w:rPr>
          <w:rFonts w:ascii="宋体" w:hAnsi="宋体" w:cs="宋体" w:eastAsia="宋体" w:hint="default"/>
        </w:rPr>
        <w:t>5</w:t>
      </w:r>
      <w:r>
        <w:rPr/>
        <w:t>）审议通过了《关于提名徐卫东先生担任第四届董事会董事的议案</w:t>
      </w:r>
      <w:r>
        <w:rPr>
          <w:spacing w:val="-120"/>
        </w:rPr>
        <w:t>》</w:t>
      </w:r>
      <w:r>
        <w:rPr/>
        <w:t>；</w:t>
      </w:r>
    </w:p>
    <w:p>
      <w:pPr>
        <w:pStyle w:val="Heading3"/>
        <w:spacing w:line="240" w:lineRule="auto"/>
        <w:ind w:left="560" w:right="0"/>
        <w:jc w:val="left"/>
      </w:pPr>
      <w:r>
        <w:rPr/>
        <w:t>（</w:t>
      </w:r>
      <w:r>
        <w:rPr>
          <w:rFonts w:ascii="宋体" w:hAnsi="宋体" w:cs="宋体" w:eastAsia="宋体" w:hint="default"/>
        </w:rPr>
        <w:t>6</w:t>
      </w:r>
      <w:r>
        <w:rPr/>
        <w:t>）审议通过了《关于提名李飞女士担任第四届董事会董事的议案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7</w:t>
      </w:r>
      <w:r>
        <w:rPr/>
        <w:t>）审议通过了《关于提名方勇先生担任第四届董事会董事的议案</w:t>
      </w:r>
      <w:r>
        <w:rPr>
          <w:spacing w:val="-120"/>
        </w:rPr>
        <w:t>》</w:t>
      </w:r>
      <w:r>
        <w:rPr/>
        <w:t>；</w:t>
      </w:r>
    </w:p>
    <w:p>
      <w:pPr>
        <w:pStyle w:val="Heading3"/>
        <w:spacing w:line="240" w:lineRule="auto"/>
        <w:ind w:left="560" w:right="0"/>
        <w:jc w:val="left"/>
      </w:pPr>
      <w:r>
        <w:rPr/>
        <w:t>（</w:t>
      </w:r>
      <w:r>
        <w:rPr>
          <w:rFonts w:ascii="宋体" w:hAnsi="宋体" w:cs="宋体" w:eastAsia="宋体" w:hint="default"/>
        </w:rPr>
        <w:t>8</w:t>
      </w:r>
      <w:r>
        <w:rPr/>
        <w:t>）审议通过了《关于提名范水波先生担任第四届监事会监事的议案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9</w:t>
      </w:r>
      <w:r>
        <w:rPr/>
        <w:t>）审议通过了《关于提名韩明先生担任第四届监事会监事的议案</w:t>
      </w:r>
      <w:r>
        <w:rPr>
          <w:spacing w:val="-120"/>
        </w:rPr>
        <w:t>》</w:t>
      </w:r>
      <w:r>
        <w:rPr/>
        <w:t>；</w:t>
      </w:r>
    </w:p>
    <w:p>
      <w:pPr>
        <w:pStyle w:val="Heading3"/>
        <w:spacing w:line="355" w:lineRule="auto"/>
        <w:ind w:left="560" w:right="786"/>
        <w:jc w:val="left"/>
      </w:pPr>
      <w:r>
        <w:rPr>
          <w:spacing w:val="-6"/>
        </w:rPr>
        <w:t>（</w:t>
      </w:r>
      <w:r>
        <w:rPr>
          <w:rFonts w:ascii="宋体" w:hAnsi="宋体" w:cs="宋体" w:eastAsia="宋体" w:hint="default"/>
          <w:spacing w:val="-6"/>
        </w:rPr>
        <w:t>10</w:t>
      </w:r>
      <w:r>
        <w:rPr>
          <w:spacing w:val="-6"/>
        </w:rPr>
        <w:t>）审议通过了《关于修改公司章程的议案》。</w:t>
      </w:r>
      <w:r>
        <w:rPr>
          <w:spacing w:val="-102"/>
        </w:rPr>
        <w:t> </w:t>
      </w:r>
      <w:r>
        <w:rPr>
          <w:spacing w:val="-102"/>
        </w:rPr>
      </w:r>
      <w:r>
        <w:rPr>
          <w:rFonts w:ascii="宋体" w:hAnsi="宋体" w:cs="宋体" w:eastAsia="宋体" w:hint="default"/>
        </w:rPr>
        <w:t>3</w:t>
      </w:r>
      <w:r>
        <w:rPr/>
        <w:t>、</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21</w:t>
      </w:r>
      <w:r>
        <w:rPr/>
        <w:t>日在长春市南关区东头道街</w:t>
      </w:r>
      <w:r>
        <w:rPr>
          <w:rFonts w:ascii="宋体" w:hAnsi="宋体" w:cs="宋体" w:eastAsia="宋体" w:hint="default"/>
        </w:rPr>
        <w:t>1</w:t>
      </w:r>
      <w:r>
        <w:rPr/>
        <w:t>号公司会议室召开</w:t>
      </w:r>
      <w:r>
        <w:rPr>
          <w:rFonts w:ascii="宋体" w:hAnsi="宋体" w:cs="宋体" w:eastAsia="宋体" w:hint="default"/>
        </w:rPr>
        <w:t>2010</w:t>
      </w:r>
      <w:r>
        <w:rPr/>
        <w:t>年第二次临时股东大会，会</w:t>
      </w:r>
    </w:p>
    <w:p>
      <w:pPr>
        <w:pStyle w:val="Heading3"/>
        <w:spacing w:line="240" w:lineRule="auto" w:before="38"/>
        <w:ind w:right="0"/>
        <w:jc w:val="left"/>
      </w:pPr>
      <w:r>
        <w:rPr/>
        <w:t>议审议通过了如下决议：</w:t>
      </w:r>
    </w:p>
    <w:p>
      <w:pPr>
        <w:pStyle w:val="Heading3"/>
        <w:spacing w:line="240" w:lineRule="auto" w:before="151"/>
        <w:ind w:left="560" w:right="0"/>
        <w:jc w:val="left"/>
      </w:pPr>
      <w:r>
        <w:rPr/>
        <w:t>（</w:t>
      </w:r>
      <w:r>
        <w:rPr>
          <w:rFonts w:ascii="宋体" w:hAnsi="宋体" w:cs="宋体" w:eastAsia="宋体" w:hint="default"/>
        </w:rPr>
        <w:t>1</w:t>
      </w:r>
      <w:r>
        <w:rPr/>
        <w:t>）审议通过《关于公司符合向特定对象非公开发行股票条件的议案</w:t>
      </w:r>
      <w:r>
        <w:rPr>
          <w:spacing w:val="-120"/>
        </w:rPr>
        <w:t>》</w:t>
      </w:r>
      <w:r>
        <w:rPr/>
        <w:t>；</w:t>
      </w:r>
    </w:p>
    <w:p>
      <w:pPr>
        <w:pStyle w:val="Heading3"/>
        <w:spacing w:line="240" w:lineRule="auto"/>
        <w:ind w:left="560" w:right="0"/>
        <w:jc w:val="left"/>
      </w:pPr>
      <w:r>
        <w:rPr/>
        <w:t>（</w:t>
      </w:r>
      <w:r>
        <w:rPr>
          <w:rFonts w:ascii="宋体" w:hAnsi="宋体" w:cs="宋体" w:eastAsia="宋体" w:hint="default"/>
        </w:rPr>
        <w:t>2</w:t>
      </w:r>
      <w:r>
        <w:rPr/>
        <w:t>）审议通过《关于公司</w:t>
      </w:r>
      <w:r>
        <w:rPr>
          <w:rFonts w:ascii="宋体" w:hAnsi="宋体" w:cs="宋体" w:eastAsia="宋体" w:hint="default"/>
        </w:rPr>
        <w:t>2010</w:t>
      </w:r>
      <w:r>
        <w:rPr/>
        <w:t>年度非公开发行股票方案的议案</w:t>
      </w:r>
      <w:r>
        <w:rPr>
          <w:spacing w:val="-120"/>
        </w:rPr>
        <w:t>》</w:t>
      </w:r>
      <w:r>
        <w:rPr/>
        <w:t>；</w:t>
      </w:r>
    </w:p>
    <w:p>
      <w:pPr>
        <w:pStyle w:val="Heading3"/>
        <w:spacing w:line="240" w:lineRule="auto" w:before="151"/>
        <w:ind w:left="560" w:right="0"/>
        <w:jc w:val="left"/>
      </w:pPr>
      <w:r>
        <w:rPr/>
        <w:t>（</w:t>
      </w:r>
      <w:r>
        <w:rPr>
          <w:rFonts w:ascii="宋体" w:hAnsi="宋体" w:cs="宋体" w:eastAsia="宋体" w:hint="default"/>
        </w:rPr>
        <w:t>3</w:t>
      </w:r>
      <w:r>
        <w:rPr/>
        <w:t>）审议通过《公</w:t>
      </w:r>
      <w:r>
        <w:rPr>
          <w:spacing w:val="-1"/>
        </w:rPr>
        <w:t>司</w:t>
      </w:r>
      <w:r>
        <w:rPr>
          <w:rFonts w:ascii="宋体" w:hAnsi="宋体" w:cs="宋体" w:eastAsia="宋体" w:hint="default"/>
        </w:rPr>
        <w:t>&lt;</w:t>
      </w:r>
      <w:r>
        <w:rPr/>
        <w:t>关于</w:t>
      </w:r>
      <w:r>
        <w:rPr>
          <w:rFonts w:ascii="宋体" w:hAnsi="宋体" w:cs="宋体" w:eastAsia="宋体" w:hint="default"/>
        </w:rPr>
        <w:t>2010</w:t>
      </w:r>
      <w:r>
        <w:rPr/>
        <w:t>年度非公开发行股票预案</w:t>
      </w:r>
      <w:r>
        <w:rPr>
          <w:rFonts w:ascii="宋体" w:hAnsi="宋体" w:cs="宋体" w:eastAsia="宋体" w:hint="default"/>
        </w:rPr>
        <w:t>&gt;</w:t>
      </w:r>
      <w:r>
        <w:rPr/>
        <w:t>的议案</w:t>
      </w:r>
      <w:r>
        <w:rPr>
          <w:spacing w:val="-120"/>
        </w:rPr>
        <w:t>》</w:t>
      </w:r>
      <w:r>
        <w:rPr/>
        <w:t>；</w:t>
      </w:r>
    </w:p>
    <w:p>
      <w:pPr>
        <w:pStyle w:val="Heading3"/>
        <w:spacing w:line="240" w:lineRule="auto"/>
        <w:ind w:left="560" w:right="0"/>
        <w:jc w:val="left"/>
      </w:pPr>
      <w:r>
        <w:rPr/>
        <w:t>（</w:t>
      </w:r>
      <w:r>
        <w:rPr>
          <w:rFonts w:ascii="宋体" w:hAnsi="宋体" w:cs="宋体" w:eastAsia="宋体" w:hint="default"/>
        </w:rPr>
        <w:t>4</w:t>
      </w:r>
      <w:r>
        <w:rPr/>
        <w:t>）审议通过了《关</w:t>
      </w:r>
      <w:r>
        <w:rPr>
          <w:spacing w:val="-1"/>
        </w:rPr>
        <w:t>于</w:t>
      </w:r>
      <w:r>
        <w:rPr>
          <w:rFonts w:ascii="宋体" w:hAnsi="宋体" w:cs="宋体" w:eastAsia="宋体" w:hint="default"/>
        </w:rPr>
        <w:t>2010</w:t>
      </w:r>
      <w:r>
        <w:rPr/>
        <w:t>年度非公开发行股票募集资金运用的可行性研究报告的议案</w:t>
      </w:r>
      <w:r>
        <w:rPr>
          <w:spacing w:val="-119"/>
        </w:rPr>
        <w:t>》</w:t>
      </w:r>
      <w:r>
        <w:rPr/>
        <w:t>；</w:t>
      </w:r>
    </w:p>
    <w:p>
      <w:pPr>
        <w:pStyle w:val="Heading3"/>
        <w:spacing w:line="357" w:lineRule="auto" w:before="151"/>
        <w:ind w:right="786" w:firstLine="420"/>
        <w:jc w:val="left"/>
      </w:pPr>
      <w:r>
        <w:rPr/>
        <w:t>（</w:t>
      </w:r>
      <w:r>
        <w:rPr>
          <w:rFonts w:ascii="宋体" w:hAnsi="宋体" w:cs="宋体" w:eastAsia="宋体" w:hint="default"/>
        </w:rPr>
        <w:t>5</w:t>
      </w:r>
      <w:r>
        <w:rPr/>
        <w:t>）审议通过《关于提请股东大会授权董事会办理本次公司向特定对象非公开发行股票相关事 </w:t>
      </w:r>
      <w:r>
        <w:rPr>
          <w:spacing w:val="-20"/>
        </w:rPr>
        <w:t>宜的议案》；</w:t>
      </w:r>
    </w:p>
    <w:p>
      <w:pPr>
        <w:pStyle w:val="Heading3"/>
        <w:spacing w:line="357" w:lineRule="auto" w:before="34"/>
        <w:ind w:left="560" w:right="714"/>
        <w:jc w:val="left"/>
      </w:pPr>
      <w:r>
        <w:rPr>
          <w:spacing w:val="-4"/>
        </w:rPr>
        <w:t>（</w:t>
      </w:r>
      <w:r>
        <w:rPr>
          <w:rFonts w:ascii="宋体" w:hAnsi="宋体" w:cs="宋体" w:eastAsia="宋体" w:hint="default"/>
          <w:spacing w:val="-4"/>
        </w:rPr>
        <w:t>6</w:t>
      </w:r>
      <w:r>
        <w:rPr>
          <w:spacing w:val="-4"/>
        </w:rPr>
        <w:t>）审议通过《公司董事会关于前次募集资金使用情况的说明》；</w:t>
      </w:r>
      <w:r>
        <w:rPr/>
        <w:t> </w:t>
      </w:r>
      <w:r>
        <w:rPr>
          <w:rFonts w:ascii="宋体" w:hAnsi="宋体" w:cs="宋体" w:eastAsia="宋体" w:hint="default"/>
          <w:spacing w:val="-1"/>
        </w:rPr>
        <w:t>4</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5</w:t>
      </w:r>
      <w:r>
        <w:rPr>
          <w:spacing w:val="-1"/>
        </w:rPr>
        <w:t>日在长春市南关区东头道街</w:t>
      </w:r>
      <w:r>
        <w:rPr>
          <w:rFonts w:ascii="宋体" w:hAnsi="宋体" w:cs="宋体" w:eastAsia="宋体" w:hint="default"/>
          <w:spacing w:val="-1"/>
        </w:rPr>
        <w:t>1</w:t>
      </w:r>
      <w:r>
        <w:rPr>
          <w:spacing w:val="-1"/>
        </w:rPr>
        <w:t>号公司会议室召开</w:t>
      </w:r>
      <w:r>
        <w:rPr>
          <w:rFonts w:ascii="宋体" w:hAnsi="宋体" w:cs="宋体" w:eastAsia="宋体" w:hint="default"/>
          <w:spacing w:val="-1"/>
        </w:rPr>
        <w:t>2010</w:t>
      </w:r>
      <w:r>
        <w:rPr>
          <w:spacing w:val="-1"/>
        </w:rPr>
        <w:t>年第三次临时股东大会，会议</w:t>
      </w:r>
    </w:p>
    <w:p>
      <w:pPr>
        <w:pStyle w:val="Heading3"/>
        <w:spacing w:line="240" w:lineRule="auto" w:before="34"/>
        <w:ind w:right="0"/>
        <w:jc w:val="left"/>
      </w:pPr>
      <w:r>
        <w:rPr/>
        <w:t>审议通过了如下决议：</w:t>
      </w:r>
    </w:p>
    <w:p>
      <w:pPr>
        <w:pStyle w:val="Heading3"/>
        <w:spacing w:line="240" w:lineRule="auto"/>
        <w:ind w:left="560" w:right="0"/>
        <w:jc w:val="left"/>
      </w:pPr>
      <w:r>
        <w:rPr/>
        <w:t>（</w:t>
      </w:r>
      <w:r>
        <w:rPr>
          <w:rFonts w:ascii="宋体" w:hAnsi="宋体" w:cs="宋体" w:eastAsia="宋体" w:hint="default"/>
        </w:rPr>
        <w:t>1</w:t>
      </w:r>
      <w:r>
        <w:rPr/>
        <w:t>）审议通</w:t>
      </w:r>
      <w:r>
        <w:rPr>
          <w:spacing w:val="-1"/>
        </w:rPr>
        <w:t>过</w:t>
      </w:r>
      <w:r>
        <w:rPr/>
        <w:t>《关于申请中国建设银行柳河支行贷款的议案</w:t>
      </w:r>
      <w:r>
        <w:rPr>
          <w:spacing w:val="-120"/>
        </w:rPr>
        <w:t>》</w:t>
      </w:r>
      <w:r>
        <w:rPr/>
        <w:t>；</w:t>
      </w:r>
    </w:p>
    <w:p>
      <w:pPr>
        <w:pStyle w:val="Heading3"/>
        <w:spacing w:line="240" w:lineRule="auto"/>
        <w:ind w:left="560" w:right="0"/>
        <w:jc w:val="left"/>
      </w:pPr>
      <w:r>
        <w:rPr/>
        <w:t>（</w:t>
      </w:r>
      <w:r>
        <w:rPr>
          <w:rFonts w:ascii="宋体" w:hAnsi="宋体" w:cs="宋体" w:eastAsia="宋体" w:hint="default"/>
        </w:rPr>
        <w:t>2</w:t>
      </w:r>
      <w:r>
        <w:rPr/>
        <w:t>）审议通过《关于补选董事的议案》</w:t>
      </w:r>
    </w:p>
    <w:p>
      <w:pPr>
        <w:pStyle w:val="Heading3"/>
        <w:spacing w:line="468" w:lineRule="exact" w:before="57"/>
        <w:ind w:left="560" w:right="0"/>
        <w:jc w:val="left"/>
      </w:pPr>
      <w:r>
        <w:rPr/>
        <w:t>（三）报告期内，公司董事长、独立董事及其他董事履行职责的情况 </w:t>
      </w:r>
      <w:r>
        <w:rPr>
          <w:spacing w:val="-4"/>
        </w:rPr>
        <w:t>报告期内，公司各位董事严格按照相关法规和公司章程的要求，诚实守信、勤勉独立地履行职责，</w:t>
      </w:r>
    </w:p>
    <w:p>
      <w:pPr>
        <w:spacing w:after="0" w:line="468" w:lineRule="exact"/>
        <w:jc w:val="left"/>
        <w:sectPr>
          <w:footerReference w:type="default" r:id="rId21"/>
          <w:pgSz w:w="11910" w:h="16840"/>
          <w:pgMar w:footer="956" w:header="720" w:top="1300" w:bottom="1140" w:left="580" w:right="0"/>
          <w:pgNumType w:start="32"/>
        </w:sectPr>
      </w:pPr>
    </w:p>
    <w:p>
      <w:pPr>
        <w:pStyle w:val="Heading3"/>
        <w:spacing w:line="355" w:lineRule="auto" w:before="13"/>
        <w:ind w:left="660" w:right="708" w:hanging="420"/>
        <w:jc w:val="left"/>
      </w:pPr>
      <w:r>
        <w:rPr/>
        <w:pict>
          <v:group style="position:absolute;margin-left:34.560001pt;margin-top:2.305654pt;width:508.3pt;height:.1pt;mso-position-horizontal-relative:page;mso-position-vertical-relative:paragraph;z-index:-534256" coordorigin="691,46" coordsize="10166,2">
            <v:shape style="position:absolute;left:691;top:46;width:10166;height:2" coordorigin="691,46" coordsize="10166,0" path="m691,46l10857,46e" filled="false" stroked="true" strokeweight=".72pt" strokecolor="#000000">
              <v:path arrowok="t"/>
            </v:shape>
            <w10:wrap type="none"/>
          </v:group>
        </w:pict>
      </w:r>
      <w:r>
        <w:rPr/>
        <w:t>出席公司相关会议，认真审议董事会的各项议案，切实保护中小投资者利益不受侵害。 </w:t>
      </w:r>
      <w:r>
        <w:rPr>
          <w:spacing w:val="-1"/>
        </w:rPr>
        <w:t>公司董事长依法召集并主持董事会会议，推动公司内部治理制度的制定和完善，组织完成股东大</w:t>
      </w:r>
    </w:p>
    <w:p>
      <w:pPr>
        <w:pStyle w:val="Heading3"/>
        <w:spacing w:line="355" w:lineRule="auto" w:before="38"/>
        <w:ind w:left="240" w:right="606"/>
        <w:jc w:val="left"/>
      </w:pPr>
      <w:r>
        <w:rPr>
          <w:spacing w:val="-3"/>
        </w:rPr>
        <w:t>会授权的事项，执行董事会决议。董事长积极保证了独立董事和董事会秘书的知情权，为其履行职责</w:t>
      </w:r>
      <w:r>
        <w:rPr>
          <w:spacing w:val="-84"/>
        </w:rPr>
        <w:t> </w:t>
      </w:r>
      <w:r>
        <w:rPr>
          <w:spacing w:val="-84"/>
        </w:rPr>
      </w:r>
      <w:r>
        <w:rPr/>
        <w:t>创造了良好的工作条件。</w:t>
      </w:r>
    </w:p>
    <w:p>
      <w:pPr>
        <w:pStyle w:val="Heading3"/>
        <w:spacing w:line="355" w:lineRule="auto" w:before="38"/>
        <w:ind w:left="240" w:right="708" w:firstLine="420"/>
        <w:jc w:val="left"/>
      </w:pPr>
      <w:r>
        <w:rPr>
          <w:spacing w:val="-1"/>
        </w:rPr>
        <w:t>公司独立董事本着对全体股东负责的态度，认真履行独立董事职责，为公司的健康发展发挥了积</w:t>
      </w:r>
      <w:r>
        <w:rPr/>
        <w:t> 极作用。</w:t>
      </w:r>
    </w:p>
    <w:p>
      <w:pPr>
        <w:pStyle w:val="Heading3"/>
        <w:spacing w:line="355" w:lineRule="auto" w:before="38"/>
        <w:ind w:left="240" w:right="708" w:firstLine="420"/>
        <w:jc w:val="left"/>
      </w:pPr>
      <w:r>
        <w:rPr>
          <w:spacing w:val="-1"/>
        </w:rPr>
        <w:t>报告期内，公司董事会进行了换届选举，第三届董事会召开了两次会议，第四届董事会召开九次</w:t>
      </w:r>
      <w:r>
        <w:rPr/>
        <w:t> 会议，董事出席会议情况如下：</w:t>
      </w:r>
    </w:p>
    <w:p>
      <w:pPr>
        <w:spacing w:line="240" w:lineRule="auto" w:before="1"/>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236"/>
        <w:gridCol w:w="1387"/>
        <w:gridCol w:w="1100"/>
        <w:gridCol w:w="1022"/>
        <w:gridCol w:w="1810"/>
        <w:gridCol w:w="1162"/>
        <w:gridCol w:w="903"/>
        <w:gridCol w:w="2078"/>
      </w:tblGrid>
      <w:tr>
        <w:trPr>
          <w:trHeight w:val="721" w:hRule="exact"/>
        </w:trPr>
        <w:tc>
          <w:tcPr>
            <w:tcW w:w="1236" w:type="dxa"/>
            <w:tcBorders>
              <w:top w:val="single" w:sz="12" w:space="0" w:color="000000"/>
              <w:left w:val="nil" w:sz="6" w:space="0" w:color="auto"/>
              <w:bottom w:val="single" w:sz="4" w:space="0" w:color="000000"/>
              <w:right w:val="single" w:sz="4"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before="115"/>
              <w:ind w:left="16"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18"/>
                <w:szCs w:val="18"/>
              </w:rPr>
            </w:pPr>
            <w:r>
              <w:rPr>
                <w:rFonts w:ascii="宋体" w:hAnsi="宋体" w:cs="宋体" w:eastAsia="宋体" w:hint="default"/>
                <w:sz w:val="18"/>
                <w:szCs w:val="18"/>
              </w:rPr>
              <w:t>具体职务</w:t>
            </w:r>
          </w:p>
        </w:tc>
        <w:tc>
          <w:tcPr>
            <w:tcW w:w="1100"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应出席次</w:t>
            </w: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数</w:t>
            </w:r>
          </w:p>
        </w:tc>
        <w:tc>
          <w:tcPr>
            <w:tcW w:w="1022"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现场出席</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次数</w:t>
            </w:r>
          </w:p>
        </w:tc>
        <w:tc>
          <w:tcPr>
            <w:tcW w:w="1810"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以通讯方式参加会</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议次数</w:t>
            </w:r>
          </w:p>
        </w:tc>
        <w:tc>
          <w:tcPr>
            <w:tcW w:w="1162"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委托出席次</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数</w:t>
            </w:r>
          </w:p>
        </w:tc>
        <w:tc>
          <w:tcPr>
            <w:tcW w:w="903" w:type="dxa"/>
            <w:tcBorders>
              <w:top w:val="single" w:sz="12" w:space="0" w:color="000000"/>
              <w:left w:val="single" w:sz="4" w:space="0" w:color="000000"/>
              <w:bottom w:val="single" w:sz="4" w:space="0" w:color="000000"/>
              <w:right w:val="single" w:sz="4" w:space="0" w:color="000000"/>
            </w:tcBorders>
          </w:tcPr>
          <w:p>
            <w:pPr>
              <w:pStyle w:val="TableParagraph"/>
              <w:spacing w:line="203" w:lineRule="exact"/>
              <w:ind w:left="266" w:right="0"/>
              <w:jc w:val="left"/>
              <w:rPr>
                <w:rFonts w:ascii="宋体" w:hAnsi="宋体" w:cs="宋体" w:eastAsia="宋体" w:hint="default"/>
                <w:sz w:val="18"/>
                <w:szCs w:val="18"/>
              </w:rPr>
            </w:pPr>
            <w:r>
              <w:rPr>
                <w:rFonts w:ascii="宋体" w:hAnsi="宋体" w:cs="宋体" w:eastAsia="宋体" w:hint="default"/>
                <w:sz w:val="18"/>
                <w:szCs w:val="18"/>
              </w:rPr>
              <w:t>缺席</w:t>
            </w:r>
          </w:p>
          <w:p>
            <w:pPr>
              <w:pStyle w:val="TableParagraph"/>
              <w:spacing w:line="240" w:lineRule="auto" w:before="115"/>
              <w:ind w:left="266" w:right="0"/>
              <w:jc w:val="left"/>
              <w:rPr>
                <w:rFonts w:ascii="宋体" w:hAnsi="宋体" w:cs="宋体" w:eastAsia="宋体" w:hint="default"/>
                <w:sz w:val="18"/>
                <w:szCs w:val="18"/>
              </w:rPr>
            </w:pPr>
            <w:r>
              <w:rPr>
                <w:rFonts w:ascii="宋体" w:hAnsi="宋体" w:cs="宋体" w:eastAsia="宋体" w:hint="default"/>
                <w:sz w:val="18"/>
                <w:szCs w:val="18"/>
              </w:rPr>
              <w:t>次数</w:t>
            </w:r>
          </w:p>
        </w:tc>
        <w:tc>
          <w:tcPr>
            <w:tcW w:w="2078" w:type="dxa"/>
            <w:tcBorders>
              <w:top w:val="single" w:sz="12" w:space="0" w:color="000000"/>
              <w:left w:val="single" w:sz="4" w:space="0" w:color="000000"/>
              <w:bottom w:val="single" w:sz="4" w:space="0" w:color="000000"/>
              <w:right w:val="nil" w:sz="6" w:space="0" w:color="auto"/>
            </w:tcBorders>
          </w:tcPr>
          <w:p>
            <w:pPr>
              <w:pStyle w:val="TableParagraph"/>
              <w:spacing w:line="203" w:lineRule="exact"/>
              <w:ind w:right="7"/>
              <w:jc w:val="center"/>
              <w:rPr>
                <w:rFonts w:ascii="宋体" w:hAnsi="宋体" w:cs="宋体" w:eastAsia="宋体" w:hint="default"/>
                <w:sz w:val="18"/>
                <w:szCs w:val="18"/>
              </w:rPr>
            </w:pPr>
            <w:r>
              <w:rPr>
                <w:rFonts w:ascii="宋体" w:hAnsi="宋体" w:cs="宋体" w:eastAsia="宋体" w:hint="default"/>
                <w:sz w:val="18"/>
                <w:szCs w:val="18"/>
              </w:rPr>
              <w:t>是否连续两次未亲自出</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席会议</w:t>
            </w:r>
          </w:p>
        </w:tc>
      </w:tr>
      <w:tr>
        <w:trPr>
          <w:trHeight w:val="360"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334"/>
              <w:jc w:val="right"/>
              <w:rPr>
                <w:rFonts w:ascii="宋体" w:hAnsi="宋体" w:cs="宋体" w:eastAsia="宋体" w:hint="default"/>
                <w:sz w:val="18"/>
                <w:szCs w:val="18"/>
              </w:rPr>
            </w:pPr>
            <w:r>
              <w:rPr>
                <w:rFonts w:ascii="宋体" w:hAnsi="宋体" w:cs="宋体" w:eastAsia="宋体" w:hint="default"/>
                <w:sz w:val="18"/>
                <w:szCs w:val="18"/>
              </w:rPr>
              <w:t>郭春生</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5"/>
              <w:jc w:val="right"/>
              <w:rPr>
                <w:rFonts w:ascii="宋体" w:hAnsi="宋体" w:cs="宋体" w:eastAsia="宋体" w:hint="default"/>
                <w:sz w:val="18"/>
                <w:szCs w:val="18"/>
              </w:rPr>
            </w:pPr>
            <w:r>
              <w:rPr>
                <w:rFonts w:ascii="宋体"/>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334"/>
              <w:jc w:val="right"/>
              <w:rPr>
                <w:rFonts w:ascii="宋体" w:hAnsi="宋体" w:cs="宋体" w:eastAsia="宋体" w:hint="default"/>
                <w:sz w:val="18"/>
                <w:szCs w:val="18"/>
              </w:rPr>
            </w:pPr>
            <w:r>
              <w:rPr>
                <w:rFonts w:ascii="宋体" w:hAnsi="宋体" w:cs="宋体" w:eastAsia="宋体" w:hint="default"/>
                <w:sz w:val="18"/>
                <w:szCs w:val="18"/>
              </w:rPr>
              <w:t>祖春香</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5"/>
              <w:jc w:val="right"/>
              <w:rPr>
                <w:rFonts w:ascii="宋体" w:hAnsi="宋体" w:cs="宋体" w:eastAsia="宋体" w:hint="default"/>
                <w:sz w:val="18"/>
                <w:szCs w:val="18"/>
              </w:rPr>
            </w:pPr>
            <w:r>
              <w:rPr>
                <w:rFonts w:ascii="宋体"/>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31"/>
              <w:jc w:val="right"/>
              <w:rPr>
                <w:rFonts w:ascii="宋体" w:hAnsi="宋体" w:cs="宋体" w:eastAsia="宋体" w:hint="default"/>
                <w:sz w:val="18"/>
                <w:szCs w:val="18"/>
              </w:rPr>
            </w:pPr>
            <w:r>
              <w:rPr>
                <w:rFonts w:ascii="宋体" w:hAnsi="宋体" w:cs="宋体" w:eastAsia="宋体" w:hint="default"/>
                <w:sz w:val="18"/>
                <w:szCs w:val="18"/>
              </w:rPr>
              <w:t>秦 </w:t>
            </w:r>
            <w:r>
              <w:rPr>
                <w:rFonts w:ascii="宋体" w:hAnsi="宋体" w:cs="宋体" w:eastAsia="宋体" w:hint="default"/>
                <w:spacing w:val="2"/>
                <w:sz w:val="18"/>
                <w:szCs w:val="18"/>
              </w:rPr>
              <w:t> </w:t>
            </w:r>
            <w:r>
              <w:rPr>
                <w:rFonts w:ascii="宋体" w:hAnsi="宋体" w:cs="宋体" w:eastAsia="宋体" w:hint="default"/>
                <w:sz w:val="18"/>
                <w:szCs w:val="18"/>
              </w:rPr>
              <w:t>静</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55"/>
              <w:jc w:val="right"/>
              <w:rPr>
                <w:rFonts w:ascii="宋体" w:hAnsi="宋体" w:cs="宋体" w:eastAsia="宋体" w:hint="default"/>
                <w:sz w:val="18"/>
                <w:szCs w:val="18"/>
              </w:rPr>
            </w:pPr>
            <w:r>
              <w:rPr>
                <w:rFonts w:ascii="宋体"/>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34"/>
              <w:jc w:val="right"/>
              <w:rPr>
                <w:rFonts w:ascii="宋体" w:hAnsi="宋体" w:cs="宋体" w:eastAsia="宋体" w:hint="default"/>
                <w:sz w:val="18"/>
                <w:szCs w:val="18"/>
              </w:rPr>
            </w:pPr>
            <w:r>
              <w:rPr>
                <w:rFonts w:ascii="宋体" w:hAnsi="宋体" w:cs="宋体" w:eastAsia="宋体" w:hint="default"/>
                <w:sz w:val="18"/>
                <w:szCs w:val="18"/>
              </w:rPr>
              <w:t>曹恩辉</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55"/>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2"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34"/>
              <w:jc w:val="right"/>
              <w:rPr>
                <w:rFonts w:ascii="宋体" w:hAnsi="宋体" w:cs="宋体" w:eastAsia="宋体" w:hint="default"/>
                <w:sz w:val="18"/>
                <w:szCs w:val="18"/>
              </w:rPr>
            </w:pPr>
            <w:r>
              <w:rPr>
                <w:rFonts w:ascii="宋体" w:hAnsi="宋体" w:cs="宋体" w:eastAsia="宋体" w:hint="default"/>
                <w:sz w:val="18"/>
                <w:szCs w:val="18"/>
              </w:rPr>
              <w:t>殷金龙</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11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55"/>
              <w:jc w:val="right"/>
              <w:rPr>
                <w:rFonts w:ascii="宋体" w:hAnsi="宋体" w:cs="宋体" w:eastAsia="宋体" w:hint="default"/>
                <w:sz w:val="18"/>
                <w:szCs w:val="18"/>
              </w:rPr>
            </w:pPr>
            <w:r>
              <w:rPr>
                <w:rFonts w:ascii="宋体"/>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
              <w:jc w:val="center"/>
              <w:rPr>
                <w:rFonts w:ascii="宋体" w:hAnsi="宋体" w:cs="宋体" w:eastAsia="宋体" w:hint="default"/>
                <w:sz w:val="18"/>
                <w:szCs w:val="18"/>
              </w:rPr>
            </w:pPr>
            <w:r>
              <w:rPr>
                <w:rFonts w:ascii="宋体"/>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334"/>
              <w:jc w:val="right"/>
              <w:rPr>
                <w:rFonts w:ascii="宋体" w:hAnsi="宋体" w:cs="宋体" w:eastAsia="宋体" w:hint="default"/>
                <w:sz w:val="18"/>
                <w:szCs w:val="18"/>
              </w:rPr>
            </w:pPr>
            <w:r>
              <w:rPr>
                <w:rFonts w:ascii="宋体" w:hAnsi="宋体" w:cs="宋体" w:eastAsia="宋体" w:hint="default"/>
                <w:sz w:val="18"/>
                <w:szCs w:val="18"/>
              </w:rPr>
              <w:t>果德安</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5"/>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334"/>
              <w:jc w:val="right"/>
              <w:rPr>
                <w:rFonts w:ascii="宋体" w:hAnsi="宋体" w:cs="宋体" w:eastAsia="宋体" w:hint="default"/>
                <w:sz w:val="18"/>
                <w:szCs w:val="18"/>
              </w:rPr>
            </w:pPr>
            <w:r>
              <w:rPr>
                <w:rFonts w:ascii="宋体" w:hAnsi="宋体" w:cs="宋体" w:eastAsia="宋体" w:hint="default"/>
                <w:sz w:val="18"/>
                <w:szCs w:val="18"/>
              </w:rPr>
              <w:t>徐卫东</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11</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5"/>
              <w:jc w:val="right"/>
              <w:rPr>
                <w:rFonts w:ascii="宋体" w:hAnsi="宋体" w:cs="宋体" w:eastAsia="宋体" w:hint="default"/>
                <w:sz w:val="18"/>
                <w:szCs w:val="18"/>
              </w:rPr>
            </w:pPr>
            <w:r>
              <w:rPr>
                <w:rFonts w:ascii="宋体"/>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334"/>
              <w:jc w:val="right"/>
              <w:rPr>
                <w:rFonts w:ascii="宋体" w:hAnsi="宋体" w:cs="宋体" w:eastAsia="宋体" w:hint="default"/>
                <w:sz w:val="18"/>
                <w:szCs w:val="18"/>
              </w:rPr>
            </w:pPr>
            <w:r>
              <w:rPr>
                <w:rFonts w:ascii="宋体" w:hAnsi="宋体" w:cs="宋体" w:eastAsia="宋体" w:hint="default"/>
                <w:sz w:val="18"/>
                <w:szCs w:val="18"/>
              </w:rPr>
              <w:t>马利杰</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5"/>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123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331"/>
              <w:jc w:val="right"/>
              <w:rPr>
                <w:rFonts w:ascii="宋体" w:hAnsi="宋体" w:cs="宋体" w:eastAsia="宋体" w:hint="default"/>
                <w:sz w:val="18"/>
                <w:szCs w:val="18"/>
              </w:rPr>
            </w:pPr>
            <w:r>
              <w:rPr>
                <w:rFonts w:ascii="宋体" w:hAnsi="宋体" w:cs="宋体" w:eastAsia="宋体" w:hint="default"/>
                <w:sz w:val="18"/>
                <w:szCs w:val="18"/>
              </w:rPr>
              <w:t>李 </w:t>
            </w:r>
            <w:r>
              <w:rPr>
                <w:rFonts w:ascii="宋体" w:hAnsi="宋体" w:cs="宋体" w:eastAsia="宋体" w:hint="default"/>
                <w:spacing w:val="2"/>
                <w:sz w:val="18"/>
                <w:szCs w:val="18"/>
              </w:rPr>
              <w:t> </w:t>
            </w:r>
            <w:r>
              <w:rPr>
                <w:rFonts w:ascii="宋体" w:hAnsi="宋体" w:cs="宋体" w:eastAsia="宋体" w:hint="default"/>
                <w:sz w:val="18"/>
                <w:szCs w:val="18"/>
              </w:rPr>
              <w:t>飞</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9</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5</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855"/>
              <w:jc w:val="right"/>
              <w:rPr>
                <w:rFonts w:ascii="宋体" w:hAnsi="宋体" w:cs="宋体" w:eastAsia="宋体" w:hint="default"/>
                <w:sz w:val="18"/>
                <w:szCs w:val="18"/>
              </w:rPr>
            </w:pPr>
            <w:r>
              <w:rPr>
                <w:rFonts w:ascii="宋体"/>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207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70" w:hRule="exact"/>
        </w:trPr>
        <w:tc>
          <w:tcPr>
            <w:tcW w:w="1236" w:type="dxa"/>
            <w:tcBorders>
              <w:top w:val="single" w:sz="4" w:space="0" w:color="000000"/>
              <w:left w:val="nil" w:sz="6" w:space="0" w:color="auto"/>
              <w:bottom w:val="single" w:sz="12" w:space="0" w:color="000000"/>
              <w:right w:val="single" w:sz="4" w:space="0" w:color="000000"/>
            </w:tcBorders>
          </w:tcPr>
          <w:p>
            <w:pPr>
              <w:pStyle w:val="TableParagraph"/>
              <w:spacing w:line="203" w:lineRule="exact"/>
              <w:ind w:right="331"/>
              <w:jc w:val="right"/>
              <w:rPr>
                <w:rFonts w:ascii="宋体" w:hAnsi="宋体" w:cs="宋体" w:eastAsia="宋体" w:hint="default"/>
                <w:sz w:val="18"/>
                <w:szCs w:val="18"/>
              </w:rPr>
            </w:pPr>
            <w:r>
              <w:rPr>
                <w:rFonts w:ascii="宋体" w:hAnsi="宋体" w:cs="宋体" w:eastAsia="宋体" w:hint="default"/>
                <w:sz w:val="18"/>
                <w:szCs w:val="18"/>
              </w:rPr>
              <w:t>方 </w:t>
            </w:r>
            <w:r>
              <w:rPr>
                <w:rFonts w:ascii="宋体" w:hAnsi="宋体" w:cs="宋体" w:eastAsia="宋体" w:hint="default"/>
                <w:spacing w:val="2"/>
                <w:sz w:val="18"/>
                <w:szCs w:val="18"/>
              </w:rPr>
              <w:t> </w:t>
            </w:r>
            <w:r>
              <w:rPr>
                <w:rFonts w:ascii="宋体" w:hAnsi="宋体" w:cs="宋体" w:eastAsia="宋体" w:hint="default"/>
                <w:sz w:val="18"/>
                <w:szCs w:val="18"/>
              </w:rPr>
              <w:t>勇</w:t>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00"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9</w:t>
            </w:r>
          </w:p>
        </w:tc>
        <w:tc>
          <w:tcPr>
            <w:tcW w:w="1022"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6</w:t>
            </w:r>
          </w:p>
        </w:tc>
        <w:tc>
          <w:tcPr>
            <w:tcW w:w="1810"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855"/>
              <w:jc w:val="right"/>
              <w:rPr>
                <w:rFonts w:ascii="宋体" w:hAnsi="宋体" w:cs="宋体" w:eastAsia="宋体" w:hint="default"/>
                <w:sz w:val="18"/>
                <w:szCs w:val="18"/>
              </w:rPr>
            </w:pPr>
            <w:r>
              <w:rPr>
                <w:rFonts w:ascii="宋体"/>
                <w:sz w:val="18"/>
              </w:rPr>
              <w:t>3</w:t>
            </w:r>
          </w:p>
        </w:tc>
        <w:tc>
          <w:tcPr>
            <w:tcW w:w="1162"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4"/>
              <w:jc w:val="center"/>
              <w:rPr>
                <w:rFonts w:ascii="宋体" w:hAnsi="宋体" w:cs="宋体" w:eastAsia="宋体" w:hint="default"/>
                <w:sz w:val="18"/>
                <w:szCs w:val="18"/>
              </w:rPr>
            </w:pPr>
            <w:r>
              <w:rPr>
                <w:rFonts w:ascii="宋体"/>
                <w:sz w:val="18"/>
              </w:rPr>
              <w:t>0</w:t>
            </w:r>
          </w:p>
        </w:tc>
        <w:tc>
          <w:tcPr>
            <w:tcW w:w="903"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sz w:val="18"/>
              </w:rPr>
              <w:t>0</w:t>
            </w:r>
          </w:p>
        </w:tc>
        <w:tc>
          <w:tcPr>
            <w:tcW w:w="2078" w:type="dxa"/>
            <w:tcBorders>
              <w:top w:val="single" w:sz="4" w:space="0" w:color="000000"/>
              <w:left w:val="single" w:sz="4" w:space="0" w:color="000000"/>
              <w:bottom w:val="single" w:sz="12"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0"/>
        <w:rPr>
          <w:rFonts w:ascii="宋体" w:hAnsi="宋体" w:cs="宋体" w:eastAsia="宋体" w:hint="default"/>
          <w:sz w:val="20"/>
          <w:szCs w:val="20"/>
        </w:rPr>
      </w:pPr>
    </w:p>
    <w:p>
      <w:pPr>
        <w:spacing w:line="355" w:lineRule="auto" w:before="166"/>
        <w:ind w:left="660" w:right="0" w:firstLine="2"/>
        <w:jc w:val="left"/>
        <w:rPr>
          <w:rFonts w:ascii="宋体" w:hAnsi="宋体" w:cs="宋体" w:eastAsia="宋体" w:hint="default"/>
          <w:sz w:val="24"/>
          <w:szCs w:val="24"/>
        </w:rPr>
      </w:pPr>
      <w:r>
        <w:rPr>
          <w:rFonts w:ascii="宋体" w:hAnsi="宋体" w:cs="宋体" w:eastAsia="宋体" w:hint="default"/>
          <w:b/>
          <w:bCs/>
          <w:sz w:val="24"/>
          <w:szCs w:val="24"/>
        </w:rPr>
        <w:t>（四）董事会下设的各委员会的履职情况</w:t>
      </w:r>
      <w:r>
        <w:rPr>
          <w:rFonts w:ascii="宋体" w:hAnsi="宋体" w:cs="宋体" w:eastAsia="宋体" w:hint="default"/>
          <w:b/>
          <w:bCs/>
          <w:w w:val="99"/>
          <w:sz w:val="24"/>
          <w:szCs w:val="24"/>
        </w:rPr>
        <w:t> </w:t>
      </w:r>
      <w:r>
        <w:rPr>
          <w:rFonts w:ascii="宋体" w:hAnsi="宋体" w:cs="宋体" w:eastAsia="宋体" w:hint="default"/>
          <w:spacing w:val="-4"/>
          <w:sz w:val="24"/>
          <w:szCs w:val="24"/>
        </w:rPr>
        <w:t>报告期内，公司董事会设立了提名委员会、薪酬与考核委员会、审计委员会、战略与投资委员会，</w:t>
      </w:r>
    </w:p>
    <w:p>
      <w:pPr>
        <w:pStyle w:val="Heading3"/>
        <w:spacing w:line="357" w:lineRule="auto" w:before="38"/>
        <w:ind w:left="240" w:right="606"/>
        <w:jc w:val="left"/>
      </w:pPr>
      <w:r>
        <w:rPr>
          <w:spacing w:val="-8"/>
        </w:rPr>
        <w:t>并根据《公司章程》和《公司法》、《证券法》、及证监会规范性文件和证券交易所关于中小企业板投</w:t>
      </w:r>
      <w:r>
        <w:rPr/>
        <w:t> 资者权益保护的相关规定，制定各专门委员会议事规则和工作制度，使各专门委员会依法规范运作， 充分有效的保护公司全体股东的利益。</w:t>
      </w:r>
    </w:p>
    <w:p>
      <w:pPr>
        <w:pStyle w:val="Heading3"/>
        <w:spacing w:line="357" w:lineRule="auto" w:before="37"/>
        <w:ind w:left="240" w:right="606" w:firstLine="420"/>
        <w:jc w:val="left"/>
      </w:pPr>
      <w:r>
        <w:rPr>
          <w:rFonts w:ascii="宋体" w:hAnsi="宋体" w:cs="宋体" w:eastAsia="宋体" w:hint="default"/>
        </w:rPr>
        <w:t>1</w:t>
      </w:r>
      <w:r>
        <w:rPr/>
        <w:t>、</w:t>
      </w:r>
      <w:r>
        <w:rPr>
          <w:rFonts w:ascii="宋体" w:hAnsi="宋体" w:cs="宋体" w:eastAsia="宋体" w:hint="default"/>
        </w:rPr>
        <w:t>2010</w:t>
      </w:r>
      <w:r>
        <w:rPr/>
        <w:t>年度，审计委员会听取、审核内部审计部门提交的公司审计工作报告和公司内部审计报 </w:t>
      </w:r>
      <w:r>
        <w:rPr>
          <w:spacing w:val="-3"/>
        </w:rPr>
        <w:t>告；参与公司内部审计制度的制定，核查公司财务制度的执行情况和财务状况；协调公司内部审计与</w:t>
      </w:r>
      <w:r>
        <w:rPr>
          <w:spacing w:val="-84"/>
        </w:rPr>
        <w:t> </w:t>
      </w:r>
      <w:r>
        <w:rPr>
          <w:spacing w:val="-84"/>
        </w:rPr>
      </w:r>
      <w:r>
        <w:rPr/>
        <w:t>外部审计之间的关系；审查了公司的内部控制制度及其实施情况，并向董事会提交了意见和建议。</w:t>
      </w:r>
    </w:p>
    <w:p>
      <w:pPr>
        <w:pStyle w:val="Heading3"/>
        <w:spacing w:line="357" w:lineRule="auto" w:before="34"/>
        <w:ind w:left="240" w:right="591" w:firstLine="420"/>
        <w:jc w:val="left"/>
      </w:pPr>
      <w:r>
        <w:rPr>
          <w:rFonts w:ascii="宋体" w:hAnsi="宋体" w:cs="宋体" w:eastAsia="宋体" w:hint="default"/>
        </w:rPr>
        <w:t>2</w:t>
      </w:r>
      <w:r>
        <w:rPr/>
        <w:t>、薪酬与考核委员会就公司董事、经理及其他高级管理人员的考核标准和办法等方面提出了意 </w:t>
      </w:r>
      <w:r>
        <w:rPr>
          <w:spacing w:val="-5"/>
        </w:rPr>
        <w:t>见和建议，同时审查公司董事、经理及其他高级管理人员的薪酬并建议公司管理层完善薪酬管理制度。</w:t>
      </w:r>
    </w:p>
    <w:p>
      <w:pPr>
        <w:pStyle w:val="Heading3"/>
        <w:spacing w:line="357" w:lineRule="auto" w:before="34"/>
        <w:ind w:left="240" w:right="786" w:firstLine="420"/>
        <w:jc w:val="left"/>
      </w:pPr>
      <w:r>
        <w:rPr>
          <w:rFonts w:ascii="宋体" w:hAnsi="宋体" w:cs="宋体" w:eastAsia="宋体" w:hint="default"/>
        </w:rPr>
        <w:t>3</w:t>
      </w:r>
      <w:r>
        <w:rPr/>
        <w:t>、提名委员会就公司董事、经理及其他高级管理人员的候选人进行审查、核查并向董事会提交 议案。</w:t>
      </w:r>
    </w:p>
    <w:p>
      <w:pPr>
        <w:spacing w:after="0" w:line="357" w:lineRule="auto"/>
        <w:jc w:val="left"/>
        <w:sectPr>
          <w:pgSz w:w="11910" w:h="16840"/>
          <w:pgMar w:header="720" w:footer="956" w:top="1300" w:bottom="1140" w:left="480" w:right="0"/>
        </w:sectPr>
      </w:pPr>
    </w:p>
    <w:p>
      <w:pPr>
        <w:pStyle w:val="Heading3"/>
        <w:spacing w:line="355" w:lineRule="auto" w:before="13"/>
        <w:ind w:right="786" w:firstLine="420"/>
        <w:jc w:val="left"/>
      </w:pPr>
      <w:r>
        <w:rPr/>
        <w:pict>
          <v:group style="position:absolute;margin-left:34.560001pt;margin-top:2.305654pt;width:508.3pt;height:.1pt;mso-position-horizontal-relative:page;mso-position-vertical-relative:paragraph;z-index:-534232"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rPr>
        <w:t>4</w:t>
      </w:r>
      <w:r>
        <w:rPr/>
        <w:t>、战略与投资委员会对公司长期发展战略规划、重大投资融资决策、重大资本运作及资产经营 方案的实施和执行情况进行核查、监督、调研并提出报告。</w:t>
      </w:r>
    </w:p>
    <w:p>
      <w:pPr>
        <w:spacing w:line="355" w:lineRule="auto" w:before="38"/>
        <w:ind w:left="560" w:right="786" w:firstLine="2"/>
        <w:jc w:val="left"/>
        <w:rPr>
          <w:rFonts w:ascii="宋体" w:hAnsi="宋体" w:cs="宋体" w:eastAsia="宋体" w:hint="default"/>
          <w:sz w:val="24"/>
          <w:szCs w:val="24"/>
        </w:rPr>
      </w:pPr>
      <w:r>
        <w:rPr>
          <w:rFonts w:ascii="宋体" w:hAnsi="宋体" w:cs="宋体" w:eastAsia="宋体" w:hint="default"/>
          <w:b/>
          <w:bCs/>
          <w:sz w:val="24"/>
          <w:szCs w:val="24"/>
        </w:rPr>
        <w:t>（五）独立董事</w:t>
      </w:r>
      <w:r>
        <w:rPr>
          <w:rFonts w:ascii="宋体" w:hAnsi="宋体" w:cs="宋体" w:eastAsia="宋体" w:hint="default"/>
          <w:b/>
          <w:bCs/>
          <w:sz w:val="24"/>
          <w:szCs w:val="24"/>
        </w:rPr>
        <w:t>2010</w:t>
      </w:r>
      <w:r>
        <w:rPr>
          <w:rFonts w:ascii="宋体" w:hAnsi="宋体" w:cs="宋体" w:eastAsia="宋体" w:hint="default"/>
          <w:b/>
          <w:bCs/>
          <w:sz w:val="24"/>
          <w:szCs w:val="24"/>
        </w:rPr>
        <w:t>年度发表独立意见事项</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w:t>
      </w:r>
      <w:r>
        <w:rPr>
          <w:rFonts w:ascii="宋体" w:hAnsi="宋体" w:cs="宋体" w:eastAsia="宋体" w:hint="default"/>
          <w:sz w:val="24"/>
          <w:szCs w:val="24"/>
        </w:rPr>
        <w:t>2010</w:t>
      </w:r>
      <w:r>
        <w:rPr>
          <w:rFonts w:ascii="宋体" w:hAnsi="宋体" w:cs="宋体" w:eastAsia="宋体" w:hint="default"/>
          <w:sz w:val="24"/>
          <w:szCs w:val="24"/>
        </w:rPr>
        <w:t>年</w:t>
      </w:r>
      <w:r>
        <w:rPr>
          <w:rFonts w:ascii="宋体" w:hAnsi="宋体" w:cs="宋体" w:eastAsia="宋体" w:hint="default"/>
          <w:sz w:val="24"/>
          <w:szCs w:val="24"/>
        </w:rPr>
        <w:t>2</w:t>
      </w:r>
      <w:r>
        <w:rPr>
          <w:rFonts w:ascii="宋体" w:hAnsi="宋体" w:cs="宋体" w:eastAsia="宋体" w:hint="default"/>
          <w:sz w:val="24"/>
          <w:szCs w:val="24"/>
        </w:rPr>
        <w:t>月</w:t>
      </w:r>
      <w:r>
        <w:rPr>
          <w:rFonts w:ascii="宋体" w:hAnsi="宋体" w:cs="宋体" w:eastAsia="宋体" w:hint="default"/>
          <w:sz w:val="24"/>
          <w:szCs w:val="24"/>
        </w:rPr>
        <w:t>1</w:t>
      </w:r>
      <w:r>
        <w:rPr>
          <w:rFonts w:ascii="宋体" w:hAnsi="宋体" w:cs="宋体" w:eastAsia="宋体" w:hint="default"/>
          <w:sz w:val="24"/>
          <w:szCs w:val="24"/>
        </w:rPr>
        <w:t>日，独立董事于公司第三届董事会第二十一次会议上，对以下事项发表了独立意</w:t>
      </w:r>
    </w:p>
    <w:p>
      <w:pPr>
        <w:pStyle w:val="Heading3"/>
        <w:spacing w:line="240" w:lineRule="auto" w:before="38"/>
        <w:ind w:right="0"/>
        <w:jc w:val="left"/>
      </w:pPr>
      <w:r>
        <w:rPr/>
        <w:t>见：</w:t>
      </w:r>
    </w:p>
    <w:p>
      <w:pPr>
        <w:pStyle w:val="Heading3"/>
        <w:spacing w:line="357" w:lineRule="auto" w:before="151"/>
        <w:ind w:left="560" w:right="708"/>
        <w:jc w:val="left"/>
      </w:pPr>
      <w:r>
        <w:rPr/>
        <w:t>（</w:t>
      </w:r>
      <w:r>
        <w:rPr>
          <w:rFonts w:ascii="宋体" w:hAnsi="宋体" w:cs="宋体" w:eastAsia="宋体" w:hint="default"/>
        </w:rPr>
        <w:t>1</w:t>
      </w:r>
      <w:r>
        <w:rPr/>
        <w:t>）对续聘</w:t>
      </w:r>
      <w:r>
        <w:rPr>
          <w:rFonts w:ascii="宋体" w:hAnsi="宋体" w:cs="宋体" w:eastAsia="宋体" w:hint="default"/>
        </w:rPr>
        <w:t>2010</w:t>
      </w:r>
      <w:r>
        <w:rPr/>
        <w:t>年审计机构的独立意见： </w:t>
      </w:r>
      <w:r>
        <w:rPr>
          <w:spacing w:val="-1"/>
        </w:rPr>
        <w:t>经审查，中准会计师事务所有限公司具有从事证券业务资格及从事上市公司审计工作的丰富经验</w:t>
      </w:r>
    </w:p>
    <w:p>
      <w:pPr>
        <w:pStyle w:val="Heading3"/>
        <w:spacing w:line="357" w:lineRule="auto" w:before="34"/>
        <w:ind w:right="591"/>
        <w:jc w:val="left"/>
      </w:pPr>
      <w:r>
        <w:rPr>
          <w:spacing w:val="-5"/>
        </w:rPr>
        <w:t>和职业素养，在以往与公司的合作过程中，为公司提供了优质的审计服务，对于规范公司的财务运作，</w:t>
      </w:r>
      <w:r>
        <w:rPr>
          <w:spacing w:val="-110"/>
        </w:rPr>
        <w:t> </w:t>
      </w:r>
      <w:r>
        <w:rPr>
          <w:spacing w:val="-110"/>
        </w:rPr>
      </w:r>
      <w:r>
        <w:rPr>
          <w:spacing w:val="-3"/>
        </w:rPr>
        <w:t>起到了积极的建设性作用。其在担任公司审计机构期间，遵循《中国注册会计师独立审计准则》，勤</w:t>
      </w:r>
      <w:r>
        <w:rPr>
          <w:spacing w:val="-108"/>
        </w:rPr>
        <w:t> </w:t>
      </w:r>
      <w:r>
        <w:rPr>
          <w:spacing w:val="-108"/>
        </w:rPr>
      </w:r>
      <w:r>
        <w:rPr>
          <w:spacing w:val="-3"/>
        </w:rPr>
        <w:t>勉、尽职，公允合理地发表了独立审计意见。为保证公司审计工作的顺利进行，我们一致同意公司续</w:t>
      </w:r>
      <w:r>
        <w:rPr>
          <w:spacing w:val="-84"/>
        </w:rPr>
        <w:t> </w:t>
      </w:r>
      <w:r>
        <w:rPr>
          <w:spacing w:val="-84"/>
        </w:rPr>
      </w:r>
      <w:r>
        <w:rPr/>
        <w:t>聘中准会计师事务所有限公司作为公司</w:t>
      </w:r>
      <w:r>
        <w:rPr>
          <w:rFonts w:ascii="宋体" w:hAnsi="宋体" w:cs="宋体" w:eastAsia="宋体" w:hint="default"/>
        </w:rPr>
        <w:t>2010</w:t>
      </w:r>
      <w:r>
        <w:rPr/>
        <w:t>年度财务报告的审计机构。</w:t>
      </w:r>
    </w:p>
    <w:p>
      <w:pPr>
        <w:pStyle w:val="Heading3"/>
        <w:spacing w:line="355" w:lineRule="auto" w:before="36"/>
        <w:ind w:left="560" w:right="666"/>
        <w:jc w:val="left"/>
      </w:pPr>
      <w:r>
        <w:rPr/>
        <w:t>（</w:t>
      </w:r>
      <w:r>
        <w:rPr>
          <w:rFonts w:ascii="宋体" w:hAnsi="宋体" w:cs="宋体" w:eastAsia="宋体" w:hint="default"/>
        </w:rPr>
        <w:t>2</w:t>
      </w:r>
      <w:r>
        <w:rPr/>
        <w:t>）对《内部控制与自我评价报告》的独立意见 公司内部控制制度制订以来，各项制度得到了有效的实施，促进了公司稳步、健康发展。但是，</w:t>
      </w:r>
    </w:p>
    <w:p>
      <w:pPr>
        <w:pStyle w:val="Heading3"/>
        <w:spacing w:line="357" w:lineRule="auto" w:before="38"/>
        <w:ind w:right="606"/>
        <w:jc w:val="left"/>
      </w:pPr>
      <w:r>
        <w:rPr>
          <w:spacing w:val="-3"/>
        </w:rPr>
        <w:t>内控制度建设是长期工作，由于内部控制制度固有的局限性，特别是近年来宏观环境、政策法规持续</w:t>
      </w:r>
      <w:r>
        <w:rPr>
          <w:spacing w:val="-84"/>
        </w:rPr>
        <w:t> </w:t>
      </w:r>
      <w:r>
        <w:rPr>
          <w:spacing w:val="-84"/>
        </w:rPr>
      </w:r>
      <w:r>
        <w:rPr/>
        <w:t>变化，可能导致原有控制活动不适用或出现错误，对此公司将及时进行内部控制体系的补充和完善， </w:t>
      </w:r>
      <w:r>
        <w:rPr>
          <w:spacing w:val="-3"/>
        </w:rPr>
        <w:t>持续优化包括经营控制、财务管理控制和信息披露控制在内的内控体系，以保障公司战略、经营目标</w:t>
      </w:r>
      <w:r>
        <w:rPr>
          <w:spacing w:val="-84"/>
        </w:rPr>
        <w:t> </w:t>
      </w:r>
      <w:r>
        <w:rPr>
          <w:spacing w:val="-84"/>
        </w:rPr>
      </w:r>
      <w:r>
        <w:rPr/>
        <w:t>的实现。</w:t>
      </w:r>
    </w:p>
    <w:p>
      <w:pPr>
        <w:pStyle w:val="Heading3"/>
        <w:spacing w:line="240" w:lineRule="auto" w:before="36"/>
        <w:ind w:left="560" w:right="0"/>
        <w:jc w:val="left"/>
      </w:pPr>
      <w:r>
        <w:rPr/>
        <w:t>公司内部控制自我评价符合公司内部控制的实际情况。</w:t>
      </w:r>
    </w:p>
    <w:p>
      <w:pPr>
        <w:pStyle w:val="Heading3"/>
        <w:spacing w:line="357" w:lineRule="auto" w:before="151"/>
        <w:ind w:right="786" w:firstLine="420"/>
        <w:jc w:val="left"/>
      </w:pPr>
      <w:r>
        <w:rPr/>
        <w:t>（</w:t>
      </w:r>
      <w:r>
        <w:rPr>
          <w:rFonts w:ascii="宋体" w:hAnsi="宋体" w:cs="宋体" w:eastAsia="宋体" w:hint="default"/>
        </w:rPr>
        <w:t>3</w:t>
      </w:r>
      <w:r>
        <w:rPr/>
        <w:t>）对《关于控股股东及其他关联方占用资金和公司对外担保情况的专项说明及》发表独立意 见：</w:t>
      </w:r>
    </w:p>
    <w:p>
      <w:pPr>
        <w:pStyle w:val="Heading3"/>
        <w:spacing w:line="357" w:lineRule="auto" w:before="34"/>
        <w:ind w:right="684" w:firstLine="420"/>
        <w:jc w:val="both"/>
      </w:pPr>
      <w:r>
        <w:rPr/>
        <w:t>报告期内，公司严格执行《通知》的有关规定，严格控制对外担保风险和关联方资金占用风险。 </w:t>
      </w:r>
      <w:r>
        <w:rPr>
          <w:spacing w:val="-3"/>
        </w:rPr>
        <w:t>截至</w:t>
      </w:r>
      <w:r>
        <w:rPr>
          <w:rFonts w:ascii="宋体" w:hAnsi="宋体" w:cs="宋体" w:eastAsia="宋体" w:hint="default"/>
          <w:spacing w:val="-3"/>
        </w:rPr>
        <w:t>2009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日，公司累计和当期无对外担保、违规对外担保情况。不存在公司控股股东及其他</w:t>
      </w:r>
      <w:r>
        <w:rPr>
          <w:spacing w:val="-73"/>
        </w:rPr>
        <w:t> </w:t>
      </w:r>
      <w:r>
        <w:rPr>
          <w:spacing w:val="-73"/>
        </w:rPr>
      </w:r>
      <w:r>
        <w:rPr/>
        <w:t>关联方违规占用公司资金的情况</w:t>
      </w:r>
    </w:p>
    <w:p>
      <w:pPr>
        <w:pStyle w:val="Heading3"/>
        <w:spacing w:line="355" w:lineRule="auto" w:before="36"/>
        <w:ind w:right="717" w:firstLine="420"/>
        <w:jc w:val="both"/>
      </w:pPr>
      <w:r>
        <w:rPr>
          <w:rFonts w:ascii="宋体" w:hAnsi="宋体" w:cs="宋体" w:eastAsia="宋体" w:hint="default"/>
          <w:spacing w:val="-1"/>
        </w:rPr>
        <w:t>2</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23</w:t>
      </w:r>
      <w:r>
        <w:rPr>
          <w:spacing w:val="-1"/>
        </w:rPr>
        <w:t>日，独立董事于公司第三届董事会第二十二次会议上，对聘任第四届董事会董事</w:t>
      </w:r>
      <w:r>
        <w:rPr/>
        <w:t> 发表了独立意见：</w:t>
      </w:r>
    </w:p>
    <w:p>
      <w:pPr>
        <w:pStyle w:val="Heading3"/>
        <w:spacing w:line="355" w:lineRule="auto" w:before="38"/>
        <w:ind w:right="720" w:firstLine="420"/>
        <w:jc w:val="both"/>
      </w:pPr>
      <w:r>
        <w:rPr>
          <w:spacing w:val="-1"/>
        </w:rPr>
        <w:t>我们同意聘请郭春生先生、祖春香女士、秦静女士、殷金龙先生、徐卫东先生、李飞女士、方勇</w:t>
      </w:r>
      <w:r>
        <w:rPr/>
        <w:t> 先生任公司第四届董事会董事，并提请</w:t>
      </w:r>
      <w:r>
        <w:rPr>
          <w:rFonts w:ascii="宋体" w:hAnsi="宋体" w:cs="宋体" w:eastAsia="宋体" w:hint="default"/>
        </w:rPr>
        <w:t>2010</w:t>
      </w:r>
      <w:r>
        <w:rPr/>
        <w:t>年第一次临时股东大会审议相关事项。</w:t>
      </w:r>
    </w:p>
    <w:p>
      <w:pPr>
        <w:pStyle w:val="Heading3"/>
        <w:spacing w:line="357" w:lineRule="auto" w:before="38"/>
        <w:ind w:right="786" w:firstLine="420"/>
        <w:jc w:val="left"/>
      </w:pPr>
      <w:r>
        <w:rPr>
          <w:rFonts w:ascii="宋体" w:hAnsi="宋体" w:cs="宋体" w:eastAsia="宋体" w:hint="default"/>
        </w:rPr>
        <w:t>3</w:t>
      </w:r>
      <w:r>
        <w:rPr/>
        <w:t>、</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8</w:t>
      </w:r>
      <w:r>
        <w:rPr/>
        <w:t>日，独立董事于公司第四届董事会第一次会议上，对聘任高级管理人员发表了独 立意见：</w:t>
      </w:r>
    </w:p>
    <w:p>
      <w:pPr>
        <w:pStyle w:val="Heading3"/>
        <w:spacing w:line="240" w:lineRule="auto" w:before="34"/>
        <w:ind w:left="560" w:right="0"/>
        <w:jc w:val="left"/>
      </w:pPr>
      <w:r>
        <w:rPr/>
        <w:t>我们同意聘请秦静女士、李宝芝女士、曹恩辉先生任公司副总经理、聘请徐吉峰先生任公司财务</w:t>
      </w:r>
    </w:p>
    <w:p>
      <w:pPr>
        <w:pStyle w:val="Heading3"/>
        <w:spacing w:line="240" w:lineRule="auto"/>
        <w:ind w:right="0"/>
        <w:jc w:val="left"/>
      </w:pPr>
      <w:r>
        <w:rPr/>
        <w:t>总监、聘请曹恩辉先生任董事会秘书。</w:t>
      </w:r>
    </w:p>
    <w:p>
      <w:pPr>
        <w:spacing w:after="0" w:line="240" w:lineRule="auto"/>
        <w:jc w:val="left"/>
        <w:sectPr>
          <w:pgSz w:w="11910" w:h="16840"/>
          <w:pgMar w:header="720" w:footer="956" w:top="1300" w:bottom="1140" w:left="580" w:right="0"/>
        </w:sectPr>
      </w:pPr>
    </w:p>
    <w:p>
      <w:pPr>
        <w:pStyle w:val="Heading3"/>
        <w:spacing w:line="355" w:lineRule="auto" w:before="13"/>
        <w:ind w:right="712" w:firstLine="420"/>
        <w:jc w:val="left"/>
      </w:pPr>
      <w:r>
        <w:rPr/>
        <w:pict>
          <v:group style="position:absolute;margin-left:34.560001pt;margin-top:2.305654pt;width:508.3pt;height:.1pt;mso-position-horizontal-relative:page;mso-position-vertical-relative:paragraph;z-index:-534208"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spacing w:val="-1"/>
        </w:rPr>
        <w:t>4</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12</w:t>
      </w:r>
      <w:r>
        <w:rPr>
          <w:spacing w:val="-1"/>
        </w:rPr>
        <w:t>日，独立董事于公司第四届董事会第六次会议上对增补第四届董事会董事发表了</w:t>
      </w:r>
      <w:r>
        <w:rPr/>
        <w:t> 独立意见：</w:t>
      </w:r>
    </w:p>
    <w:p>
      <w:pPr>
        <w:pStyle w:val="Heading3"/>
        <w:spacing w:line="355" w:lineRule="auto" w:before="38"/>
        <w:ind w:left="560" w:right="712"/>
        <w:jc w:val="left"/>
      </w:pPr>
      <w:r>
        <w:rPr/>
        <w:t>我们同意补选曹恩辉先生为公司第四届董事会董事。并提请</w:t>
      </w:r>
      <w:r>
        <w:rPr>
          <w:rFonts w:ascii="宋体" w:hAnsi="宋体" w:cs="宋体" w:eastAsia="宋体" w:hint="default"/>
        </w:rPr>
        <w:t>2010</w:t>
      </w:r>
      <w:r>
        <w:rPr/>
        <w:t>年第三次临时股东大会审议。 </w:t>
      </w:r>
      <w:r>
        <w:rPr>
          <w:rFonts w:ascii="宋体" w:hAnsi="宋体" w:cs="宋体" w:eastAsia="宋体" w:hint="default"/>
          <w:spacing w:val="-1"/>
        </w:rPr>
        <w:t>5</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21</w:t>
      </w:r>
      <w:r>
        <w:rPr>
          <w:spacing w:val="-1"/>
        </w:rPr>
        <w:t>日，独立董事于公司第四届董事会第七次会议上对《关于控股股东及其他关联方</w:t>
      </w:r>
    </w:p>
    <w:p>
      <w:pPr>
        <w:pStyle w:val="Heading3"/>
        <w:spacing w:line="355" w:lineRule="auto" w:before="38"/>
        <w:ind w:left="560" w:right="666" w:hanging="420"/>
        <w:jc w:val="left"/>
      </w:pPr>
      <w:r>
        <w:rPr/>
        <w:t>占用资金和公司对外担保情况的专项说明》发表了独立意见： 报告期内，公司严格执行《通知》的有关规定，严格控制对外担保风险和关联方资金占用风险。</w:t>
      </w:r>
    </w:p>
    <w:p>
      <w:pPr>
        <w:pStyle w:val="Heading3"/>
        <w:spacing w:line="355" w:lineRule="auto" w:before="38"/>
        <w:ind w:right="745"/>
        <w:jc w:val="both"/>
      </w:pPr>
      <w:r>
        <w:rPr/>
        <w:t>截至</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30</w:t>
      </w:r>
      <w:r>
        <w:rPr/>
        <w:t>日，公司累计和当期无对外担保、违规对外担保情况。不存在公司控股股东及其他 关联方违规占用公司资金的情况。</w:t>
      </w:r>
    </w:p>
    <w:p>
      <w:pPr>
        <w:spacing w:line="355" w:lineRule="auto" w:before="39"/>
        <w:ind w:left="560" w:right="708" w:firstLine="2"/>
        <w:jc w:val="left"/>
        <w:rPr>
          <w:rFonts w:ascii="宋体" w:hAnsi="宋体" w:cs="宋体" w:eastAsia="宋体" w:hint="default"/>
          <w:sz w:val="24"/>
          <w:szCs w:val="24"/>
        </w:rPr>
      </w:pPr>
      <w:r>
        <w:rPr>
          <w:rFonts w:ascii="宋体" w:hAnsi="宋体" w:cs="宋体" w:eastAsia="宋体" w:hint="default"/>
          <w:b/>
          <w:bCs/>
          <w:sz w:val="24"/>
          <w:szCs w:val="24"/>
        </w:rPr>
        <w:t>四、规范公司运作，健全公司治理结构</w:t>
      </w:r>
      <w:r>
        <w:rPr>
          <w:rFonts w:ascii="宋体" w:hAnsi="宋体" w:cs="宋体" w:eastAsia="宋体" w:hint="default"/>
          <w:b/>
          <w:bCs/>
          <w:w w:val="99"/>
          <w:sz w:val="24"/>
          <w:szCs w:val="24"/>
        </w:rPr>
        <w:t> </w:t>
      </w:r>
      <w:r>
        <w:rPr>
          <w:rFonts w:ascii="宋体" w:hAnsi="宋体" w:cs="宋体" w:eastAsia="宋体" w:hint="default"/>
          <w:spacing w:val="-1"/>
          <w:sz w:val="24"/>
          <w:szCs w:val="24"/>
        </w:rPr>
        <w:t>公司内部控制制度已基本建立健全，现有的内部控制制度符合我国有关法规和证券监管部门的要</w:t>
      </w:r>
    </w:p>
    <w:p>
      <w:pPr>
        <w:pStyle w:val="Heading3"/>
        <w:spacing w:line="357" w:lineRule="auto" w:before="38"/>
        <w:ind w:right="719"/>
        <w:jc w:val="both"/>
      </w:pPr>
      <w:r>
        <w:rPr>
          <w:spacing w:val="-3"/>
        </w:rPr>
        <w:t>求，能够适应公司管理的要求，符合当前公司生产经营实际情况需要和公司发展的需要，在企业管理</w:t>
      </w:r>
      <w:r>
        <w:rPr>
          <w:spacing w:val="-84"/>
        </w:rPr>
        <w:t> </w:t>
      </w:r>
      <w:r>
        <w:rPr>
          <w:spacing w:val="-84"/>
        </w:rPr>
      </w:r>
      <w:r>
        <w:rPr>
          <w:spacing w:val="-3"/>
        </w:rPr>
        <w:t>各个过程、各个关键环节、重大投资、重大风险等方面发挥了较好的控制与防范作用。能够对编制真</w:t>
      </w:r>
      <w:r>
        <w:rPr>
          <w:spacing w:val="-84"/>
        </w:rPr>
        <w:t> </w:t>
      </w:r>
      <w:r>
        <w:rPr>
          <w:spacing w:val="-84"/>
        </w:rPr>
      </w:r>
      <w:r>
        <w:rPr>
          <w:spacing w:val="-3"/>
        </w:rPr>
        <w:t>实、公允的财务报表提供合理的保证，能够对公司各项业务活动的健康运行及国家有关法律法规和单</w:t>
      </w:r>
      <w:r>
        <w:rPr>
          <w:spacing w:val="-84"/>
        </w:rPr>
        <w:t> </w:t>
      </w:r>
      <w:r>
        <w:rPr>
          <w:spacing w:val="-84"/>
        </w:rPr>
      </w:r>
      <w:r>
        <w:rPr/>
        <w:t>位内部规章制度的贯彻执行提供保证。</w:t>
      </w:r>
    </w:p>
    <w:p>
      <w:pPr>
        <w:pStyle w:val="Heading3"/>
        <w:spacing w:line="357" w:lineRule="auto" w:before="34"/>
        <w:ind w:right="586" w:firstLine="480"/>
        <w:jc w:val="left"/>
      </w:pPr>
      <w:r>
        <w:rPr>
          <w:rFonts w:ascii="宋体" w:hAnsi="宋体" w:cs="宋体" w:eastAsia="宋体" w:hint="default"/>
          <w:spacing w:val="-8"/>
        </w:rPr>
        <w:t>2010</w:t>
      </w:r>
      <w:r>
        <w:rPr>
          <w:spacing w:val="-8"/>
        </w:rPr>
        <w:t>年度公司在加快内部控制建设方面，新补充、实施了《关于内幕信息知情人登记制度》、《关</w:t>
      </w:r>
      <w:r>
        <w:rPr/>
        <w:t> </w:t>
      </w:r>
      <w:r>
        <w:rPr>
          <w:spacing w:val="-10"/>
        </w:rPr>
        <w:t>于董事、监事和高级管理人员持有及买卖本公司股票管理制度》、《关于公司风险投资内部控制制度》。</w:t>
      </w:r>
      <w:r>
        <w:rPr>
          <w:spacing w:val="-116"/>
        </w:rPr>
        <w:t> </w:t>
      </w:r>
      <w:r>
        <w:rPr>
          <w:spacing w:val="-116"/>
        </w:rPr>
      </w:r>
      <w:r>
        <w:rPr/>
        <w:t>健全了公司内部控制制度。</w:t>
      </w:r>
    </w:p>
    <w:p>
      <w:pPr>
        <w:pStyle w:val="Heading3"/>
        <w:spacing w:line="357" w:lineRule="auto" w:before="36"/>
        <w:ind w:right="591" w:firstLine="480"/>
        <w:jc w:val="left"/>
      </w:pPr>
      <w:r>
        <w:rPr/>
        <w:t>公司内部控制制度制订以来，各项制度得到了有效的实施，促进了公司稳步、健康发展。但是， </w:t>
      </w:r>
      <w:r>
        <w:rPr>
          <w:spacing w:val="-3"/>
        </w:rPr>
        <w:t>公司运作的不断规范、各项管理制度的完善是持续不断过程，对此公司将及时进行内部控制体系的补</w:t>
      </w:r>
      <w:r>
        <w:rPr>
          <w:spacing w:val="-84"/>
        </w:rPr>
        <w:t> </w:t>
      </w:r>
      <w:r>
        <w:rPr>
          <w:spacing w:val="-84"/>
        </w:rPr>
      </w:r>
      <w:r>
        <w:rPr>
          <w:spacing w:val="-5"/>
        </w:rPr>
        <w:t>充和完善，持续优化包括经营控制、财务管理控制和信息披露控制在内的内控体系，以保障公司战略、</w:t>
      </w:r>
      <w:r>
        <w:rPr>
          <w:spacing w:val="-111"/>
        </w:rPr>
        <w:t> </w:t>
      </w:r>
      <w:r>
        <w:rPr>
          <w:spacing w:val="-111"/>
        </w:rPr>
      </w:r>
      <w:r>
        <w:rPr/>
        <w:t>经营目标的实现。</w:t>
      </w:r>
    </w:p>
    <w:p>
      <w:pPr>
        <w:pStyle w:val="Heading2"/>
        <w:spacing w:line="240" w:lineRule="auto" w:before="36"/>
        <w:ind w:left="562" w:right="0"/>
        <w:jc w:val="left"/>
        <w:rPr>
          <w:b w:val="0"/>
          <w:bCs w:val="0"/>
        </w:rPr>
      </w:pPr>
      <w:r>
        <w:rPr/>
        <w:t>五、对公司未来发展的展望</w:t>
      </w:r>
      <w:r>
        <w:rPr>
          <w:b w:val="0"/>
          <w:bCs w:val="0"/>
        </w:rPr>
      </w:r>
    </w:p>
    <w:p>
      <w:pPr>
        <w:pStyle w:val="Heading3"/>
        <w:spacing w:line="357" w:lineRule="auto" w:before="151"/>
        <w:ind w:right="716" w:firstLine="480"/>
        <w:jc w:val="both"/>
      </w:pPr>
      <w:r>
        <w:rPr>
          <w:rFonts w:ascii="宋体" w:hAnsi="宋体" w:cs="宋体" w:eastAsia="宋体" w:hint="default"/>
        </w:rPr>
        <w:t>2011</w:t>
      </w:r>
      <w:r>
        <w:rPr>
          <w:rFonts w:ascii="宋体" w:hAnsi="宋体" w:cs="宋体" w:eastAsia="宋体" w:hint="default"/>
          <w:spacing w:val="22"/>
        </w:rPr>
        <w:t> </w:t>
      </w:r>
      <w:r>
        <w:rPr/>
        <w:t>年是“十二五”规划开局之年，政府在“十二个五年规划纲要”中明确指出“医疗保障政 </w:t>
      </w:r>
      <w:r>
        <w:rPr>
          <w:spacing w:val="-3"/>
        </w:rPr>
        <w:t>策和基本药物政策要鼓励中医药服务的提供和使用”、卫生部及各地政府也陆续出台对支持重要行业</w:t>
      </w:r>
      <w:r>
        <w:rPr>
          <w:spacing w:val="-86"/>
        </w:rPr>
        <w:t> </w:t>
      </w:r>
      <w:r>
        <w:rPr>
          <w:spacing w:val="-86"/>
        </w:rPr>
      </w:r>
      <w:r>
        <w:rPr/>
        <w:t>发展的措施。未来五年中医药行业将在政府的鼓励和支持下迎来前所未有的发展机遇。</w:t>
      </w:r>
    </w:p>
    <w:p>
      <w:pPr>
        <w:pStyle w:val="Heading3"/>
        <w:spacing w:line="357" w:lineRule="auto" w:before="36"/>
        <w:ind w:right="624" w:firstLine="470"/>
        <w:jc w:val="both"/>
      </w:pPr>
      <w:r>
        <w:rPr>
          <w:rFonts w:ascii="宋体" w:hAnsi="宋体" w:cs="宋体" w:eastAsia="宋体" w:hint="default"/>
        </w:rPr>
        <w:t>2011</w:t>
      </w:r>
      <w:r>
        <w:rPr>
          <w:rFonts w:ascii="宋体" w:hAnsi="宋体" w:cs="宋体" w:eastAsia="宋体" w:hint="default"/>
          <w:spacing w:val="-55"/>
        </w:rPr>
        <w:t> </w:t>
      </w:r>
      <w:r>
        <w:rPr/>
        <w:t>年</w:t>
      </w:r>
      <w:r>
        <w:rPr>
          <w:spacing w:val="-56"/>
        </w:rPr>
        <w:t> </w:t>
      </w:r>
      <w:r>
        <w:rPr>
          <w:rFonts w:ascii="宋体" w:hAnsi="宋体" w:cs="宋体" w:eastAsia="宋体" w:hint="default"/>
        </w:rPr>
        <w:t>3</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5"/>
        </w:rPr>
        <w:t> </w:t>
      </w:r>
      <w:r>
        <w:rPr>
          <w:spacing w:val="-5"/>
        </w:rPr>
        <w:t>日吉林省政府出台了《吉林省人参管理办法》，从人参种植、加工、经营、校验鉴</w:t>
      </w:r>
      <w:r>
        <w:rPr/>
        <w:t> </w:t>
      </w:r>
      <w:r>
        <w:rPr>
          <w:spacing w:val="-3"/>
        </w:rPr>
        <w:t>定、监督管理等方面做了全面的规定，为人参产业规范化、法制化管理，全面提升吉林省人参产品质</w:t>
      </w:r>
      <w:r>
        <w:rPr>
          <w:spacing w:val="-84"/>
        </w:rPr>
        <w:t> </w:t>
      </w:r>
      <w:r>
        <w:rPr>
          <w:spacing w:val="-84"/>
        </w:rPr>
      </w:r>
      <w:r>
        <w:rPr/>
        <w:t>量安全水平，为确保人参产业健康持续发展提供法制保障。吉林人参产业将在政策扶持中稳步发展。</w:t>
      </w:r>
    </w:p>
    <w:p>
      <w:pPr>
        <w:pStyle w:val="Heading3"/>
        <w:spacing w:line="355" w:lineRule="auto" w:before="36"/>
        <w:ind w:right="606" w:firstLine="480"/>
        <w:jc w:val="left"/>
      </w:pPr>
      <w:r>
        <w:rPr>
          <w:rFonts w:ascii="宋体" w:hAnsi="宋体" w:cs="宋体" w:eastAsia="宋体" w:hint="default"/>
        </w:rPr>
        <w:t>2011</w:t>
      </w:r>
      <w:r>
        <w:rPr/>
        <w:t>年将是公司继往开来，积极进取，各项工作继续深化和完善的一年。公司坚持“科学管理， </w:t>
      </w:r>
      <w:r>
        <w:rPr>
          <w:spacing w:val="-3"/>
        </w:rPr>
        <w:t>挖潜增效”的既定原则，紧跟政策导向，开拓思路、改革创新、深挖资源、使传统中医药产业和人参</w:t>
      </w:r>
    </w:p>
    <w:p>
      <w:pPr>
        <w:spacing w:after="0" w:line="355" w:lineRule="auto"/>
        <w:jc w:val="left"/>
        <w:sectPr>
          <w:footerReference w:type="default" r:id="rId22"/>
          <w:pgSz w:w="11910" w:h="16840"/>
          <w:pgMar w:footer="1224" w:header="720" w:top="1300" w:bottom="1420" w:left="580" w:right="0"/>
          <w:pgNumType w:start="35"/>
        </w:sectPr>
      </w:pPr>
    </w:p>
    <w:p>
      <w:pPr>
        <w:spacing w:line="355" w:lineRule="auto" w:before="13"/>
        <w:ind w:left="620" w:right="0" w:hanging="46"/>
        <w:jc w:val="left"/>
        <w:rPr>
          <w:rFonts w:ascii="宋体" w:hAnsi="宋体" w:cs="宋体" w:eastAsia="宋体" w:hint="default"/>
          <w:sz w:val="24"/>
          <w:szCs w:val="24"/>
        </w:rPr>
      </w:pPr>
      <w:r>
        <w:rPr/>
        <w:pict>
          <v:group style="position:absolute;margin-left:34.560001pt;margin-top:2.305654pt;width:508.3pt;height:.1pt;mso-position-horizontal-relative:page;mso-position-vertical-relative:paragraph;z-index:-534184"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b/>
          <w:bCs/>
          <w:sz w:val="24"/>
          <w:szCs w:val="24"/>
        </w:rPr>
        <w:t>（一）在保证传统中成药业务增长的同时全面发展人参产业</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、开展产学研合作，将与北京大学、上海交大、复旦大学、武汉大学、吉林大学等进行人参方</w:t>
      </w:r>
    </w:p>
    <w:p>
      <w:pPr>
        <w:pStyle w:val="Heading3"/>
        <w:spacing w:line="355" w:lineRule="auto" w:before="38"/>
        <w:ind w:right="719"/>
        <w:jc w:val="both"/>
      </w:pPr>
      <w:r>
        <w:rPr>
          <w:spacing w:val="-3"/>
        </w:rPr>
        <w:t>面院所的研科合作，通过产学研联盟的孵化作用，与权威科研院所的科研合作，掌握人参产品的核心</w:t>
      </w:r>
      <w:r>
        <w:rPr>
          <w:spacing w:val="-84"/>
        </w:rPr>
        <w:t> </w:t>
      </w:r>
      <w:r>
        <w:rPr>
          <w:spacing w:val="-84"/>
        </w:rPr>
      </w:r>
      <w:r>
        <w:rPr/>
        <w:t>技术，拥有一批自主知识产权的品种。</w:t>
      </w:r>
    </w:p>
    <w:p>
      <w:pPr>
        <w:pStyle w:val="Heading3"/>
        <w:spacing w:line="355" w:lineRule="auto" w:before="38"/>
        <w:ind w:right="0" w:firstLine="470"/>
        <w:jc w:val="left"/>
      </w:pPr>
      <w:r>
        <w:rPr>
          <w:rFonts w:ascii="宋体" w:hAnsi="宋体" w:cs="宋体" w:eastAsia="宋体" w:hint="default"/>
        </w:rPr>
        <w:t>2</w:t>
      </w:r>
      <w:r>
        <w:rPr/>
        <w:t>、加强科技成果转化，推动产业升级。突出发展精深加工，不断优化产业结构和产品结构，使 业务主线向高附加值产品靠拢，形成三至五个拳头产品，走品牌化竞争道路。</w:t>
      </w:r>
    </w:p>
    <w:p>
      <w:pPr>
        <w:spacing w:line="355" w:lineRule="auto" w:before="38"/>
        <w:ind w:left="620" w:right="3366" w:hanging="120"/>
        <w:jc w:val="left"/>
        <w:rPr>
          <w:rFonts w:ascii="宋体" w:hAnsi="宋体" w:cs="宋体" w:eastAsia="宋体" w:hint="default"/>
          <w:sz w:val="24"/>
          <w:szCs w:val="24"/>
        </w:rPr>
      </w:pPr>
      <w:r>
        <w:rPr>
          <w:rFonts w:ascii="宋体" w:hAnsi="宋体" w:cs="宋体" w:eastAsia="宋体" w:hint="default"/>
          <w:b/>
          <w:bCs/>
          <w:sz w:val="24"/>
          <w:szCs w:val="24"/>
        </w:rPr>
        <w:t>（二）抓好基础管理，强化监督控制职能，提升企业执行力水平</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、继续加强基础建设，生产企业抓创新、抓节能、抓改革、保质量；</w:t>
      </w:r>
    </w:p>
    <w:p>
      <w:pPr>
        <w:pStyle w:val="Heading3"/>
        <w:spacing w:line="240" w:lineRule="auto" w:before="39"/>
        <w:ind w:left="620" w:right="0"/>
        <w:jc w:val="left"/>
      </w:pPr>
      <w:r>
        <w:rPr>
          <w:rFonts w:ascii="宋体" w:hAnsi="宋体" w:cs="宋体" w:eastAsia="宋体" w:hint="default"/>
        </w:rPr>
        <w:t>2</w:t>
      </w:r>
      <w:r>
        <w:rPr/>
        <w:t>、继续加强财务管理、生产管理，严格控制成本和费用，开源节流，降本增效；</w:t>
      </w:r>
    </w:p>
    <w:p>
      <w:pPr>
        <w:pStyle w:val="Heading3"/>
        <w:spacing w:line="357" w:lineRule="auto" w:before="151"/>
        <w:ind w:right="0" w:firstLine="480"/>
        <w:jc w:val="left"/>
      </w:pPr>
      <w:r>
        <w:rPr>
          <w:rFonts w:ascii="宋体" w:hAnsi="宋体" w:cs="宋体" w:eastAsia="宋体" w:hint="default"/>
          <w:spacing w:val="-3"/>
        </w:rPr>
        <w:t>3</w:t>
      </w:r>
      <w:r>
        <w:rPr>
          <w:spacing w:val="-3"/>
        </w:rPr>
        <w:t>、强化财务基础管理工作，重点做好准确核算、定期分析和监督管理工作。针对公司经营现状，</w:t>
      </w:r>
      <w:r>
        <w:rPr/>
        <w:t> </w:t>
      </w:r>
      <w:r>
        <w:rPr>
          <w:spacing w:val="-3"/>
        </w:rPr>
        <w:t>今年财务会计基础管理工作的重点是会计的及时准确核算、财务的定期全面分析和财务会计的监督管</w:t>
      </w:r>
      <w:r>
        <w:rPr>
          <w:spacing w:val="-82"/>
        </w:rPr>
        <w:t> </w:t>
      </w:r>
      <w:r>
        <w:rPr>
          <w:spacing w:val="-82"/>
        </w:rPr>
      </w:r>
      <w:r>
        <w:rPr/>
        <w:t>理职能；</w:t>
      </w:r>
    </w:p>
    <w:p>
      <w:pPr>
        <w:spacing w:line="357" w:lineRule="auto" w:before="34"/>
        <w:ind w:left="620" w:right="1446" w:firstLine="2"/>
        <w:jc w:val="left"/>
        <w:rPr>
          <w:rFonts w:ascii="宋体" w:hAnsi="宋体" w:cs="宋体" w:eastAsia="宋体" w:hint="default"/>
          <w:sz w:val="24"/>
          <w:szCs w:val="24"/>
        </w:rPr>
      </w:pPr>
      <w:r>
        <w:rPr>
          <w:rFonts w:ascii="宋体" w:hAnsi="宋体" w:cs="宋体" w:eastAsia="宋体" w:hint="default"/>
          <w:b/>
          <w:bCs/>
          <w:sz w:val="24"/>
          <w:szCs w:val="24"/>
        </w:rPr>
        <w:t>（三）加强人员培养和增强人才储备</w:t>
      </w:r>
      <w:r>
        <w:rPr>
          <w:rFonts w:ascii="宋体" w:hAnsi="宋体" w:cs="宋体" w:eastAsia="宋体" w:hint="default"/>
          <w:b/>
          <w:bCs/>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、强化人力资源管理，改革薪酬制度，采取有效奖惩措施，吸引人、留住人、用好人；</w:t>
      </w:r>
    </w:p>
    <w:p>
      <w:pPr>
        <w:pStyle w:val="Heading3"/>
        <w:spacing w:line="357" w:lineRule="auto" w:before="34"/>
        <w:ind w:right="0" w:firstLine="480"/>
        <w:jc w:val="left"/>
      </w:pPr>
      <w:r>
        <w:rPr>
          <w:rFonts w:ascii="宋体" w:hAnsi="宋体" w:cs="宋体" w:eastAsia="宋体" w:hint="default"/>
        </w:rPr>
        <w:t>2</w:t>
      </w:r>
      <w:r>
        <w:rPr/>
        <w:t>、继续加强培训、后续教育。创造条件对各层次员工进行相应的技术以及综合素质的培训与教 育，以掌握科学管理方法以及各类工作技能，与时俱进，以适应公司发展的需要。</w:t>
      </w:r>
    </w:p>
    <w:p>
      <w:pPr>
        <w:spacing w:line="357" w:lineRule="auto" w:before="34"/>
        <w:ind w:left="620" w:right="606" w:firstLine="2"/>
        <w:jc w:val="left"/>
        <w:rPr>
          <w:rFonts w:ascii="宋体" w:hAnsi="宋体" w:cs="宋体" w:eastAsia="宋体" w:hint="default"/>
          <w:sz w:val="24"/>
          <w:szCs w:val="24"/>
        </w:rPr>
      </w:pPr>
      <w:r>
        <w:rPr>
          <w:rFonts w:ascii="宋体" w:hAnsi="宋体" w:cs="宋体" w:eastAsia="宋体" w:hint="default"/>
          <w:b/>
          <w:bCs/>
          <w:sz w:val="24"/>
          <w:szCs w:val="24"/>
        </w:rPr>
        <w:t>（四）巩固现有市场网络，增加新的销售网络，推广重点品种</w:t>
      </w:r>
      <w:r>
        <w:rPr>
          <w:rFonts w:ascii="宋体" w:hAnsi="宋体" w:cs="宋体" w:eastAsia="宋体" w:hint="default"/>
          <w:b/>
          <w:bCs/>
          <w:w w:val="99"/>
          <w:sz w:val="24"/>
          <w:szCs w:val="24"/>
        </w:rPr>
        <w:t> </w:t>
      </w:r>
      <w:r>
        <w:rPr>
          <w:rFonts w:ascii="宋体" w:hAnsi="宋体" w:cs="宋体" w:eastAsia="宋体" w:hint="default"/>
          <w:sz w:val="24"/>
          <w:szCs w:val="24"/>
        </w:rPr>
        <w:t>公司的销售在继续加大发展临床销售业绩份额，保证原有销售体系稳定的基础上寻求更多发展。</w:t>
      </w:r>
    </w:p>
    <w:p>
      <w:pPr>
        <w:pStyle w:val="Heading3"/>
        <w:spacing w:line="357" w:lineRule="auto" w:before="34"/>
        <w:ind w:right="718"/>
        <w:jc w:val="both"/>
      </w:pPr>
      <w:r>
        <w:rPr/>
        <w:t>从以往临床销售为主的模式，逐步向</w:t>
      </w:r>
      <w:r>
        <w:rPr>
          <w:rFonts w:ascii="宋体" w:hAnsi="宋体" w:cs="宋体" w:eastAsia="宋体" w:hint="default"/>
        </w:rPr>
        <w:t>OTC</w:t>
      </w:r>
      <w:r>
        <w:rPr/>
        <w:t>的专业化开发、大连锁通路合作伙伴的销售联盟、普药产品</w:t>
      </w:r>
      <w:r>
        <w:rPr>
          <w:spacing w:val="-98"/>
        </w:rPr>
        <w:t> </w:t>
      </w:r>
      <w:r>
        <w:rPr>
          <w:spacing w:val="-98"/>
        </w:rPr>
      </w:r>
      <w:r>
        <w:rPr>
          <w:spacing w:val="-3"/>
        </w:rPr>
        <w:t>省级经理管理的运作等多种营销模式并存转变，逐步构建销售资源多渠道相互共享的营销结构，并形</w:t>
      </w:r>
      <w:r>
        <w:rPr>
          <w:spacing w:val="-82"/>
        </w:rPr>
        <w:t> </w:t>
      </w:r>
      <w:r>
        <w:rPr>
          <w:spacing w:val="-82"/>
        </w:rPr>
      </w:r>
      <w:r>
        <w:rPr/>
        <w:t>成稳定的销售体系。</w:t>
      </w:r>
    </w:p>
    <w:p>
      <w:pPr>
        <w:pStyle w:val="Heading2"/>
        <w:spacing w:line="240" w:lineRule="auto" w:before="36"/>
        <w:ind w:left="576" w:right="0"/>
        <w:jc w:val="left"/>
        <w:rPr>
          <w:b w:val="0"/>
          <w:bCs w:val="0"/>
        </w:rPr>
      </w:pPr>
      <w:r>
        <w:rPr/>
        <w:t>六、利润分配</w:t>
      </w:r>
      <w:r>
        <w:rPr>
          <w:b w:val="0"/>
          <w:bCs w:val="0"/>
        </w:rPr>
      </w:r>
    </w:p>
    <w:p>
      <w:pPr>
        <w:pStyle w:val="Heading3"/>
        <w:spacing w:line="240" w:lineRule="auto" w:before="151"/>
        <w:ind w:left="586" w:right="0"/>
        <w:jc w:val="left"/>
      </w:pPr>
      <w:r>
        <w:rPr/>
        <w:t>以</w:t>
      </w:r>
      <w:r>
        <w:rPr>
          <w:spacing w:val="-60"/>
        </w:rPr>
        <w:t> </w:t>
      </w:r>
      <w:r>
        <w:rPr>
          <w:rFonts w:ascii="宋体" w:hAnsi="宋体" w:cs="宋体" w:eastAsia="宋体" w:hint="default"/>
        </w:rPr>
        <w:t>2010</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日公司总股本</w:t>
      </w:r>
      <w:r>
        <w:rPr>
          <w:spacing w:val="-60"/>
        </w:rPr>
        <w:t> </w:t>
      </w:r>
      <w:r>
        <w:rPr>
          <w:rFonts w:ascii="宋体" w:hAnsi="宋体" w:cs="宋体" w:eastAsia="宋体" w:hint="default"/>
        </w:rPr>
        <w:t>256,495,691.00</w:t>
      </w:r>
      <w:r>
        <w:rPr>
          <w:rFonts w:ascii="宋体" w:hAnsi="宋体" w:cs="宋体" w:eastAsia="宋体" w:hint="default"/>
          <w:spacing w:val="-60"/>
        </w:rPr>
        <w:t> </w:t>
      </w:r>
      <w:r>
        <w:rPr>
          <w:spacing w:val="-3"/>
        </w:rPr>
        <w:t>股为基数，以资本公积转增股本，向全体股东</w:t>
      </w:r>
    </w:p>
    <w:p>
      <w:pPr>
        <w:pStyle w:val="Heading3"/>
        <w:spacing w:line="240" w:lineRule="auto"/>
        <w:ind w:right="0"/>
        <w:jc w:val="both"/>
      </w:pPr>
      <w:r>
        <w:rPr/>
        <w:t>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1"/>
        </w:rPr>
        <w:t> </w:t>
      </w:r>
      <w:r>
        <w:rPr>
          <w:rFonts w:ascii="宋体" w:hAnsi="宋体" w:cs="宋体" w:eastAsia="宋体" w:hint="default"/>
        </w:rPr>
        <w:t>10</w:t>
      </w:r>
      <w:r>
        <w:rPr>
          <w:rFonts w:ascii="宋体" w:hAnsi="宋体" w:cs="宋体" w:eastAsia="宋体" w:hint="default"/>
          <w:spacing w:val="-60"/>
        </w:rPr>
        <w:t> </w:t>
      </w:r>
      <w:r>
        <w:rPr/>
        <w:t>股。未分配利润结转以后年度分配。</w:t>
      </w:r>
    </w:p>
    <w:p>
      <w:pPr>
        <w:spacing w:line="357" w:lineRule="auto" w:before="152"/>
        <w:ind w:left="492" w:right="5647" w:firstLine="7"/>
        <w:jc w:val="left"/>
        <w:rPr>
          <w:rFonts w:ascii="宋体" w:hAnsi="宋体" w:cs="宋体" w:eastAsia="宋体" w:hint="default"/>
          <w:sz w:val="24"/>
          <w:szCs w:val="24"/>
        </w:rPr>
      </w:pPr>
      <w:r>
        <w:rPr>
          <w:rFonts w:ascii="宋体" w:hAnsi="宋体" w:cs="宋体" w:eastAsia="宋体" w:hint="default"/>
          <w:sz w:val="24"/>
          <w:szCs w:val="24"/>
        </w:rPr>
        <w:t>本预案需经</w:t>
      </w:r>
      <w:r>
        <w:rPr>
          <w:rFonts w:ascii="宋体" w:hAnsi="宋体" w:cs="宋体" w:eastAsia="宋体" w:hint="default"/>
          <w:spacing w:val="-60"/>
          <w:sz w:val="24"/>
          <w:szCs w:val="24"/>
        </w:rPr>
        <w:t> </w:t>
      </w: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年度股东大会审议批准后实施。 </w:t>
      </w:r>
      <w:r>
        <w:rPr>
          <w:rFonts w:ascii="宋体" w:hAnsi="宋体" w:cs="宋体" w:eastAsia="宋体" w:hint="default"/>
          <w:b/>
          <w:bCs/>
          <w:sz w:val="24"/>
          <w:szCs w:val="24"/>
        </w:rPr>
        <w:t>七、其他重要事项</w:t>
      </w:r>
      <w:r>
        <w:rPr>
          <w:rFonts w:ascii="宋体" w:hAnsi="宋体" w:cs="宋体" w:eastAsia="宋体" w:hint="default"/>
          <w:sz w:val="24"/>
          <w:szCs w:val="24"/>
        </w:rPr>
      </w:r>
    </w:p>
    <w:p>
      <w:pPr>
        <w:spacing w:line="357" w:lineRule="auto" w:before="34"/>
        <w:ind w:left="620" w:right="0" w:firstLine="2"/>
        <w:jc w:val="left"/>
        <w:rPr>
          <w:rFonts w:ascii="宋体" w:hAnsi="宋体" w:cs="宋体" w:eastAsia="宋体" w:hint="default"/>
          <w:sz w:val="24"/>
          <w:szCs w:val="24"/>
        </w:rPr>
      </w:pPr>
      <w:r>
        <w:rPr>
          <w:rFonts w:ascii="宋体" w:hAnsi="宋体" w:cs="宋体" w:eastAsia="宋体" w:hint="default"/>
          <w:b/>
          <w:bCs/>
          <w:sz w:val="24"/>
          <w:szCs w:val="24"/>
        </w:rPr>
        <w:t>（一）公司投资者关系管理</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报告期内，公司严格遵循《投资者关系工作制度》的规定，本着公平信息披露的原则，积极建立</w:t>
      </w:r>
    </w:p>
    <w:p>
      <w:pPr>
        <w:pStyle w:val="Heading3"/>
        <w:spacing w:line="355" w:lineRule="auto" w:before="36"/>
        <w:ind w:left="620" w:right="0" w:hanging="480"/>
        <w:jc w:val="left"/>
      </w:pPr>
      <w:r>
        <w:rPr/>
        <w:t>与投资者双向交流的机制，保持公司与投资者之间相互信任，利益一致的关系。具体来说： </w:t>
      </w:r>
      <w:r>
        <w:rPr>
          <w:rFonts w:ascii="宋体" w:hAnsi="宋体" w:cs="宋体" w:eastAsia="宋体" w:hint="default"/>
        </w:rPr>
        <w:t>1</w:t>
      </w:r>
      <w:r>
        <w:rPr/>
        <w:t>、公司指定董事会秘书为投资者关系工作的第一负责人，董事会办公室为开展投资者关系工作</w:t>
      </w:r>
    </w:p>
    <w:p>
      <w:pPr>
        <w:pStyle w:val="Heading3"/>
        <w:spacing w:line="240" w:lineRule="auto" w:before="38"/>
        <w:ind w:right="0"/>
        <w:jc w:val="both"/>
      </w:pPr>
      <w:r>
        <w:rPr>
          <w:spacing w:val="-3"/>
        </w:rPr>
        <w:t>的归口管理部门和日常工作机构，在董事会秘书的领导下展工作。同时完善了组织结构，聘请曹恩辉</w:t>
      </w:r>
    </w:p>
    <w:p>
      <w:pPr>
        <w:spacing w:after="0" w:line="240" w:lineRule="auto"/>
        <w:jc w:val="both"/>
        <w:sectPr>
          <w:footerReference w:type="default" r:id="rId23"/>
          <w:pgSz w:w="11910" w:h="16840"/>
          <w:pgMar w:footer="956" w:header="720" w:top="1300" w:bottom="1140" w:left="580" w:right="0"/>
          <w:pgNumType w:start="36"/>
        </w:sectPr>
      </w:pPr>
    </w:p>
    <w:p>
      <w:pPr>
        <w:pStyle w:val="Heading3"/>
        <w:spacing w:line="355" w:lineRule="auto" w:before="13"/>
        <w:ind w:left="620" w:right="0" w:hanging="480"/>
        <w:jc w:val="left"/>
      </w:pPr>
      <w:r>
        <w:rPr/>
        <w:pict>
          <v:group style="position:absolute;margin-left:34.560001pt;margin-top:2.305654pt;width:508.3pt;height:.1pt;mso-position-horizontal-relative:page;mso-position-vertical-relative:paragraph;z-index:-534160" coordorigin="691,46" coordsize="10166,2">
            <v:shape style="position:absolute;left:691;top:46;width:10166;height:2" coordorigin="691,46" coordsize="10166,0" path="m691,46l10857,46e" filled="false" stroked="true" strokeweight=".72pt" strokecolor="#000000">
              <v:path arrowok="t"/>
            </v:shape>
            <w10:wrap type="none"/>
          </v:group>
        </w:pict>
      </w:r>
      <w:r>
        <w:rPr/>
        <w:t>先生为公司董事会秘书，负责投资者接待等日常事务。 </w:t>
      </w:r>
      <w:r>
        <w:rPr>
          <w:rFonts w:ascii="宋体" w:hAnsi="宋体" w:cs="宋体" w:eastAsia="宋体" w:hint="default"/>
          <w:spacing w:val="-3"/>
        </w:rPr>
        <w:t>2</w:t>
      </w:r>
      <w:r>
        <w:rPr>
          <w:spacing w:val="-3"/>
        </w:rPr>
        <w:t>、</w:t>
      </w:r>
      <w:r>
        <w:rPr>
          <w:rFonts w:ascii="宋体" w:hAnsi="宋体" w:cs="宋体" w:eastAsia="宋体" w:hint="default"/>
          <w:spacing w:val="-3"/>
        </w:rPr>
        <w:t>2010</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25</w:t>
      </w:r>
      <w:r>
        <w:rPr>
          <w:spacing w:val="-3"/>
        </w:rPr>
        <w:t>日，公司通过全景网投资者关系互动平台举行了一次业绩说明会，公司管理层就</w:t>
      </w:r>
    </w:p>
    <w:p>
      <w:pPr>
        <w:pStyle w:val="Heading3"/>
        <w:spacing w:line="355" w:lineRule="auto" w:before="38"/>
        <w:ind w:right="0"/>
        <w:jc w:val="left"/>
      </w:pPr>
      <w:r>
        <w:rPr>
          <w:rFonts w:ascii="宋体" w:hAnsi="宋体" w:cs="宋体" w:eastAsia="宋体" w:hint="default"/>
          <w:spacing w:val="-3"/>
        </w:rPr>
        <w:t>2009</w:t>
      </w:r>
      <w:r>
        <w:rPr>
          <w:spacing w:val="-3"/>
        </w:rPr>
        <w:t>年度公司业绩与广大投资者进行了直接交流，坦诚回答了投资者提出的问题，认真听取了投资者</w:t>
      </w:r>
      <w:r>
        <w:rPr>
          <w:spacing w:val="-78"/>
        </w:rPr>
        <w:t> </w:t>
      </w:r>
      <w:r>
        <w:rPr>
          <w:spacing w:val="-78"/>
        </w:rPr>
      </w:r>
      <w:r>
        <w:rPr/>
        <w:t>的意见和建议，进一步增强了投资者对公司的了解。</w:t>
      </w:r>
    </w:p>
    <w:p>
      <w:pPr>
        <w:pStyle w:val="Heading3"/>
        <w:spacing w:line="355" w:lineRule="auto" w:before="38"/>
        <w:ind w:right="0" w:firstLine="480"/>
        <w:jc w:val="left"/>
      </w:pPr>
      <w:r>
        <w:rPr>
          <w:rFonts w:ascii="宋体" w:hAnsi="宋体" w:cs="宋体" w:eastAsia="宋体" w:hint="default"/>
          <w:spacing w:val="-3"/>
        </w:rPr>
        <w:t>2010</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9</w:t>
      </w:r>
      <w:r>
        <w:rPr>
          <w:spacing w:val="-3"/>
        </w:rPr>
        <w:t>日，公司参加了“吉林上市公司</w:t>
      </w:r>
      <w:r>
        <w:rPr>
          <w:rFonts w:ascii="宋体" w:hAnsi="宋体" w:cs="宋体" w:eastAsia="宋体" w:hint="default"/>
          <w:spacing w:val="-3"/>
        </w:rPr>
        <w:t>2009</w:t>
      </w:r>
      <w:r>
        <w:rPr>
          <w:spacing w:val="-3"/>
        </w:rPr>
        <w:t>年度业绩网上集体说明会”，再一次就投资者关</w:t>
      </w:r>
      <w:r>
        <w:rPr/>
        <w:t> 心的问题与广大投资者进行了深入的探讨。</w:t>
      </w:r>
    </w:p>
    <w:p>
      <w:pPr>
        <w:pStyle w:val="Heading3"/>
        <w:spacing w:line="355" w:lineRule="auto" w:before="38"/>
        <w:ind w:right="0" w:firstLine="480"/>
        <w:jc w:val="left"/>
      </w:pPr>
      <w:r>
        <w:rPr>
          <w:rFonts w:ascii="宋体" w:hAnsi="宋体" w:cs="宋体" w:eastAsia="宋体" w:hint="default"/>
        </w:rPr>
        <w:t>3</w:t>
      </w:r>
      <w:r>
        <w:rPr/>
        <w:t>、公司开设了投资者关系热线电话、传真与电子邮箱，由董事会办公室的投资者关系工作人员 及时组织回复，尽力解答投资者的疑问，并虚心接受投资者意见。</w:t>
      </w:r>
    </w:p>
    <w:p>
      <w:pPr>
        <w:pStyle w:val="Heading2"/>
        <w:spacing w:line="355" w:lineRule="auto" w:before="39"/>
        <w:ind w:left="140" w:right="0" w:firstLine="482"/>
        <w:jc w:val="left"/>
        <w:rPr>
          <w:b w:val="0"/>
          <w:bCs w:val="0"/>
        </w:rPr>
      </w:pPr>
      <w:r>
        <w:rPr>
          <w:spacing w:val="-3"/>
          <w:w w:val="99"/>
        </w:rPr>
        <w:t>（二）公司指定《证券时报》、《中国证券报》及巨潮资讯网（</w:t>
      </w:r>
      <w:hyperlink r:id="rId24">
        <w:r>
          <w:rPr>
            <w:rFonts w:ascii="宋体" w:hAnsi="宋体" w:cs="宋体" w:eastAsia="宋体" w:hint="default"/>
            <w:spacing w:val="-3"/>
            <w:w w:val="99"/>
          </w:rPr>
          <w:t>http://www.cninfo.com.cn</w:t>
        </w:r>
      </w:hyperlink>
      <w:r>
        <w:rPr>
          <w:spacing w:val="-3"/>
          <w:w w:val="99"/>
        </w:rPr>
        <w:t>）为</w:t>
      </w:r>
      <w:r>
        <w:rPr>
          <w:spacing w:val="2"/>
          <w:w w:val="99"/>
        </w:rPr>
        <w:t> </w:t>
      </w:r>
      <w:r>
        <w:rPr/>
        <w:t>刊登公司公告和其他需要披露信息的媒体。</w:t>
      </w:r>
      <w:r>
        <w:rPr>
          <w:b w:val="0"/>
          <w:bCs w:val="0"/>
        </w:rPr>
      </w:r>
    </w:p>
    <w:p>
      <w:pPr>
        <w:spacing w:after="0" w:line="355" w:lineRule="auto"/>
        <w:jc w:val="left"/>
        <w:sectPr>
          <w:pgSz w:w="11910" w:h="16840"/>
          <w:pgMar w:header="720" w:footer="956" w:top="1300" w:bottom="1140" w:left="580" w:right="0"/>
        </w:sectPr>
      </w:pPr>
    </w:p>
    <w:p>
      <w:pPr>
        <w:spacing w:line="240" w:lineRule="auto" w:before="13"/>
        <w:rPr>
          <w:rFonts w:ascii="宋体" w:hAnsi="宋体" w:cs="宋体" w:eastAsia="宋体" w:hint="default"/>
          <w:b/>
          <w:bCs/>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tabs>
          <w:tab w:pos="1286" w:val="left" w:leader="none"/>
        </w:tabs>
        <w:spacing w:line="240" w:lineRule="auto" w:before="165"/>
        <w:ind w:right="578"/>
        <w:jc w:val="center"/>
        <w:rPr>
          <w:b w:val="0"/>
          <w:bCs w:val="0"/>
        </w:rPr>
      </w:pPr>
      <w:bookmarkStart w:name="_TOC_250003" w:id="8"/>
      <w:r>
        <w:rPr>
          <w:w w:val="95"/>
        </w:rPr>
        <w:t>第八节</w:t>
        <w:tab/>
      </w:r>
      <w:r>
        <w:rPr/>
        <w:t>监事会报告</w:t>
      </w:r>
      <w:bookmarkEnd w:id="8"/>
      <w:r>
        <w:rPr>
          <w:b w:val="0"/>
          <w:bCs w:val="0"/>
        </w:rPr>
      </w:r>
    </w:p>
    <w:p>
      <w:pPr>
        <w:spacing w:line="240" w:lineRule="auto" w:before="9"/>
        <w:rPr>
          <w:rFonts w:ascii="黑体" w:hAnsi="黑体" w:cs="黑体" w:eastAsia="黑体" w:hint="default"/>
          <w:b/>
          <w:bCs/>
          <w:sz w:val="41"/>
          <w:szCs w:val="41"/>
        </w:rPr>
      </w:pPr>
    </w:p>
    <w:p>
      <w:pPr>
        <w:pStyle w:val="Heading2"/>
        <w:spacing w:line="240" w:lineRule="auto"/>
        <w:ind w:left="382" w:right="0"/>
        <w:jc w:val="left"/>
        <w:rPr>
          <w:b w:val="0"/>
          <w:bCs w:val="0"/>
        </w:rPr>
      </w:pPr>
      <w:r>
        <w:rPr/>
        <w:t>一、对公司</w:t>
      </w:r>
      <w:r>
        <w:rPr>
          <w:spacing w:val="-62"/>
        </w:rPr>
        <w:t> </w:t>
      </w:r>
      <w:r>
        <w:rPr>
          <w:rFonts w:ascii="宋体" w:hAnsi="宋体" w:cs="宋体" w:eastAsia="宋体" w:hint="default"/>
        </w:rPr>
        <w:t>2010</w:t>
      </w:r>
      <w:r>
        <w:rPr>
          <w:rFonts w:ascii="宋体" w:hAnsi="宋体" w:cs="宋体" w:eastAsia="宋体" w:hint="default"/>
          <w:spacing w:val="-63"/>
        </w:rPr>
        <w:t> </w:t>
      </w:r>
      <w:r>
        <w:rPr/>
        <w:t>年度经营管理行为和业绩的基本评价</w:t>
      </w:r>
      <w:r>
        <w:rPr>
          <w:b w:val="0"/>
          <w:bCs w:val="0"/>
        </w:rPr>
      </w:r>
    </w:p>
    <w:p>
      <w:pPr>
        <w:pStyle w:val="Heading3"/>
        <w:spacing w:line="357" w:lineRule="auto"/>
        <w:ind w:right="683" w:firstLine="360"/>
        <w:jc w:val="both"/>
      </w:pPr>
      <w:r>
        <w:rPr>
          <w:rFonts w:ascii="宋体" w:hAnsi="宋体" w:cs="宋体" w:eastAsia="宋体" w:hint="default"/>
        </w:rPr>
        <w:t>2010</w:t>
      </w:r>
      <w:r>
        <w:rPr>
          <w:rFonts w:ascii="宋体" w:hAnsi="宋体" w:cs="宋体" w:eastAsia="宋体" w:hint="default"/>
          <w:spacing w:val="-39"/>
        </w:rPr>
        <w:t> </w:t>
      </w:r>
      <w:r>
        <w:rPr>
          <w:spacing w:val="-12"/>
        </w:rPr>
        <w:t>年监事会严格按照《公司法》、《公司章程》、《监事会议事规则》和有关法律、法规的要求，</w:t>
      </w:r>
      <w:r>
        <w:rPr/>
        <w:t> </w:t>
      </w:r>
      <w:r>
        <w:rPr>
          <w:spacing w:val="-3"/>
        </w:rPr>
        <w:t>从切实维护公司利益和广大中小股东权益出发，认真履行监督职责。并认为：董事会认真执行了股东</w:t>
      </w:r>
      <w:r>
        <w:rPr>
          <w:spacing w:val="-84"/>
        </w:rPr>
        <w:t> </w:t>
      </w:r>
      <w:r>
        <w:rPr>
          <w:spacing w:val="-84"/>
        </w:rPr>
      </w:r>
      <w:r>
        <w:rPr>
          <w:spacing w:val="-3"/>
        </w:rPr>
        <w:t>大会的决议，忠实履行了诚信义务，未出现损害公司、股东利益的行为，董事会的各项决议符合《公</w:t>
      </w:r>
      <w:r>
        <w:rPr>
          <w:spacing w:val="-88"/>
        </w:rPr>
        <w:t> </w:t>
      </w:r>
      <w:r>
        <w:rPr>
          <w:spacing w:val="-88"/>
        </w:rPr>
      </w:r>
      <w:r>
        <w:rPr/>
        <w:t>司法》等法律法规和公司章程的要求。</w:t>
      </w:r>
    </w:p>
    <w:p>
      <w:pPr>
        <w:pStyle w:val="Heading3"/>
        <w:spacing w:line="357" w:lineRule="auto" w:before="34"/>
        <w:ind w:right="716" w:firstLine="480"/>
        <w:jc w:val="both"/>
      </w:pPr>
      <w:r>
        <w:rPr>
          <w:rFonts w:ascii="宋体" w:hAnsi="宋体" w:cs="宋体" w:eastAsia="宋体" w:hint="default"/>
        </w:rPr>
        <w:t>2010 </w:t>
      </w:r>
      <w:r>
        <w:rPr/>
        <w:t>年监事会对公司经营管理情况进行了有效监督，公司取得了良好的经营业绩</w:t>
      </w:r>
      <w:r>
        <w:rPr>
          <w:spacing w:val="-76"/>
        </w:rPr>
        <w:t> </w:t>
      </w:r>
      <w:r>
        <w:rPr>
          <w:spacing w:val="-3"/>
        </w:rPr>
        <w:t>，在保证传统</w:t>
      </w:r>
      <w:r>
        <w:rPr/>
        <w:t> </w:t>
      </w:r>
      <w:r>
        <w:rPr>
          <w:spacing w:val="-3"/>
        </w:rPr>
        <w:t>中成药业务稳步发展的同时进入人参产业，人参产品的利润超过原有的中成药业务。公司净利润大幅</w:t>
      </w:r>
      <w:r>
        <w:rPr>
          <w:spacing w:val="-84"/>
        </w:rPr>
        <w:t> </w:t>
      </w:r>
      <w:r>
        <w:rPr>
          <w:spacing w:val="-84"/>
        </w:rPr>
      </w:r>
      <w:r>
        <w:rPr>
          <w:spacing w:val="-3"/>
        </w:rPr>
        <w:t>度增长，生产经营计划得以顺利实施。监事会对任期内公司的生产经营活动进行了监督，认为公司领</w:t>
      </w:r>
      <w:r>
        <w:rPr>
          <w:spacing w:val="-84"/>
        </w:rPr>
        <w:t> </w:t>
      </w:r>
      <w:r>
        <w:rPr>
          <w:spacing w:val="-84"/>
        </w:rPr>
      </w:r>
      <w:r>
        <w:rPr/>
        <w:t>导班子勤勉尽责，认真执行了董事会的各项决议，经营中没有违规操作行为。</w:t>
      </w:r>
    </w:p>
    <w:p>
      <w:pPr>
        <w:spacing w:line="240" w:lineRule="auto" w:before="0"/>
        <w:rPr>
          <w:rFonts w:ascii="宋体" w:hAnsi="宋体" w:cs="宋体" w:eastAsia="宋体" w:hint="default"/>
          <w:sz w:val="24"/>
          <w:szCs w:val="24"/>
        </w:rPr>
      </w:pPr>
    </w:p>
    <w:p>
      <w:pPr>
        <w:pStyle w:val="Heading2"/>
        <w:spacing w:line="240" w:lineRule="auto" w:before="188"/>
        <w:ind w:left="622" w:right="0"/>
        <w:jc w:val="left"/>
        <w:rPr>
          <w:b w:val="0"/>
          <w:bCs w:val="0"/>
        </w:rPr>
      </w:pPr>
      <w:r>
        <w:rPr/>
        <w:t>二、监事会会议情况</w:t>
      </w:r>
      <w:r>
        <w:rPr>
          <w:b w:val="0"/>
          <w:bCs w:val="0"/>
        </w:rPr>
      </w:r>
    </w:p>
    <w:p>
      <w:pPr>
        <w:pStyle w:val="Heading3"/>
        <w:spacing w:line="240" w:lineRule="auto" w:before="151"/>
        <w:ind w:left="622" w:right="0"/>
        <w:jc w:val="left"/>
      </w:pPr>
      <w:r>
        <w:rPr>
          <w:rFonts w:ascii="宋体" w:hAnsi="宋体" w:cs="宋体" w:eastAsia="宋体" w:hint="default"/>
        </w:rPr>
        <w:t>2010</w:t>
      </w:r>
      <w:r>
        <w:rPr>
          <w:rFonts w:ascii="宋体" w:hAnsi="宋体" w:cs="宋体" w:eastAsia="宋体" w:hint="default"/>
          <w:spacing w:val="-60"/>
        </w:rPr>
        <w:t> </w:t>
      </w:r>
      <w:r>
        <w:rPr/>
        <w:t>年公司监事会共召开</w:t>
      </w:r>
      <w:r>
        <w:rPr>
          <w:spacing w:val="-60"/>
        </w:rPr>
        <w:t> </w:t>
      </w:r>
      <w:r>
        <w:rPr>
          <w:rFonts w:ascii="宋体" w:hAnsi="宋体" w:cs="宋体" w:eastAsia="宋体" w:hint="default"/>
        </w:rPr>
        <w:t>6</w:t>
      </w:r>
      <w:r>
        <w:rPr>
          <w:rFonts w:ascii="宋体" w:hAnsi="宋体" w:cs="宋体" w:eastAsia="宋体" w:hint="default"/>
          <w:spacing w:val="-60"/>
        </w:rPr>
        <w:t> </w:t>
      </w:r>
      <w:r>
        <w:rPr/>
        <w:t>次会议，各次会议情况及决议内容如下：</w:t>
      </w:r>
    </w:p>
    <w:p>
      <w:pPr>
        <w:pStyle w:val="Heading3"/>
        <w:spacing w:line="240" w:lineRule="auto"/>
        <w:ind w:left="500" w:right="0"/>
        <w:jc w:val="left"/>
      </w:pPr>
      <w:r>
        <w:rPr>
          <w:rFonts w:ascii="宋体" w:hAnsi="宋体" w:cs="宋体" w:eastAsia="宋体" w:hint="default"/>
        </w:rPr>
        <w:t>1</w:t>
      </w:r>
      <w:r>
        <w:rPr/>
        <w:t>、</w:t>
      </w:r>
      <w:r>
        <w:rPr>
          <w:rFonts w:ascii="宋体" w:hAnsi="宋体" w:cs="宋体" w:eastAsia="宋体" w:hint="default"/>
        </w:rPr>
        <w:t>2010</w:t>
      </w:r>
      <w:r>
        <w:rPr>
          <w:rFonts w:ascii="宋体" w:hAnsi="宋体" w:cs="宋体" w:eastAsia="宋体" w:hint="default"/>
          <w:spacing w:val="-60"/>
        </w:rPr>
        <w:t> </w:t>
      </w:r>
      <w:r>
        <w:rPr/>
        <w:t>年</w:t>
      </w:r>
      <w:r>
        <w:rPr>
          <w:spacing w:val="-61"/>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日下午在公司会议室召开第三届监事会第十三次会议，审议通过了以下议案：</w:t>
      </w:r>
    </w:p>
    <w:p>
      <w:pPr>
        <w:pStyle w:val="Heading3"/>
        <w:spacing w:line="240" w:lineRule="auto" w:before="151"/>
        <w:ind w:left="620" w:right="0"/>
        <w:jc w:val="left"/>
      </w:pPr>
      <w:r>
        <w:rPr/>
        <w:t>（</w:t>
      </w:r>
      <w:r>
        <w:rPr>
          <w:rFonts w:ascii="宋体" w:hAnsi="宋体" w:cs="宋体" w:eastAsia="宋体" w:hint="default"/>
        </w:rPr>
        <w:t>1</w:t>
      </w:r>
      <w:r>
        <w:rPr/>
        <w:t>）审议通过了《公司</w:t>
      </w:r>
      <w:r>
        <w:rPr>
          <w:spacing w:val="-60"/>
        </w:rPr>
        <w:t> </w:t>
      </w:r>
      <w:r>
        <w:rPr>
          <w:rFonts w:ascii="宋体" w:hAnsi="宋体" w:cs="宋体" w:eastAsia="宋体" w:hint="default"/>
        </w:rPr>
        <w:t>2009</w:t>
      </w:r>
      <w:r>
        <w:rPr>
          <w:rFonts w:ascii="宋体" w:hAnsi="宋体" w:cs="宋体" w:eastAsia="宋体" w:hint="default"/>
          <w:spacing w:val="-60"/>
        </w:rPr>
        <w:t> </w:t>
      </w:r>
      <w:r>
        <w:rPr/>
        <w:t>年度报告》及其摘要；</w:t>
      </w:r>
    </w:p>
    <w:p>
      <w:pPr>
        <w:pStyle w:val="Heading3"/>
        <w:spacing w:line="240" w:lineRule="auto"/>
        <w:ind w:left="620" w:right="0"/>
        <w:jc w:val="left"/>
      </w:pPr>
      <w:r>
        <w:rPr>
          <w:spacing w:val="-3"/>
        </w:rPr>
        <w:t>（</w:t>
      </w:r>
      <w:r>
        <w:rPr>
          <w:rFonts w:ascii="宋体" w:hAnsi="宋体" w:cs="宋体" w:eastAsia="宋体" w:hint="default"/>
          <w:spacing w:val="-3"/>
        </w:rPr>
        <w:t>2</w:t>
      </w:r>
      <w:r>
        <w:rPr>
          <w:spacing w:val="-3"/>
        </w:rPr>
        <w:t>）审议通过了《公司</w:t>
      </w:r>
      <w:r>
        <w:rPr>
          <w:rFonts w:ascii="宋体" w:hAnsi="宋体" w:cs="宋体" w:eastAsia="宋体" w:hint="default"/>
          <w:spacing w:val="-3"/>
        </w:rPr>
        <w:t>2009</w:t>
      </w:r>
      <w:r>
        <w:rPr>
          <w:spacing w:val="-3"/>
        </w:rPr>
        <w:t>年监事会工作报告》，并同意将该议案提交</w:t>
      </w:r>
      <w:r>
        <w:rPr>
          <w:rFonts w:ascii="宋体" w:hAnsi="宋体" w:cs="宋体" w:eastAsia="宋体" w:hint="default"/>
          <w:spacing w:val="-3"/>
        </w:rPr>
        <w:t>2009</w:t>
      </w:r>
      <w:r>
        <w:rPr>
          <w:spacing w:val="-3"/>
        </w:rPr>
        <w:t>年度股东大会审议；</w:t>
      </w:r>
    </w:p>
    <w:p>
      <w:pPr>
        <w:pStyle w:val="Heading3"/>
        <w:spacing w:line="240" w:lineRule="auto" w:before="151"/>
        <w:ind w:left="620" w:right="0"/>
        <w:jc w:val="left"/>
      </w:pPr>
      <w:r>
        <w:rPr/>
        <w:t>（</w:t>
      </w:r>
      <w:r>
        <w:rPr>
          <w:rFonts w:ascii="宋体" w:hAnsi="宋体" w:cs="宋体" w:eastAsia="宋体" w:hint="default"/>
        </w:rPr>
        <w:t>3</w:t>
      </w:r>
      <w:r>
        <w:rPr/>
        <w:t>）审议通过了《公司</w:t>
      </w:r>
      <w:r>
        <w:rPr>
          <w:rFonts w:ascii="宋体" w:hAnsi="宋体" w:cs="宋体" w:eastAsia="宋体" w:hint="default"/>
        </w:rPr>
        <w:t>2009</w:t>
      </w:r>
      <w:r>
        <w:rPr/>
        <w:t>年度财务报告及审计报告》；</w:t>
      </w:r>
    </w:p>
    <w:p>
      <w:pPr>
        <w:pStyle w:val="Heading3"/>
        <w:spacing w:line="240" w:lineRule="auto"/>
        <w:ind w:left="620" w:right="0"/>
        <w:jc w:val="left"/>
      </w:pPr>
      <w:r>
        <w:rPr/>
        <w:t>（</w:t>
      </w:r>
      <w:r>
        <w:rPr>
          <w:rFonts w:ascii="宋体" w:hAnsi="宋体" w:cs="宋体" w:eastAsia="宋体" w:hint="default"/>
        </w:rPr>
        <w:t>4</w:t>
      </w:r>
      <w:r>
        <w:rPr/>
        <w:t>）审议通过了《</w:t>
      </w:r>
      <w:r>
        <w:rPr>
          <w:rFonts w:ascii="宋体" w:hAnsi="宋体" w:cs="宋体" w:eastAsia="宋体" w:hint="default"/>
        </w:rPr>
        <w:t>2009</w:t>
      </w:r>
      <w:r>
        <w:rPr/>
        <w:t>年利润分配方案的预案》；</w:t>
      </w:r>
    </w:p>
    <w:p>
      <w:pPr>
        <w:pStyle w:val="Heading3"/>
        <w:spacing w:line="240" w:lineRule="auto" w:before="151"/>
        <w:ind w:left="620" w:right="0"/>
        <w:jc w:val="left"/>
      </w:pPr>
      <w:r>
        <w:rPr/>
        <w:t>（</w:t>
      </w:r>
      <w:r>
        <w:rPr>
          <w:rFonts w:ascii="宋体" w:hAnsi="宋体" w:cs="宋体" w:eastAsia="宋体" w:hint="default"/>
        </w:rPr>
        <w:t>5</w:t>
      </w:r>
      <w:r>
        <w:rPr/>
        <w:t>）审议通过了《公司董事会关于</w:t>
      </w:r>
      <w:r>
        <w:rPr>
          <w:rFonts w:ascii="宋体" w:hAnsi="宋体" w:cs="宋体" w:eastAsia="宋体" w:hint="default"/>
        </w:rPr>
        <w:t>2009</w:t>
      </w:r>
      <w:r>
        <w:rPr/>
        <w:t>年内部控制自我评价报告》的议案；</w:t>
      </w:r>
    </w:p>
    <w:p>
      <w:pPr>
        <w:pStyle w:val="Heading3"/>
        <w:spacing w:line="357" w:lineRule="auto"/>
        <w:ind w:left="500" w:right="1206" w:firstLine="120"/>
        <w:jc w:val="left"/>
      </w:pPr>
      <w:r>
        <w:rPr/>
        <w:t>（</w:t>
      </w:r>
      <w:r>
        <w:rPr>
          <w:rFonts w:ascii="宋体" w:hAnsi="宋体" w:cs="宋体" w:eastAsia="宋体" w:hint="default"/>
        </w:rPr>
        <w:t>6</w:t>
      </w:r>
      <w:r>
        <w:rPr/>
        <w:t>）审议通过《补选监事的议案》； </w:t>
      </w:r>
      <w:r>
        <w:rPr>
          <w:rFonts w:ascii="宋体" w:hAnsi="宋体" w:cs="宋体" w:eastAsia="宋体" w:hint="default"/>
        </w:rPr>
        <w:t>2</w:t>
      </w:r>
      <w:r>
        <w:rPr/>
        <w:t>、</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23</w:t>
      </w:r>
      <w:r>
        <w:rPr/>
        <w:t>日下午在公司会议室召开第三届监事会第十四次会议，审议通过以下议案：</w:t>
      </w:r>
    </w:p>
    <w:p>
      <w:pPr>
        <w:pStyle w:val="Heading3"/>
        <w:spacing w:line="357" w:lineRule="auto" w:before="34"/>
        <w:ind w:right="726" w:firstLine="480"/>
        <w:jc w:val="left"/>
      </w:pPr>
      <w:r>
        <w:rPr/>
        <w:t>（</w:t>
      </w:r>
      <w:r>
        <w:rPr>
          <w:rFonts w:ascii="宋体" w:hAnsi="宋体" w:cs="宋体" w:eastAsia="宋体" w:hint="default"/>
        </w:rPr>
        <w:t>1</w:t>
      </w:r>
      <w:r>
        <w:rPr/>
        <w:t>）审议通过了《关于提名范水波先生担任第四届监事会监事候选人的议案》该项议案尚需提 交</w:t>
      </w:r>
      <w:r>
        <w:rPr>
          <w:rFonts w:ascii="宋体" w:hAnsi="宋体" w:cs="宋体" w:eastAsia="宋体" w:hint="default"/>
        </w:rPr>
        <w:t>2010</w:t>
      </w:r>
      <w:r>
        <w:rPr/>
        <w:t>年第一次临时股东大会审议。</w:t>
      </w:r>
    </w:p>
    <w:p>
      <w:pPr>
        <w:pStyle w:val="Heading3"/>
        <w:spacing w:line="357" w:lineRule="auto" w:before="34"/>
        <w:ind w:right="726" w:firstLine="480"/>
        <w:jc w:val="left"/>
      </w:pPr>
      <w:r>
        <w:rPr/>
        <w:t>（</w:t>
      </w:r>
      <w:r>
        <w:rPr>
          <w:rFonts w:ascii="宋体" w:hAnsi="宋体" w:cs="宋体" w:eastAsia="宋体" w:hint="default"/>
        </w:rPr>
        <w:t>2</w:t>
      </w:r>
      <w:r>
        <w:rPr/>
        <w:t>）审议通过了《关于提名韩明先生担任第四届监事会监事候选人的议案》该项议案尚需提交 </w:t>
      </w:r>
      <w:r>
        <w:rPr>
          <w:rFonts w:ascii="宋体" w:hAnsi="宋体" w:cs="宋体" w:eastAsia="宋体" w:hint="default"/>
        </w:rPr>
        <w:t>2010</w:t>
      </w:r>
      <w:r>
        <w:rPr/>
        <w:t>年第一次临时股东大会审议。</w:t>
      </w:r>
    </w:p>
    <w:p>
      <w:pPr>
        <w:pStyle w:val="Heading3"/>
        <w:spacing w:line="357" w:lineRule="auto" w:before="34"/>
        <w:ind w:right="716" w:firstLine="360"/>
        <w:jc w:val="both"/>
      </w:pPr>
      <w:r>
        <w:rPr>
          <w:rFonts w:ascii="宋体" w:hAnsi="宋体" w:cs="宋体" w:eastAsia="宋体" w:hint="default"/>
          <w:spacing w:val="-3"/>
        </w:rPr>
        <w:t>3</w:t>
      </w:r>
      <w:r>
        <w:rPr>
          <w:spacing w:val="-3"/>
        </w:rPr>
        <w:t>、</w:t>
      </w:r>
      <w:r>
        <w:rPr>
          <w:rFonts w:ascii="宋体" w:hAnsi="宋体" w:cs="宋体" w:eastAsia="宋体" w:hint="default"/>
          <w:spacing w:val="-3"/>
        </w:rPr>
        <w:t>2010</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8</w:t>
      </w:r>
      <w:r>
        <w:rPr>
          <w:spacing w:val="-3"/>
        </w:rPr>
        <w:t>日下午在公司会议室召开第四届监事会第一次会议，审议通过了《关于提名范水波</w:t>
      </w:r>
      <w:r>
        <w:rPr/>
        <w:t> </w:t>
      </w:r>
      <w:r>
        <w:rPr>
          <w:spacing w:val="-6"/>
        </w:rPr>
        <w:t>先生担任第四届监事会监事召集人的议案》。</w:t>
      </w:r>
    </w:p>
    <w:p>
      <w:pPr>
        <w:pStyle w:val="Heading3"/>
        <w:spacing w:line="240" w:lineRule="auto" w:before="34"/>
        <w:ind w:left="500" w:right="0"/>
        <w:jc w:val="left"/>
      </w:pPr>
      <w:r>
        <w:rPr>
          <w:rFonts w:ascii="宋体" w:hAnsi="宋体" w:cs="宋体" w:eastAsia="宋体" w:hint="default"/>
        </w:rPr>
        <w:t>4</w:t>
      </w:r>
      <w:r>
        <w:rPr/>
        <w:t>、</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12</w:t>
      </w:r>
      <w:r>
        <w:rPr/>
        <w:t>日通讯表决方式召开第四届监事会第二次会议，审议通过了《紫鑫药业</w:t>
      </w:r>
      <w:r>
        <w:rPr>
          <w:rFonts w:ascii="宋体" w:hAnsi="宋体" w:cs="宋体" w:eastAsia="宋体" w:hint="default"/>
        </w:rPr>
        <w:t>2010</w:t>
      </w:r>
      <w:r>
        <w:rPr/>
        <w:t>年第</w:t>
      </w:r>
    </w:p>
    <w:p>
      <w:pPr>
        <w:spacing w:after="0" w:line="240" w:lineRule="auto"/>
        <w:jc w:val="left"/>
        <w:sectPr>
          <w:pgSz w:w="11910" w:h="16840"/>
          <w:pgMar w:header="720" w:footer="956" w:top="1300" w:bottom="1140" w:left="580" w:right="0"/>
        </w:sectPr>
      </w:pPr>
    </w:p>
    <w:p>
      <w:pPr>
        <w:pStyle w:val="Heading3"/>
        <w:spacing w:line="355" w:lineRule="auto" w:before="13"/>
        <w:ind w:left="500" w:right="726" w:hanging="360"/>
        <w:jc w:val="left"/>
      </w:pPr>
      <w:r>
        <w:rPr/>
        <w:pict>
          <v:group style="position:absolute;margin-left:34.560001pt;margin-top:2.305654pt;width:508.3pt;height:.1pt;mso-position-horizontal-relative:page;mso-position-vertical-relative:paragraph;z-index:-534112" coordorigin="691,46" coordsize="10166,2">
            <v:shape style="position:absolute;left:691;top:46;width:10166;height:2" coordorigin="691,46" coordsize="10166,0" path="m691,46l10857,46e" filled="false" stroked="true" strokeweight=".72pt" strokecolor="#000000">
              <v:path arrowok="t"/>
            </v:shape>
            <w10:wrap type="none"/>
          </v:group>
        </w:pict>
      </w:r>
      <w:r>
        <w:rPr/>
        <w:t>一季度报告全文》及正文。 </w:t>
      </w:r>
      <w:r>
        <w:rPr>
          <w:rFonts w:ascii="宋体" w:hAnsi="宋体" w:cs="宋体" w:eastAsia="宋体" w:hint="default"/>
        </w:rPr>
        <w:t>5</w:t>
      </w:r>
      <w:r>
        <w:rPr/>
        <w:t>、</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21</w:t>
      </w:r>
      <w:r>
        <w:rPr/>
        <w:t>日通讯表决方式召开第四届监事会第三次会议，审议通过了《二○一○年半年度</w:t>
      </w:r>
    </w:p>
    <w:p>
      <w:pPr>
        <w:pStyle w:val="Heading3"/>
        <w:spacing w:line="355" w:lineRule="auto" w:before="38"/>
        <w:ind w:left="500" w:right="700" w:hanging="360"/>
        <w:jc w:val="left"/>
      </w:pPr>
      <w:r>
        <w:rPr/>
        <w:t>报告》正文及摘要。 </w:t>
      </w:r>
      <w:r>
        <w:rPr>
          <w:rFonts w:ascii="宋体" w:hAnsi="宋体" w:cs="宋体" w:eastAsia="宋体" w:hint="default"/>
          <w:spacing w:val="-2"/>
        </w:rPr>
        <w:t>6</w:t>
      </w:r>
      <w:r>
        <w:rPr>
          <w:spacing w:val="-2"/>
        </w:rPr>
        <w:t>、</w:t>
      </w:r>
      <w:r>
        <w:rPr>
          <w:rFonts w:ascii="宋体" w:hAnsi="宋体" w:cs="宋体" w:eastAsia="宋体" w:hint="default"/>
          <w:spacing w:val="-2"/>
        </w:rPr>
        <w:t>2010</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20</w:t>
      </w:r>
      <w:r>
        <w:rPr>
          <w:spacing w:val="-2"/>
        </w:rPr>
        <w:t>日通讯表决方式召开第四届监事会第三次会议，审议通过了《二○一○年第三季</w:t>
      </w:r>
    </w:p>
    <w:p>
      <w:pPr>
        <w:spacing w:line="355" w:lineRule="auto" w:before="38"/>
        <w:ind w:left="742" w:right="5984" w:hanging="603"/>
        <w:jc w:val="left"/>
        <w:rPr>
          <w:rFonts w:ascii="宋体" w:hAnsi="宋体" w:cs="宋体" w:eastAsia="宋体" w:hint="default"/>
          <w:sz w:val="24"/>
          <w:szCs w:val="24"/>
        </w:rPr>
      </w:pPr>
      <w:r>
        <w:rPr>
          <w:rFonts w:ascii="宋体" w:hAnsi="宋体" w:cs="宋体" w:eastAsia="宋体" w:hint="default"/>
          <w:sz w:val="24"/>
          <w:szCs w:val="24"/>
        </w:rPr>
        <w:t>度报告》正文及全文。 </w:t>
      </w:r>
      <w:r>
        <w:rPr>
          <w:rFonts w:ascii="宋体" w:hAnsi="宋体" w:cs="宋体" w:eastAsia="宋体" w:hint="default"/>
          <w:b/>
          <w:bCs/>
          <w:sz w:val="24"/>
          <w:szCs w:val="24"/>
        </w:rPr>
        <w:t>三、监事会对</w:t>
      </w:r>
      <w:r>
        <w:rPr>
          <w:rFonts w:ascii="宋体" w:hAnsi="宋体" w:cs="宋体" w:eastAsia="宋体" w:hint="default"/>
          <w:b/>
          <w:bCs/>
          <w:sz w:val="24"/>
          <w:szCs w:val="24"/>
        </w:rPr>
        <w:t>2010</w:t>
      </w:r>
      <w:r>
        <w:rPr>
          <w:rFonts w:ascii="宋体" w:hAnsi="宋体" w:cs="宋体" w:eastAsia="宋体" w:hint="default"/>
          <w:b/>
          <w:bCs/>
          <w:sz w:val="24"/>
          <w:szCs w:val="24"/>
        </w:rPr>
        <w:t>年度有关事项的监督意见</w:t>
      </w:r>
      <w:r>
        <w:rPr>
          <w:rFonts w:ascii="宋体" w:hAnsi="宋体" w:cs="宋体" w:eastAsia="宋体" w:hint="default"/>
          <w:sz w:val="24"/>
          <w:szCs w:val="24"/>
        </w:rPr>
      </w:r>
    </w:p>
    <w:p>
      <w:pPr>
        <w:pStyle w:val="Heading3"/>
        <w:spacing w:line="355" w:lineRule="auto" w:before="38"/>
        <w:ind w:right="726" w:firstLine="360"/>
        <w:jc w:val="left"/>
      </w:pPr>
      <w:r>
        <w:rPr/>
        <w:t>监事会全体成员列席或出席了</w:t>
      </w:r>
      <w:r>
        <w:rPr>
          <w:rFonts w:ascii="宋体" w:hAnsi="宋体" w:cs="宋体" w:eastAsia="宋体" w:hint="default"/>
        </w:rPr>
        <w:t>2010</w:t>
      </w:r>
      <w:r>
        <w:rPr/>
        <w:t>年第一、二次临时股东大会，参与了公司重大决策的讨论。公 司监事会对</w:t>
      </w:r>
      <w:r>
        <w:rPr>
          <w:rFonts w:ascii="宋体" w:hAnsi="宋体" w:cs="宋体" w:eastAsia="宋体" w:hint="default"/>
        </w:rPr>
        <w:t>2010</w:t>
      </w:r>
      <w:r>
        <w:rPr/>
        <w:t>年有关事项发表以下独立意见：</w:t>
      </w:r>
    </w:p>
    <w:p>
      <w:pPr>
        <w:pStyle w:val="Heading3"/>
        <w:spacing w:line="357" w:lineRule="auto" w:before="39"/>
        <w:ind w:right="591" w:firstLine="360"/>
        <w:jc w:val="left"/>
      </w:pPr>
      <w:r>
        <w:rPr>
          <w:rFonts w:ascii="宋体" w:hAnsi="宋体" w:cs="宋体" w:eastAsia="宋体" w:hint="default"/>
          <w:spacing w:val="-8"/>
        </w:rPr>
        <w:t>1</w:t>
      </w:r>
      <w:r>
        <w:rPr>
          <w:spacing w:val="-8"/>
        </w:rPr>
        <w:t>、公司决策程序严格遵守了《公司法》、《证劵法》等法律、法规以及公司《章程》等作出的相关</w:t>
      </w:r>
      <w:r>
        <w:rPr/>
        <w:t> </w:t>
      </w:r>
      <w:r>
        <w:rPr>
          <w:spacing w:val="-5"/>
        </w:rPr>
        <w:t>规定，建立了完善的内部控制制度，公司董事、高级管理人员在执行公司职务过程中不存在违反法律、</w:t>
      </w:r>
      <w:r>
        <w:rPr>
          <w:spacing w:val="-111"/>
        </w:rPr>
        <w:t> </w:t>
      </w:r>
      <w:r>
        <w:rPr>
          <w:spacing w:val="-111"/>
        </w:rPr>
      </w:r>
      <w:r>
        <w:rPr/>
        <w:t>法规，公司《章程》或损害公司利益的行为。</w:t>
      </w:r>
    </w:p>
    <w:p>
      <w:pPr>
        <w:pStyle w:val="Heading3"/>
        <w:spacing w:line="355" w:lineRule="auto" w:before="36"/>
        <w:ind w:right="0" w:firstLine="360"/>
        <w:jc w:val="left"/>
      </w:pPr>
      <w:r>
        <w:rPr>
          <w:rFonts w:ascii="宋体" w:hAnsi="宋体" w:cs="宋体" w:eastAsia="宋体" w:hint="default"/>
          <w:spacing w:val="-3"/>
        </w:rPr>
        <w:t>2</w:t>
      </w:r>
      <w:r>
        <w:rPr>
          <w:spacing w:val="-3"/>
        </w:rPr>
        <w:t>、中准会计师事务所有限公司出具的审计意见与所涉及事项是真实的，公司的财务报告真实、准</w:t>
      </w:r>
      <w:r>
        <w:rPr/>
        <w:t> 确、完整地反映了公司的财务状况和经营成果。</w:t>
      </w:r>
    </w:p>
    <w:p>
      <w:pPr>
        <w:pStyle w:val="Heading3"/>
        <w:spacing w:line="355" w:lineRule="auto" w:before="38"/>
        <w:ind w:left="380" w:right="846" w:firstLine="120"/>
        <w:jc w:val="left"/>
      </w:pPr>
      <w:r>
        <w:rPr>
          <w:rFonts w:ascii="宋体" w:hAnsi="宋体" w:cs="宋体" w:eastAsia="宋体" w:hint="default"/>
        </w:rPr>
        <w:t>3</w:t>
      </w:r>
      <w:r>
        <w:rPr/>
        <w:t>、监事会对董事会</w:t>
      </w:r>
      <w:r>
        <w:rPr>
          <w:rFonts w:ascii="宋体" w:hAnsi="宋体" w:cs="宋体" w:eastAsia="宋体" w:hint="default"/>
        </w:rPr>
        <w:t>2009</w:t>
      </w:r>
      <w:r>
        <w:rPr/>
        <w:t>年度内控与自我评价报告发表了独立意见： 公司内部控制制度已基本建立健全，现有的内部控制制度符合我国有关法规和证券监管部门的要</w:t>
      </w:r>
    </w:p>
    <w:p>
      <w:pPr>
        <w:pStyle w:val="Heading3"/>
        <w:spacing w:line="357" w:lineRule="auto" w:before="38"/>
        <w:ind w:right="719"/>
        <w:jc w:val="both"/>
      </w:pPr>
      <w:r>
        <w:rPr>
          <w:spacing w:val="-3"/>
        </w:rPr>
        <w:t>求，能够适应公司管理的要求，符合当前公司生产经营实际情况需要和公司发展的需要，在企业管理</w:t>
      </w:r>
      <w:r>
        <w:rPr>
          <w:spacing w:val="-84"/>
        </w:rPr>
        <w:t> </w:t>
      </w:r>
      <w:r>
        <w:rPr>
          <w:spacing w:val="-84"/>
        </w:rPr>
      </w:r>
      <w:r>
        <w:rPr>
          <w:spacing w:val="-3"/>
        </w:rPr>
        <w:t>各个过程、各个关键环节、重大投资、重大风险等方面发挥了较好的控制与防范作用。能够对编制真</w:t>
      </w:r>
      <w:r>
        <w:rPr>
          <w:spacing w:val="-84"/>
        </w:rPr>
        <w:t> </w:t>
      </w:r>
      <w:r>
        <w:rPr>
          <w:spacing w:val="-84"/>
        </w:rPr>
      </w:r>
      <w:r>
        <w:rPr>
          <w:spacing w:val="-3"/>
        </w:rPr>
        <w:t>实、公允的财务报表提供合理的保证，能够对公司各项业务活动的健康运行及国家有关法律法规和单</w:t>
      </w:r>
      <w:r>
        <w:rPr>
          <w:spacing w:val="-84"/>
        </w:rPr>
        <w:t> </w:t>
      </w:r>
      <w:r>
        <w:rPr>
          <w:spacing w:val="-84"/>
        </w:rPr>
      </w:r>
      <w:r>
        <w:rPr/>
        <w:t>位内部规章制度的贯彻执行提供保证。</w:t>
      </w:r>
    </w:p>
    <w:p>
      <w:pPr>
        <w:pStyle w:val="Heading3"/>
        <w:spacing w:line="355" w:lineRule="auto" w:before="36"/>
        <w:ind w:right="0" w:firstLine="360"/>
        <w:jc w:val="left"/>
      </w:pPr>
      <w:r>
        <w:rPr>
          <w:rFonts w:ascii="宋体" w:hAnsi="宋体" w:cs="宋体" w:eastAsia="宋体" w:hint="default"/>
          <w:spacing w:val="-3"/>
        </w:rPr>
        <w:t>4</w:t>
      </w:r>
      <w:r>
        <w:rPr>
          <w:spacing w:val="-3"/>
        </w:rPr>
        <w:t>、对</w:t>
      </w:r>
      <w:r>
        <w:rPr>
          <w:rFonts w:ascii="宋体" w:hAnsi="宋体" w:cs="宋体" w:eastAsia="宋体" w:hint="default"/>
          <w:spacing w:val="-3"/>
        </w:rPr>
        <w:t>2010</w:t>
      </w:r>
      <w:r>
        <w:rPr>
          <w:spacing w:val="-3"/>
        </w:rPr>
        <w:t>年度公司财务状况、进行了认真细致的监督、检查和审核。财务运作规范，财务状况良</w:t>
      </w:r>
      <w:r>
        <w:rPr/>
        <w:t> 好。财务报告真实、客观和公正地反映了</w:t>
      </w:r>
      <w:r>
        <w:rPr>
          <w:rFonts w:ascii="宋体" w:hAnsi="宋体" w:cs="宋体" w:eastAsia="宋体" w:hint="default"/>
        </w:rPr>
        <w:t>2010</w:t>
      </w:r>
      <w:r>
        <w:rPr/>
        <w:t>年度的财务状况和经营成果。</w:t>
      </w:r>
    </w:p>
    <w:p>
      <w:pPr>
        <w:spacing w:line="355" w:lineRule="auto" w:before="38"/>
        <w:ind w:left="740" w:right="6367" w:hanging="241"/>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、报告期内，公司无重大关联交易事项。 </w:t>
      </w:r>
      <w:r>
        <w:rPr>
          <w:rFonts w:ascii="宋体" w:hAnsi="宋体" w:cs="宋体" w:eastAsia="宋体" w:hint="default"/>
          <w:b/>
          <w:bCs/>
          <w:sz w:val="24"/>
          <w:szCs w:val="24"/>
        </w:rPr>
        <w:t>四、监事会</w:t>
      </w:r>
      <w:r>
        <w:rPr>
          <w:rFonts w:ascii="宋体" w:hAnsi="宋体" w:cs="宋体" w:eastAsia="宋体" w:hint="default"/>
          <w:b/>
          <w:bCs/>
          <w:sz w:val="24"/>
          <w:szCs w:val="24"/>
        </w:rPr>
        <w:t>2011</w:t>
      </w:r>
      <w:r>
        <w:rPr>
          <w:rFonts w:ascii="宋体" w:hAnsi="宋体" w:cs="宋体" w:eastAsia="宋体" w:hint="default"/>
          <w:b/>
          <w:bCs/>
          <w:sz w:val="24"/>
          <w:szCs w:val="24"/>
        </w:rPr>
        <w:t>年工作计划</w:t>
      </w:r>
      <w:r>
        <w:rPr>
          <w:rFonts w:ascii="宋体" w:hAnsi="宋体" w:cs="宋体" w:eastAsia="宋体" w:hint="default"/>
          <w:sz w:val="24"/>
          <w:szCs w:val="24"/>
        </w:rPr>
      </w:r>
    </w:p>
    <w:p>
      <w:pPr>
        <w:pStyle w:val="Heading3"/>
        <w:spacing w:line="240" w:lineRule="auto" w:before="38"/>
        <w:ind w:left="500" w:right="0"/>
        <w:jc w:val="left"/>
      </w:pPr>
      <w:r>
        <w:rPr>
          <w:rFonts w:ascii="宋体" w:hAnsi="宋体" w:cs="宋体" w:eastAsia="宋体" w:hint="default"/>
        </w:rPr>
        <w:t>1</w:t>
      </w:r>
      <w:r>
        <w:rPr/>
        <w:t>、按照国家有关制定的相关政策，提高本公司监事会工作能力和效率，维护全体股东利益。</w:t>
      </w:r>
    </w:p>
    <w:p>
      <w:pPr>
        <w:pStyle w:val="Heading3"/>
        <w:spacing w:line="240" w:lineRule="auto" w:before="152"/>
        <w:ind w:left="500" w:right="0"/>
        <w:jc w:val="left"/>
      </w:pPr>
      <w:r>
        <w:rPr>
          <w:rFonts w:ascii="宋体" w:hAnsi="宋体" w:cs="宋体" w:eastAsia="宋体" w:hint="default"/>
        </w:rPr>
        <w:t>2</w:t>
      </w:r>
      <w:r>
        <w:rPr/>
        <w:t>、强化监事会监督和履行勤勉尽职义务的意识。</w:t>
      </w:r>
    </w:p>
    <w:p>
      <w:pPr>
        <w:pStyle w:val="Heading3"/>
        <w:spacing w:line="355" w:lineRule="auto"/>
        <w:ind w:right="0" w:firstLine="360"/>
        <w:jc w:val="left"/>
      </w:pPr>
      <w:r>
        <w:rPr>
          <w:rFonts w:ascii="宋体" w:hAnsi="宋体" w:cs="宋体" w:eastAsia="宋体" w:hint="default"/>
          <w:spacing w:val="-6"/>
        </w:rPr>
        <w:t>3</w:t>
      </w:r>
      <w:r>
        <w:rPr>
          <w:spacing w:val="-6"/>
        </w:rPr>
        <w:t>、将继续严格按照《公司法》、《公司章程》和国家有关法规政策的规定，忠实履行自己的职责，</w:t>
      </w:r>
      <w:r>
        <w:rPr/>
        <w:t> 进一步促进公司的规范运作。</w:t>
      </w:r>
    </w:p>
    <w:p>
      <w:pPr>
        <w:spacing w:after="0" w:line="355" w:lineRule="auto"/>
        <w:jc w:val="left"/>
        <w:sectPr>
          <w:pgSz w:w="11910" w:h="16840"/>
          <w:pgMar w:header="720" w:footer="956" w:top="1300" w:bottom="1140" w:left="580" w:right="0"/>
        </w:sectPr>
      </w:pPr>
    </w:p>
    <w:p>
      <w:pPr>
        <w:spacing w:line="240" w:lineRule="auto" w:before="13"/>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Heading1"/>
        <w:tabs>
          <w:tab w:pos="1286" w:val="left" w:leader="none"/>
        </w:tabs>
        <w:spacing w:line="240" w:lineRule="auto"/>
        <w:ind w:right="578"/>
        <w:jc w:val="center"/>
        <w:rPr>
          <w:b w:val="0"/>
          <w:bCs w:val="0"/>
        </w:rPr>
      </w:pPr>
      <w:bookmarkStart w:name="_TOC_250002" w:id="9"/>
      <w:r>
        <w:rPr>
          <w:w w:val="95"/>
        </w:rPr>
        <w:t>第九节</w:t>
        <w:tab/>
      </w:r>
      <w:r>
        <w:rPr/>
        <w:t>重要事项</w:t>
      </w:r>
      <w:bookmarkEnd w:id="9"/>
      <w:r>
        <w:rPr>
          <w:b w:val="0"/>
          <w:bCs w:val="0"/>
        </w:rPr>
      </w:r>
    </w:p>
    <w:p>
      <w:pPr>
        <w:spacing w:line="240" w:lineRule="auto" w:before="12"/>
        <w:rPr>
          <w:rFonts w:ascii="黑体" w:hAnsi="黑体" w:cs="黑体" w:eastAsia="黑体" w:hint="default"/>
          <w:b/>
          <w:bCs/>
          <w:sz w:val="41"/>
          <w:szCs w:val="41"/>
        </w:rPr>
      </w:pPr>
    </w:p>
    <w:p>
      <w:pPr>
        <w:pStyle w:val="Heading3"/>
        <w:spacing w:line="355" w:lineRule="auto" w:before="0"/>
        <w:ind w:left="560" w:right="5946"/>
        <w:jc w:val="left"/>
      </w:pPr>
      <w:r>
        <w:rPr/>
        <w:t>一、报告期内公司无重大诉讼、仲裁事项。 二、报告期内公司不存在破产重整相关事项。</w:t>
      </w:r>
    </w:p>
    <w:p>
      <w:pPr>
        <w:pStyle w:val="Heading3"/>
        <w:spacing w:line="355" w:lineRule="auto" w:before="38"/>
        <w:ind w:right="708" w:firstLine="420"/>
        <w:jc w:val="left"/>
      </w:pPr>
      <w:r>
        <w:rPr>
          <w:spacing w:val="-1"/>
        </w:rPr>
        <w:t>三、报告期内公司存在持有其他上市公司股权、参股商业银行、证券公司、保险公司、信托公司</w:t>
      </w:r>
      <w:r>
        <w:rPr/>
        <w:t> 和期货公司等金融企业的情况。</w:t>
      </w:r>
    </w:p>
    <w:p>
      <w:pPr>
        <w:pStyle w:val="Heading3"/>
        <w:spacing w:line="357" w:lineRule="auto" w:before="38"/>
        <w:ind w:right="706" w:firstLine="420"/>
        <w:jc w:val="left"/>
      </w:pPr>
      <w:r>
        <w:rPr/>
        <w:t>根据本公司</w:t>
      </w:r>
      <w:r>
        <w:rPr>
          <w:rFonts w:ascii="宋体" w:hAnsi="宋体" w:cs="宋体" w:eastAsia="宋体" w:hint="default"/>
        </w:rPr>
        <w:t>2008</w:t>
      </w:r>
      <w:r>
        <w:rPr/>
        <w:t>年</w:t>
      </w:r>
      <w:r>
        <w:rPr>
          <w:rFonts w:ascii="宋体" w:hAnsi="宋体" w:cs="宋体" w:eastAsia="宋体" w:hint="default"/>
        </w:rPr>
        <w:t>8</w:t>
      </w:r>
      <w:r>
        <w:rPr/>
        <w:t>月</w:t>
      </w:r>
      <w:r>
        <w:rPr>
          <w:rFonts w:ascii="宋体" w:hAnsi="宋体" w:cs="宋体" w:eastAsia="宋体" w:hint="default"/>
        </w:rPr>
        <w:t>21</w:t>
      </w:r>
      <w:r>
        <w:rPr/>
        <w:t>日第三届董事会第十二次会议决议，审议通过了关于向长春农村商业银 行股份有限公司进行股权投资的议案，公司拟以自有资金投资</w:t>
      </w:r>
      <w:r>
        <w:rPr>
          <w:rFonts w:ascii="宋体" w:hAnsi="宋体" w:cs="宋体" w:eastAsia="宋体" w:hint="default"/>
        </w:rPr>
        <w:t>2,000</w:t>
      </w:r>
      <w:r>
        <w:rPr/>
        <w:t>万元，占注册资本</w:t>
      </w:r>
      <w:r>
        <w:rPr>
          <w:rFonts w:ascii="宋体" w:hAnsi="宋体" w:cs="宋体" w:eastAsia="宋体" w:hint="default"/>
        </w:rPr>
        <w:t>30,000</w:t>
      </w:r>
      <w:r>
        <w:rPr/>
        <w:t>万元的 </w:t>
      </w:r>
      <w:r>
        <w:rPr>
          <w:rFonts w:ascii="宋体" w:hAnsi="宋体" w:cs="宋体" w:eastAsia="宋体" w:hint="default"/>
          <w:spacing w:val="-2"/>
        </w:rPr>
        <w:t>6.67%</w:t>
      </w:r>
      <w:r>
        <w:rPr>
          <w:spacing w:val="-2"/>
        </w:rPr>
        <w:t>；</w:t>
      </w:r>
      <w:r>
        <w:rPr>
          <w:rFonts w:ascii="宋体" w:hAnsi="宋体" w:cs="宋体" w:eastAsia="宋体" w:hint="default"/>
          <w:spacing w:val="-2"/>
        </w:rPr>
        <w:t>2009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23</w:t>
      </w:r>
      <w:r>
        <w:rPr>
          <w:spacing w:val="-2"/>
        </w:rPr>
        <w:t>日第三届董事会第十五次会议决议，审议通过了关于向长春农村商业银行追加投</w:t>
      </w:r>
      <w:r>
        <w:rPr>
          <w:spacing w:val="-117"/>
        </w:rPr>
        <w:t> </w:t>
      </w:r>
      <w:r>
        <w:rPr>
          <w:spacing w:val="-117"/>
        </w:rPr>
      </w:r>
      <w:r>
        <w:rPr/>
        <w:t>资</w:t>
      </w:r>
      <w:r>
        <w:rPr>
          <w:rFonts w:ascii="宋体" w:hAnsi="宋体" w:cs="宋体" w:eastAsia="宋体" w:hint="default"/>
        </w:rPr>
        <w:t>800</w:t>
      </w:r>
      <w:r>
        <w:rPr/>
        <w:t>万元，追加后累计投资额为</w:t>
      </w:r>
      <w:r>
        <w:rPr>
          <w:rFonts w:ascii="宋体" w:hAnsi="宋体" w:cs="宋体" w:eastAsia="宋体" w:hint="default"/>
        </w:rPr>
        <w:t>2800</w:t>
      </w:r>
      <w:r>
        <w:rPr/>
        <w:t>万元，占被投资单位股份比例为</w:t>
      </w:r>
      <w:r>
        <w:rPr>
          <w:rFonts w:ascii="宋体" w:hAnsi="宋体" w:cs="宋体" w:eastAsia="宋体" w:hint="default"/>
        </w:rPr>
        <w:t>9.33%</w:t>
      </w:r>
      <w:r>
        <w:rPr/>
        <w:t>，款项已于</w:t>
      </w:r>
      <w:r>
        <w:rPr>
          <w:rFonts w:ascii="宋体" w:hAnsi="宋体" w:cs="宋体" w:eastAsia="宋体" w:hint="default"/>
        </w:rPr>
        <w:t>2009</w:t>
      </w:r>
      <w:r>
        <w:rPr/>
        <w:t>年</w:t>
      </w:r>
      <w:r>
        <w:rPr>
          <w:rFonts w:ascii="宋体" w:hAnsi="宋体" w:cs="宋体" w:eastAsia="宋体" w:hint="default"/>
        </w:rPr>
        <w:t>2</w:t>
      </w:r>
      <w:r>
        <w:rPr/>
        <w:t>月</w:t>
      </w:r>
      <w:r>
        <w:rPr>
          <w:rFonts w:ascii="宋体" w:hAnsi="宋体" w:cs="宋体" w:eastAsia="宋体" w:hint="default"/>
        </w:rPr>
        <w:t>23 </w:t>
      </w:r>
      <w:r>
        <w:rPr>
          <w:spacing w:val="-3"/>
        </w:rPr>
        <w:t>日支付给被投资单位。同时根据吉林昊灵会计师事务所有限公司对长春农村商业银行股份有限公司依</w:t>
      </w:r>
      <w:r>
        <w:rPr>
          <w:spacing w:val="-81"/>
        </w:rPr>
        <w:t> </w:t>
      </w:r>
      <w:r>
        <w:rPr>
          <w:spacing w:val="-81"/>
        </w:rPr>
      </w:r>
      <w:r>
        <w:rPr/>
        <w:t>法成立而出具的吉昊灵验字</w:t>
      </w:r>
      <w:r>
        <w:rPr>
          <w:rFonts w:ascii="宋体" w:hAnsi="宋体" w:cs="宋体" w:eastAsia="宋体" w:hint="default"/>
        </w:rPr>
        <w:t>[2009]006</w:t>
      </w:r>
      <w:r>
        <w:rPr/>
        <w:t>号验资报告，本公司出资</w:t>
      </w:r>
      <w:r>
        <w:rPr>
          <w:rFonts w:ascii="宋体" w:hAnsi="宋体" w:cs="宋体" w:eastAsia="宋体" w:hint="default"/>
        </w:rPr>
        <w:t>2,800</w:t>
      </w:r>
      <w:r>
        <w:rPr/>
        <w:t>万元，占其股本的</w:t>
      </w:r>
      <w:r>
        <w:rPr>
          <w:rFonts w:ascii="宋体" w:hAnsi="宋体" w:cs="宋体" w:eastAsia="宋体" w:hint="default"/>
        </w:rPr>
        <w:t>9.33%</w:t>
      </w:r>
      <w:r>
        <w:rPr/>
        <w:t>。根据 长春农村商业银行股份有限公司</w:t>
      </w:r>
      <w:r>
        <w:rPr>
          <w:rFonts w:ascii="宋体" w:hAnsi="宋体" w:cs="宋体" w:eastAsia="宋体" w:hint="default"/>
        </w:rPr>
        <w:t>2010</w:t>
      </w:r>
      <w:r>
        <w:rPr/>
        <w:t>年度临时股东大会第二次会议决议规定，在原注册资本</w:t>
      </w:r>
      <w:r>
        <w:rPr>
          <w:rFonts w:ascii="宋体" w:hAnsi="宋体" w:cs="宋体" w:eastAsia="宋体" w:hint="default"/>
        </w:rPr>
        <w:t>30,000 </w:t>
      </w:r>
      <w:r>
        <w:rPr/>
        <w:t>万元的基础上增资</w:t>
      </w:r>
      <w:r>
        <w:rPr>
          <w:rFonts w:ascii="宋体" w:hAnsi="宋体" w:cs="宋体" w:eastAsia="宋体" w:hint="default"/>
        </w:rPr>
        <w:t>23,760</w:t>
      </w:r>
      <w:r>
        <w:rPr/>
        <w:t>万元，此次增资事宜业经中准会计师事务所有限公司于</w:t>
      </w:r>
      <w:r>
        <w:rPr>
          <w:rFonts w:ascii="宋体" w:hAnsi="宋体" w:cs="宋体" w:eastAsia="宋体" w:hint="default"/>
        </w:rPr>
        <w:t>2010</w:t>
      </w:r>
      <w:r>
        <w:rPr/>
        <w:t>年</w:t>
      </w:r>
      <w:r>
        <w:rPr>
          <w:rFonts w:ascii="宋体" w:hAnsi="宋体" w:cs="宋体" w:eastAsia="宋体" w:hint="default"/>
        </w:rPr>
        <w:t>11</w:t>
      </w:r>
      <w:r>
        <w:rPr/>
        <w:t>月</w:t>
      </w:r>
      <w:r>
        <w:rPr>
          <w:rFonts w:ascii="宋体" w:hAnsi="宋体" w:cs="宋体" w:eastAsia="宋体" w:hint="default"/>
        </w:rPr>
        <w:t>2</w:t>
      </w:r>
      <w:r>
        <w:rPr/>
        <w:t>日出具 的中准验字</w:t>
      </w:r>
      <w:r>
        <w:rPr>
          <w:rFonts w:ascii="宋体" w:hAnsi="宋体" w:cs="宋体" w:eastAsia="宋体" w:hint="default"/>
        </w:rPr>
        <w:t>[2010]2048</w:t>
      </w:r>
      <w:r>
        <w:rPr/>
        <w:t>号验资报告予以验证，变更后的注册资本为</w:t>
      </w:r>
      <w:r>
        <w:rPr>
          <w:rFonts w:ascii="宋体" w:hAnsi="宋体" w:cs="宋体" w:eastAsia="宋体" w:hint="default"/>
        </w:rPr>
        <w:t>53,760</w:t>
      </w:r>
      <w:r>
        <w:rPr/>
        <w:t>万元，本公司出资</w:t>
      </w:r>
      <w:r>
        <w:rPr>
          <w:rFonts w:ascii="宋体" w:hAnsi="宋体" w:cs="宋体" w:eastAsia="宋体" w:hint="default"/>
        </w:rPr>
        <w:t>2,800</w:t>
      </w:r>
      <w:r>
        <w:rPr/>
        <w:t>万 元，占变更后股本总额的</w:t>
      </w:r>
      <w:r>
        <w:rPr>
          <w:rFonts w:ascii="宋体" w:hAnsi="宋体" w:cs="宋体" w:eastAsia="宋体" w:hint="default"/>
        </w:rPr>
        <w:t>5.2083%</w:t>
      </w:r>
      <w:r>
        <w:rPr/>
        <w:t>；</w:t>
      </w:r>
    </w:p>
    <w:p>
      <w:pPr>
        <w:pStyle w:val="Heading3"/>
        <w:spacing w:line="357" w:lineRule="auto" w:before="34"/>
        <w:ind w:right="712" w:firstLine="420"/>
        <w:jc w:val="left"/>
      </w:pPr>
      <w:r>
        <w:rPr>
          <w:spacing w:val="-1"/>
        </w:rPr>
        <w:t>截至</w:t>
      </w:r>
      <w:r>
        <w:rPr>
          <w:rFonts w:ascii="宋体" w:hAnsi="宋体" w:cs="宋体" w:eastAsia="宋体" w:hint="default"/>
          <w:spacing w:val="-1"/>
        </w:rPr>
        <w:t>2010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日止，本公司长期股权投资期末余额无账面价值高于可收回金额的情况，未计</w:t>
      </w:r>
      <w:r>
        <w:rPr/>
        <w:t> 提长期股权投资减值准备。</w:t>
      </w:r>
    </w:p>
    <w:p>
      <w:pPr>
        <w:pStyle w:val="Heading3"/>
        <w:spacing w:line="357" w:lineRule="auto" w:before="34"/>
        <w:ind w:left="560" w:right="4266"/>
        <w:jc w:val="left"/>
      </w:pPr>
      <w:r>
        <w:rPr/>
        <w:t>四、报告期内，公司未发生收购及出售资产或企业合并事项。 五、报告期内公司无股权激励计划事项。 六、报告期内无重大关联交易事项。 七、解聘、聘任会计师事务所情况及支付报酬情况</w:t>
      </w:r>
    </w:p>
    <w:p>
      <w:pPr>
        <w:pStyle w:val="Heading3"/>
        <w:spacing w:line="357" w:lineRule="auto" w:before="34"/>
        <w:ind w:right="713" w:firstLine="420"/>
        <w:jc w:val="left"/>
      </w:pPr>
      <w:r>
        <w:rPr>
          <w:spacing w:val="-1"/>
        </w:rPr>
        <w:t>经公司</w:t>
      </w:r>
      <w:r>
        <w:rPr>
          <w:rFonts w:ascii="宋体" w:hAnsi="宋体" w:cs="宋体" w:eastAsia="宋体" w:hint="default"/>
          <w:spacing w:val="-1"/>
        </w:rPr>
        <w:t>2010</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6</w:t>
      </w:r>
      <w:r>
        <w:rPr>
          <w:spacing w:val="-1"/>
        </w:rPr>
        <w:t>日召开的</w:t>
      </w:r>
      <w:r>
        <w:rPr>
          <w:rFonts w:ascii="宋体" w:hAnsi="宋体" w:cs="宋体" w:eastAsia="宋体" w:hint="default"/>
          <w:spacing w:val="-1"/>
        </w:rPr>
        <w:t>2009</w:t>
      </w:r>
      <w:r>
        <w:rPr>
          <w:spacing w:val="-1"/>
        </w:rPr>
        <w:t>年度股东大会审议批准，公司聘任中准会计师事务所有限公司为</w:t>
      </w:r>
      <w:r>
        <w:rPr/>
        <w:t> 公司</w:t>
      </w:r>
      <w:r>
        <w:rPr>
          <w:rFonts w:ascii="宋体" w:hAnsi="宋体" w:cs="宋体" w:eastAsia="宋体" w:hint="default"/>
        </w:rPr>
        <w:t>2010</w:t>
      </w:r>
      <w:r>
        <w:rPr/>
        <w:t>年度审计机构。本年度公司需支付的审计费用为</w:t>
      </w:r>
      <w:r>
        <w:rPr>
          <w:rFonts w:ascii="宋体" w:hAnsi="宋体" w:cs="宋体" w:eastAsia="宋体" w:hint="default"/>
        </w:rPr>
        <w:t>30</w:t>
      </w:r>
      <w:r>
        <w:rPr/>
        <w:t>万元，目前尚未支付。</w:t>
      </w:r>
    </w:p>
    <w:p>
      <w:pPr>
        <w:pStyle w:val="Heading3"/>
        <w:spacing w:line="357" w:lineRule="auto" w:before="34"/>
        <w:ind w:right="708" w:firstLine="420"/>
        <w:jc w:val="left"/>
      </w:pPr>
      <w:r>
        <w:rPr>
          <w:spacing w:val="-1"/>
        </w:rPr>
        <w:t>八、报告期内公司董事会及董事没有受中国证监会稽查、中国证监会行政处罚、通报批评、证券</w:t>
      </w:r>
      <w:r>
        <w:rPr/>
        <w:t> 交易所公开谴责的情况。</w:t>
      </w:r>
    </w:p>
    <w:p>
      <w:pPr>
        <w:pStyle w:val="Heading3"/>
        <w:spacing w:line="355" w:lineRule="auto" w:before="36"/>
        <w:ind w:left="740" w:right="6486" w:hanging="181"/>
        <w:jc w:val="left"/>
      </w:pPr>
      <w:r>
        <w:rPr/>
        <w:t>九、公司其他重要事项 报告期内公司相关信息披露情况如下：</w:t>
      </w:r>
    </w:p>
    <w:p>
      <w:pPr>
        <w:spacing w:after="0" w:line="355" w:lineRule="auto"/>
        <w:jc w:val="left"/>
        <w:sectPr>
          <w:pgSz w:w="11910" w:h="16840"/>
          <w:pgMar w:header="720" w:footer="956" w:top="1300" w:bottom="1140" w:left="580" w:right="0"/>
        </w:sectPr>
      </w:pPr>
    </w:p>
    <w:tbl>
      <w:tblPr>
        <w:tblW w:w="0" w:type="auto"/>
        <w:jc w:val="left"/>
        <w:tblInd w:w="107" w:type="dxa"/>
        <w:tblLayout w:type="fixed"/>
        <w:tblCellMar>
          <w:top w:w="0" w:type="dxa"/>
          <w:left w:w="0" w:type="dxa"/>
          <w:bottom w:w="0" w:type="dxa"/>
          <w:right w:w="0" w:type="dxa"/>
        </w:tblCellMar>
        <w:tblLook w:val="01E0"/>
      </w:tblPr>
      <w:tblGrid>
        <w:gridCol w:w="924"/>
        <w:gridCol w:w="1812"/>
        <w:gridCol w:w="6885"/>
        <w:gridCol w:w="1063"/>
      </w:tblGrid>
      <w:tr>
        <w:trPr>
          <w:trHeight w:val="658" w:hRule="exact"/>
        </w:trPr>
        <w:tc>
          <w:tcPr>
            <w:tcW w:w="92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81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688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106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3"/>
              <w:ind w:right="5"/>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569"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sz w:val="18"/>
              </w:rPr>
              <w:t>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39"/>
              <w:jc w:val="right"/>
              <w:rPr>
                <w:rFonts w:ascii="宋体" w:hAnsi="宋体" w:cs="宋体" w:eastAsia="宋体" w:hint="default"/>
                <w:sz w:val="18"/>
                <w:szCs w:val="18"/>
              </w:rPr>
            </w:pPr>
            <w:r>
              <w:rPr>
                <w:rFonts w:ascii="宋体"/>
                <w:spacing w:val="-1"/>
                <w:sz w:val="18"/>
              </w:rPr>
              <w:t>2010-2-3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年年度报告摘要</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sz w:val="18"/>
              </w:rPr>
              <w:t>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9"/>
              <w:jc w:val="right"/>
              <w:rPr>
                <w:rFonts w:ascii="宋体" w:hAnsi="宋体" w:cs="宋体" w:eastAsia="宋体" w:hint="default"/>
                <w:sz w:val="18"/>
                <w:szCs w:val="18"/>
              </w:rPr>
            </w:pPr>
            <w:r>
              <w:rPr>
                <w:rFonts w:ascii="宋体"/>
                <w:spacing w:val="-1"/>
                <w:sz w:val="18"/>
              </w:rPr>
              <w:t>2010-2-3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第三届董事会第二十一次会议决议公告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sz w:val="18"/>
              </w:rPr>
              <w:t>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9"/>
              <w:jc w:val="right"/>
              <w:rPr>
                <w:rFonts w:ascii="宋体" w:hAnsi="宋体" w:cs="宋体" w:eastAsia="宋体" w:hint="default"/>
                <w:sz w:val="18"/>
                <w:szCs w:val="18"/>
              </w:rPr>
            </w:pPr>
            <w:r>
              <w:rPr>
                <w:rFonts w:ascii="宋体"/>
                <w:spacing w:val="-1"/>
                <w:sz w:val="18"/>
              </w:rPr>
              <w:t>2010-2-3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关于监事辞职的公告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sz w:val="18"/>
              </w:rPr>
              <w:t>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9"/>
              <w:jc w:val="right"/>
              <w:rPr>
                <w:rFonts w:ascii="宋体" w:hAnsi="宋体" w:cs="宋体" w:eastAsia="宋体" w:hint="default"/>
                <w:sz w:val="18"/>
                <w:szCs w:val="18"/>
              </w:rPr>
            </w:pPr>
            <w:r>
              <w:rPr>
                <w:rFonts w:ascii="宋体"/>
                <w:spacing w:val="-1"/>
                <w:sz w:val="18"/>
              </w:rPr>
              <w:t>2010-2-3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
              <w:jc w:val="center"/>
              <w:rPr>
                <w:rFonts w:ascii="宋体" w:hAnsi="宋体" w:cs="宋体" w:eastAsia="宋体" w:hint="default"/>
                <w:sz w:val="18"/>
                <w:szCs w:val="18"/>
              </w:rPr>
            </w:pPr>
            <w:r>
              <w:rPr>
                <w:rFonts w:ascii="宋体" w:hAnsi="宋体" w:cs="宋体" w:eastAsia="宋体" w:hint="default"/>
                <w:sz w:val="18"/>
                <w:szCs w:val="18"/>
              </w:rPr>
              <w:t>第三届监事会第十三次会议决议公告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sz w:val="18"/>
              </w:rPr>
              <w:t>5</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39"/>
              <w:jc w:val="right"/>
              <w:rPr>
                <w:rFonts w:ascii="宋体" w:hAnsi="宋体" w:cs="宋体" w:eastAsia="宋体" w:hint="default"/>
                <w:sz w:val="18"/>
                <w:szCs w:val="18"/>
              </w:rPr>
            </w:pPr>
            <w:r>
              <w:rPr>
                <w:rFonts w:ascii="宋体"/>
                <w:spacing w:val="-1"/>
                <w:sz w:val="18"/>
              </w:rPr>
              <w:t>2010-2-3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年度股东大会的公告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7"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sz w:val="18"/>
              </w:rPr>
              <w:t>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92"/>
              <w:jc w:val="right"/>
              <w:rPr>
                <w:rFonts w:ascii="宋体" w:hAnsi="宋体" w:cs="宋体" w:eastAsia="宋体" w:hint="default"/>
                <w:sz w:val="18"/>
                <w:szCs w:val="18"/>
              </w:rPr>
            </w:pPr>
            <w:r>
              <w:rPr>
                <w:rFonts w:ascii="宋体"/>
                <w:sz w:val="18"/>
              </w:rPr>
              <w:t>2010-2-23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关于控股股东股权质押的公告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sz w:val="18"/>
              </w:rPr>
              <w:t>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92"/>
              <w:jc w:val="right"/>
              <w:rPr>
                <w:rFonts w:ascii="宋体" w:hAnsi="宋体" w:cs="宋体" w:eastAsia="宋体" w:hint="default"/>
                <w:sz w:val="18"/>
                <w:szCs w:val="18"/>
              </w:rPr>
            </w:pPr>
            <w:r>
              <w:rPr>
                <w:rFonts w:ascii="宋体"/>
                <w:sz w:val="18"/>
              </w:rPr>
              <w:t>2010-2-23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年年度报告网上说明会的公告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sz w:val="18"/>
              </w:rPr>
              <w:t>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9"/>
              <w:jc w:val="right"/>
              <w:rPr>
                <w:rFonts w:ascii="宋体" w:hAnsi="宋体" w:cs="宋体" w:eastAsia="宋体" w:hint="default"/>
                <w:sz w:val="18"/>
                <w:szCs w:val="18"/>
              </w:rPr>
            </w:pPr>
            <w:r>
              <w:rPr>
                <w:rFonts w:ascii="宋体"/>
                <w:spacing w:val="-1"/>
                <w:sz w:val="18"/>
              </w:rPr>
              <w:t>2010-3-1</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限售股份上市流通提示性公告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sz w:val="18"/>
              </w:rPr>
              <w:t>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39"/>
              <w:jc w:val="right"/>
              <w:rPr>
                <w:rFonts w:ascii="宋体" w:hAnsi="宋体" w:cs="宋体" w:eastAsia="宋体" w:hint="default"/>
                <w:sz w:val="18"/>
                <w:szCs w:val="18"/>
              </w:rPr>
            </w:pPr>
            <w:r>
              <w:rPr>
                <w:rFonts w:ascii="宋体"/>
                <w:spacing w:val="-1"/>
                <w:sz w:val="18"/>
              </w:rPr>
              <w:t>2010-3-6</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年年度股东大会决议公告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10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92"/>
              <w:jc w:val="right"/>
              <w:rPr>
                <w:rFonts w:ascii="宋体" w:hAnsi="宋体" w:cs="宋体" w:eastAsia="宋体" w:hint="default"/>
                <w:sz w:val="18"/>
                <w:szCs w:val="18"/>
              </w:rPr>
            </w:pPr>
            <w:r>
              <w:rPr>
                <w:rFonts w:ascii="宋体"/>
                <w:sz w:val="18"/>
              </w:rPr>
              <w:t>2010-3-12</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3"/>
                <w:sz w:val="18"/>
                <w:szCs w:val="18"/>
              </w:rPr>
              <w:t> </w:t>
            </w:r>
            <w:r>
              <w:rPr>
                <w:rFonts w:ascii="宋体" w:hAnsi="宋体" w:cs="宋体" w:eastAsia="宋体" w:hint="default"/>
                <w:sz w:val="18"/>
                <w:szCs w:val="18"/>
              </w:rPr>
              <w:t>年度权益分派实施公告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11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92"/>
              <w:jc w:val="right"/>
              <w:rPr>
                <w:rFonts w:ascii="宋体" w:hAnsi="宋体" w:cs="宋体" w:eastAsia="宋体" w:hint="default"/>
                <w:sz w:val="18"/>
                <w:szCs w:val="18"/>
              </w:rPr>
            </w:pPr>
            <w:r>
              <w:rPr>
                <w:rFonts w:ascii="宋体"/>
                <w:sz w:val="18"/>
              </w:rPr>
              <w:t>2010-3-24</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第三届董事会第二十二次会议决议公告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12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92"/>
              <w:jc w:val="right"/>
              <w:rPr>
                <w:rFonts w:ascii="宋体" w:hAnsi="宋体" w:cs="宋体" w:eastAsia="宋体" w:hint="default"/>
                <w:sz w:val="18"/>
                <w:szCs w:val="18"/>
              </w:rPr>
            </w:pPr>
            <w:r>
              <w:rPr>
                <w:rFonts w:ascii="宋体"/>
                <w:sz w:val="18"/>
              </w:rPr>
              <w:t>2010-3-24</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
              <w:jc w:val="center"/>
              <w:rPr>
                <w:rFonts w:ascii="宋体" w:hAnsi="宋体" w:cs="宋体" w:eastAsia="宋体" w:hint="default"/>
                <w:sz w:val="18"/>
                <w:szCs w:val="18"/>
              </w:rPr>
            </w:pPr>
            <w:r>
              <w:rPr>
                <w:rFonts w:ascii="宋体" w:hAnsi="宋体" w:cs="宋体" w:eastAsia="宋体" w:hint="default"/>
                <w:sz w:val="18"/>
                <w:szCs w:val="18"/>
              </w:rPr>
              <w:t>第三届监事会第十四次会议决议公告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sz w:val="18"/>
              </w:rPr>
              <w:t>13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92"/>
              <w:jc w:val="right"/>
              <w:rPr>
                <w:rFonts w:ascii="宋体" w:hAnsi="宋体" w:cs="宋体" w:eastAsia="宋体" w:hint="default"/>
                <w:sz w:val="18"/>
                <w:szCs w:val="18"/>
              </w:rPr>
            </w:pPr>
            <w:r>
              <w:rPr>
                <w:rFonts w:ascii="宋体"/>
                <w:sz w:val="18"/>
              </w:rPr>
              <w:t>2010-3-24</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年第一次临时股东大会的公告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14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9"/>
              <w:jc w:val="right"/>
              <w:rPr>
                <w:rFonts w:ascii="宋体" w:hAnsi="宋体" w:cs="宋体" w:eastAsia="宋体" w:hint="default"/>
                <w:sz w:val="18"/>
                <w:szCs w:val="18"/>
              </w:rPr>
            </w:pPr>
            <w:r>
              <w:rPr>
                <w:rFonts w:ascii="宋体"/>
                <w:spacing w:val="-1"/>
                <w:sz w:val="18"/>
              </w:rPr>
              <w:t>2010-4-2</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年第一季度业绩预增公告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15</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9"/>
              <w:jc w:val="right"/>
              <w:rPr>
                <w:rFonts w:ascii="宋体" w:hAnsi="宋体" w:cs="宋体" w:eastAsia="宋体" w:hint="default"/>
                <w:sz w:val="18"/>
                <w:szCs w:val="18"/>
              </w:rPr>
            </w:pPr>
            <w:r>
              <w:rPr>
                <w:rFonts w:ascii="宋体"/>
                <w:spacing w:val="-1"/>
                <w:sz w:val="18"/>
              </w:rPr>
              <w:t>2010-4-8</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16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9"/>
              <w:jc w:val="right"/>
              <w:rPr>
                <w:rFonts w:ascii="宋体" w:hAnsi="宋体" w:cs="宋体" w:eastAsia="宋体" w:hint="default"/>
                <w:sz w:val="18"/>
                <w:szCs w:val="18"/>
              </w:rPr>
            </w:pPr>
            <w:r>
              <w:rPr>
                <w:rFonts w:ascii="宋体"/>
                <w:spacing w:val="-1"/>
                <w:sz w:val="18"/>
              </w:rPr>
              <w:t>2010-4-9</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第四届董事会第一次会议决议公告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sz w:val="18"/>
              </w:rPr>
              <w:t>17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39"/>
              <w:jc w:val="right"/>
              <w:rPr>
                <w:rFonts w:ascii="宋体" w:hAnsi="宋体" w:cs="宋体" w:eastAsia="宋体" w:hint="default"/>
                <w:sz w:val="18"/>
                <w:szCs w:val="18"/>
              </w:rPr>
            </w:pPr>
            <w:r>
              <w:rPr>
                <w:rFonts w:ascii="宋体"/>
                <w:spacing w:val="-1"/>
                <w:sz w:val="18"/>
              </w:rPr>
              <w:t>2010-4-9</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第四届监事会第一次会议决议公告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18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92"/>
              <w:jc w:val="right"/>
              <w:rPr>
                <w:rFonts w:ascii="宋体" w:hAnsi="宋体" w:cs="宋体" w:eastAsia="宋体" w:hint="default"/>
                <w:sz w:val="18"/>
                <w:szCs w:val="18"/>
              </w:rPr>
            </w:pPr>
            <w:r>
              <w:rPr>
                <w:rFonts w:ascii="宋体"/>
                <w:sz w:val="18"/>
              </w:rPr>
              <w:t>2010-4-13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年第一季度季度报告正文</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7"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sz w:val="18"/>
              </w:rPr>
              <w:t>19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92"/>
              <w:jc w:val="right"/>
              <w:rPr>
                <w:rFonts w:ascii="宋体" w:hAnsi="宋体" w:cs="宋体" w:eastAsia="宋体" w:hint="default"/>
                <w:sz w:val="18"/>
                <w:szCs w:val="18"/>
              </w:rPr>
            </w:pPr>
            <w:r>
              <w:rPr>
                <w:rFonts w:ascii="宋体"/>
                <w:sz w:val="18"/>
              </w:rPr>
              <w:t>2010-4-17</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第四届董事会第三次会议决议公告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20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92"/>
              <w:jc w:val="right"/>
              <w:rPr>
                <w:rFonts w:ascii="宋体" w:hAnsi="宋体" w:cs="宋体" w:eastAsia="宋体" w:hint="default"/>
                <w:sz w:val="18"/>
                <w:szCs w:val="18"/>
              </w:rPr>
            </w:pPr>
            <w:r>
              <w:rPr>
                <w:rFonts w:ascii="宋体"/>
                <w:sz w:val="18"/>
              </w:rPr>
              <w:t>2010-4-21</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
              <w:jc w:val="center"/>
              <w:rPr>
                <w:rFonts w:ascii="宋体" w:hAnsi="宋体" w:cs="宋体" w:eastAsia="宋体" w:hint="default"/>
                <w:sz w:val="18"/>
                <w:szCs w:val="18"/>
              </w:rPr>
            </w:pPr>
            <w:r>
              <w:rPr>
                <w:rFonts w:ascii="宋体" w:hAnsi="宋体" w:cs="宋体" w:eastAsia="宋体" w:hint="default"/>
                <w:sz w:val="18"/>
                <w:szCs w:val="18"/>
              </w:rPr>
              <w:t>关于向青海玉树地震灾区捐赠的公告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sz w:val="18"/>
              </w:rPr>
              <w:t>21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92"/>
              <w:jc w:val="right"/>
              <w:rPr>
                <w:rFonts w:ascii="宋体" w:hAnsi="宋体" w:cs="宋体" w:eastAsia="宋体" w:hint="default"/>
                <w:sz w:val="18"/>
                <w:szCs w:val="18"/>
              </w:rPr>
            </w:pPr>
            <w:r>
              <w:rPr>
                <w:rFonts w:ascii="宋体"/>
                <w:sz w:val="18"/>
              </w:rPr>
              <w:t>2010-4-24</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关于控股股东继续锁定公司股份的公告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22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92"/>
              <w:jc w:val="right"/>
              <w:rPr>
                <w:rFonts w:ascii="宋体" w:hAnsi="宋体" w:cs="宋体" w:eastAsia="宋体" w:hint="default"/>
                <w:sz w:val="18"/>
                <w:szCs w:val="18"/>
              </w:rPr>
            </w:pPr>
            <w:r>
              <w:rPr>
                <w:rFonts w:ascii="宋体"/>
                <w:sz w:val="18"/>
              </w:rPr>
              <w:t>2010-5-11</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关于控股股东完成股份锁定的公告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23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9"/>
              <w:jc w:val="right"/>
              <w:rPr>
                <w:rFonts w:ascii="宋体" w:hAnsi="宋体" w:cs="宋体" w:eastAsia="宋体" w:hint="default"/>
                <w:sz w:val="18"/>
                <w:szCs w:val="18"/>
              </w:rPr>
            </w:pPr>
            <w:r>
              <w:rPr>
                <w:rFonts w:ascii="宋体"/>
                <w:spacing w:val="-1"/>
                <w:sz w:val="18"/>
              </w:rPr>
              <w:t>2010-6-3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z w:val="18"/>
                <w:szCs w:val="18"/>
              </w:rPr>
              <w:t>年年度报告业绩说明会的公告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24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492"/>
              <w:jc w:val="right"/>
              <w:rPr>
                <w:rFonts w:ascii="宋体" w:hAnsi="宋体" w:cs="宋体" w:eastAsia="宋体" w:hint="default"/>
                <w:sz w:val="18"/>
                <w:szCs w:val="18"/>
              </w:rPr>
            </w:pPr>
            <w:r>
              <w:rPr>
                <w:rFonts w:ascii="宋体"/>
                <w:sz w:val="18"/>
              </w:rPr>
              <w:t>2010-6-11</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第四届董事会第四次会议决议公告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bl>
    <w:p>
      <w:pPr>
        <w:spacing w:after="0" w:line="240" w:lineRule="auto"/>
        <w:jc w:val="center"/>
        <w:rPr>
          <w:rFonts w:ascii="宋体" w:hAnsi="宋体" w:cs="宋体" w:eastAsia="宋体" w:hint="default"/>
          <w:sz w:val="18"/>
          <w:szCs w:val="18"/>
        </w:rPr>
        <w:sectPr>
          <w:pgSz w:w="11910" w:h="16840"/>
          <w:pgMar w:header="720" w:footer="956" w:top="1340" w:bottom="1180" w:left="500" w:right="0"/>
        </w:sectPr>
      </w:pPr>
    </w:p>
    <w:tbl>
      <w:tblPr>
        <w:tblW w:w="0" w:type="auto"/>
        <w:jc w:val="left"/>
        <w:tblInd w:w="107" w:type="dxa"/>
        <w:tblLayout w:type="fixed"/>
        <w:tblCellMar>
          <w:top w:w="0" w:type="dxa"/>
          <w:left w:w="0" w:type="dxa"/>
          <w:bottom w:w="0" w:type="dxa"/>
          <w:right w:w="0" w:type="dxa"/>
        </w:tblCellMar>
        <w:tblLook w:val="01E0"/>
      </w:tblPr>
      <w:tblGrid>
        <w:gridCol w:w="924"/>
        <w:gridCol w:w="1812"/>
        <w:gridCol w:w="6885"/>
        <w:gridCol w:w="624"/>
        <w:gridCol w:w="439"/>
      </w:tblGrid>
      <w:tr>
        <w:trPr>
          <w:trHeight w:val="569" w:hRule="exact"/>
        </w:trPr>
        <w:tc>
          <w:tcPr>
            <w:tcW w:w="92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25</w:t>
            </w:r>
          </w:p>
        </w:tc>
        <w:tc>
          <w:tcPr>
            <w:tcW w:w="181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2010-6-29</w:t>
            </w:r>
          </w:p>
        </w:tc>
        <w:tc>
          <w:tcPr>
            <w:tcW w:w="688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筹划非公开发行股票停牌公告</w:t>
            </w:r>
          </w:p>
        </w:tc>
        <w:tc>
          <w:tcPr>
            <w:tcW w:w="624"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70"/>
              <w:ind w:right="2"/>
              <w:jc w:val="right"/>
              <w:rPr>
                <w:rFonts w:ascii="宋体" w:hAnsi="宋体" w:cs="宋体" w:eastAsia="宋体" w:hint="default"/>
                <w:sz w:val="18"/>
                <w:szCs w:val="18"/>
              </w:rPr>
            </w:pPr>
            <w:r>
              <w:rPr>
                <w:rFonts w:ascii="宋体" w:hAnsi="宋体" w:cs="宋体" w:eastAsia="宋体" w:hint="default"/>
                <w:sz w:val="18"/>
                <w:szCs w:val="18"/>
              </w:rPr>
              <w:t>注</w:t>
            </w:r>
          </w:p>
        </w:tc>
        <w:tc>
          <w:tcPr>
            <w:tcW w:w="439" w:type="dxa"/>
            <w:tcBorders>
              <w:top w:val="nil" w:sz="6" w:space="0" w:color="auto"/>
              <w:left w:val="nil" w:sz="6" w:space="0" w:color="auto"/>
              <w:bottom w:val="single" w:sz="4" w:space="0" w:color="000000"/>
              <w:right w:val="single" w:sz="4" w:space="0" w:color="000000"/>
            </w:tcBorders>
          </w:tcPr>
          <w:p>
            <w:pP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26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sz w:val="18"/>
              </w:rPr>
              <w:t>2010-7-1</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第四届董事会第五次会议决议公告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70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18"/>
                <w:szCs w:val="18"/>
              </w:rPr>
            </w:pPr>
            <w:r>
              <w:rPr>
                <w:rFonts w:ascii="宋体"/>
                <w:sz w:val="18"/>
              </w:rPr>
              <w:t>27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center"/>
              <w:rPr>
                <w:rFonts w:ascii="宋体" w:hAnsi="宋体" w:cs="宋体" w:eastAsia="宋体" w:hint="default"/>
                <w:sz w:val="18"/>
                <w:szCs w:val="18"/>
              </w:rPr>
            </w:pPr>
            <w:r>
              <w:rPr>
                <w:rFonts w:ascii="宋体"/>
                <w:sz w:val="18"/>
              </w:rPr>
              <w:t>2010-7-1</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关于召开二〇一〇年第二次临时股东大会的通知</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sz w:val="18"/>
              </w:rPr>
              <w:t>28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2010-7-13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关于董事辞职的公告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29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2010-7-13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第四届董事会第六次会议决议公告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30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2010-7-13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年第三次临时股东大会的通知</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838"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31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2010-7-19</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宋体" w:hAnsi="宋体" w:cs="宋体" w:eastAsia="宋体" w:hint="default"/>
                <w:sz w:val="18"/>
                <w:szCs w:val="18"/>
              </w:rPr>
              <w:t>2010</w:t>
            </w:r>
            <w:r>
              <w:rPr>
                <w:rFonts w:ascii="宋体" w:hAnsi="宋体" w:cs="宋体" w:eastAsia="宋体" w:hint="default"/>
                <w:spacing w:val="-45"/>
                <w:sz w:val="18"/>
                <w:szCs w:val="18"/>
              </w:rPr>
              <w:t> </w:t>
            </w:r>
            <w:r>
              <w:rPr>
                <w:rFonts w:ascii="宋体" w:hAnsi="宋体" w:cs="宋体" w:eastAsia="宋体" w:hint="default"/>
                <w:sz w:val="18"/>
                <w:szCs w:val="18"/>
              </w:rPr>
              <w:t>年第二次临时股东大会的提示性公告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sz w:val="18"/>
              </w:rPr>
              <w:t>32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2010-7-22</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年半年度报告摘要</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33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2010-7-22</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
              <w:jc w:val="center"/>
              <w:rPr>
                <w:rFonts w:ascii="宋体" w:hAnsi="宋体" w:cs="宋体" w:eastAsia="宋体" w:hint="default"/>
                <w:sz w:val="18"/>
                <w:szCs w:val="18"/>
              </w:rPr>
            </w:pPr>
            <w:r>
              <w:rPr>
                <w:rFonts w:ascii="宋体" w:hAnsi="宋体" w:cs="宋体" w:eastAsia="宋体" w:hint="default"/>
                <w:sz w:val="18"/>
                <w:szCs w:val="18"/>
              </w:rPr>
              <w:t>二○一○年第二次临时股东大会决议公告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34</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sz w:val="18"/>
              </w:rPr>
              <w:t>2010-8-3</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
              <w:jc w:val="center"/>
              <w:rPr>
                <w:rFonts w:ascii="宋体" w:hAnsi="宋体" w:cs="宋体" w:eastAsia="宋体" w:hint="default"/>
                <w:sz w:val="18"/>
                <w:szCs w:val="18"/>
              </w:rPr>
            </w:pPr>
            <w:r>
              <w:rPr>
                <w:rFonts w:ascii="宋体" w:hAnsi="宋体" w:cs="宋体" w:eastAsia="宋体" w:hint="default"/>
                <w:sz w:val="18"/>
                <w:szCs w:val="18"/>
              </w:rPr>
              <w:t>关于子公司遭受洪水灾害的公告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35</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sz w:val="18"/>
              </w:rPr>
              <w:t>2010-8-6</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
              <w:jc w:val="center"/>
              <w:rPr>
                <w:rFonts w:ascii="宋体" w:hAnsi="宋体" w:cs="宋体" w:eastAsia="宋体" w:hint="default"/>
                <w:sz w:val="18"/>
                <w:szCs w:val="18"/>
              </w:rPr>
            </w:pPr>
            <w:r>
              <w:rPr>
                <w:rFonts w:ascii="宋体" w:hAnsi="宋体" w:cs="宋体" w:eastAsia="宋体" w:hint="default"/>
                <w:sz w:val="18"/>
                <w:szCs w:val="18"/>
              </w:rPr>
              <w:t>二○一○年第三次临时股东大会决议公告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sz w:val="18"/>
              </w:rPr>
              <w:t>36</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2010-8-10</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关于股东股权质押的公告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7"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37</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2010-10-21</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年第三季度报告正文</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38</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sz w:val="18"/>
              </w:rPr>
              <w:t>2010-11-11</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关于签订人参产业战略合作协议的公告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823"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39</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2010-11-25</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2"/>
              <w:ind w:left="3166" w:right="106" w:hanging="3061"/>
              <w:jc w:val="left"/>
              <w:rPr>
                <w:rFonts w:ascii="宋体" w:hAnsi="宋体" w:cs="宋体" w:eastAsia="宋体" w:hint="default"/>
                <w:sz w:val="18"/>
                <w:szCs w:val="18"/>
              </w:rPr>
            </w:pPr>
            <w:r>
              <w:rPr>
                <w:rFonts w:ascii="宋体" w:hAnsi="宋体" w:cs="宋体" w:eastAsia="宋体" w:hint="default"/>
                <w:sz w:val="18"/>
                <w:szCs w:val="18"/>
              </w:rPr>
              <w:t>关于非公开发行</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股股票申请获得中国证券监督管理委员会发行审核委员会审核通过 的公告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6"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sz w:val="18"/>
              </w:rPr>
              <w:t>40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sz w:val="18"/>
              </w:rPr>
              <w:t>2010-12-9</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第四届董事会第九次会议决议公告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698"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 w:right="0"/>
              <w:jc w:val="center"/>
              <w:rPr>
                <w:rFonts w:ascii="宋体" w:hAnsi="宋体" w:cs="宋体" w:eastAsia="宋体" w:hint="default"/>
                <w:sz w:val="18"/>
                <w:szCs w:val="18"/>
              </w:rPr>
            </w:pPr>
            <w:r>
              <w:rPr>
                <w:rFonts w:ascii="宋体"/>
                <w:sz w:val="18"/>
              </w:rPr>
              <w:t>41</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sz w:val="18"/>
              </w:rPr>
              <w:t>2010-12-27</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关于非公开发行</w:t>
            </w:r>
            <w:r>
              <w:rPr>
                <w:rFonts w:ascii="宋体" w:hAnsi="宋体" w:cs="宋体" w:eastAsia="宋体" w:hint="default"/>
                <w:spacing w:val="-47"/>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股股票申请获得中国证券监督管理委员会核准的公告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9"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sz w:val="18"/>
              </w:rPr>
              <w:t>42</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sz w:val="18"/>
              </w:rPr>
              <w:t>2010-12-31</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简式权益变动报告书</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2"/>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567" w:hRule="exact"/>
        </w:trPr>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sz w:val="18"/>
              </w:rPr>
              <w:t>43</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sz w:val="18"/>
              </w:rPr>
              <w:t>2010-12-31</w:t>
            </w:r>
          </w:p>
        </w:tc>
        <w:tc>
          <w:tcPr>
            <w:tcW w:w="6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关于非公开发行股票股东权益变动的提示性公告</w:t>
            </w:r>
          </w:p>
        </w:tc>
        <w:tc>
          <w:tcPr>
            <w:tcW w:w="10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18"/>
                <w:szCs w:val="18"/>
              </w:rPr>
            </w:pPr>
            <w:r>
              <w:rPr>
                <w:rFonts w:ascii="宋体" w:hAnsi="宋体" w:cs="宋体" w:eastAsia="宋体" w:hint="default"/>
                <w:sz w:val="18"/>
                <w:szCs w:val="18"/>
              </w:rPr>
              <w:t>注</w:t>
            </w:r>
          </w:p>
        </w:tc>
      </w:tr>
    </w:tbl>
    <w:p>
      <w:pPr>
        <w:spacing w:line="205" w:lineRule="exact" w:before="0"/>
        <w:ind w:left="220" w:right="0" w:firstLine="0"/>
        <w:jc w:val="left"/>
        <w:rPr>
          <w:rFonts w:ascii="宋体" w:hAnsi="宋体" w:cs="宋体" w:eastAsia="宋体" w:hint="default"/>
          <w:sz w:val="18"/>
          <w:szCs w:val="18"/>
        </w:rPr>
      </w:pPr>
      <w:r>
        <w:rPr>
          <w:rFonts w:ascii="宋体" w:hAnsi="宋体" w:cs="宋体" w:eastAsia="宋体" w:hint="default"/>
          <w:sz w:val="18"/>
          <w:szCs w:val="18"/>
        </w:rPr>
        <w:t>注：上述公告内容刊登在《证券时报</w:t>
      </w:r>
      <w:r>
        <w:rPr>
          <w:rFonts w:ascii="宋体" w:hAnsi="宋体" w:cs="宋体" w:eastAsia="宋体" w:hint="default"/>
          <w:spacing w:val="-92"/>
          <w:sz w:val="18"/>
          <w:szCs w:val="18"/>
        </w:rPr>
        <w:t>》、</w:t>
      </w:r>
      <w:r>
        <w:rPr>
          <w:rFonts w:ascii="宋体" w:hAnsi="宋体" w:cs="宋体" w:eastAsia="宋体" w:hint="default"/>
          <w:sz w:val="18"/>
          <w:szCs w:val="18"/>
        </w:rPr>
        <w:t>《中国证券报》及</w:t>
      </w:r>
      <w:r>
        <w:rPr>
          <w:rFonts w:ascii="宋体" w:hAnsi="宋体" w:cs="宋体" w:eastAsia="宋体" w:hint="default"/>
          <w:spacing w:val="2"/>
          <w:sz w:val="18"/>
          <w:szCs w:val="18"/>
        </w:rPr>
        <w:t>巨</w:t>
      </w:r>
      <w:r>
        <w:rPr>
          <w:rFonts w:ascii="宋体" w:hAnsi="宋体" w:cs="宋体" w:eastAsia="宋体" w:hint="default"/>
          <w:sz w:val="18"/>
          <w:szCs w:val="18"/>
        </w:rPr>
        <w:t>潮资讯网</w:t>
      </w:r>
      <w:r>
        <w:rPr>
          <w:rFonts w:ascii="宋体" w:hAnsi="宋体" w:cs="宋体" w:eastAsia="宋体" w:hint="default"/>
          <w:spacing w:val="1"/>
          <w:sz w:val="18"/>
          <w:szCs w:val="18"/>
        </w:rPr>
        <w:t>（</w:t>
      </w:r>
      <w:r>
        <w:rPr>
          <w:rFonts w:ascii="宋体" w:hAnsi="宋体" w:cs="宋体" w:eastAsia="宋体" w:hint="default"/>
          <w:color w:val="0000FF"/>
          <w:spacing w:val="1"/>
          <w:sz w:val="18"/>
          <w:szCs w:val="18"/>
        </w:rPr>
      </w:r>
      <w:hyperlink r:id="rId24">
        <w:r>
          <w:rPr>
            <w:rFonts w:ascii="宋体" w:hAnsi="宋体" w:cs="宋体" w:eastAsia="宋体" w:hint="default"/>
            <w:color w:val="0000FF"/>
            <w:spacing w:val="1"/>
            <w:sz w:val="18"/>
            <w:szCs w:val="18"/>
            <w:u w:val="single" w:color="0000FF"/>
          </w:rPr>
          <w:t>ht</w:t>
        </w:r>
        <w:r>
          <w:rPr>
            <w:rFonts w:ascii="宋体" w:hAnsi="宋体" w:cs="宋体" w:eastAsia="宋体" w:hint="default"/>
            <w:color w:val="0000FF"/>
            <w:spacing w:val="-2"/>
            <w:sz w:val="18"/>
            <w:szCs w:val="18"/>
            <w:u w:val="single" w:color="0000FF"/>
          </w:rPr>
          <w:t>t</w:t>
        </w:r>
        <w:r>
          <w:rPr>
            <w:rFonts w:ascii="宋体" w:hAnsi="宋体" w:cs="宋体" w:eastAsia="宋体" w:hint="default"/>
            <w:color w:val="0000FF"/>
            <w:spacing w:val="1"/>
            <w:sz w:val="18"/>
            <w:szCs w:val="18"/>
            <w:u w:val="single" w:color="0000FF"/>
          </w:rPr>
          <w:t>p</w:t>
        </w:r>
        <w:r>
          <w:rPr>
            <w:rFonts w:ascii="宋体" w:hAnsi="宋体" w:cs="宋体" w:eastAsia="宋体" w:hint="default"/>
            <w:color w:val="0000FF"/>
            <w:spacing w:val="-2"/>
            <w:sz w:val="18"/>
            <w:szCs w:val="18"/>
            <w:u w:val="single" w:color="0000FF"/>
          </w:rPr>
          <w:t>:</w:t>
        </w:r>
        <w:r>
          <w:rPr>
            <w:rFonts w:ascii="宋体" w:hAnsi="宋体" w:cs="宋体" w:eastAsia="宋体" w:hint="default"/>
            <w:color w:val="0000FF"/>
            <w:spacing w:val="1"/>
            <w:sz w:val="18"/>
            <w:szCs w:val="18"/>
            <w:u w:val="single" w:color="0000FF"/>
          </w:rPr>
          <w:t>/</w:t>
        </w:r>
        <w:r>
          <w:rPr>
            <w:rFonts w:ascii="宋体" w:hAnsi="宋体" w:cs="宋体" w:eastAsia="宋体" w:hint="default"/>
            <w:color w:val="0000FF"/>
            <w:spacing w:val="-2"/>
            <w:sz w:val="18"/>
            <w:szCs w:val="18"/>
            <w:u w:val="single" w:color="0000FF"/>
          </w:rPr>
          <w:t>/</w:t>
        </w:r>
        <w:r>
          <w:rPr>
            <w:rFonts w:ascii="宋体" w:hAnsi="宋体" w:cs="宋体" w:eastAsia="宋体" w:hint="default"/>
            <w:color w:val="0000FF"/>
            <w:spacing w:val="1"/>
            <w:sz w:val="18"/>
            <w:szCs w:val="18"/>
            <w:u w:val="single" w:color="0000FF"/>
          </w:rPr>
          <w:t>w</w:t>
        </w:r>
        <w:r>
          <w:rPr>
            <w:rFonts w:ascii="宋体" w:hAnsi="宋体" w:cs="宋体" w:eastAsia="宋体" w:hint="default"/>
            <w:color w:val="0000FF"/>
            <w:spacing w:val="-2"/>
            <w:sz w:val="18"/>
            <w:szCs w:val="18"/>
            <w:u w:val="single" w:color="0000FF"/>
          </w:rPr>
          <w:t>w</w:t>
        </w:r>
        <w:r>
          <w:rPr>
            <w:rFonts w:ascii="宋体" w:hAnsi="宋体" w:cs="宋体" w:eastAsia="宋体" w:hint="default"/>
            <w:color w:val="0000FF"/>
            <w:spacing w:val="1"/>
            <w:sz w:val="18"/>
            <w:szCs w:val="18"/>
            <w:u w:val="single" w:color="0000FF"/>
          </w:rPr>
          <w:t>w</w:t>
        </w:r>
        <w:r>
          <w:rPr>
            <w:rFonts w:ascii="宋体" w:hAnsi="宋体" w:cs="宋体" w:eastAsia="宋体" w:hint="default"/>
            <w:color w:val="0000FF"/>
            <w:spacing w:val="-2"/>
            <w:sz w:val="18"/>
            <w:szCs w:val="18"/>
            <w:u w:val="single" w:color="0000FF"/>
          </w:rPr>
          <w:t>.</w:t>
        </w:r>
        <w:r>
          <w:rPr>
            <w:rFonts w:ascii="宋体" w:hAnsi="宋体" w:cs="宋体" w:eastAsia="宋体" w:hint="default"/>
            <w:color w:val="0000FF"/>
            <w:spacing w:val="1"/>
            <w:sz w:val="18"/>
            <w:szCs w:val="18"/>
            <w:u w:val="single" w:color="0000FF"/>
          </w:rPr>
          <w:t>c</w:t>
        </w:r>
        <w:r>
          <w:rPr>
            <w:rFonts w:ascii="宋体" w:hAnsi="宋体" w:cs="宋体" w:eastAsia="宋体" w:hint="default"/>
            <w:color w:val="0000FF"/>
            <w:spacing w:val="-2"/>
            <w:sz w:val="18"/>
            <w:szCs w:val="18"/>
            <w:u w:val="single" w:color="0000FF"/>
          </w:rPr>
          <w:t>n</w:t>
        </w:r>
        <w:r>
          <w:rPr>
            <w:rFonts w:ascii="宋体" w:hAnsi="宋体" w:cs="宋体" w:eastAsia="宋体" w:hint="default"/>
            <w:color w:val="0000FF"/>
            <w:spacing w:val="1"/>
            <w:sz w:val="18"/>
            <w:szCs w:val="18"/>
            <w:u w:val="single" w:color="0000FF"/>
          </w:rPr>
          <w:t>i</w:t>
        </w:r>
        <w:r>
          <w:rPr>
            <w:rFonts w:ascii="宋体" w:hAnsi="宋体" w:cs="宋体" w:eastAsia="宋体" w:hint="default"/>
            <w:color w:val="0000FF"/>
            <w:spacing w:val="-2"/>
            <w:sz w:val="18"/>
            <w:szCs w:val="18"/>
            <w:u w:val="single" w:color="0000FF"/>
          </w:rPr>
          <w:t>n</w:t>
        </w:r>
        <w:r>
          <w:rPr>
            <w:rFonts w:ascii="宋体" w:hAnsi="宋体" w:cs="宋体" w:eastAsia="宋体" w:hint="default"/>
            <w:color w:val="0000FF"/>
            <w:spacing w:val="1"/>
            <w:sz w:val="18"/>
            <w:szCs w:val="18"/>
            <w:u w:val="single" w:color="0000FF"/>
          </w:rPr>
          <w:t>f</w:t>
        </w:r>
        <w:r>
          <w:rPr>
            <w:rFonts w:ascii="宋体" w:hAnsi="宋体" w:cs="宋体" w:eastAsia="宋体" w:hint="default"/>
            <w:color w:val="0000FF"/>
            <w:spacing w:val="-2"/>
            <w:sz w:val="18"/>
            <w:szCs w:val="18"/>
            <w:u w:val="single" w:color="0000FF"/>
          </w:rPr>
          <w:t>o</w:t>
        </w:r>
        <w:r>
          <w:rPr>
            <w:rFonts w:ascii="宋体" w:hAnsi="宋体" w:cs="宋体" w:eastAsia="宋体" w:hint="default"/>
            <w:color w:val="0000FF"/>
            <w:spacing w:val="1"/>
            <w:sz w:val="18"/>
            <w:szCs w:val="18"/>
            <w:u w:val="single" w:color="0000FF"/>
          </w:rPr>
          <w:t>.c</w:t>
        </w:r>
        <w:r>
          <w:rPr>
            <w:rFonts w:ascii="宋体" w:hAnsi="宋体" w:cs="宋体" w:eastAsia="宋体" w:hint="default"/>
            <w:color w:val="0000FF"/>
            <w:spacing w:val="-2"/>
            <w:sz w:val="18"/>
            <w:szCs w:val="18"/>
            <w:u w:val="single" w:color="0000FF"/>
          </w:rPr>
          <w:t>o</w:t>
        </w:r>
        <w:r>
          <w:rPr>
            <w:rFonts w:ascii="宋体" w:hAnsi="宋体" w:cs="宋体" w:eastAsia="宋体" w:hint="default"/>
            <w:color w:val="0000FF"/>
            <w:spacing w:val="1"/>
            <w:sz w:val="18"/>
            <w:szCs w:val="18"/>
            <w:u w:val="single" w:color="0000FF"/>
          </w:rPr>
          <w:t>m</w:t>
        </w:r>
        <w:r>
          <w:rPr>
            <w:rFonts w:ascii="宋体" w:hAnsi="宋体" w:cs="宋体" w:eastAsia="宋体" w:hint="default"/>
            <w:color w:val="0000FF"/>
            <w:spacing w:val="-2"/>
            <w:sz w:val="18"/>
            <w:szCs w:val="18"/>
            <w:u w:val="single" w:color="0000FF"/>
          </w:rPr>
          <w:t>.</w:t>
        </w:r>
        <w:r>
          <w:rPr>
            <w:rFonts w:ascii="宋体" w:hAnsi="宋体" w:cs="宋体" w:eastAsia="宋体" w:hint="default"/>
            <w:color w:val="0000FF"/>
            <w:spacing w:val="1"/>
            <w:sz w:val="18"/>
            <w:szCs w:val="18"/>
            <w:u w:val="single" w:color="0000FF"/>
          </w:rPr>
          <w:t>c</w:t>
        </w:r>
        <w:r>
          <w:rPr>
            <w:rFonts w:ascii="宋体" w:hAnsi="宋体" w:cs="宋体" w:eastAsia="宋体" w:hint="default"/>
            <w:color w:val="0000FF"/>
            <w:spacing w:val="3"/>
            <w:sz w:val="18"/>
            <w:szCs w:val="18"/>
            <w:u w:val="single" w:color="0000FF"/>
          </w:rPr>
          <w:t>n</w:t>
        </w:r>
        <w:r>
          <w:rPr>
            <w:rFonts w:ascii="宋体" w:hAnsi="宋体" w:cs="宋体" w:eastAsia="宋体" w:hint="default"/>
            <w:color w:val="0000FF"/>
            <w:spacing w:val="3"/>
            <w:sz w:val="18"/>
            <w:szCs w:val="18"/>
          </w:rPr>
        </w:r>
      </w:hyperlink>
      <w:r>
        <w:rPr>
          <w:rFonts w:ascii="宋体" w:hAnsi="宋体" w:cs="宋体" w:eastAsia="宋体" w:hint="default"/>
          <w:sz w:val="18"/>
          <w:szCs w:val="18"/>
        </w:rPr>
        <w:t>）</w:t>
      </w:r>
    </w:p>
    <w:p>
      <w:pPr>
        <w:spacing w:after="0" w:line="205" w:lineRule="exact"/>
        <w:jc w:val="left"/>
        <w:rPr>
          <w:rFonts w:ascii="宋体" w:hAnsi="宋体" w:cs="宋体" w:eastAsia="宋体" w:hint="default"/>
          <w:sz w:val="18"/>
          <w:szCs w:val="18"/>
        </w:rPr>
        <w:sectPr>
          <w:pgSz w:w="11910" w:h="16840"/>
          <w:pgMar w:header="720" w:footer="956" w:top="1340" w:bottom="1140" w:left="500" w:right="0"/>
        </w:sectPr>
      </w:pPr>
    </w:p>
    <w:p>
      <w:pPr>
        <w:spacing w:line="240" w:lineRule="auto" w:before="13"/>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tabs>
          <w:tab w:pos="1286" w:val="left" w:leader="none"/>
        </w:tabs>
        <w:spacing w:line="240" w:lineRule="auto"/>
        <w:ind w:right="578"/>
        <w:jc w:val="center"/>
        <w:rPr>
          <w:b w:val="0"/>
          <w:bCs w:val="0"/>
        </w:rPr>
      </w:pPr>
      <w:bookmarkStart w:name="_TOC_250001" w:id="10"/>
      <w:r>
        <w:rPr>
          <w:w w:val="95"/>
        </w:rPr>
        <w:t>第十节</w:t>
        <w:tab/>
      </w:r>
      <w:r>
        <w:rPr/>
        <w:t>财务报告</w:t>
      </w:r>
      <w:bookmarkEnd w:id="10"/>
      <w:r>
        <w:rPr>
          <w:b w:val="0"/>
          <w:bCs w:val="0"/>
        </w:rPr>
      </w:r>
    </w:p>
    <w:p>
      <w:pPr>
        <w:spacing w:line="240" w:lineRule="auto" w:before="9"/>
        <w:rPr>
          <w:rFonts w:ascii="黑体" w:hAnsi="黑体" w:cs="黑体" w:eastAsia="黑体" w:hint="default"/>
          <w:b/>
          <w:bCs/>
          <w:sz w:val="41"/>
          <w:szCs w:val="41"/>
        </w:rPr>
      </w:pPr>
    </w:p>
    <w:p>
      <w:pPr>
        <w:pStyle w:val="Heading2"/>
        <w:spacing w:line="240" w:lineRule="auto"/>
        <w:ind w:left="1611" w:right="0"/>
        <w:jc w:val="left"/>
        <w:rPr>
          <w:b w:val="0"/>
          <w:bCs w:val="0"/>
        </w:rPr>
      </w:pPr>
      <w:r>
        <w:rPr/>
        <w:pict>
          <v:shape style="position:absolute;margin-left:46.5pt;margin-top:2.805623pt;width:54pt;height:53.35pt;mso-position-horizontal-relative:page;mso-position-vertical-relative:paragraph;z-index:2176" type="#_x0000_t75" stroked="false">
            <v:imagedata r:id="rId25" o:title=""/>
          </v:shape>
        </w:pict>
      </w:r>
      <w:r>
        <w:rPr/>
        <w:t>中准会计师事务所有限公司</w:t>
      </w:r>
      <w:r>
        <w:rPr>
          <w:b w:val="0"/>
          <w:bCs w:val="0"/>
        </w:rPr>
      </w:r>
    </w:p>
    <w:p>
      <w:pPr>
        <w:pStyle w:val="Heading2"/>
        <w:spacing w:line="240" w:lineRule="auto" w:before="154"/>
        <w:ind w:left="1611" w:right="0"/>
        <w:jc w:val="left"/>
        <w:rPr>
          <w:rFonts w:ascii="宋体" w:hAnsi="宋体" w:cs="宋体" w:eastAsia="宋体" w:hint="default"/>
          <w:b w:val="0"/>
          <w:bCs w:val="0"/>
        </w:rPr>
      </w:pPr>
      <w:r>
        <w:rPr>
          <w:rFonts w:ascii="宋体"/>
        </w:rPr>
        <w:t>Zonzun Certified Public Accountants Co.,</w:t>
      </w:r>
      <w:r>
        <w:rPr>
          <w:rFonts w:ascii="宋体"/>
          <w:spacing w:val="-7"/>
        </w:rPr>
        <w:t> </w:t>
      </w:r>
      <w:r>
        <w:rPr>
          <w:rFonts w:ascii="宋体"/>
        </w:rPr>
        <w:t>Ltd.</w:t>
      </w:r>
      <w:r>
        <w:rPr>
          <w:rFonts w:ascii="宋体"/>
          <w:b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18"/>
          <w:szCs w:val="18"/>
        </w:rPr>
      </w:pPr>
    </w:p>
    <w:p>
      <w:pPr>
        <w:tabs>
          <w:tab w:pos="645" w:val="left" w:leader="none"/>
          <w:tab w:pos="1286" w:val="left" w:leader="none"/>
          <w:tab w:pos="1929" w:val="left" w:leader="none"/>
        </w:tabs>
        <w:spacing w:before="0"/>
        <w:ind w:left="0" w:right="575" w:firstLine="0"/>
        <w:jc w:val="center"/>
        <w:rPr>
          <w:rFonts w:ascii="宋体" w:hAnsi="宋体" w:cs="宋体" w:eastAsia="宋体" w:hint="default"/>
          <w:sz w:val="32"/>
          <w:szCs w:val="32"/>
        </w:rPr>
      </w:pPr>
      <w:r>
        <w:rPr>
          <w:rFonts w:ascii="宋体" w:hAnsi="宋体" w:cs="宋体" w:eastAsia="宋体" w:hint="default"/>
          <w:b/>
          <w:bCs/>
          <w:w w:val="95"/>
          <w:sz w:val="32"/>
          <w:szCs w:val="32"/>
        </w:rPr>
        <w:t>审</w:t>
        <w:tab/>
        <w:t>计</w:t>
        <w:tab/>
        <w:t>报</w:t>
        <w:tab/>
      </w:r>
      <w:r>
        <w:rPr>
          <w:rFonts w:ascii="宋体" w:hAnsi="宋体" w:cs="宋体" w:eastAsia="宋体" w:hint="default"/>
          <w:b/>
          <w:bCs/>
          <w:sz w:val="32"/>
          <w:szCs w:val="32"/>
        </w:rPr>
        <w:t>告</w:t>
      </w:r>
      <w:r>
        <w:rPr>
          <w:rFonts w:ascii="宋体" w:hAnsi="宋体" w:cs="宋体" w:eastAsia="宋体" w:hint="default"/>
          <w:sz w:val="32"/>
          <w:szCs w:val="32"/>
        </w:rPr>
      </w:r>
    </w:p>
    <w:p>
      <w:pPr>
        <w:spacing w:line="240" w:lineRule="auto" w:before="5"/>
        <w:rPr>
          <w:rFonts w:ascii="宋体" w:hAnsi="宋体" w:cs="宋体" w:eastAsia="宋体" w:hint="default"/>
          <w:b/>
          <w:bCs/>
          <w:sz w:val="24"/>
          <w:szCs w:val="24"/>
        </w:rPr>
      </w:pPr>
    </w:p>
    <w:p>
      <w:pPr>
        <w:pStyle w:val="BodyText"/>
        <w:spacing w:line="240" w:lineRule="auto" w:before="0"/>
        <w:ind w:left="4175" w:right="0"/>
        <w:jc w:val="left"/>
      </w:pPr>
      <w:r>
        <w:rPr/>
        <w:pict>
          <v:group style="position:absolute;margin-left:143.625pt;margin-top:-1.58134pt;width:173.9pt;height:94.5pt;mso-position-horizontal-relative:page;mso-position-vertical-relative:paragraph;z-index:-534040" coordorigin="2873,-32" coordsize="3478,1890">
            <v:group style="position:absolute;left:2880;top:324;width:505;height:1098" coordorigin="2880,324" coordsize="505,1098">
              <v:shape style="position:absolute;left:2880;top:324;width:505;height:1098" coordorigin="2880,324" coordsize="505,1098" path="m3384,324l3361,406,3338,488,3314,570,3290,652,3267,734,3243,816,3220,898,3244,898,3269,898,3293,898,3317,898,3308,973,3300,1048,3291,1122,3282,1197,3274,1272,3265,1347,3257,1422,3181,1422,3106,1422,3031,1422,2955,1422,2880,1422,2903,1339,2926,1257,2950,1175,2973,1093,2997,1011,3020,929,3043,846,3022,846,3001,846,2979,846,2958,846,2966,772,2975,697,2984,623,2992,548,3001,474,3010,399,3018,324,3091,324,3165,324,3238,324,3311,324,3384,324xe" filled="false" stroked="true" strokeweight=".75pt" strokecolor="#ccffcc">
                <v:path arrowok="t"/>
                <v:stroke dashstyle="dash"/>
              </v:shape>
            </v:group>
            <v:group style="position:absolute;left:2931;top:401;width:404;height:945" coordorigin="2931,401" coordsize="404,945">
              <v:shape style="position:absolute;left:2931;top:401;width:404;height:945" coordorigin="2931,401" coordsize="404,945" path="m3239,1345l3248,1271,3256,1197,3265,1123,3273,1048,3282,974,3254,974,3225,974,3197,974,3169,974,3192,892,3216,810,3240,728,3263,647,3287,565,3311,483,3334,401,3259,401,3185,401,3110,401,3036,401,3027,475,3019,548,3010,622,3001,696,2993,770,3018,770,3044,770,3069,770,3095,770,3071,852,3048,934,3024,1017,3001,1099,2977,1181,2954,1263,2931,1345,3008,1345,3085,1345,3162,1345,3239,1345xe" filled="false" stroked="true" strokeweight=".75pt" strokecolor="#ccffcc">
                <v:path arrowok="t"/>
                <v:stroke dashstyle="dash"/>
              </v:shape>
            </v:group>
            <v:group style="position:absolute;left:3271;top:-24;width:425;height:1446" coordorigin="3271,-24" coordsize="425,1446">
              <v:shape style="position:absolute;left:3271;top:-24;width:425;height:1446" coordorigin="3271,-24" coordsize="425,1446" path="m3445,1401l3455,1320,3464,1240,3473,1159,3483,1078,3492,997,3501,917,3511,836,3512,826,3511,819,3507,819,3504,819,3501,828,3499,842,3490,922,3481,1002,3472,1082,3463,1161,3453,1241,3444,1321,3435,1401,3433,1415,3430,1422,3271,1422,3280,1341,3289,1261,3298,1181,3307,1100,3317,1020,3326,940,3335,859,3345,779,3354,699,3363,618,3373,538,3382,458,3391,378,3401,297,3410,217,3419,137,3428,56,3438,-24,3481,-24,3524,-24,3567,-24,3610,-24,3600,63,3590,149,3580,236,3570,322,3580,315,3589,310,3598,307,3607,306,3633,313,3673,372,3693,488,3695,563,3692,649,3682,747,3673,832,3663,916,3653,1000,3644,1085,3634,1169,3624,1253,3614,1337,3605,1422,3566,1422,3527,1422,3489,1422,3450,1422,3445,1422,3444,1415,3445,1401xe" filled="false" stroked="true" strokeweight=".75pt" strokecolor="#ccffcc">
                <v:path arrowok="t"/>
                <v:stroke dashstyle="dash"/>
              </v:shape>
            </v:group>
            <v:group style="position:absolute;left:3305;top:52;width:363;height:1294" coordorigin="3305,52" coordsize="363,1294">
              <v:shape style="position:absolute;left:3305;top:52;width:363;height:1294" coordorigin="3305,52" coordsize="363,1294" path="m3587,1345l3596,1271,3604,1196,3613,1121,3622,1046,3631,972,3639,897,3648,822,3657,747,3664,667,3667,595,3666,533,3651,437,3598,382,3583,386,3566,399,3548,420,3530,448,3539,369,3548,290,3557,211,3566,131,3575,52,3545,52,3515,52,3485,52,3454,52,3445,133,3436,214,3427,295,3417,376,3408,456,3399,537,3389,618,3380,699,3370,780,3361,860,3351,941,3342,1022,3333,1103,3323,1184,3314,1265,3305,1345,3335,1345,3365,1345,3396,1345,3426,1345,3435,1260,3445,1175,3455,1090,3465,1004,3475,919,3485,834,3491,794,3498,766,3506,749,3516,743,3524,743,3529,751,3530,766,3530,779,3530,797,3515,929,3506,1013,3496,1096,3486,1179,3477,1262,3467,1345,3497,1345,3527,1345,3557,1345,3587,1345xe" filled="false" stroked="true" strokeweight=".75pt" strokecolor="#ccffcc">
                <v:path arrowok="t"/>
                <v:stroke dashstyle="dash"/>
              </v:shape>
            </v:group>
            <v:group style="position:absolute;left:3679;top:306;width:411;height:1147" coordorigin="3679,306" coordsize="411,1147">
              <v:shape style="position:absolute;left:3679;top:306;width:411;height:1147" coordorigin="3679,306" coordsize="411,1147" path="m3950,306l4019,348,4068,475,4080,546,4087,622,4089,703,4087,790,4079,881,4066,972,4049,1057,4028,1137,4003,1213,3974,1283,3936,1358,3897,1411,3818,1453,3781,1442,3722,1358,3701,1283,3688,1213,3681,1137,3679,1057,3682,972,3690,881,3703,790,3720,703,3741,622,3766,546,3794,475,3832,401,3871,348,3950,306xe" filled="false" stroked="true" strokeweight=".75pt" strokecolor="#ccffcc">
                <v:path arrowok="t"/>
                <v:stroke dashstyle="dash"/>
              </v:shape>
            </v:group>
            <v:group style="position:absolute;left:3707;top:382;width:356;height:994" coordorigin="3707,382" coordsize="356,994">
              <v:shape style="position:absolute;left:3707;top:382;width:356;height:994" coordorigin="3707,382" coordsize="356,994" path="m3827,1376l3896,1340,3962,1230,3987,1169,4008,1104,4027,1034,4041,960,4053,881,4061,783,4062,691,4056,606,4044,529,4025,465,3974,391,3942,382,3908,391,3840,465,3807,529,3782,590,3760,656,3742,727,3727,802,3716,881,3708,979,3707,1070,3713,1153,3725,1230,3744,1294,3795,1367,3827,1376xe" filled="false" stroked="true" strokeweight=".75pt" strokecolor="#ccffcc">
                <v:path arrowok="t"/>
                <v:stroke dashstyle="dash"/>
              </v:shape>
              <v:shape style="position:absolute;left:3825;top:729;width:118;height:302" type="#_x0000_t75" stroked="false">
                <v:imagedata r:id="rId26" o:title=""/>
              </v:shape>
              <v:shape style="position:absolute;left:4031;top:-32;width:2319;height:1890" type="#_x0000_t75" stroked="false">
                <v:imagedata r:id="rId27" o:title=""/>
              </v:shape>
            </v:group>
            <w10:wrap type="none"/>
          </v:group>
        </w:pict>
      </w:r>
      <w:r>
        <w:rPr/>
        <w:pict>
          <v:group style="position:absolute;margin-left:325.17453pt;margin-top:14.918659pt;width:61.85pt;height:74.1pt;mso-position-horizontal-relative:page;mso-position-vertical-relative:paragraph;z-index:-534016" coordorigin="6503,298" coordsize="1237,1482">
            <v:group style="position:absolute;left:6511;top:306;width:407;height:1147" coordorigin="6511,306" coordsize="407,1147">
              <v:shape style="position:absolute;left:6511;top:306;width:407;height:1147" coordorigin="6511,306" coordsize="407,1147" path="m6905,861l6903,927,6891,986,6876,1053,6857,1127,6836,1200,6812,1264,6787,1320,6732,1404,6677,1447,6649,1453,6612,1442,6553,1359,6532,1286,6520,1216,6513,1141,6511,1061,6514,976,6522,885,6535,793,6552,706,6573,624,6598,548,6626,477,6664,402,6703,349,6782,306,6800,309,6848,351,6874,407,6895,481,6909,572,6916,677,6917,771,6917,804,6868,847,6850,851,6831,854,6829,854,6828,854,6827,856,6829,856,6831,856,6849,858,6868,859,6887,860,6905,861xe" filled="false" stroked="true" strokeweight=".75pt" strokecolor="#ccffcc">
                <v:path arrowok="t"/>
                <v:stroke dashstyle="dash"/>
              </v:shape>
            </v:group>
            <v:group style="position:absolute;left:6539;top:382;width:352;height:994" coordorigin="6539,382" coordsize="352,994">
              <v:shape style="position:absolute;left:6539;top:382;width:352;height:994" coordorigin="6539,382" coordsize="352,994" path="m6876,927l6847,926,6817,925,6787,924,6757,922,6752,946,6745,966,6715,1019,6699,1026,6690,1023,6666,963,6664,940,6664,914,6676,831,6702,767,6731,743,6743,747,6752,758,6759,777,6763,803,6795,797,6827,791,6859,784,6890,778,6890,694,6886,619,6876,551,6862,491,6824,410,6773,382,6739,391,6672,466,6639,531,6614,593,6593,660,6574,731,6560,806,6548,885,6540,982,6539,1073,6545,1156,6557,1232,6576,1295,6626,1367,6658,1376,6690,1369,6754,1306,6785,1250,6813,1183,6839,1106,6860,1021,6876,927xe" filled="false" stroked="true" strokeweight=".75pt" strokecolor="#ccffcc">
                <v:path arrowok="t"/>
                <v:stroke dashstyle="dash"/>
              </v:shape>
            </v:group>
            <v:group style="position:absolute;left:6688;top:809;width:57;height:151" coordorigin="6688,809" coordsize="57,151">
              <v:shape style="position:absolute;left:6688;top:809;width:57;height:151" coordorigin="6688,809" coordsize="57,151" path="m6707,960l6739,894,6744,862,6744,851,6743,841,6740,830,6736,815,6730,809,6724,809,6716,809,6691,870,6688,914,6689,926,6691,937,6695,951,6700,960,6707,960xe" filled="false" stroked="true" strokeweight=".75pt" strokecolor="#ccffcc">
                <v:path arrowok="t"/>
                <v:stroke dashstyle="dash"/>
              </v:shape>
            </v:group>
            <v:group style="position:absolute;left:6831;top:306;width:503;height:1467" coordorigin="6831,306" coordsize="503,1467">
              <v:shape style="position:absolute;left:6831;top:306;width:503;height:1467" coordorigin="6831,306" coordsize="503,1467" path="m7037,1481l7029,1554,7020,1627,7012,1700,7003,1772,6960,1772,6917,1772,6874,1772,6831,1772,6840,1694,6849,1615,6858,1537,6867,1458,6876,1380,6885,1301,6894,1222,6903,1144,6912,1065,6921,987,6930,908,6942,823,6956,743,6972,669,6991,599,7012,534,7035,475,7072,401,7111,348,7191,306,7230,316,7290,399,7312,471,7324,539,7332,614,7334,694,7331,781,7323,873,7310,964,7293,1049,7273,1128,7248,1202,7221,1269,7183,1340,7143,1391,7060,1434,7054,1434,7049,1436,7046,1442,7043,1448,7041,1456,7039,1468,7037,1481xe" filled="false" stroked="true" strokeweight=".75pt" strokecolor="#ccffcc">
                <v:path arrowok="t"/>
                <v:stroke dashstyle="dash"/>
              </v:shape>
            </v:group>
            <v:group style="position:absolute;left:6865;top:382;width:441;height:1314" coordorigin="6865,382" coordsize="441,1314">
              <v:shape style="position:absolute;left:6865;top:382;width:441;height:1314" coordorigin="6865,382" coordsize="441,1314" path="m7043,1360l7052,1366,7062,1368,7072,1368,7140,1332,7207,1224,7231,1163,7253,1098,7271,1028,7285,953,7297,873,7305,774,7306,683,7300,600,7287,524,7269,462,7216,391,7183,382,7148,391,7080,465,7048,529,7024,591,7002,661,6984,736,6968,819,6956,908,6947,987,6938,1066,6929,1145,6920,1223,6911,1302,6902,1381,6892,1460,6883,1538,6874,1617,6865,1696,6895,1696,6926,1696,6956,1696,6986,1696,6995,1619,7004,1541,7013,1464,7022,1387,7031,1309,7040,1232,7049,1155,7058,1077,7067,1000,7076,922,7088,840,7103,781,7122,746,7144,735,7153,737,7176,795,7178,817,7177,841,7166,920,7142,982,7115,1005,7107,1003,7100,996,7094,985,7088,970,7079,1048,7070,1126,7061,1204,7052,1282,7043,1360xe" filled="false" stroked="true" strokeweight=".75pt" strokecolor="#ccffcc">
                <v:path arrowok="t"/>
                <v:stroke dashstyle="dash"/>
              </v:shape>
            </v:group>
            <v:group style="position:absolute;left:7109;top:811;width:43;height:97" coordorigin="7109,811" coordsize="43,97">
              <v:shape style="position:absolute;left:7109;top:811;width:43;height:97" coordorigin="7109,811" coordsize="43,97" path="m7111,859l7126,908,7131,908,7151,852,7151,838,7148,828,7144,817,7140,811,7135,811,7130,811,7125,815,7120,826,7115,836,7112,846,7111,859xe" filled="false" stroked="true" strokeweight=".75pt" strokecolor="#ccffcc">
                <v:path arrowok="t"/>
                <v:stroke dashstyle="dash"/>
              </v:shape>
            </v:group>
            <v:group style="position:absolute;left:7321;top:306;width:413;height:1137" coordorigin="7321,306" coordsize="413,1137">
              <v:shape style="position:absolute;left:7321;top:306;width:413;height:1137" coordorigin="7321,306" coordsize="413,1137" path="m7657,1422l7657,1422,7515,1422,7508,1424,7504,1426,7493,1433,7482,1438,7471,1441,7462,1442,7423,1432,7363,1351,7341,1279,7329,1211,7323,1136,7321,1055,7324,968,7332,875,7345,784,7362,698,7382,618,7407,543,7436,473,7473,400,7512,348,7591,306,7633,316,7696,393,7716,460,7727,527,7732,602,7733,687,7728,780,7719,883,7710,960,7701,1037,7693,1114,7684,1191,7675,1268,7666,1345,7657,1422xe" filled="false" stroked="true" strokeweight=".75pt" strokecolor="#ccffcc">
                <v:path arrowok="t"/>
                <v:stroke dashstyle="dash"/>
              </v:shape>
            </v:group>
            <v:group style="position:absolute;left:7349;top:382;width:357;height:984" coordorigin="7349,382" coordsize="357,984">
              <v:shape style="position:absolute;left:7349;top:382;width:357;height:984" coordorigin="7349,382" coordsize="357,984" path="m7640,1345l7648,1268,7657,1191,7666,1114,7675,1037,7684,960,7693,883,7701,794,7706,713,7705,639,7700,574,7673,458,7619,391,7583,382,7548,391,7480,463,7447,526,7423,587,7402,652,7384,722,7369,796,7358,875,7350,975,7349,1066,7354,1150,7367,1224,7385,1286,7438,1357,7471,1366,7480,1366,7490,1364,7499,1358,7508,1285,7516,1212,7525,1139,7533,1066,7541,993,7530,1007,7520,1015,7478,959,7477,936,7478,912,7489,831,7514,769,7543,745,7552,748,7573,813,7574,841,7573,873,7570,908,7561,981,7553,1054,7544,1127,7536,1200,7527,1273,7519,1345,7549,1345,7579,1345,7609,1345,7640,1345xe" filled="false" stroked="true" strokeweight=".75pt" strokecolor="#ccffcc">
                <v:path arrowok="t"/>
                <v:stroke dashstyle="dash"/>
              </v:shape>
            </v:group>
            <v:group style="position:absolute;left:7504;top:819;width:43;height:118" coordorigin="7504,819" coordsize="43,118">
              <v:shape style="position:absolute;left:7504;top:819;width:43;height:118" coordorigin="7504,819" coordsize="43,118" path="m7515,937l7522,937,7528,933,7547,870,7546,858,7546,844,7544,828,7541,819,7534,819,7529,819,7506,883,7504,907,7505,923,7508,934,7515,937xe" filled="false" stroked="true" strokeweight=".75pt" strokecolor="#ccffcc">
                <v:path arrowok="t"/>
                <v:stroke dashstyle="dash"/>
              </v:shape>
            </v:group>
            <w10:wrap type="none"/>
          </v:group>
        </w:pict>
      </w:r>
      <w:r>
        <w:rPr>
          <w:spacing w:val="12"/>
        </w:rPr>
        <w:t>中准审字</w:t>
      </w:r>
      <w:r>
        <w:rPr>
          <w:rFonts w:ascii="宋体" w:hAnsi="宋体" w:cs="宋体" w:eastAsia="宋体" w:hint="default"/>
          <w:spacing w:val="12"/>
        </w:rPr>
        <w:t>[2011]2087</w:t>
      </w:r>
      <w:r>
        <w:rPr>
          <w:rFonts w:ascii="宋体" w:hAnsi="宋体" w:cs="宋体" w:eastAsia="宋体" w:hint="default"/>
          <w:spacing w:val="-7"/>
        </w:rPr>
        <w:t> </w:t>
      </w:r>
      <w:r>
        <w:rPr/>
        <w:t>号</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Heading2"/>
        <w:spacing w:line="240" w:lineRule="auto"/>
        <w:ind w:left="140" w:right="0"/>
        <w:jc w:val="left"/>
        <w:rPr>
          <w:b w:val="0"/>
          <w:bCs w:val="0"/>
        </w:rPr>
      </w:pPr>
      <w:r>
        <w:rPr>
          <w:spacing w:val="22"/>
        </w:rPr>
        <w:t>吉林紫鑫药业股份有限公司全体股东：</w:t>
      </w:r>
      <w:r>
        <w:rPr>
          <w:b w:val="0"/>
          <w:bCs w:val="0"/>
          <w:spacing w:val="22"/>
        </w:rPr>
      </w:r>
    </w:p>
    <w:p>
      <w:pPr>
        <w:pStyle w:val="Heading3"/>
        <w:spacing w:line="355" w:lineRule="auto"/>
        <w:ind w:right="705" w:firstLine="593"/>
        <w:jc w:val="left"/>
      </w:pPr>
      <w:r>
        <w:rPr>
          <w:spacing w:val="23"/>
        </w:rPr>
        <w:t>我们审计了后附的吉林紫鑫药业股份有限公司（以下简称贵公司）财务报表，包括</w:t>
      </w:r>
      <w:r>
        <w:rPr>
          <w:spacing w:val="-96"/>
        </w:rPr>
        <w:t> </w:t>
      </w:r>
      <w:r>
        <w:rPr>
          <w:rFonts w:ascii="宋体" w:hAnsi="宋体" w:cs="宋体" w:eastAsia="宋体" w:hint="default"/>
          <w:spacing w:val="9"/>
        </w:rPr>
        <w:t>2010</w:t>
      </w:r>
      <w:r>
        <w:rPr>
          <w:rFonts w:ascii="宋体" w:hAnsi="宋体" w:cs="宋体" w:eastAsia="宋体" w:hint="default"/>
          <w:spacing w:val="-39"/>
        </w:rPr>
        <w:t> </w:t>
      </w:r>
      <w:r>
        <w:rPr/>
        <w:t>年</w:t>
      </w:r>
      <w:r>
        <w:rPr>
          <w:spacing w:val="-27"/>
        </w:rPr>
        <w:t> </w:t>
      </w:r>
      <w:r>
        <w:rPr>
          <w:rFonts w:ascii="宋体" w:hAnsi="宋体" w:cs="宋体" w:eastAsia="宋体" w:hint="default"/>
          <w:spacing w:val="6"/>
        </w:rPr>
        <w:t>12</w:t>
      </w:r>
      <w:r>
        <w:rPr>
          <w:rFonts w:ascii="宋体" w:hAnsi="宋体" w:cs="宋体" w:eastAsia="宋体" w:hint="default"/>
          <w:spacing w:val="-42"/>
        </w:rPr>
        <w:t> </w:t>
      </w:r>
      <w:r>
        <w:rPr/>
        <w:t>月</w:t>
      </w:r>
      <w:r>
        <w:rPr>
          <w:spacing w:val="-27"/>
        </w:rPr>
        <w:t> </w:t>
      </w:r>
      <w:r>
        <w:rPr>
          <w:rFonts w:ascii="宋体" w:hAnsi="宋体" w:cs="宋体" w:eastAsia="宋体" w:hint="default"/>
          <w:spacing w:val="6"/>
        </w:rPr>
        <w:t>31</w:t>
      </w:r>
      <w:r>
        <w:rPr>
          <w:rFonts w:ascii="宋体" w:hAnsi="宋体" w:cs="宋体" w:eastAsia="宋体" w:hint="default"/>
          <w:spacing w:val="-39"/>
        </w:rPr>
        <w:t> </w:t>
      </w:r>
      <w:r>
        <w:rPr>
          <w:spacing w:val="21"/>
        </w:rPr>
        <w:t>日的合并资产负债表和资产负债表，</w:t>
      </w:r>
      <w:r>
        <w:rPr>
          <w:spacing w:val="-96"/>
        </w:rPr>
        <w:t> </w:t>
      </w:r>
      <w:r>
        <w:rPr>
          <w:rFonts w:ascii="宋体" w:hAnsi="宋体" w:cs="宋体" w:eastAsia="宋体" w:hint="default"/>
          <w:spacing w:val="9"/>
        </w:rPr>
        <w:t>2010</w:t>
      </w:r>
      <w:r>
        <w:rPr>
          <w:rFonts w:ascii="宋体" w:hAnsi="宋体" w:cs="宋体" w:eastAsia="宋体" w:hint="default"/>
          <w:spacing w:val="-39"/>
        </w:rPr>
        <w:t> </w:t>
      </w:r>
      <w:r>
        <w:rPr>
          <w:spacing w:val="22"/>
        </w:rPr>
        <w:t>年度的合并利润表和利润表、</w:t>
      </w:r>
      <w:r>
        <w:rPr>
          <w:spacing w:val="-96"/>
        </w:rPr>
        <w:t> </w:t>
      </w:r>
      <w:r>
        <w:rPr/>
      </w:r>
    </w:p>
    <w:p>
      <w:pPr>
        <w:pStyle w:val="Heading3"/>
        <w:spacing w:line="355" w:lineRule="auto" w:before="38"/>
        <w:ind w:right="705"/>
        <w:jc w:val="left"/>
      </w:pPr>
      <w:r>
        <w:rPr>
          <w:spacing w:val="23"/>
        </w:rPr>
        <w:t>合并现金流量表和现金流量表、合并所有者权益变动表和所有者权益变动表以及财务报表</w:t>
      </w:r>
      <w:r>
        <w:rPr>
          <w:spacing w:val="-114"/>
        </w:rPr>
        <w:t> </w:t>
      </w:r>
      <w:r>
        <w:rPr>
          <w:spacing w:val="16"/>
        </w:rPr>
        <w:t>附注。</w:t>
      </w:r>
      <w:r>
        <w:rPr>
          <w:spacing w:val="-96"/>
        </w:rPr>
        <w:t> </w:t>
      </w:r>
      <w:r>
        <w:rPr/>
      </w:r>
    </w:p>
    <w:p>
      <w:pPr>
        <w:spacing w:line="240" w:lineRule="auto" w:before="4"/>
        <w:rPr>
          <w:rFonts w:ascii="宋体" w:hAnsi="宋体" w:cs="宋体" w:eastAsia="宋体" w:hint="default"/>
          <w:sz w:val="21"/>
          <w:szCs w:val="21"/>
        </w:rPr>
      </w:pPr>
    </w:p>
    <w:p>
      <w:pPr>
        <w:pStyle w:val="Heading2"/>
        <w:spacing w:line="240" w:lineRule="auto"/>
        <w:ind w:left="608" w:right="0"/>
        <w:jc w:val="left"/>
        <w:rPr>
          <w:b w:val="0"/>
          <w:bCs w:val="0"/>
        </w:rPr>
      </w:pPr>
      <w:r>
        <w:rPr>
          <w:spacing w:val="13"/>
        </w:rPr>
        <w:t>一、</w:t>
      </w:r>
      <w:r>
        <w:rPr>
          <w:spacing w:val="-108"/>
        </w:rPr>
        <w:t> </w:t>
      </w:r>
      <w:r>
        <w:rPr>
          <w:spacing w:val="22"/>
        </w:rPr>
        <w:t>管理层对财务报表的责任</w:t>
      </w:r>
      <w:r>
        <w:rPr>
          <w:b w:val="0"/>
          <w:bCs w:val="0"/>
          <w:spacing w:val="22"/>
        </w:rPr>
      </w:r>
    </w:p>
    <w:p>
      <w:pPr>
        <w:spacing w:line="240" w:lineRule="auto" w:before="10"/>
        <w:rPr>
          <w:rFonts w:ascii="宋体" w:hAnsi="宋体" w:cs="宋体" w:eastAsia="宋体" w:hint="default"/>
          <w:b/>
          <w:bCs/>
          <w:sz w:val="20"/>
          <w:szCs w:val="20"/>
        </w:rPr>
      </w:pPr>
    </w:p>
    <w:p>
      <w:pPr>
        <w:pStyle w:val="Heading3"/>
        <w:spacing w:line="357" w:lineRule="auto" w:before="0"/>
        <w:ind w:right="582" w:firstLine="468"/>
        <w:jc w:val="left"/>
      </w:pPr>
      <w:r>
        <w:rPr>
          <w:spacing w:val="2"/>
        </w:rPr>
        <w:t>按照《</w:t>
      </w:r>
      <w:r>
        <w:rPr>
          <w:spacing w:val="-91"/>
        </w:rPr>
        <w:t> </w:t>
      </w:r>
      <w:r>
        <w:rPr>
          <w:spacing w:val="19"/>
        </w:rPr>
        <w:t>企业会计准则》的规定编制财务报表是贵公司管理层的责任。这种责任包括</w:t>
      </w:r>
      <w:r>
        <w:rPr>
          <w:spacing w:val="-91"/>
        </w:rPr>
        <w:t> </w:t>
      </w:r>
      <w:r>
        <w:rPr>
          <w:spacing w:val="-75"/>
        </w:rPr>
        <w:t>：（</w:t>
      </w:r>
      <w:r>
        <w:rPr>
          <w:spacing w:val="-79"/>
        </w:rPr>
        <w:t> </w:t>
      </w:r>
      <w:r>
        <w:rPr>
          <w:rFonts w:ascii="宋体" w:hAnsi="宋体" w:cs="宋体" w:eastAsia="宋体" w:hint="default"/>
          <w:spacing w:val="6"/>
        </w:rPr>
        <w:t>1</w:t>
      </w:r>
      <w:r>
        <w:rPr>
          <w:spacing w:val="6"/>
        </w:rPr>
        <w:t>）</w:t>
      </w:r>
      <w:r>
        <w:rPr/>
        <w:t> </w:t>
      </w:r>
      <w:r>
        <w:rPr>
          <w:spacing w:val="11"/>
        </w:rPr>
        <w:t>设计</w:t>
      </w:r>
      <w:r>
        <w:rPr>
          <w:spacing w:val="-92"/>
        </w:rPr>
        <w:t> </w:t>
      </w:r>
      <w:r>
        <w:rPr>
          <w:spacing w:val="-12"/>
        </w:rPr>
        <w:t>、实</w:t>
      </w:r>
      <w:r>
        <w:rPr>
          <w:spacing w:val="-92"/>
        </w:rPr>
        <w:t> </w:t>
      </w:r>
      <w:r>
        <w:rPr>
          <w:spacing w:val="21"/>
        </w:rPr>
        <w:t>施和维护与财务报表编制相关的内部控制</w:t>
      </w:r>
      <w:r>
        <w:rPr>
          <w:spacing w:val="-92"/>
        </w:rPr>
        <w:t> </w:t>
      </w:r>
      <w:r>
        <w:rPr>
          <w:spacing w:val="-12"/>
        </w:rPr>
        <w:t>，以</w:t>
      </w:r>
      <w:r>
        <w:rPr>
          <w:spacing w:val="-92"/>
        </w:rPr>
        <w:t> </w:t>
      </w:r>
      <w:r>
        <w:rPr>
          <w:spacing w:val="21"/>
        </w:rPr>
        <w:t>使财务报表不存在由于舞弊或错误而</w:t>
      </w:r>
    </w:p>
    <w:p>
      <w:pPr>
        <w:spacing w:line="540" w:lineRule="auto" w:before="34"/>
        <w:ind w:left="608" w:right="1929" w:hanging="468"/>
        <w:jc w:val="left"/>
        <w:rPr>
          <w:rFonts w:ascii="宋体" w:hAnsi="宋体" w:cs="宋体" w:eastAsia="宋体" w:hint="default"/>
          <w:sz w:val="24"/>
          <w:szCs w:val="24"/>
        </w:rPr>
      </w:pPr>
      <w:r>
        <w:rPr>
          <w:rFonts w:ascii="宋体" w:hAnsi="宋体" w:cs="宋体" w:eastAsia="宋体" w:hint="default"/>
          <w:spacing w:val="20"/>
          <w:sz w:val="24"/>
          <w:szCs w:val="24"/>
        </w:rPr>
        <w:t>导致的重大错报</w:t>
      </w:r>
      <w:r>
        <w:rPr>
          <w:rFonts w:ascii="宋体" w:hAnsi="宋体" w:cs="宋体" w:eastAsia="宋体" w:hint="default"/>
          <w:spacing w:val="-95"/>
          <w:sz w:val="24"/>
          <w:szCs w:val="24"/>
        </w:rPr>
        <w:t> </w:t>
      </w:r>
      <w:r>
        <w:rPr>
          <w:rFonts w:ascii="宋体" w:hAnsi="宋体" w:cs="宋体" w:eastAsia="宋体" w:hint="default"/>
          <w:spacing w:val="-54"/>
          <w:sz w:val="24"/>
          <w:szCs w:val="24"/>
        </w:rPr>
        <w:t>；（</w:t>
      </w:r>
      <w:r>
        <w:rPr>
          <w:rFonts w:ascii="宋体" w:hAnsi="宋体" w:cs="宋体" w:eastAsia="宋体" w:hint="default"/>
          <w:spacing w:val="-95"/>
          <w:sz w:val="24"/>
          <w:szCs w:val="24"/>
        </w:rPr>
        <w:t> </w:t>
      </w:r>
      <w:r>
        <w:rPr>
          <w:rFonts w:ascii="宋体" w:hAnsi="宋体" w:cs="宋体" w:eastAsia="宋体" w:hint="default"/>
          <w:spacing w:val="21"/>
          <w:sz w:val="24"/>
          <w:szCs w:val="24"/>
        </w:rPr>
        <w:t>2</w:t>
      </w:r>
      <w:r>
        <w:rPr>
          <w:rFonts w:ascii="宋体" w:hAnsi="宋体" w:cs="宋体" w:eastAsia="宋体" w:hint="default"/>
          <w:spacing w:val="21"/>
          <w:sz w:val="24"/>
          <w:szCs w:val="24"/>
        </w:rPr>
        <w:t>）选择和运用恰当的会计政策</w:t>
      </w:r>
      <w:r>
        <w:rPr>
          <w:rFonts w:ascii="宋体" w:hAnsi="宋体" w:cs="宋体" w:eastAsia="宋体" w:hint="default"/>
          <w:spacing w:val="-95"/>
          <w:sz w:val="24"/>
          <w:szCs w:val="24"/>
        </w:rPr>
        <w:t> </w:t>
      </w:r>
      <w:r>
        <w:rPr>
          <w:rFonts w:ascii="宋体" w:hAnsi="宋体" w:cs="宋体" w:eastAsia="宋体" w:hint="default"/>
          <w:spacing w:val="-54"/>
          <w:sz w:val="24"/>
          <w:szCs w:val="24"/>
        </w:rPr>
        <w:t>；（</w:t>
      </w:r>
      <w:r>
        <w:rPr>
          <w:rFonts w:ascii="宋体" w:hAnsi="宋体" w:cs="宋体" w:eastAsia="宋体" w:hint="default"/>
          <w:spacing w:val="-94"/>
          <w:sz w:val="24"/>
          <w:szCs w:val="24"/>
        </w:rPr>
        <w:t> </w:t>
      </w:r>
      <w:r>
        <w:rPr>
          <w:rFonts w:ascii="宋体" w:hAnsi="宋体" w:cs="宋体" w:eastAsia="宋体" w:hint="default"/>
          <w:spacing w:val="21"/>
          <w:sz w:val="24"/>
          <w:szCs w:val="24"/>
        </w:rPr>
        <w:t>3</w:t>
      </w:r>
      <w:r>
        <w:rPr>
          <w:rFonts w:ascii="宋体" w:hAnsi="宋体" w:cs="宋体" w:eastAsia="宋体" w:hint="default"/>
          <w:spacing w:val="21"/>
          <w:sz w:val="24"/>
          <w:szCs w:val="24"/>
        </w:rPr>
        <w:t>）作出合理的会计估计。</w:t>
      </w:r>
      <w:r>
        <w:rPr>
          <w:rFonts w:ascii="宋体" w:hAnsi="宋体" w:cs="宋体" w:eastAsia="宋体" w:hint="default"/>
          <w:spacing w:val="-118"/>
          <w:sz w:val="24"/>
          <w:szCs w:val="24"/>
        </w:rPr>
        <w:t> </w:t>
      </w:r>
      <w:r>
        <w:rPr>
          <w:rFonts w:ascii="宋体" w:hAnsi="宋体" w:cs="宋体" w:eastAsia="宋体" w:hint="default"/>
          <w:b/>
          <w:bCs/>
          <w:spacing w:val="13"/>
          <w:sz w:val="24"/>
          <w:szCs w:val="24"/>
        </w:rPr>
        <w:t>二、</w:t>
      </w:r>
      <w:r>
        <w:rPr>
          <w:rFonts w:ascii="宋体" w:hAnsi="宋体" w:cs="宋体" w:eastAsia="宋体" w:hint="default"/>
          <w:b/>
          <w:bCs/>
          <w:spacing w:val="-106"/>
          <w:sz w:val="24"/>
          <w:szCs w:val="24"/>
        </w:rPr>
        <w:t> </w:t>
      </w:r>
      <w:r>
        <w:rPr>
          <w:rFonts w:ascii="宋体" w:hAnsi="宋体" w:cs="宋体" w:eastAsia="宋体" w:hint="default"/>
          <w:b/>
          <w:bCs/>
          <w:spacing w:val="21"/>
          <w:sz w:val="24"/>
          <w:szCs w:val="24"/>
        </w:rPr>
        <w:t>注册会计师的责任</w:t>
      </w:r>
      <w:r>
        <w:rPr>
          <w:rFonts w:ascii="宋体" w:hAnsi="宋体" w:cs="宋体" w:eastAsia="宋体" w:hint="default"/>
          <w:spacing w:val="21"/>
          <w:sz w:val="24"/>
          <w:szCs w:val="24"/>
        </w:rPr>
      </w:r>
    </w:p>
    <w:p>
      <w:pPr>
        <w:pStyle w:val="Heading3"/>
        <w:spacing w:line="286" w:lineRule="exact" w:before="0"/>
        <w:ind w:right="0" w:firstLine="540"/>
        <w:jc w:val="both"/>
      </w:pPr>
      <w:r>
        <w:rPr>
          <w:spacing w:val="22"/>
        </w:rPr>
        <w:t>我们的责任是在实施审计工作的基础上对财务报表发表审计意见。我们按照中国注册</w:t>
      </w:r>
      <w:r>
        <w:rPr>
          <w:spacing w:val="-96"/>
        </w:rPr>
        <w:t> </w:t>
      </w:r>
      <w:r>
        <w:rPr/>
      </w:r>
    </w:p>
    <w:p>
      <w:pPr>
        <w:pStyle w:val="Heading3"/>
        <w:spacing w:line="355" w:lineRule="auto"/>
        <w:ind w:right="0"/>
        <w:jc w:val="left"/>
      </w:pPr>
      <w:r>
        <w:rPr>
          <w:spacing w:val="22"/>
        </w:rPr>
        <w:t>会计师审计准则的规定执行了审计工作。中国注册会计师审计准则要求我们遵守职业道德</w:t>
      </w:r>
      <w:r>
        <w:rPr>
          <w:spacing w:val="-101"/>
        </w:rPr>
        <w:t> </w:t>
      </w:r>
      <w:r>
        <w:rPr>
          <w:spacing w:val="-101"/>
        </w:rPr>
      </w:r>
      <w:r>
        <w:rPr>
          <w:spacing w:val="23"/>
        </w:rPr>
        <w:t>规范，计划和实施审计工作以对财务报表是否不存在重大错报获取合理保证。</w:t>
      </w:r>
      <w:r>
        <w:rPr>
          <w:spacing w:val="-96"/>
        </w:rPr>
        <w:t> </w:t>
      </w:r>
      <w:r>
        <w:rPr/>
      </w:r>
    </w:p>
    <w:p>
      <w:pPr>
        <w:pStyle w:val="Heading3"/>
        <w:spacing w:line="357" w:lineRule="auto" w:before="39"/>
        <w:ind w:right="895" w:firstLine="540"/>
        <w:jc w:val="both"/>
      </w:pPr>
      <w:r>
        <w:rPr>
          <w:spacing w:val="22"/>
        </w:rPr>
        <w:t>审计工作涉及实施审计程序，以获取有关财务报表金额和披露的审计证据。选择的审</w:t>
      </w:r>
      <w:r>
        <w:rPr>
          <w:spacing w:val="-96"/>
        </w:rPr>
        <w:t> </w:t>
      </w:r>
      <w:r>
        <w:rPr>
          <w:spacing w:val="23"/>
        </w:rPr>
        <w:t>计程序取决于注册会计师的判断，包括对由于舞弊或错误导致的财务报表重大错报风险的</w:t>
      </w:r>
      <w:r>
        <w:rPr>
          <w:spacing w:val="-114"/>
        </w:rPr>
        <w:t> </w:t>
      </w:r>
      <w:r>
        <w:rPr>
          <w:spacing w:val="15"/>
        </w:rPr>
        <w:t>评估。</w:t>
      </w:r>
      <w:r>
        <w:rPr>
          <w:spacing w:val="-96"/>
        </w:rPr>
        <w:t> </w:t>
      </w:r>
      <w:r>
        <w:rPr>
          <w:spacing w:val="20"/>
        </w:rPr>
        <w:t>在进行风险评估时，</w:t>
      </w:r>
      <w:r>
        <w:rPr>
          <w:spacing w:val="-96"/>
        </w:rPr>
        <w:t> </w:t>
      </w:r>
      <w:r>
        <w:rPr>
          <w:spacing w:val="21"/>
        </w:rPr>
        <w:t>我们考虑与财务报表编制相关的内部控制，</w:t>
      </w:r>
      <w:r>
        <w:rPr>
          <w:spacing w:val="-96"/>
        </w:rPr>
        <w:t> </w:t>
      </w:r>
      <w:r>
        <w:rPr>
          <w:spacing w:val="20"/>
        </w:rPr>
        <w:t>以设计恰当的审计</w:t>
      </w:r>
      <w:r>
        <w:rPr>
          <w:spacing w:val="-110"/>
        </w:rPr>
        <w:t> </w:t>
      </w:r>
      <w:r>
        <w:rPr>
          <w:spacing w:val="-110"/>
        </w:rPr>
      </w:r>
      <w:r>
        <w:rPr>
          <w:spacing w:val="22"/>
        </w:rPr>
        <w:t>程序，但目的并非对内部控制的有效性发表意见。审计工作还包括评价管理层选用会计政</w:t>
      </w:r>
    </w:p>
    <w:p>
      <w:pPr>
        <w:pStyle w:val="Heading3"/>
        <w:spacing w:line="240" w:lineRule="auto" w:before="34"/>
        <w:ind w:right="0"/>
        <w:jc w:val="left"/>
      </w:pPr>
      <w:r>
        <w:rPr>
          <w:spacing w:val="23"/>
        </w:rPr>
        <w:t>策的恰当性和作出会计估计的合理性，以及评价财务报表的总体列报。</w:t>
      </w:r>
      <w:r>
        <w:rPr>
          <w:spacing w:val="-96"/>
        </w:rPr>
        <w:t> </w:t>
      </w:r>
      <w:r>
        <w:rPr/>
      </w:r>
    </w:p>
    <w:p>
      <w:pPr>
        <w:pStyle w:val="Heading3"/>
        <w:spacing w:line="240" w:lineRule="auto"/>
        <w:ind w:left="680" w:right="0"/>
        <w:jc w:val="left"/>
      </w:pPr>
      <w:r>
        <w:rPr>
          <w:spacing w:val="23"/>
        </w:rPr>
        <w:t>我们相信，我们获取的审计证据是充分、适当的，为发表审计意见提供了基础。</w:t>
      </w:r>
      <w:r>
        <w:rPr>
          <w:spacing w:val="-96"/>
        </w:rPr>
        <w:t> </w:t>
      </w:r>
      <w:r>
        <w:rPr/>
      </w:r>
    </w:p>
    <w:p>
      <w:pPr>
        <w:spacing w:after="0" w:line="240" w:lineRule="auto"/>
        <w:jc w:val="left"/>
        <w:sectPr>
          <w:pgSz w:w="11910" w:h="16840"/>
          <w:pgMar w:header="720" w:footer="956" w:top="1300" w:bottom="1140" w:left="580" w:right="0"/>
        </w:sectPr>
      </w:pPr>
    </w:p>
    <w:p>
      <w:pPr>
        <w:pStyle w:val="Heading2"/>
        <w:spacing w:line="240" w:lineRule="auto" w:before="13"/>
        <w:ind w:left="608" w:right="0"/>
        <w:jc w:val="left"/>
        <w:rPr>
          <w:b w:val="0"/>
          <w:bCs w:val="0"/>
        </w:rPr>
      </w:pPr>
      <w:r>
        <w:rPr/>
        <w:pict>
          <v:group style="position:absolute;margin-left:34.560001pt;margin-top:2.305654pt;width:508.3pt;height:.1pt;mso-position-horizontal-relative:page;mso-position-vertical-relative:paragraph;z-index:-533968" coordorigin="691,46" coordsize="10166,2">
            <v:shape style="position:absolute;left:691;top:46;width:10166;height:2" coordorigin="691,46" coordsize="10166,0" path="m691,46l10857,46e" filled="false" stroked="true" strokeweight=".72pt" strokecolor="#000000">
              <v:path arrowok="t"/>
            </v:shape>
            <w10:wrap type="none"/>
          </v:group>
        </w:pict>
      </w:r>
      <w:r>
        <w:rPr>
          <w:spacing w:val="13"/>
        </w:rPr>
        <w:t>三、</w:t>
      </w:r>
      <w:r>
        <w:rPr>
          <w:spacing w:val="-104"/>
        </w:rPr>
        <w:t> </w:t>
      </w:r>
      <w:r>
        <w:rPr>
          <w:spacing w:val="18"/>
        </w:rPr>
        <w:t>审计意见</w:t>
      </w:r>
      <w:r>
        <w:rPr>
          <w:b w:val="0"/>
          <w:bCs w:val="0"/>
          <w:spacing w:val="18"/>
        </w:rPr>
      </w:r>
    </w:p>
    <w:p>
      <w:pPr>
        <w:pStyle w:val="Heading3"/>
        <w:spacing w:line="357" w:lineRule="auto" w:before="152"/>
        <w:ind w:right="0" w:firstLine="540"/>
        <w:jc w:val="left"/>
      </w:pPr>
      <w:r>
        <w:rPr>
          <w:spacing w:val="21"/>
        </w:rPr>
        <w:t>我们认为，贵公司财务报表已经按照《</w:t>
      </w:r>
      <w:r>
        <w:rPr>
          <w:spacing w:val="-95"/>
        </w:rPr>
        <w:t> </w:t>
      </w:r>
      <w:r>
        <w:rPr>
          <w:spacing w:val="21"/>
        </w:rPr>
        <w:t>企业会计准则》的规定编制，在所有重大方面</w:t>
      </w:r>
      <w:r>
        <w:rPr/>
        <w:t> </w:t>
      </w:r>
      <w:r>
        <w:rPr>
          <w:spacing w:val="21"/>
        </w:rPr>
        <w:t>公允反映了贵公司</w:t>
      </w:r>
      <w:r>
        <w:rPr>
          <w:spacing w:val="-28"/>
        </w:rPr>
        <w:t> </w:t>
      </w:r>
      <w:r>
        <w:rPr>
          <w:rFonts w:ascii="宋体" w:hAnsi="宋体" w:cs="宋体" w:eastAsia="宋体" w:hint="default"/>
          <w:spacing w:val="9"/>
        </w:rPr>
        <w:t>2010</w:t>
      </w:r>
      <w:r>
        <w:rPr>
          <w:rFonts w:ascii="宋体" w:hAnsi="宋体" w:cs="宋体" w:eastAsia="宋体" w:hint="default"/>
          <w:spacing w:val="-41"/>
        </w:rPr>
        <w:t> </w:t>
      </w:r>
      <w:r>
        <w:rPr/>
        <w:t>年</w:t>
      </w:r>
      <w:r>
        <w:rPr>
          <w:spacing w:val="-28"/>
        </w:rPr>
        <w:t> </w:t>
      </w:r>
      <w:r>
        <w:rPr>
          <w:rFonts w:ascii="宋体" w:hAnsi="宋体" w:cs="宋体" w:eastAsia="宋体" w:hint="default"/>
          <w:spacing w:val="6"/>
        </w:rPr>
        <w:t>12</w:t>
      </w:r>
      <w:r>
        <w:rPr>
          <w:rFonts w:ascii="宋体" w:hAnsi="宋体" w:cs="宋体" w:eastAsia="宋体" w:hint="default"/>
          <w:spacing w:val="-44"/>
        </w:rPr>
        <w:t> </w:t>
      </w:r>
      <w:r>
        <w:rPr/>
        <w:t>月</w:t>
      </w:r>
      <w:r>
        <w:rPr>
          <w:spacing w:val="-28"/>
        </w:rPr>
        <w:t> </w:t>
      </w:r>
      <w:r>
        <w:rPr>
          <w:rFonts w:ascii="宋体" w:hAnsi="宋体" w:cs="宋体" w:eastAsia="宋体" w:hint="default"/>
          <w:spacing w:val="6"/>
        </w:rPr>
        <w:t>31</w:t>
      </w:r>
      <w:r>
        <w:rPr>
          <w:rFonts w:ascii="宋体" w:hAnsi="宋体" w:cs="宋体" w:eastAsia="宋体" w:hint="default"/>
          <w:spacing w:val="-41"/>
        </w:rPr>
        <w:t> </w:t>
      </w:r>
      <w:r>
        <w:rPr>
          <w:spacing w:val="19"/>
        </w:rPr>
        <w:t>日的财务状况以及</w:t>
      </w:r>
      <w:r>
        <w:rPr>
          <w:spacing w:val="-26"/>
        </w:rPr>
        <w:t> </w:t>
      </w:r>
      <w:r>
        <w:rPr>
          <w:rFonts w:ascii="宋体" w:hAnsi="宋体" w:cs="宋体" w:eastAsia="宋体" w:hint="default"/>
          <w:spacing w:val="9"/>
        </w:rPr>
        <w:t>2010</w:t>
      </w:r>
      <w:r>
        <w:rPr>
          <w:rFonts w:ascii="宋体" w:hAnsi="宋体" w:cs="宋体" w:eastAsia="宋体" w:hint="default"/>
          <w:spacing w:val="-41"/>
        </w:rPr>
        <w:t> </w:t>
      </w:r>
      <w:r>
        <w:rPr>
          <w:spacing w:val="21"/>
        </w:rPr>
        <w:t>年度的经营成果和现金流量。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5368" w:val="left" w:leader="none"/>
        </w:tabs>
        <w:spacing w:line="240" w:lineRule="auto" w:before="184"/>
        <w:ind w:left="620" w:right="0"/>
        <w:jc w:val="left"/>
      </w:pPr>
      <w:r>
        <w:rPr/>
        <w:pict>
          <v:group style="position:absolute;margin-left:125.625pt;margin-top:17.360603pt;width:173.9pt;height:94.5pt;mso-position-horizontal-relative:page;mso-position-vertical-relative:paragraph;z-index:-533944" coordorigin="2513,347" coordsize="3478,1890">
            <v:group style="position:absolute;left:2520;top:703;width:505;height:1098" coordorigin="2520,703" coordsize="505,1098">
              <v:shape style="position:absolute;left:2520;top:703;width:505;height:1098" coordorigin="2520,703" coordsize="505,1098" path="m3024,703l3001,785,2978,867,2954,949,2930,1031,2907,1113,2883,1195,2860,1277,2884,1277,2909,1277,2933,1277,2957,1277,2948,1352,2940,1426,2931,1501,2922,1576,2914,1651,2905,1726,2897,1801,2821,1801,2746,1801,2671,1801,2595,1801,2520,1801,2543,1718,2566,1636,2590,1554,2613,1472,2637,1390,2660,1307,2683,1225,2662,1225,2641,1225,2619,1225,2598,1225,2606,1151,2615,1076,2624,1001,2632,927,2641,852,2650,778,2658,703,2731,703,2805,703,2878,703,2951,703,3024,703xe" filled="false" stroked="true" strokeweight=".75pt" strokecolor="#ccffcc">
                <v:path arrowok="t"/>
                <v:stroke dashstyle="dash"/>
              </v:shape>
            </v:group>
            <v:group style="position:absolute;left:2571;top:780;width:404;height:945" coordorigin="2571,780" coordsize="404,945">
              <v:shape style="position:absolute;left:2571;top:780;width:404;height:945" coordorigin="2571,780" coordsize="404,945" path="m2879,1724l2888,1650,2896,1576,2905,1502,2913,1427,2922,1353,2894,1353,2865,1353,2837,1353,2809,1353,2832,1271,2856,1189,2880,1107,2903,1025,2927,944,2951,862,2974,780,2899,780,2825,780,2750,780,2676,780,2667,853,2659,927,2650,1001,2641,1075,2633,1149,2658,1149,2684,1149,2709,1149,2735,1149,2711,1231,2688,1313,2664,1395,2641,1478,2617,1560,2594,1642,2571,1724,2648,1724,2725,1724,2802,1724,2879,1724xe" filled="false" stroked="true" strokeweight=".75pt" strokecolor="#ccffcc">
                <v:path arrowok="t"/>
                <v:stroke dashstyle="dash"/>
              </v:shape>
            </v:group>
            <v:group style="position:absolute;left:2911;top:355;width:425;height:1446" coordorigin="2911,355" coordsize="425,1446">
              <v:shape style="position:absolute;left:2911;top:355;width:425;height:1446" coordorigin="2911,355" coordsize="425,1446" path="m3085,1780l3095,1699,3104,1618,3113,1538,3123,1457,3132,1376,3141,1296,3151,1215,3152,1205,3151,1198,3147,1198,3144,1198,3141,1207,3139,1221,3130,1301,3121,1381,3112,1460,3103,1540,3093,1620,3084,1700,3075,1780,3073,1794,3070,1801,2911,1801,2920,1720,2929,1640,2938,1560,2947,1479,2957,1399,2966,1319,2975,1238,2985,1158,2994,1078,3003,997,3013,917,3022,837,3031,756,3041,676,3050,596,3059,515,3068,435,3078,355,3121,355,3164,355,3207,355,3250,355,3240,441,3230,528,3220,615,3210,701,3220,694,3229,689,3238,686,3247,685,3273,692,3313,751,3333,867,3335,942,3332,1028,3322,1126,3313,1210,3303,1295,3293,1379,3284,1463,3274,1548,3264,1632,3254,1716,3245,1801,3206,1801,3167,1801,3129,1801,3090,1801,3085,1801,3084,1794,3085,1780xe" filled="false" stroked="true" strokeweight=".75pt" strokecolor="#ccffcc">
                <v:path arrowok="t"/>
                <v:stroke dashstyle="dash"/>
              </v:shape>
            </v:group>
            <v:group style="position:absolute;left:2945;top:431;width:363;height:1294" coordorigin="2945,431" coordsize="363,1294">
              <v:shape style="position:absolute;left:2945;top:431;width:363;height:1294" coordorigin="2945,431" coordsize="363,1294" path="m3227,1724l3236,1650,3244,1575,3253,1500,3262,1425,3271,1350,3279,1276,3288,1201,3297,1126,3304,1046,3307,974,3306,912,3291,816,3238,761,3223,765,3206,778,3188,798,3170,827,3179,748,3188,669,3197,589,3206,510,3215,431,3185,431,3155,431,3125,431,3094,431,3085,512,3076,593,3067,674,3057,754,3048,835,3039,916,3029,997,3020,1078,3010,1158,3001,1239,2991,1320,2982,1401,2973,1482,2963,1563,2954,1643,2945,1724,2975,1724,3005,1724,3036,1724,3066,1724,3075,1639,3085,1554,3095,1469,3105,1383,3115,1298,3125,1213,3131,1173,3138,1145,3146,1128,3156,1122,3164,1122,3169,1130,3170,1145,3170,1158,3170,1176,3155,1308,3146,1392,3136,1475,3126,1558,3117,1641,3107,1724,3137,1724,3167,1724,3197,1724,3227,1724xe" filled="false" stroked="true" strokeweight=".75pt" strokecolor="#ccffcc">
                <v:path arrowok="t"/>
                <v:stroke dashstyle="dash"/>
              </v:shape>
            </v:group>
            <v:group style="position:absolute;left:3319;top:685;width:411;height:1147" coordorigin="3319,685" coordsize="411,1147">
              <v:shape style="position:absolute;left:3319;top:685;width:411;height:1147" coordorigin="3319,685" coordsize="411,1147" path="m3590,685l3659,727,3708,854,3720,925,3727,1001,3729,1082,3727,1169,3719,1260,3706,1350,3689,1436,3668,1516,3643,1592,3614,1662,3576,1737,3537,1790,3458,1832,3421,1821,3362,1737,3341,1662,3328,1592,3321,1516,3319,1436,3322,1350,3330,1260,3343,1169,3360,1082,3381,1001,3406,925,3434,854,3472,779,3511,727,3590,685xe" filled="false" stroked="true" strokeweight=".75pt" strokecolor="#ccffcc">
                <v:path arrowok="t"/>
                <v:stroke dashstyle="dash"/>
              </v:shape>
            </v:group>
            <v:group style="position:absolute;left:3347;top:761;width:356;height:994" coordorigin="3347,761" coordsize="356,994">
              <v:shape style="position:absolute;left:3347;top:761;width:356;height:994" coordorigin="3347,761" coordsize="356,994" path="m3467,1755l3536,1718,3602,1609,3627,1548,3648,1483,3667,1413,3681,1339,3693,1260,3701,1162,3702,1070,3696,985,3684,908,3665,844,3614,770,3582,761,3548,770,3480,844,3447,908,3422,969,3400,1035,3382,1106,3367,1181,3356,1260,3348,1358,3347,1448,3353,1532,3365,1609,3384,1673,3435,1746,3467,1755xe" filled="false" stroked="true" strokeweight=".75pt" strokecolor="#ccffcc">
                <v:path arrowok="t"/>
                <v:stroke dashstyle="dash"/>
              </v:shape>
              <v:shape style="position:absolute;left:3465;top:1108;width:118;height:302" type="#_x0000_t75" stroked="false">
                <v:imagedata r:id="rId26" o:title=""/>
              </v:shape>
              <v:shape style="position:absolute;left:3671;top:347;width:2319;height:1890" type="#_x0000_t75" stroked="false">
                <v:imagedata r:id="rId27" o:title=""/>
              </v:shape>
            </v:group>
            <w10:wrap type="none"/>
          </v:group>
        </w:pict>
      </w:r>
      <w:r>
        <w:rPr/>
        <w:pict>
          <v:group style="position:absolute;margin-left:307.17453pt;margin-top:33.860603pt;width:61.85pt;height:74.1pt;mso-position-horizontal-relative:page;mso-position-vertical-relative:paragraph;z-index:-533920" coordorigin="6143,677" coordsize="1237,1482">
            <v:group style="position:absolute;left:6151;top:685;width:407;height:1147" coordorigin="6151,685" coordsize="407,1147">
              <v:shape style="position:absolute;left:6151;top:685;width:407;height:1147" coordorigin="6151,685" coordsize="407,1147" path="m6545,1240l6543,1306,6531,1365,6516,1432,6497,1506,6476,1579,6452,1643,6427,1698,6372,1783,6317,1826,6289,1832,6252,1821,6193,1738,6172,1665,6160,1595,6153,1520,6151,1440,6154,1355,6162,1264,6175,1172,6192,1085,6213,1003,6238,927,6266,856,6304,781,6343,728,6422,685,6440,687,6488,730,6514,786,6535,860,6549,951,6556,1056,6557,1150,6557,1182,6508,1226,6490,1230,6471,1233,6469,1233,6468,1233,6467,1235,6469,1235,6471,1235,6489,1236,6508,1237,6527,1238,6545,1240xe" filled="false" stroked="true" strokeweight=".75pt" strokecolor="#ccffcc">
                <v:path arrowok="t"/>
                <v:stroke dashstyle="dash"/>
              </v:shape>
            </v:group>
            <v:group style="position:absolute;left:6179;top:761;width:352;height:994" coordorigin="6179,761" coordsize="352,994">
              <v:shape style="position:absolute;left:6179;top:761;width:352;height:994" coordorigin="6179,761" coordsize="352,994" path="m6516,1306l6487,1304,6457,1303,6427,1302,6397,1301,6392,1325,6385,1345,6355,1398,6339,1405,6330,1402,6306,1342,6304,1318,6304,1293,6316,1210,6342,1145,6371,1122,6383,1126,6392,1137,6399,1156,6403,1182,6435,1176,6467,1169,6499,1163,6530,1157,6530,1073,6526,998,6516,930,6502,870,6464,789,6413,761,6379,770,6312,844,6279,910,6254,972,6233,1039,6214,1110,6200,1185,6188,1264,6180,1361,6179,1451,6185,1535,6197,1611,6216,1674,6266,1746,6298,1755,6330,1747,6394,1685,6425,1629,6453,1562,6479,1485,6500,1400,6516,1306xe" filled="false" stroked="true" strokeweight=".75pt" strokecolor="#ccffcc">
                <v:path arrowok="t"/>
                <v:stroke dashstyle="dash"/>
              </v:shape>
            </v:group>
            <v:group style="position:absolute;left:6328;top:1188;width:57;height:151" coordorigin="6328,1188" coordsize="57,151">
              <v:shape style="position:absolute;left:6328;top:1188;width:57;height:151" coordorigin="6328,1188" coordsize="57,151" path="m6347,1339l6379,1273,6384,1241,6384,1230,6383,1220,6380,1209,6376,1194,6370,1188,6364,1188,6356,1188,6331,1249,6328,1292,6329,1305,6331,1316,6335,1330,6340,1339,6347,1339xe" filled="false" stroked="true" strokeweight=".75pt" strokecolor="#ccffcc">
                <v:path arrowok="t"/>
                <v:stroke dashstyle="dash"/>
              </v:shape>
            </v:group>
            <v:group style="position:absolute;left:6471;top:685;width:503;height:1467" coordorigin="6471,685" coordsize="503,1467">
              <v:shape style="position:absolute;left:6471;top:685;width:503;height:1467" coordorigin="6471,685" coordsize="503,1467" path="m6677,1860l6669,1933,6660,2006,6652,2079,6643,2151,6600,2151,6557,2151,6514,2151,6471,2151,6480,2073,6489,1994,6498,1916,6507,1837,6516,1758,6525,1680,6534,1601,6543,1523,6552,1444,6561,1366,6570,1287,6582,1202,6596,1122,6612,1047,6631,978,6652,913,6675,854,6712,779,6751,727,6831,685,6870,695,6930,778,6952,850,6964,918,6972,993,6974,1073,6971,1160,6963,1252,6950,1343,6933,1428,6913,1507,6888,1580,6861,1648,6823,1719,6783,1770,6700,1813,6694,1813,6689,1815,6686,1821,6683,1827,6681,1835,6679,1846,6677,1860xe" filled="false" stroked="true" strokeweight=".75pt" strokecolor="#ccffcc">
                <v:path arrowok="t"/>
                <v:stroke dashstyle="dash"/>
              </v:shape>
            </v:group>
            <v:group style="position:absolute;left:6505;top:761;width:441;height:1314" coordorigin="6505,761" coordsize="441,1314">
              <v:shape style="position:absolute;left:6505;top:761;width:441;height:1314" coordorigin="6505,761" coordsize="441,1314" path="m6683,1739l6692,1745,6702,1747,6712,1747,6780,1711,6847,1603,6871,1542,6893,1477,6911,1407,6925,1332,6937,1252,6945,1152,6946,1061,6940,978,6927,903,6909,841,6856,770,6823,761,6788,770,6720,844,6688,908,6664,970,6642,1039,6624,1115,6608,1198,6596,1287,6587,1366,6578,1445,6569,1523,6560,1602,6551,1681,6542,1760,6532,1838,6523,1917,6514,1996,6505,2075,6535,2075,6566,2075,6596,2075,6626,2075,6635,1998,6644,1920,6653,1843,6662,1766,6671,1688,6680,1611,6689,1533,6698,1456,6707,1379,6716,1301,6728,1219,6743,1160,6762,1125,6784,1114,6793,1116,6816,1174,6818,1196,6817,1220,6806,1299,6782,1360,6755,1384,6747,1382,6740,1375,6734,1364,6728,1349,6719,1427,6710,1505,6701,1583,6692,1661,6683,1739xe" filled="false" stroked="true" strokeweight=".75pt" strokecolor="#ccffcc">
                <v:path arrowok="t"/>
                <v:stroke dashstyle="dash"/>
              </v:shape>
            </v:group>
            <v:group style="position:absolute;left:6749;top:1190;width:43;height:97" coordorigin="6749,1190" coordsize="43,97">
              <v:shape style="position:absolute;left:6749;top:1190;width:43;height:97" coordorigin="6749,1190" coordsize="43,97" path="m6751,1238l6766,1287,6771,1287,6791,1231,6791,1217,6788,1207,6784,1196,6780,1190,6775,1190,6770,1190,6765,1194,6760,1205,6755,1215,6752,1225,6751,1238xe" filled="false" stroked="true" strokeweight=".75pt" strokecolor="#ccffcc">
                <v:path arrowok="t"/>
                <v:stroke dashstyle="dash"/>
              </v:shape>
            </v:group>
            <v:group style="position:absolute;left:6961;top:685;width:413;height:1137" coordorigin="6961,685" coordsize="413,1137">
              <v:shape style="position:absolute;left:6961;top:685;width:413;height:1137" coordorigin="6961,685" coordsize="413,1137" path="m7297,1801l7297,1801,7155,1801,7148,1803,7144,1805,7133,1812,7122,1817,7111,1820,7102,1821,7063,1811,7003,1730,6981,1658,6969,1590,6963,1515,6961,1434,6964,1347,6972,1254,6985,1163,7002,1077,7022,996,7047,921,7076,852,7113,779,7152,726,7231,685,7273,694,7336,772,7356,839,7367,906,7372,981,7373,1066,7368,1159,7359,1262,7350,1339,7341,1416,7333,1493,7324,1570,7315,1647,7306,1724,7297,1801xe" filled="false" stroked="true" strokeweight=".75pt" strokecolor="#ccffcc">
                <v:path arrowok="t"/>
                <v:stroke dashstyle="dash"/>
              </v:shape>
            </v:group>
            <v:group style="position:absolute;left:6989;top:761;width:357;height:984" coordorigin="6989,761" coordsize="357,984">
              <v:shape style="position:absolute;left:6989;top:761;width:357;height:984" coordorigin="6989,761" coordsize="357,984" path="m7280,1724l7288,1647,7297,1570,7306,1493,7315,1416,7324,1339,7333,1262,7341,1173,7346,1092,7345,1018,7340,953,7313,837,7259,770,7223,761,7188,770,7120,842,7087,905,7063,966,7042,1031,7024,1100,7009,1175,6998,1254,6990,1354,6989,1445,6994,1528,7007,1603,7025,1665,7078,1736,7111,1745,7120,1745,7130,1743,7139,1737,7148,1664,7156,1591,7165,1518,7173,1445,7181,1372,7170,1386,7160,1394,7118,1337,7117,1315,7118,1291,7129,1210,7154,1147,7183,1124,7192,1127,7213,1192,7214,1220,7213,1252,7210,1287,7201,1360,7193,1433,7184,1506,7176,1579,7167,1651,7159,1724,7189,1724,7219,1724,7249,1724,7280,1724xe" filled="false" stroked="true" strokeweight=".75pt" strokecolor="#ccffcc">
                <v:path arrowok="t"/>
                <v:stroke dashstyle="dash"/>
              </v:shape>
            </v:group>
            <v:group style="position:absolute;left:7144;top:1198;width:43;height:118" coordorigin="7144,1198" coordsize="43,118">
              <v:shape style="position:absolute;left:7144;top:1198;width:43;height:118" coordorigin="7144,1198" coordsize="43,118" path="m7155,1316l7162,1316,7168,1312,7187,1248,7186,1236,7186,1223,7184,1207,7181,1198,7174,1198,7169,1198,7146,1262,7144,1285,7145,1302,7148,1312,7155,1316xe" filled="false" stroked="true" strokeweight=".75pt" strokecolor="#ccffcc">
                <v:path arrowok="t"/>
                <v:stroke dashstyle="dash"/>
              </v:shape>
            </v:group>
            <w10:wrap type="none"/>
          </v:group>
        </w:pict>
      </w:r>
      <w:r>
        <w:rPr>
          <w:spacing w:val="21"/>
          <w:w w:val="95"/>
        </w:rPr>
        <w:t>中准会计师事务所</w:t>
        <w:tab/>
      </w:r>
      <w:r>
        <w:rPr>
          <w:spacing w:val="21"/>
        </w:rPr>
        <w:t>中国注册会计师：</w:t>
      </w:r>
      <w:r>
        <w:rPr>
          <w:spacing w:val="47"/>
        </w:rPr>
        <w:t> </w:t>
      </w:r>
      <w:r>
        <w:rPr>
          <w:spacing w:val="12"/>
        </w:rPr>
        <w:t>刘昆</w:t>
      </w:r>
      <w:r>
        <w:rPr>
          <w:spacing w:val="-96"/>
        </w:rPr>
        <w:t> </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4224" w:val="left" w:leader="none"/>
        </w:tabs>
        <w:spacing w:line="240" w:lineRule="auto" w:before="193"/>
        <w:ind w:left="0" w:right="1802"/>
        <w:jc w:val="center"/>
      </w:pPr>
      <w:r>
        <w:rPr>
          <w:spacing w:val="18"/>
          <w:w w:val="95"/>
        </w:rPr>
        <w:t>有限公司</w:t>
        <w:tab/>
      </w:r>
      <w:r>
        <w:rPr>
          <w:spacing w:val="21"/>
        </w:rPr>
        <w:t>中国注册会计师：张忠伟</w:t>
      </w:r>
      <w:r>
        <w:rPr>
          <w:spacing w:val="-96"/>
        </w:rPr>
        <w:t> </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3"/>
        <w:tabs>
          <w:tab w:pos="4356" w:val="left" w:leader="none"/>
        </w:tabs>
        <w:spacing w:line="240" w:lineRule="auto" w:before="190"/>
        <w:ind w:left="0" w:right="1934"/>
        <w:jc w:val="center"/>
      </w:pPr>
      <w:r>
        <w:rPr>
          <w:spacing w:val="16"/>
          <w:w w:val="95"/>
        </w:rPr>
        <w:t>中国·北京</w:t>
        <w:tab/>
      </w:r>
      <w:r>
        <w:rPr>
          <w:spacing w:val="21"/>
        </w:rPr>
        <w:t>二〇一一年三月二十九日</w:t>
      </w:r>
      <w:r>
        <w:rPr>
          <w:spacing w:val="-96"/>
        </w:rPr>
        <w:t> </w:t>
      </w:r>
      <w:r>
        <w:rPr/>
      </w:r>
    </w:p>
    <w:p>
      <w:pPr>
        <w:spacing w:after="0" w:line="240" w:lineRule="auto"/>
        <w:jc w:val="center"/>
        <w:sectPr>
          <w:pgSz w:w="11910" w:h="16840"/>
          <w:pgMar w:header="720" w:footer="956" w:top="1300" w:bottom="1140" w:left="580" w:right="0"/>
        </w:sectPr>
      </w:pPr>
    </w:p>
    <w:p>
      <w:pPr>
        <w:spacing w:line="240" w:lineRule="auto" w:before="13"/>
        <w:rPr>
          <w:rFonts w:ascii="宋体" w:hAnsi="宋体" w:cs="宋体" w:eastAsia="宋体" w:hint="default"/>
          <w:sz w:val="2"/>
          <w:szCs w:val="2"/>
        </w:rPr>
      </w:pPr>
    </w:p>
    <w:p>
      <w:pPr>
        <w:spacing w:line="20" w:lineRule="exact"/>
        <w:ind w:left="224" w:right="0" w:firstLine="0"/>
        <w:rPr>
          <w:rFonts w:ascii="宋体" w:hAnsi="宋体" w:cs="宋体" w:eastAsia="宋体" w:hint="default"/>
          <w:sz w:val="2"/>
          <w:szCs w:val="2"/>
        </w:rPr>
      </w:pPr>
      <w:r>
        <w:rPr>
          <w:rFonts w:ascii="宋体" w:hAnsi="宋体" w:cs="宋体" w:eastAsia="宋体"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2"/>
        <w:spacing w:line="240" w:lineRule="auto" w:before="180"/>
        <w:ind w:right="831"/>
        <w:jc w:val="center"/>
        <w:rPr>
          <w:b w:val="0"/>
          <w:bCs w:val="0"/>
        </w:rPr>
      </w:pPr>
      <w:r>
        <w:rPr/>
        <w:t>合并资产负债表</w:t>
      </w:r>
      <w:r>
        <w:rPr>
          <w:b w:val="0"/>
          <w:bCs w:val="0"/>
        </w:rPr>
      </w:r>
    </w:p>
    <w:p>
      <w:pPr>
        <w:tabs>
          <w:tab w:pos="8644" w:val="left" w:leader="none"/>
        </w:tabs>
        <w:spacing w:before="183"/>
        <w:ind w:left="0" w:right="734" w:firstLine="0"/>
        <w:jc w:val="center"/>
        <w:rPr>
          <w:rFonts w:ascii="宋体" w:hAnsi="宋体" w:cs="宋体" w:eastAsia="宋体" w:hint="default"/>
          <w:sz w:val="18"/>
          <w:szCs w:val="18"/>
        </w:rPr>
      </w:pPr>
      <w:r>
        <w:rPr>
          <w:rFonts w:ascii="宋体" w:hAnsi="宋体" w:cs="宋体" w:eastAsia="宋体" w:hint="default"/>
          <w:spacing w:val="-1"/>
          <w:sz w:val="18"/>
          <w:szCs w:val="18"/>
        </w:rPr>
        <w:t>单位名称：吉林紫鑫药业股份有限公司</w:t>
        <w:tab/>
        <w:t>单位：人民币（元）</w:t>
      </w:r>
    </w:p>
    <w:p>
      <w:pPr>
        <w:spacing w:line="240" w:lineRule="auto" w:before="4"/>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604"/>
        <w:gridCol w:w="398"/>
        <w:gridCol w:w="1657"/>
        <w:gridCol w:w="1476"/>
        <w:gridCol w:w="1652"/>
        <w:gridCol w:w="461"/>
        <w:gridCol w:w="1657"/>
        <w:gridCol w:w="1476"/>
      </w:tblGrid>
      <w:tr>
        <w:trPr>
          <w:trHeight w:val="715" w:hRule="exact"/>
        </w:trPr>
        <w:tc>
          <w:tcPr>
            <w:tcW w:w="1604"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42"/>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98" w:type="dxa"/>
            <w:tcBorders>
              <w:top w:val="single" w:sz="8"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附</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65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2"/>
              <w:ind w:left="4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c>
          <w:tcPr>
            <w:tcW w:w="165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461" w:type="dxa"/>
            <w:tcBorders>
              <w:top w:val="single" w:sz="8" w:space="0" w:color="000000"/>
              <w:left w:val="single" w:sz="4" w:space="0" w:color="000000"/>
              <w:bottom w:val="single" w:sz="4" w:space="0" w:color="000000"/>
              <w:right w:val="single" w:sz="4" w:space="0" w:color="000000"/>
            </w:tcBorders>
          </w:tcPr>
          <w:p>
            <w:pPr>
              <w:pStyle w:val="TableParagraph"/>
              <w:spacing w:line="203" w:lineRule="exact"/>
              <w:ind w:left="136" w:right="0"/>
              <w:jc w:val="left"/>
              <w:rPr>
                <w:rFonts w:ascii="宋体" w:hAnsi="宋体" w:cs="宋体" w:eastAsia="宋体" w:hint="default"/>
                <w:sz w:val="18"/>
                <w:szCs w:val="18"/>
              </w:rPr>
            </w:pPr>
            <w:r>
              <w:rPr>
                <w:rFonts w:ascii="宋体" w:hAnsi="宋体" w:cs="宋体" w:eastAsia="宋体" w:hint="default"/>
                <w:sz w:val="18"/>
                <w:szCs w:val="18"/>
              </w:rPr>
              <w:t>附</w:t>
            </w:r>
          </w:p>
          <w:p>
            <w:pPr>
              <w:pStyle w:val="TableParagraph"/>
              <w:spacing w:line="240" w:lineRule="auto" w:before="115"/>
              <w:ind w:left="136"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65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2"/>
              <w:ind w:left="4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76"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42"/>
              <w:ind w:left="372"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1</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1,408,494,479.76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96,399,456.42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sz w:val="18"/>
              </w:rPr>
              <w:t>13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907,000,000.00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175,000,000.00</w:t>
            </w:r>
          </w:p>
        </w:tc>
      </w:tr>
      <w:tr>
        <w:trPr>
          <w:trHeight w:val="71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z w:val="18"/>
                <w:szCs w:val="18"/>
              </w:rPr>
              <w:t>交易性金融资</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产</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z w:val="18"/>
                <w:szCs w:val="18"/>
              </w:rPr>
              <w:t>交易性金融负</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4,985,651.61</w:t>
            </w: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139,097,227.88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126,216,784.51</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sz w:val="18"/>
              </w:rPr>
              <w:t>14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66,041,232.88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23,971,806.65</w:t>
            </w:r>
          </w:p>
        </w:tc>
      </w:tr>
      <w:tr>
        <w:trPr>
          <w:trHeight w:val="432"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4</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361,823,518.14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41,052,365.17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738,306.49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18"/>
                <w:szCs w:val="18"/>
              </w:rPr>
            </w:pPr>
            <w:r>
              <w:rPr>
                <w:rFonts w:ascii="宋体"/>
                <w:spacing w:val="-1"/>
                <w:sz w:val="18"/>
              </w:rPr>
              <w:t>534,506.27</w:t>
            </w: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278"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76"/>
              <w:jc w:val="right"/>
              <w:rPr>
                <w:rFonts w:ascii="宋体" w:hAnsi="宋体" w:cs="宋体" w:eastAsia="宋体" w:hint="default"/>
                <w:sz w:val="18"/>
                <w:szCs w:val="18"/>
              </w:rPr>
            </w:pPr>
            <w:r>
              <w:rPr>
                <w:rFonts w:ascii="宋体" w:hAnsi="宋体" w:cs="宋体" w:eastAsia="宋体" w:hint="default"/>
                <w:sz w:val="18"/>
                <w:szCs w:val="18"/>
              </w:rPr>
              <w:t>应付职工薪酬</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sz w:val="18"/>
              </w:rPr>
              <w:t>15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602,148.41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669,766.58</w:t>
            </w: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278"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sz w:val="18"/>
              </w:rPr>
              <w:t>16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-2,618,656.66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-1,732,260.59</w:t>
            </w: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5</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23,528,010.93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21,836,124.52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宋体" w:hAnsi="宋体" w:cs="宋体" w:eastAsia="宋体" w:hint="default"/>
                <w:sz w:val="18"/>
                <w:szCs w:val="18"/>
              </w:rPr>
            </w:pPr>
            <w:r>
              <w:rPr>
                <w:rFonts w:ascii="宋体"/>
                <w:sz w:val="18"/>
              </w:rPr>
              <w:t>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173,040,978.23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center"/>
              <w:rPr>
                <w:rFonts w:ascii="宋体" w:hAnsi="宋体" w:cs="宋体" w:eastAsia="宋体" w:hint="default"/>
                <w:sz w:val="18"/>
                <w:szCs w:val="18"/>
              </w:rPr>
            </w:pPr>
            <w:r>
              <w:rPr>
                <w:rFonts w:ascii="宋体"/>
                <w:sz w:val="18"/>
              </w:rPr>
              <w:t>30,486,063.75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z w:val="18"/>
                <w:szCs w:val="18"/>
              </w:rPr>
              <w:t>一年内到期的</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 w:right="0"/>
              <w:jc w:val="center"/>
              <w:rPr>
                <w:rFonts w:ascii="宋体" w:hAnsi="宋体" w:cs="宋体" w:eastAsia="宋体" w:hint="default"/>
                <w:sz w:val="18"/>
                <w:szCs w:val="18"/>
              </w:rPr>
            </w:pPr>
            <w:r>
              <w:rPr>
                <w:rFonts w:ascii="宋体"/>
                <w:sz w:val="18"/>
              </w:rPr>
              <w:t>17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3,677,052.02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4,605,181.01</w:t>
            </w:r>
          </w:p>
        </w:tc>
      </w:tr>
      <w:tr>
        <w:trPr>
          <w:trHeight w:val="711"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3"/>
              <w:ind w:right="228"/>
              <w:jc w:val="right"/>
              <w:rPr>
                <w:rFonts w:ascii="宋体" w:hAnsi="宋体" w:cs="宋体" w:eastAsia="宋体" w:hint="default"/>
                <w:sz w:val="18"/>
                <w:szCs w:val="18"/>
              </w:rPr>
            </w:pPr>
            <w:r>
              <w:rPr>
                <w:rFonts w:ascii="宋体" w:hAnsi="宋体" w:cs="宋体" w:eastAsia="宋体" w:hint="default"/>
                <w:sz w:val="18"/>
                <w:szCs w:val="18"/>
              </w:rPr>
              <w:t>其他流动资产</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z w:val="18"/>
                <w:szCs w:val="18"/>
              </w:rPr>
              <w:t>一年内到期的</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宋体" w:hAnsi="宋体" w:cs="宋体" w:eastAsia="宋体" w:hint="default"/>
                <w:sz w:val="18"/>
                <w:szCs w:val="18"/>
              </w:rPr>
            </w:pPr>
            <w:r>
              <w:rPr>
                <w:rFonts w:ascii="宋体"/>
                <w:spacing w:val="-1"/>
                <w:sz w:val="18"/>
              </w:rPr>
              <w:t>15,000,000.00</w:t>
            </w: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76"/>
              <w:jc w:val="right"/>
              <w:rPr>
                <w:rFonts w:ascii="宋体" w:hAnsi="宋体" w:cs="宋体" w:eastAsia="宋体" w:hint="default"/>
                <w:sz w:val="18"/>
                <w:szCs w:val="18"/>
              </w:rPr>
            </w:pPr>
            <w:r>
              <w:rPr>
                <w:rFonts w:ascii="宋体" w:hAnsi="宋体" w:cs="宋体" w:eastAsia="宋体" w:hint="default"/>
                <w:sz w:val="18"/>
                <w:szCs w:val="18"/>
              </w:rPr>
              <w:t>其他流动负债</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224"/>
              <w:jc w:val="right"/>
              <w:rPr>
                <w:rFonts w:ascii="宋体" w:hAnsi="宋体" w:cs="宋体" w:eastAsia="宋体" w:hint="default"/>
                <w:sz w:val="18"/>
                <w:szCs w:val="18"/>
              </w:rPr>
            </w:pPr>
            <w:r>
              <w:rPr>
                <w:rFonts w:ascii="宋体" w:hAnsi="宋体" w:cs="宋体" w:eastAsia="宋体" w:hint="default"/>
                <w:b/>
                <w:bCs/>
                <w:w w:val="95"/>
                <w:sz w:val="18"/>
                <w:szCs w:val="18"/>
              </w:rPr>
              <w:t>流动资产合计</w:t>
            </w:r>
            <w:r>
              <w:rPr>
                <w:rFonts w:ascii="宋体" w:hAnsi="宋体" w:cs="宋体" w:eastAsia="宋体" w:hint="default"/>
                <w:sz w:val="18"/>
                <w:szCs w:val="18"/>
              </w:rPr>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2,110,969,866.55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315,990,794.37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72"/>
              <w:jc w:val="right"/>
              <w:rPr>
                <w:rFonts w:ascii="宋体" w:hAnsi="宋体" w:cs="宋体" w:eastAsia="宋体" w:hint="default"/>
                <w:sz w:val="18"/>
                <w:szCs w:val="18"/>
              </w:rPr>
            </w:pPr>
            <w:r>
              <w:rPr>
                <w:rFonts w:ascii="宋体" w:hAnsi="宋体" w:cs="宋体" w:eastAsia="宋体" w:hint="default"/>
                <w:b/>
                <w:bCs/>
                <w:w w:val="95"/>
                <w:sz w:val="18"/>
                <w:szCs w:val="18"/>
              </w:rPr>
              <w:t>流动负债合计</w:t>
            </w:r>
            <w:r>
              <w:rPr>
                <w:rFonts w:ascii="宋体" w:hAnsi="宋体" w:cs="宋体" w:eastAsia="宋体" w:hint="default"/>
                <w:sz w:val="18"/>
                <w:szCs w:val="18"/>
              </w:rPr>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18"/>
                <w:szCs w:val="18"/>
              </w:rPr>
            </w:pPr>
            <w:r>
              <w:rPr>
                <w:rFonts w:ascii="宋体"/>
                <w:spacing w:val="-1"/>
                <w:sz w:val="18"/>
              </w:rPr>
              <w:t>975,440,083.14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218,048,999.92</w:t>
            </w:r>
          </w:p>
        </w:tc>
      </w:tr>
      <w:tr>
        <w:trPr>
          <w:trHeight w:val="432"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z w:val="18"/>
                <w:szCs w:val="18"/>
              </w:rPr>
              <w:t>可供出售金融</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z w:val="18"/>
                <w:szCs w:val="18"/>
              </w:rPr>
              <w:t>持有至到期投</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资</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278"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228"/>
              <w:jc w:val="right"/>
              <w:rPr>
                <w:rFonts w:ascii="宋体" w:hAnsi="宋体" w:cs="宋体" w:eastAsia="宋体" w:hint="default"/>
                <w:sz w:val="18"/>
                <w:szCs w:val="18"/>
              </w:rPr>
            </w:pPr>
            <w:r>
              <w:rPr>
                <w:rFonts w:ascii="宋体" w:hAnsi="宋体" w:cs="宋体" w:eastAsia="宋体" w:hint="default"/>
                <w:sz w:val="18"/>
                <w:szCs w:val="18"/>
              </w:rPr>
              <w:t>长期股权投资</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sz w:val="18"/>
              </w:rPr>
              <w:t>7</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28,600,000.00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88" w:right="0"/>
              <w:jc w:val="center"/>
              <w:rPr>
                <w:rFonts w:ascii="宋体" w:hAnsi="宋体" w:cs="宋体" w:eastAsia="宋体" w:hint="default"/>
                <w:sz w:val="18"/>
                <w:szCs w:val="18"/>
              </w:rPr>
            </w:pPr>
            <w:r>
              <w:rPr>
                <w:rFonts w:ascii="宋体"/>
                <w:sz w:val="18"/>
              </w:rPr>
              <w:t>28,000,000.00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sz w:val="18"/>
              </w:rPr>
              <w:t>18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1,320,000.00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6,520,000.00</w:t>
            </w: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228"/>
              <w:jc w:val="right"/>
              <w:rPr>
                <w:rFonts w:ascii="宋体" w:hAnsi="宋体" w:cs="宋体" w:eastAsia="宋体" w:hint="default"/>
                <w:sz w:val="18"/>
                <w:szCs w:val="18"/>
              </w:rPr>
            </w:pPr>
            <w:r>
              <w:rPr>
                <w:rFonts w:ascii="宋体" w:hAnsi="宋体" w:cs="宋体" w:eastAsia="宋体" w:hint="default"/>
                <w:sz w:val="18"/>
                <w:szCs w:val="18"/>
              </w:rPr>
              <w:t>投资性房地产</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2"/>
              <w:ind w:left="27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8</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257,299,883.19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238,282,002.56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z w:val="18"/>
                <w:szCs w:val="18"/>
              </w:rPr>
              <w:t>递延所得税负</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 w:right="0"/>
              <w:jc w:val="center"/>
              <w:rPr>
                <w:rFonts w:ascii="宋体" w:hAnsi="宋体" w:cs="宋体" w:eastAsia="宋体" w:hint="default"/>
                <w:sz w:val="18"/>
                <w:szCs w:val="18"/>
              </w:rPr>
            </w:pPr>
            <w:r>
              <w:rPr>
                <w:rFonts w:ascii="宋体"/>
                <w:sz w:val="18"/>
              </w:rPr>
              <w:t>19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18"/>
                <w:szCs w:val="18"/>
              </w:rPr>
            </w:pPr>
            <w:r>
              <w:rPr>
                <w:rFonts w:ascii="宋体"/>
                <w:spacing w:val="-1"/>
                <w:sz w:val="18"/>
              </w:rPr>
              <w:t>725,266.67</w:t>
            </w: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2"/>
              <w:ind w:left="27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9</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115,151.48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88" w:right="0"/>
              <w:jc w:val="center"/>
              <w:rPr>
                <w:rFonts w:ascii="宋体" w:hAnsi="宋体" w:cs="宋体" w:eastAsia="宋体" w:hint="default"/>
                <w:sz w:val="18"/>
                <w:szCs w:val="18"/>
              </w:rPr>
            </w:pPr>
            <w:r>
              <w:rPr>
                <w:rFonts w:ascii="宋体"/>
                <w:sz w:val="18"/>
              </w:rPr>
              <w:t>20,661,395.00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z w:val="18"/>
                <w:szCs w:val="18"/>
              </w:rPr>
              <w:t>其他非流动负</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2"/>
              <w:ind w:left="27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b/>
                <w:bCs/>
                <w:sz w:val="18"/>
                <w:szCs w:val="18"/>
              </w:rPr>
              <w:t>非流动负债合</w:t>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2,045,266.67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6,520,000.00</w:t>
            </w:r>
          </w:p>
        </w:tc>
      </w:tr>
    </w:tbl>
    <w:p>
      <w:pPr>
        <w:spacing w:after="0" w:line="240" w:lineRule="auto"/>
        <w:jc w:val="right"/>
        <w:rPr>
          <w:rFonts w:ascii="宋体" w:hAnsi="宋体" w:cs="宋体" w:eastAsia="宋体" w:hint="default"/>
          <w:sz w:val="18"/>
          <w:szCs w:val="18"/>
        </w:rPr>
        <w:sectPr>
          <w:pgSz w:w="11910" w:h="16840"/>
          <w:pgMar w:header="720" w:footer="956" w:top="1300" w:bottom="1140" w:left="460" w:right="0"/>
        </w:sectPr>
      </w:pPr>
    </w:p>
    <w:p>
      <w:pPr>
        <w:spacing w:line="240" w:lineRule="auto" w:before="1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04"/>
        <w:gridCol w:w="398"/>
        <w:gridCol w:w="1657"/>
        <w:gridCol w:w="1476"/>
        <w:gridCol w:w="1652"/>
        <w:gridCol w:w="461"/>
        <w:gridCol w:w="1657"/>
        <w:gridCol w:w="1476"/>
      </w:tblGrid>
      <w:tr>
        <w:trPr>
          <w:trHeight w:val="432" w:hRule="exact"/>
        </w:trPr>
        <w:tc>
          <w:tcPr>
            <w:tcW w:w="1604" w:type="dxa"/>
            <w:tcBorders>
              <w:top w:val="single" w:sz="6" w:space="0" w:color="000000"/>
              <w:left w:val="single" w:sz="8" w:space="0" w:color="000000"/>
              <w:bottom w:val="single" w:sz="4" w:space="0" w:color="000000"/>
              <w:right w:val="single" w:sz="4" w:space="0" w:color="000000"/>
            </w:tcBorders>
          </w:tcPr>
          <w:p>
            <w:pPr>
              <w:pStyle w:val="TableParagraph"/>
              <w:spacing w:line="240" w:lineRule="auto" w:before="1"/>
              <w:ind w:left="278"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98" w:type="dxa"/>
            <w:tcBorders>
              <w:top w:val="single" w:sz="6" w:space="0" w:color="000000"/>
              <w:left w:val="single" w:sz="4" w:space="0" w:color="000000"/>
              <w:bottom w:val="single" w:sz="4" w:space="0" w:color="000000"/>
              <w:right w:val="single" w:sz="4" w:space="0" w:color="000000"/>
            </w:tcBorders>
          </w:tcPr>
          <w:p>
            <w:pPr/>
          </w:p>
        </w:tc>
        <w:tc>
          <w:tcPr>
            <w:tcW w:w="1657" w:type="dxa"/>
            <w:tcBorders>
              <w:top w:val="single" w:sz="6" w:space="0" w:color="000000"/>
              <w:left w:val="single" w:sz="4" w:space="0" w:color="000000"/>
              <w:bottom w:val="single" w:sz="4" w:space="0" w:color="000000"/>
              <w:right w:val="single" w:sz="4" w:space="0" w:color="000000"/>
            </w:tcBorders>
          </w:tcPr>
          <w:p>
            <w:pPr/>
          </w:p>
        </w:tc>
        <w:tc>
          <w:tcPr>
            <w:tcW w:w="1476" w:type="dxa"/>
            <w:tcBorders>
              <w:top w:val="single" w:sz="6" w:space="0" w:color="000000"/>
              <w:left w:val="single" w:sz="4" w:space="0" w:color="000000"/>
              <w:bottom w:val="single" w:sz="4" w:space="0" w:color="000000"/>
              <w:right w:val="single" w:sz="4" w:space="0" w:color="000000"/>
            </w:tcBorders>
          </w:tcPr>
          <w:p>
            <w:pPr/>
          </w:p>
        </w:tc>
        <w:tc>
          <w:tcPr>
            <w:tcW w:w="165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left="28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461" w:type="dxa"/>
            <w:tcBorders>
              <w:top w:val="single" w:sz="6" w:space="0" w:color="000000"/>
              <w:left w:val="single" w:sz="4" w:space="0" w:color="000000"/>
              <w:bottom w:val="single" w:sz="4" w:space="0" w:color="000000"/>
              <w:right w:val="single" w:sz="4" w:space="0" w:color="000000"/>
            </w:tcBorders>
          </w:tcPr>
          <w:p>
            <w:pPr/>
          </w:p>
        </w:tc>
        <w:tc>
          <w:tcPr>
            <w:tcW w:w="165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977,485,349.81</w:t>
            </w:r>
          </w:p>
        </w:tc>
        <w:tc>
          <w:tcPr>
            <w:tcW w:w="14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224,568,999.92</w:t>
            </w:r>
          </w:p>
        </w:tc>
      </w:tr>
      <w:tr>
        <w:trPr>
          <w:trHeight w:val="71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z w:val="18"/>
                <w:szCs w:val="18"/>
              </w:rPr>
              <w:t>生产性生物资</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产</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27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center"/>
              <w:rPr>
                <w:rFonts w:ascii="宋体" w:hAnsi="宋体" w:cs="宋体" w:eastAsia="宋体" w:hint="default"/>
                <w:sz w:val="18"/>
                <w:szCs w:val="18"/>
              </w:rPr>
            </w:pPr>
            <w:r>
              <w:rPr>
                <w:rFonts w:ascii="宋体"/>
                <w:sz w:val="18"/>
              </w:rPr>
              <w:t>20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256,495,691.00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121,541,400.00</w:t>
            </w: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10</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168,478,480.17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47,996,077.70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sz w:val="18"/>
              </w:rPr>
              <w:t>21</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980,312,708.23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100,173,875.66</w:t>
            </w: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sz w:val="18"/>
              </w:rPr>
              <w:t>22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43,453,259.96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38,667,258.62</w:t>
            </w:r>
          </w:p>
        </w:tc>
      </w:tr>
      <w:tr>
        <w:trPr>
          <w:trHeight w:val="43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11</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2,022,222.20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2,600,000.00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 w:right="0"/>
              <w:jc w:val="center"/>
              <w:rPr>
                <w:rFonts w:ascii="宋体" w:hAnsi="宋体" w:cs="宋体" w:eastAsia="宋体" w:hint="default"/>
                <w:sz w:val="18"/>
                <w:szCs w:val="18"/>
              </w:rPr>
            </w:pPr>
            <w:r>
              <w:rPr>
                <w:rFonts w:ascii="宋体"/>
                <w:sz w:val="18"/>
              </w:rPr>
              <w:t>23</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311,503,375.76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170,219,503.10</w:t>
            </w:r>
          </w:p>
        </w:tc>
      </w:tr>
      <w:tr>
        <w:trPr>
          <w:trHeight w:val="711"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z w:val="18"/>
                <w:szCs w:val="18"/>
              </w:rPr>
              <w:t>递延所得税资</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产</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z w:val="18"/>
              </w:rPr>
              <w:t>12</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1,779,473.46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1,663,514.06</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外币报表折算</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z w:val="18"/>
                <w:szCs w:val="18"/>
              </w:rPr>
              <w:t>其他非流动资</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产</w:t>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归属于母公司</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1,591,765,034.95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430,602,037.38</w:t>
            </w:r>
          </w:p>
        </w:tc>
      </w:tr>
      <w:tr>
        <w:trPr>
          <w:trHeight w:val="432" w:hRule="exact"/>
        </w:trPr>
        <w:tc>
          <w:tcPr>
            <w:tcW w:w="1604" w:type="dxa"/>
            <w:tcBorders>
              <w:top w:val="single" w:sz="4" w:space="0" w:color="000000"/>
              <w:left w:val="single" w:sz="8"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76"/>
              <w:jc w:val="right"/>
              <w:rPr>
                <w:rFonts w:ascii="宋体" w:hAnsi="宋体" w:cs="宋体" w:eastAsia="宋体" w:hint="default"/>
                <w:sz w:val="18"/>
                <w:szCs w:val="18"/>
              </w:rPr>
            </w:pPr>
            <w:r>
              <w:rPr>
                <w:rFonts w:ascii="宋体" w:hAnsi="宋体" w:cs="宋体" w:eastAsia="宋体" w:hint="default"/>
                <w:sz w:val="18"/>
                <w:szCs w:val="18"/>
              </w:rPr>
              <w:t>少数股东权益</w:t>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14,692.29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18"/>
                <w:szCs w:val="18"/>
              </w:rPr>
            </w:pPr>
            <w:r>
              <w:rPr>
                <w:rFonts w:ascii="宋体"/>
                <w:spacing w:val="-1"/>
                <w:sz w:val="18"/>
              </w:rPr>
              <w:t>22,746.39</w:t>
            </w:r>
          </w:p>
        </w:tc>
      </w:tr>
      <w:tr>
        <w:trPr>
          <w:trHeight w:val="710" w:hRule="exact"/>
        </w:trPr>
        <w:tc>
          <w:tcPr>
            <w:tcW w:w="1604"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b/>
                <w:bCs/>
                <w:sz w:val="18"/>
                <w:szCs w:val="18"/>
              </w:rPr>
              <w:t>非流动资产合</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b/>
                <w:bCs/>
                <w:w w:val="99"/>
                <w:sz w:val="18"/>
                <w:szCs w:val="18"/>
              </w:rPr>
              <w:t>计</w:t>
            </w:r>
            <w:r>
              <w:rPr>
                <w:rFonts w:ascii="宋体" w:hAnsi="宋体" w:cs="宋体" w:eastAsia="宋体" w:hint="default"/>
                <w:sz w:val="18"/>
                <w:szCs w:val="18"/>
              </w:rPr>
            </w:r>
          </w:p>
        </w:tc>
        <w:tc>
          <w:tcPr>
            <w:tcW w:w="398"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458,295,210.50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339,202,989.32</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72"/>
              <w:jc w:val="right"/>
              <w:rPr>
                <w:rFonts w:ascii="宋体" w:hAnsi="宋体" w:cs="宋体" w:eastAsia="宋体" w:hint="default"/>
                <w:sz w:val="18"/>
                <w:szCs w:val="18"/>
              </w:rPr>
            </w:pPr>
            <w:r>
              <w:rPr>
                <w:rFonts w:ascii="宋体" w:hAnsi="宋体" w:cs="宋体" w:eastAsia="宋体" w:hint="default"/>
                <w:b/>
                <w:bCs/>
                <w:w w:val="95"/>
                <w:sz w:val="18"/>
                <w:szCs w:val="18"/>
              </w:rPr>
              <w:t>股东权益合计</w:t>
            </w:r>
            <w:r>
              <w:rPr>
                <w:rFonts w:ascii="宋体" w:hAnsi="宋体" w:cs="宋体" w:eastAsia="宋体" w:hint="default"/>
                <w:sz w:val="18"/>
                <w:szCs w:val="18"/>
              </w:rPr>
            </w:r>
          </w:p>
        </w:tc>
        <w:tc>
          <w:tcPr>
            <w:tcW w:w="461"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1,591,779,727.24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430,624,783.77</w:t>
            </w:r>
          </w:p>
        </w:tc>
      </w:tr>
      <w:tr>
        <w:trPr>
          <w:trHeight w:val="713" w:hRule="exact"/>
        </w:trPr>
        <w:tc>
          <w:tcPr>
            <w:tcW w:w="1604"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42"/>
              <w:ind w:left="429"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398" w:type="dxa"/>
            <w:tcBorders>
              <w:top w:val="single" w:sz="4" w:space="0" w:color="000000"/>
              <w:left w:val="single" w:sz="4" w:space="0" w:color="000000"/>
              <w:bottom w:val="single" w:sz="8" w:space="0" w:color="000000"/>
              <w:right w:val="single" w:sz="4" w:space="0" w:color="000000"/>
            </w:tcBorders>
          </w:tcPr>
          <w:p>
            <w:pPr/>
          </w:p>
        </w:tc>
        <w:tc>
          <w:tcPr>
            <w:tcW w:w="165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2,569,265,077.05</w:t>
            </w:r>
          </w:p>
        </w:tc>
        <w:tc>
          <w:tcPr>
            <w:tcW w:w="147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655,193,783.69</w:t>
            </w:r>
          </w:p>
        </w:tc>
        <w:tc>
          <w:tcPr>
            <w:tcW w:w="1652" w:type="dxa"/>
            <w:tcBorders>
              <w:top w:val="single" w:sz="4" w:space="0" w:color="000000"/>
              <w:left w:val="single" w:sz="4" w:space="0" w:color="000000"/>
              <w:bottom w:val="single" w:sz="8" w:space="0" w:color="000000"/>
              <w:right w:val="single" w:sz="4" w:space="0" w:color="000000"/>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b/>
                <w:bCs/>
                <w:sz w:val="18"/>
                <w:szCs w:val="18"/>
              </w:rPr>
              <w:t>负债和股东权益</w:t>
            </w:r>
            <w:r>
              <w:rPr>
                <w:rFonts w:ascii="宋体" w:hAnsi="宋体" w:cs="宋体" w:eastAsia="宋体" w:hint="default"/>
                <w:sz w:val="18"/>
                <w:szCs w:val="18"/>
              </w:rPr>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461" w:type="dxa"/>
            <w:tcBorders>
              <w:top w:val="single" w:sz="4" w:space="0" w:color="000000"/>
              <w:left w:val="single" w:sz="4" w:space="0" w:color="000000"/>
              <w:bottom w:val="single" w:sz="8"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2,569,265,077.05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655,193,783.69</w:t>
            </w:r>
          </w:p>
        </w:tc>
      </w:tr>
    </w:tbl>
    <w:p>
      <w:pPr>
        <w:spacing w:line="205" w:lineRule="exact" w:before="0"/>
        <w:ind w:left="22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注：所附附注为财务报表重要组成部分</w:t>
      </w:r>
    </w:p>
    <w:p>
      <w:pPr>
        <w:tabs>
          <w:tab w:pos="4007" w:val="left" w:leader="none"/>
          <w:tab w:pos="8414" w:val="left" w:leader="none"/>
        </w:tabs>
        <w:spacing w:before="115"/>
        <w:ind w:left="226" w:right="0" w:firstLine="0"/>
        <w:jc w:val="left"/>
        <w:rPr>
          <w:rFonts w:ascii="宋体" w:hAnsi="宋体" w:cs="宋体" w:eastAsia="宋体" w:hint="default"/>
          <w:sz w:val="18"/>
          <w:szCs w:val="18"/>
        </w:rPr>
      </w:pPr>
      <w:r>
        <w:rPr>
          <w:rFonts w:ascii="宋体" w:hAnsi="宋体" w:cs="宋体" w:eastAsia="宋体" w:hint="default"/>
          <w:spacing w:val="-1"/>
          <w:sz w:val="18"/>
          <w:szCs w:val="18"/>
        </w:rPr>
        <w:t>公司负责人：郭春生</w:t>
        <w:tab/>
        <w:t>主管会计工作负责人：徐吉峰</w:t>
        <w:tab/>
        <w:t>会计机构负责人：孙莉莉</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Heading2"/>
        <w:spacing w:line="240" w:lineRule="auto"/>
        <w:ind w:right="828"/>
        <w:jc w:val="center"/>
        <w:rPr>
          <w:b w:val="0"/>
          <w:bCs w:val="0"/>
        </w:rPr>
      </w:pPr>
      <w:r>
        <w:rPr/>
        <w:t>合并利润表</w:t>
      </w:r>
      <w:r>
        <w:rPr>
          <w:b w:val="0"/>
          <w:bCs w:val="0"/>
        </w:rPr>
      </w:r>
    </w:p>
    <w:p>
      <w:pPr>
        <w:tabs>
          <w:tab w:pos="8369" w:val="left" w:leader="none"/>
        </w:tabs>
        <w:spacing w:before="159"/>
        <w:ind w:left="226" w:right="0" w:firstLine="0"/>
        <w:jc w:val="left"/>
        <w:rPr>
          <w:rFonts w:ascii="宋体" w:hAnsi="宋体" w:cs="宋体" w:eastAsia="宋体" w:hint="default"/>
          <w:sz w:val="18"/>
          <w:szCs w:val="18"/>
        </w:rPr>
      </w:pPr>
      <w:r>
        <w:rPr>
          <w:rFonts w:ascii="宋体" w:hAnsi="宋体" w:cs="宋体" w:eastAsia="宋体" w:hint="default"/>
          <w:sz w:val="18"/>
          <w:szCs w:val="18"/>
        </w:rPr>
        <w:t>单位名称：吉林紫鑫药业股份有限公司</w:t>
        <w:tab/>
        <w:t>单位：人民币（元）</w:t>
      </w:r>
    </w:p>
    <w:p>
      <w:pPr>
        <w:spacing w:line="240" w:lineRule="auto" w:before="4"/>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5135"/>
        <w:gridCol w:w="783"/>
        <w:gridCol w:w="2225"/>
        <w:gridCol w:w="2237"/>
      </w:tblGrid>
      <w:tr>
        <w:trPr>
          <w:trHeight w:val="456" w:hRule="exact"/>
        </w:trPr>
        <w:tc>
          <w:tcPr>
            <w:tcW w:w="5135"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8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附注</w:t>
            </w:r>
          </w:p>
        </w:tc>
        <w:tc>
          <w:tcPr>
            <w:tcW w:w="222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37"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3"/>
              <w:ind w:left="5"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24</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642,417,445.93</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256,287,604.81</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24</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289,944,994.08</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59,852,901.18</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25</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4,550,457.89</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2,700,509.54</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26</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101,349,691.66</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85,685,352.36</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27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27</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42,778,133.40</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8"/>
                <w:szCs w:val="18"/>
              </w:rPr>
            </w:pPr>
            <w:r>
              <w:rPr>
                <w:rFonts w:ascii="宋体"/>
                <w:spacing w:val="-1"/>
                <w:sz w:val="18"/>
              </w:rPr>
              <w:t>25,697,360.68</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27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28</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25,889,702.14</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8"/>
                <w:szCs w:val="18"/>
              </w:rPr>
            </w:pPr>
            <w:r>
              <w:rPr>
                <w:rFonts w:ascii="宋体"/>
                <w:spacing w:val="-1"/>
                <w:sz w:val="18"/>
              </w:rPr>
              <w:t>9,044,012.50</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27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29</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1,294,565.06</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8"/>
                <w:szCs w:val="18"/>
              </w:rPr>
            </w:pPr>
            <w:r>
              <w:rPr>
                <w:rFonts w:ascii="宋体"/>
                <w:spacing w:val="-1"/>
                <w:sz w:val="18"/>
              </w:rPr>
              <w:t>4,344,918.08</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278"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加：公允价值变动收益（损失以“—”填列）</w:t>
            </w:r>
          </w:p>
        </w:tc>
        <w:tc>
          <w:tcPr>
            <w:tcW w:w="7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8" w:space="0" w:color="000000"/>
            </w:tcBorders>
          </w:tcPr>
          <w:p>
            <w:pP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278" w:right="0"/>
              <w:jc w:val="left"/>
              <w:rPr>
                <w:rFonts w:ascii="宋体" w:hAnsi="宋体" w:cs="宋体" w:eastAsia="宋体" w:hint="default"/>
                <w:sz w:val="18"/>
                <w:szCs w:val="18"/>
              </w:rPr>
            </w:pPr>
            <w:r>
              <w:rPr>
                <w:rFonts w:ascii="宋体" w:hAnsi="宋体" w:cs="宋体" w:eastAsia="宋体" w:hint="default"/>
                <w:sz w:val="18"/>
                <w:szCs w:val="18"/>
              </w:rPr>
              <w:t>投资收益（损失以“—”填列）</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30</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1,960,000.00</w:t>
            </w:r>
          </w:p>
        </w:tc>
        <w:tc>
          <w:tcPr>
            <w:tcW w:w="2237" w:type="dxa"/>
            <w:tcBorders>
              <w:top w:val="single" w:sz="4" w:space="0" w:color="000000"/>
              <w:left w:val="single" w:sz="4" w:space="0" w:color="000000"/>
              <w:bottom w:val="single" w:sz="4" w:space="0" w:color="000000"/>
              <w:right w:val="single" w:sz="8" w:space="0" w:color="000000"/>
            </w:tcBorders>
          </w:tcPr>
          <w:p>
            <w:pP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27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8" w:space="0" w:color="000000"/>
            </w:tcBorders>
          </w:tcPr>
          <w:p>
            <w:pPr/>
          </w:p>
        </w:tc>
      </w:tr>
      <w:tr>
        <w:trPr>
          <w:trHeight w:val="451"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b/>
                <w:bCs/>
                <w:sz w:val="18"/>
                <w:szCs w:val="18"/>
              </w:rPr>
              <w:t>二、营业利润（亏损以“—”填列）</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178,569,901.70</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8"/>
                <w:szCs w:val="18"/>
              </w:rPr>
            </w:pPr>
            <w:r>
              <w:rPr>
                <w:rFonts w:ascii="宋体"/>
                <w:spacing w:val="-1"/>
                <w:sz w:val="18"/>
              </w:rPr>
              <w:t>68,962,550.47</w:t>
            </w:r>
          </w:p>
        </w:tc>
      </w:tr>
    </w:tbl>
    <w:p>
      <w:pPr>
        <w:spacing w:after="0" w:line="240" w:lineRule="auto"/>
        <w:jc w:val="right"/>
        <w:rPr>
          <w:rFonts w:ascii="宋体" w:hAnsi="宋体" w:cs="宋体" w:eastAsia="宋体" w:hint="default"/>
          <w:sz w:val="18"/>
          <w:szCs w:val="18"/>
        </w:rPr>
        <w:sectPr>
          <w:pgSz w:w="11910" w:h="16840"/>
          <w:pgMar w:header="720" w:footer="956" w:top="1300" w:bottom="1140" w:left="460" w:right="0"/>
        </w:sectPr>
      </w:pPr>
    </w:p>
    <w:p>
      <w:pPr>
        <w:spacing w:line="240" w:lineRule="auto" w:before="1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5135"/>
        <w:gridCol w:w="783"/>
        <w:gridCol w:w="2225"/>
        <w:gridCol w:w="2237"/>
      </w:tblGrid>
      <w:tr>
        <w:trPr>
          <w:trHeight w:val="452" w:hRule="exact"/>
        </w:trPr>
        <w:tc>
          <w:tcPr>
            <w:tcW w:w="5135" w:type="dxa"/>
            <w:tcBorders>
              <w:top w:val="single" w:sz="6"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83" w:type="dxa"/>
            <w:tcBorders>
              <w:top w:val="single" w:sz="6" w:space="0" w:color="000000"/>
              <w:left w:val="single" w:sz="4" w:space="0" w:color="000000"/>
              <w:bottom w:val="single" w:sz="4" w:space="0" w:color="000000"/>
              <w:right w:val="single" w:sz="4" w:space="0" w:color="000000"/>
            </w:tcBorders>
          </w:tcPr>
          <w:p>
            <w:pPr/>
          </w:p>
        </w:tc>
        <w:tc>
          <w:tcPr>
            <w:tcW w:w="222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22,214.64</w:t>
            </w:r>
          </w:p>
        </w:tc>
        <w:tc>
          <w:tcPr>
            <w:tcW w:w="2237" w:type="dxa"/>
            <w:tcBorders>
              <w:top w:val="single" w:sz="6" w:space="0" w:color="000000"/>
              <w:left w:val="single" w:sz="4" w:space="0" w:color="000000"/>
              <w:bottom w:val="single" w:sz="4"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1,292,376.45</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sz w:val="18"/>
              </w:rPr>
              <w:t>31</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3,909,466.81</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265,462.94</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69,611.12</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252,501.31</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三、利润总额（亏损总额以“—”填列）</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174,682,649.53</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69,989,463.98</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27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32</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1,517,097.43</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8"/>
                <w:szCs w:val="18"/>
              </w:rPr>
            </w:pPr>
            <w:r>
              <w:rPr>
                <w:rFonts w:ascii="宋体"/>
                <w:spacing w:val="-1"/>
                <w:sz w:val="18"/>
              </w:rPr>
              <w:t>8,905,298.30</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spacing w:val="-1"/>
                <w:sz w:val="18"/>
              </w:rPr>
              <w:t>173,165,552.10</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8"/>
                <w:szCs w:val="18"/>
              </w:rPr>
            </w:pPr>
            <w:r>
              <w:rPr>
                <w:rFonts w:ascii="宋体"/>
                <w:spacing w:val="-1"/>
                <w:sz w:val="18"/>
              </w:rPr>
              <w:t>61,084,165.68</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278"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7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173,173,606.20</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6"/>
              <w:jc w:val="right"/>
              <w:rPr>
                <w:rFonts w:ascii="宋体" w:hAnsi="宋体" w:cs="宋体" w:eastAsia="宋体" w:hint="default"/>
                <w:sz w:val="18"/>
                <w:szCs w:val="18"/>
              </w:rPr>
            </w:pPr>
            <w:r>
              <w:rPr>
                <w:rFonts w:ascii="宋体"/>
                <w:spacing w:val="-1"/>
                <w:sz w:val="18"/>
              </w:rPr>
              <w:t>61,078,754.08</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278"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spacing w:val="-1"/>
                <w:sz w:val="18"/>
              </w:rPr>
              <w:t>-8,054.10</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5"/>
              <w:jc w:val="right"/>
              <w:rPr>
                <w:rFonts w:ascii="宋体" w:hAnsi="宋体" w:cs="宋体" w:eastAsia="宋体" w:hint="default"/>
                <w:sz w:val="18"/>
                <w:szCs w:val="18"/>
              </w:rPr>
            </w:pPr>
            <w:r>
              <w:rPr>
                <w:rFonts w:ascii="宋体"/>
                <w:spacing w:val="-1"/>
                <w:sz w:val="18"/>
              </w:rPr>
              <w:t>5,411.60</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8" w:space="0" w:color="000000"/>
            </w:tcBorders>
          </w:tcPr>
          <w:p>
            <w:pP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27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sz w:val="18"/>
              </w:rPr>
              <w:t>0.84</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5"/>
              <w:jc w:val="right"/>
              <w:rPr>
                <w:rFonts w:ascii="宋体" w:hAnsi="宋体" w:cs="宋体" w:eastAsia="宋体" w:hint="default"/>
                <w:sz w:val="18"/>
                <w:szCs w:val="18"/>
              </w:rPr>
            </w:pPr>
            <w:r>
              <w:rPr>
                <w:rFonts w:ascii="宋体"/>
                <w:sz w:val="18"/>
              </w:rPr>
              <w:t>0.30</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27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33</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宋体" w:hAnsi="宋体" w:cs="宋体" w:eastAsia="宋体" w:hint="default"/>
                <w:sz w:val="18"/>
                <w:szCs w:val="18"/>
              </w:rPr>
            </w:pPr>
            <w:r>
              <w:rPr>
                <w:rFonts w:ascii="宋体"/>
                <w:sz w:val="18"/>
              </w:rPr>
              <w:t>0.84</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
              <w:ind w:right="95"/>
              <w:jc w:val="right"/>
              <w:rPr>
                <w:rFonts w:ascii="宋体" w:hAnsi="宋体" w:cs="宋体" w:eastAsia="宋体" w:hint="default"/>
                <w:sz w:val="18"/>
                <w:szCs w:val="18"/>
              </w:rPr>
            </w:pPr>
            <w:r>
              <w:rPr>
                <w:rFonts w:ascii="宋体"/>
                <w:sz w:val="18"/>
              </w:rPr>
              <w:t>0.30</w:t>
            </w:r>
          </w:p>
        </w:tc>
      </w:tr>
      <w:tr>
        <w:trPr>
          <w:trHeight w:val="451"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sz w:val="18"/>
              </w:rPr>
              <w:t>34</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4,334,733.33</w:t>
            </w:r>
          </w:p>
        </w:tc>
        <w:tc>
          <w:tcPr>
            <w:tcW w:w="2237" w:type="dxa"/>
            <w:tcBorders>
              <w:top w:val="single" w:sz="4" w:space="0" w:color="000000"/>
              <w:left w:val="single" w:sz="4" w:space="0" w:color="000000"/>
              <w:bottom w:val="single" w:sz="4" w:space="0" w:color="000000"/>
              <w:right w:val="single" w:sz="8" w:space="0" w:color="000000"/>
            </w:tcBorders>
          </w:tcPr>
          <w:p>
            <w:pP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177,500,285.43</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61,084,165.68</w:t>
            </w:r>
          </w:p>
        </w:tc>
      </w:tr>
      <w:tr>
        <w:trPr>
          <w:trHeight w:val="449" w:hRule="exact"/>
        </w:trPr>
        <w:tc>
          <w:tcPr>
            <w:tcW w:w="5135"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783" w:type="dxa"/>
            <w:tcBorders>
              <w:top w:val="single" w:sz="4" w:space="0" w:color="000000"/>
              <w:left w:val="single" w:sz="4" w:space="0" w:color="000000"/>
              <w:bottom w:val="single" w:sz="4" w:space="0" w:color="000000"/>
              <w:right w:val="single" w:sz="4" w:space="0" w:color="000000"/>
            </w:tcBorders>
          </w:tcPr>
          <w:p>
            <w:pP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177,508,339.53</w:t>
            </w:r>
          </w:p>
        </w:tc>
        <w:tc>
          <w:tcPr>
            <w:tcW w:w="223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0"/>
              <w:ind w:right="96"/>
              <w:jc w:val="right"/>
              <w:rPr>
                <w:rFonts w:ascii="宋体" w:hAnsi="宋体" w:cs="宋体" w:eastAsia="宋体" w:hint="default"/>
                <w:sz w:val="18"/>
                <w:szCs w:val="18"/>
              </w:rPr>
            </w:pPr>
            <w:r>
              <w:rPr>
                <w:rFonts w:ascii="宋体"/>
                <w:spacing w:val="-1"/>
                <w:sz w:val="18"/>
              </w:rPr>
              <w:t>61,078,754.08</w:t>
            </w:r>
          </w:p>
        </w:tc>
      </w:tr>
      <w:tr>
        <w:trPr>
          <w:trHeight w:val="454" w:hRule="exact"/>
        </w:trPr>
        <w:tc>
          <w:tcPr>
            <w:tcW w:w="5135"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0"/>
              <w:ind w:left="278"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783" w:type="dxa"/>
            <w:tcBorders>
              <w:top w:val="single" w:sz="4" w:space="0" w:color="000000"/>
              <w:left w:val="single" w:sz="4" w:space="0" w:color="000000"/>
              <w:bottom w:val="single" w:sz="8" w:space="0" w:color="000000"/>
              <w:right w:val="single" w:sz="4" w:space="0" w:color="000000"/>
            </w:tcBorders>
          </w:tcPr>
          <w:p>
            <w:pPr/>
          </w:p>
        </w:tc>
        <w:tc>
          <w:tcPr>
            <w:tcW w:w="222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pacing w:val="-1"/>
                <w:sz w:val="18"/>
              </w:rPr>
              <w:t>-8,054.10</w:t>
            </w:r>
          </w:p>
        </w:tc>
        <w:tc>
          <w:tcPr>
            <w:tcW w:w="223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0"/>
              <w:ind w:right="95"/>
              <w:jc w:val="right"/>
              <w:rPr>
                <w:rFonts w:ascii="宋体" w:hAnsi="宋体" w:cs="宋体" w:eastAsia="宋体" w:hint="default"/>
                <w:sz w:val="18"/>
                <w:szCs w:val="18"/>
              </w:rPr>
            </w:pPr>
            <w:r>
              <w:rPr>
                <w:rFonts w:ascii="宋体"/>
                <w:spacing w:val="-1"/>
                <w:sz w:val="18"/>
              </w:rPr>
              <w:t>5,411.60</w:t>
            </w:r>
          </w:p>
        </w:tc>
      </w:tr>
    </w:tbl>
    <w:p>
      <w:pPr>
        <w:spacing w:line="232" w:lineRule="exact" w:before="0"/>
        <w:ind w:left="22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注：所附附注为财务报表重要组成部分</w:t>
      </w:r>
    </w:p>
    <w:p>
      <w:pPr>
        <w:tabs>
          <w:tab w:pos="3832" w:val="left" w:leader="none"/>
          <w:tab w:pos="8063" w:val="left" w:leader="none"/>
        </w:tabs>
        <w:spacing w:before="141"/>
        <w:ind w:left="226" w:right="0" w:firstLine="0"/>
        <w:jc w:val="left"/>
        <w:rPr>
          <w:rFonts w:ascii="宋体" w:hAnsi="宋体" w:cs="宋体" w:eastAsia="宋体" w:hint="default"/>
          <w:sz w:val="18"/>
          <w:szCs w:val="18"/>
        </w:rPr>
      </w:pPr>
      <w:r>
        <w:rPr>
          <w:rFonts w:ascii="宋体" w:hAnsi="宋体" w:cs="宋体" w:eastAsia="宋体" w:hint="default"/>
          <w:sz w:val="18"/>
          <w:szCs w:val="18"/>
        </w:rPr>
        <w:t>公司负责人：郭春生</w:t>
        <w:tab/>
      </w:r>
      <w:r>
        <w:rPr>
          <w:rFonts w:ascii="宋体" w:hAnsi="宋体" w:cs="宋体" w:eastAsia="宋体" w:hint="default"/>
          <w:spacing w:val="-1"/>
          <w:sz w:val="18"/>
          <w:szCs w:val="18"/>
        </w:rPr>
        <w:t>主管会计工作负责人：徐吉峰</w:t>
        <w:tab/>
        <w:t>会计机构负责人：孙莉莉</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Heading2"/>
        <w:spacing w:line="240" w:lineRule="auto"/>
        <w:ind w:right="831"/>
        <w:jc w:val="center"/>
        <w:rPr>
          <w:b w:val="0"/>
          <w:bCs w:val="0"/>
        </w:rPr>
      </w:pPr>
      <w:r>
        <w:rPr/>
        <w:t>合并现金流量表</w:t>
      </w:r>
      <w:r>
        <w:rPr>
          <w:b w:val="0"/>
          <w:bCs w:val="0"/>
        </w:rPr>
      </w:r>
    </w:p>
    <w:p>
      <w:pPr>
        <w:tabs>
          <w:tab w:pos="8543" w:val="left" w:leader="none"/>
        </w:tabs>
        <w:spacing w:before="161"/>
        <w:ind w:left="0" w:right="828" w:firstLine="0"/>
        <w:jc w:val="center"/>
        <w:rPr>
          <w:rFonts w:ascii="宋体" w:hAnsi="宋体" w:cs="宋体" w:eastAsia="宋体" w:hint="default"/>
          <w:sz w:val="18"/>
          <w:szCs w:val="18"/>
        </w:rPr>
      </w:pPr>
      <w:r>
        <w:rPr>
          <w:rFonts w:ascii="宋体" w:hAnsi="宋体" w:cs="宋体" w:eastAsia="宋体" w:hint="default"/>
          <w:sz w:val="18"/>
          <w:szCs w:val="18"/>
        </w:rPr>
        <w:t>单位名称：吉林紫鑫药业股份有限公司</w:t>
        <w:tab/>
        <w:t>单位：人民币（元）</w:t>
      </w:r>
    </w:p>
    <w:p>
      <w:pPr>
        <w:spacing w:line="240" w:lineRule="auto" w:before="4"/>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5053"/>
        <w:gridCol w:w="864"/>
        <w:gridCol w:w="2299"/>
        <w:gridCol w:w="2163"/>
      </w:tblGrid>
      <w:tr>
        <w:trPr>
          <w:trHeight w:val="365" w:hRule="exact"/>
        </w:trPr>
        <w:tc>
          <w:tcPr>
            <w:tcW w:w="5053" w:type="dxa"/>
            <w:tcBorders>
              <w:top w:val="single" w:sz="8" w:space="0" w:color="000000"/>
              <w:left w:val="single" w:sz="8" w:space="0" w:color="000000"/>
              <w:bottom w:val="single" w:sz="4" w:space="0" w:color="000000"/>
              <w:right w:val="single" w:sz="4" w:space="0" w:color="000000"/>
            </w:tcBorders>
          </w:tcPr>
          <w:p>
            <w:pPr>
              <w:pStyle w:val="TableParagraph"/>
              <w:tabs>
                <w:tab w:pos="3596" w:val="left" w:leader="none"/>
              </w:tabs>
              <w:spacing w:line="203" w:lineRule="exact"/>
              <w:ind w:left="125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864" w:type="dxa"/>
            <w:tcBorders>
              <w:top w:val="single" w:sz="8"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299" w:type="dxa"/>
            <w:tcBorders>
              <w:top w:val="single" w:sz="8"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63" w:type="dxa"/>
            <w:tcBorders>
              <w:top w:val="single" w:sz="8" w:space="0" w:color="000000"/>
              <w:left w:val="single" w:sz="4" w:space="0" w:color="000000"/>
              <w:bottom w:val="single" w:sz="4" w:space="0" w:color="000000"/>
              <w:right w:val="single" w:sz="8" w:space="0" w:color="000000"/>
            </w:tcBorders>
          </w:tcPr>
          <w:p>
            <w:pPr>
              <w:pStyle w:val="TableParagraph"/>
              <w:spacing w:line="203" w:lineRule="exact"/>
              <w:ind w:left="71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714,810,605.48</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247,402,459.31</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869,494.17</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639,465.07</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b/>
                <w:bCs/>
                <w:sz w:val="18"/>
                <w:szCs w:val="18"/>
              </w:rPr>
              <w:t>现金流入小计</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715,680,099.65</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248,041,924.38</w:t>
            </w:r>
          </w:p>
        </w:tc>
      </w:tr>
      <w:tr>
        <w:trPr>
          <w:trHeight w:val="361"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732,038,226.55</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right="96"/>
              <w:jc w:val="right"/>
              <w:rPr>
                <w:rFonts w:ascii="宋体" w:hAnsi="宋体" w:cs="宋体" w:eastAsia="宋体" w:hint="default"/>
                <w:sz w:val="18"/>
                <w:szCs w:val="18"/>
              </w:rPr>
            </w:pPr>
            <w:r>
              <w:rPr>
                <w:rFonts w:ascii="宋体"/>
                <w:spacing w:val="-1"/>
                <w:sz w:val="18"/>
              </w:rPr>
              <w:t>51,240,591.37</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35,169,434.98</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30,787,244.11</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53,924,122.67</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49,385,718.10</w:t>
            </w:r>
          </w:p>
        </w:tc>
      </w:tr>
      <w:tr>
        <w:trPr>
          <w:trHeight w:val="362"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35</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109,966,506.31</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103,821,224.99</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b/>
                <w:bCs/>
                <w:sz w:val="18"/>
                <w:szCs w:val="18"/>
              </w:rPr>
              <w:t>现金流出小计</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931,098,290.51</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235,234,778.57</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1342"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-215,418,190.86</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12,807,145.81</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1,960,000.00</w:t>
            </w:r>
          </w:p>
        </w:tc>
        <w:tc>
          <w:tcPr>
            <w:tcW w:w="2163" w:type="dxa"/>
            <w:tcBorders>
              <w:top w:val="single" w:sz="4" w:space="0" w:color="000000"/>
              <w:left w:val="single" w:sz="4" w:space="0" w:color="000000"/>
              <w:bottom w:val="single" w:sz="4" w:space="0" w:color="000000"/>
              <w:right w:val="single" w:sz="8" w:space="0" w:color="000000"/>
            </w:tcBorders>
          </w:tcPr>
          <w:p>
            <w:pPr/>
          </w:p>
        </w:tc>
      </w:tr>
    </w:tbl>
    <w:p>
      <w:pPr>
        <w:spacing w:after="0"/>
        <w:sectPr>
          <w:pgSz w:w="11910" w:h="16840"/>
          <w:pgMar w:header="720" w:footer="956" w:top="1300" w:bottom="1140" w:left="460" w:right="0"/>
        </w:sectPr>
      </w:pPr>
    </w:p>
    <w:tbl>
      <w:tblPr>
        <w:tblW w:w="0" w:type="auto"/>
        <w:jc w:val="left"/>
        <w:tblInd w:w="108" w:type="dxa"/>
        <w:tblLayout w:type="fixed"/>
        <w:tblCellMar>
          <w:top w:w="0" w:type="dxa"/>
          <w:left w:w="0" w:type="dxa"/>
          <w:bottom w:w="0" w:type="dxa"/>
          <w:right w:w="0" w:type="dxa"/>
        </w:tblCellMar>
        <w:tblLook w:val="01E0"/>
      </w:tblPr>
      <w:tblGrid>
        <w:gridCol w:w="5053"/>
        <w:gridCol w:w="864"/>
        <w:gridCol w:w="2299"/>
        <w:gridCol w:w="2163"/>
      </w:tblGrid>
      <w:tr>
        <w:trPr>
          <w:trHeight w:val="362" w:hRule="exact"/>
        </w:trPr>
        <w:tc>
          <w:tcPr>
            <w:tcW w:w="5053" w:type="dxa"/>
            <w:tcBorders>
              <w:top w:val="single" w:sz="6"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处置固定资产、无形资产和其他长期资产而收回的现金净额</w:t>
            </w:r>
          </w:p>
        </w:tc>
        <w:tc>
          <w:tcPr>
            <w:tcW w:w="864" w:type="dxa"/>
            <w:tcBorders>
              <w:top w:val="single" w:sz="6" w:space="0" w:color="000000"/>
              <w:left w:val="single" w:sz="4" w:space="0" w:color="000000"/>
              <w:bottom w:val="single" w:sz="4" w:space="0" w:color="000000"/>
              <w:right w:val="single" w:sz="4" w:space="0" w:color="000000"/>
            </w:tcBorders>
          </w:tcPr>
          <w:p>
            <w:pPr/>
          </w:p>
        </w:tc>
        <w:tc>
          <w:tcPr>
            <w:tcW w:w="2299" w:type="dxa"/>
            <w:tcBorders>
              <w:top w:val="single" w:sz="6" w:space="0" w:color="000000"/>
              <w:left w:val="single" w:sz="4" w:space="0" w:color="000000"/>
              <w:bottom w:val="single" w:sz="4" w:space="0" w:color="000000"/>
              <w:right w:val="single" w:sz="4" w:space="0" w:color="000000"/>
            </w:tcBorders>
          </w:tcPr>
          <w:p>
            <w:pPr/>
          </w:p>
        </w:tc>
        <w:tc>
          <w:tcPr>
            <w:tcW w:w="2163" w:type="dxa"/>
            <w:tcBorders>
              <w:top w:val="single" w:sz="6"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3,500,000.00</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b/>
                <w:bCs/>
                <w:sz w:val="18"/>
                <w:szCs w:val="18"/>
              </w:rPr>
              <w:t>现金流入小计</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1,960,000.00</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3,500,000.00</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148,289,153.90</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22,426,317.06</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600,000.00</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28,000,000.00</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b/>
                <w:bCs/>
                <w:sz w:val="18"/>
                <w:szCs w:val="18"/>
              </w:rPr>
              <w:t>现金流出小计</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148,889,153.90</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50,426,317.06</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1342"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-146,929,153.90</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-46,926,317.06</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1"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987,999,985.55</w:t>
            </w: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取得借款所收到的现金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932,000,000.00</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228,000,000.00</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2"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b/>
                <w:bCs/>
                <w:sz w:val="18"/>
                <w:szCs w:val="18"/>
              </w:rPr>
              <w:t>现金流入小计</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1,919,999,985.55</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228,000,000.00</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215,000,000.00</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171,100,000.00</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28,867,742.14</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15,341,191.93</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1,689,875.31</w:t>
            </w: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b/>
                <w:bCs/>
                <w:sz w:val="18"/>
                <w:szCs w:val="18"/>
              </w:rPr>
              <w:t>现金流出小计</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245,557,617.45</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186,441,191.93</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1342"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1,674,442,368.10</w:t>
            </w:r>
          </w:p>
        </w:tc>
        <w:tc>
          <w:tcPr>
            <w:tcW w:w="2163"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41,558,808.07</w:t>
            </w:r>
          </w:p>
        </w:tc>
      </w:tr>
      <w:tr>
        <w:trPr>
          <w:trHeight w:val="360" w:hRule="exact"/>
        </w:trPr>
        <w:tc>
          <w:tcPr>
            <w:tcW w:w="5053"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四、汇率变动对现金的影响</w:t>
            </w:r>
            <w:r>
              <w:rPr>
                <w:rFonts w:ascii="宋体" w:hAnsi="宋体" w:cs="宋体" w:eastAsia="宋体" w:hint="default"/>
                <w:sz w:val="18"/>
                <w:szCs w:val="18"/>
              </w:rPr>
            </w:r>
          </w:p>
        </w:tc>
        <w:tc>
          <w:tcPr>
            <w:tcW w:w="864" w:type="dxa"/>
            <w:tcBorders>
              <w:top w:val="single" w:sz="4" w:space="0" w:color="000000"/>
              <w:left w:val="single" w:sz="4" w:space="0" w:color="000000"/>
              <w:bottom w:val="single" w:sz="4" w:space="0" w:color="000000"/>
              <w:right w:val="single" w:sz="4" w:space="0" w:color="000000"/>
            </w:tcBorders>
          </w:tcPr>
          <w:p>
            <w:pPr/>
          </w:p>
        </w:tc>
        <w:tc>
          <w:tcPr>
            <w:tcW w:w="2299"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8" w:space="0" w:color="000000"/>
            </w:tcBorders>
          </w:tcPr>
          <w:p>
            <w:pPr/>
          </w:p>
        </w:tc>
      </w:tr>
      <w:tr>
        <w:trPr>
          <w:trHeight w:val="365" w:hRule="exact"/>
        </w:trPr>
        <w:tc>
          <w:tcPr>
            <w:tcW w:w="5053" w:type="dxa"/>
            <w:tcBorders>
              <w:top w:val="single" w:sz="4" w:space="0" w:color="000000"/>
              <w:left w:val="single" w:sz="8" w:space="0" w:color="000000"/>
              <w:bottom w:val="single" w:sz="8"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864" w:type="dxa"/>
            <w:tcBorders>
              <w:top w:val="single" w:sz="4" w:space="0" w:color="000000"/>
              <w:left w:val="single" w:sz="4" w:space="0" w:color="000000"/>
              <w:bottom w:val="single" w:sz="8" w:space="0" w:color="000000"/>
              <w:right w:val="single" w:sz="4" w:space="0" w:color="000000"/>
            </w:tcBorders>
          </w:tcPr>
          <w:p>
            <w:pPr/>
          </w:p>
        </w:tc>
        <w:tc>
          <w:tcPr>
            <w:tcW w:w="2299" w:type="dxa"/>
            <w:tcBorders>
              <w:top w:val="single" w:sz="4" w:space="0" w:color="000000"/>
              <w:left w:val="single" w:sz="4" w:space="0" w:color="000000"/>
              <w:bottom w:val="single" w:sz="8"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1,312,095,023.34</w:t>
            </w:r>
          </w:p>
        </w:tc>
        <w:tc>
          <w:tcPr>
            <w:tcW w:w="2163" w:type="dxa"/>
            <w:tcBorders>
              <w:top w:val="single" w:sz="4" w:space="0" w:color="000000"/>
              <w:left w:val="single" w:sz="4"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7,439,636.82</w:t>
            </w:r>
          </w:p>
        </w:tc>
      </w:tr>
    </w:tbl>
    <w:p>
      <w:pPr>
        <w:spacing w:line="203" w:lineRule="exact" w:before="0"/>
        <w:ind w:left="22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注：所附附注为财务报表重要组成部分</w:t>
      </w:r>
    </w:p>
    <w:p>
      <w:pPr>
        <w:tabs>
          <w:tab w:pos="3560" w:val="left" w:leader="none"/>
          <w:tab w:pos="7792" w:val="left" w:leader="none"/>
        </w:tabs>
        <w:spacing w:before="115"/>
        <w:ind w:left="226" w:right="0" w:firstLine="0"/>
        <w:jc w:val="left"/>
        <w:rPr>
          <w:rFonts w:ascii="宋体" w:hAnsi="宋体" w:cs="宋体" w:eastAsia="宋体" w:hint="default"/>
          <w:sz w:val="18"/>
          <w:szCs w:val="18"/>
        </w:rPr>
      </w:pPr>
      <w:r>
        <w:rPr>
          <w:rFonts w:ascii="宋体" w:hAnsi="宋体" w:cs="宋体" w:eastAsia="宋体" w:hint="default"/>
          <w:sz w:val="18"/>
          <w:szCs w:val="18"/>
        </w:rPr>
        <w:t>公司负责人：郭春生</w:t>
        <w:tab/>
      </w:r>
      <w:r>
        <w:rPr>
          <w:rFonts w:ascii="宋体" w:hAnsi="宋体" w:cs="宋体" w:eastAsia="宋体" w:hint="default"/>
          <w:spacing w:val="-1"/>
          <w:sz w:val="18"/>
          <w:szCs w:val="18"/>
        </w:rPr>
        <w:t>主管会计工作负责人：徐吉峰</w:t>
        <w:tab/>
      </w:r>
      <w:r>
        <w:rPr>
          <w:rFonts w:ascii="宋体" w:hAnsi="宋体" w:cs="宋体" w:eastAsia="宋体" w:hint="default"/>
          <w:sz w:val="18"/>
          <w:szCs w:val="18"/>
        </w:rPr>
        <w:t>会计机构负责人：孙莉莉</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Heading2"/>
        <w:spacing w:line="240" w:lineRule="auto"/>
        <w:ind w:right="492"/>
        <w:jc w:val="center"/>
        <w:rPr>
          <w:b w:val="0"/>
          <w:bCs w:val="0"/>
        </w:rPr>
      </w:pPr>
      <w:r>
        <w:rPr/>
        <w:t>合并所有者权益变动表</w:t>
      </w:r>
      <w:r>
        <w:rPr>
          <w:b w:val="0"/>
          <w:bCs w:val="0"/>
        </w:rPr>
      </w:r>
    </w:p>
    <w:p>
      <w:pPr>
        <w:spacing w:before="159"/>
        <w:ind w:left="226" w:right="0" w:firstLine="0"/>
        <w:jc w:val="left"/>
        <w:rPr>
          <w:rFonts w:ascii="宋体" w:hAnsi="宋体" w:cs="宋体" w:eastAsia="宋体" w:hint="default"/>
          <w:sz w:val="18"/>
          <w:szCs w:val="18"/>
        </w:rPr>
      </w:pPr>
      <w:r>
        <w:rPr>
          <w:rFonts w:ascii="宋体" w:hAnsi="宋体" w:cs="宋体" w:eastAsia="宋体" w:hint="default"/>
          <w:sz w:val="18"/>
          <w:szCs w:val="18"/>
        </w:rPr>
        <w:t>单位名称：吉林紫鑫药业股份有限公司</w:t>
      </w:r>
    </w:p>
    <w:p>
      <w:pPr>
        <w:spacing w:line="240" w:lineRule="auto" w:before="4"/>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1289"/>
        <w:gridCol w:w="1286"/>
        <w:gridCol w:w="1275"/>
        <w:gridCol w:w="430"/>
        <w:gridCol w:w="430"/>
        <w:gridCol w:w="1272"/>
        <w:gridCol w:w="408"/>
        <w:gridCol w:w="1435"/>
        <w:gridCol w:w="259"/>
        <w:gridCol w:w="1172"/>
        <w:gridCol w:w="1462"/>
      </w:tblGrid>
      <w:tr>
        <w:trPr>
          <w:trHeight w:val="478" w:hRule="exact"/>
        </w:trPr>
        <w:tc>
          <w:tcPr>
            <w:tcW w:w="1289"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9429" w:type="dxa"/>
            <w:gridSpan w:val="10"/>
            <w:tcBorders>
              <w:top w:val="single" w:sz="8" w:space="0" w:color="000000"/>
              <w:left w:val="single" w:sz="4" w:space="0" w:color="000000"/>
              <w:bottom w:val="single" w:sz="4"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82" w:hRule="exact"/>
        </w:trPr>
        <w:tc>
          <w:tcPr>
            <w:tcW w:w="1289" w:type="dxa"/>
            <w:vMerge/>
            <w:tcBorders>
              <w:left w:val="single" w:sz="8" w:space="0" w:color="000000"/>
              <w:right w:val="single" w:sz="4" w:space="0" w:color="000000"/>
            </w:tcBorders>
          </w:tcPr>
          <w:p>
            <w:pPr/>
          </w:p>
        </w:tc>
        <w:tc>
          <w:tcPr>
            <w:tcW w:w="679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7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50"/>
              <w:ind w:left="490" w:right="130" w:hanging="361"/>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50"/>
              <w:ind w:left="635" w:right="185"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472" w:hRule="exact"/>
        </w:trPr>
        <w:tc>
          <w:tcPr>
            <w:tcW w:w="1289" w:type="dxa"/>
            <w:vMerge/>
            <w:tcBorders>
              <w:left w:val="single" w:sz="8"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0"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357" w:lineRule="auto" w:before="115"/>
              <w:ind w:left="120" w:right="119"/>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57" w:lineRule="auto"/>
              <w:ind w:left="119" w:right="119"/>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357" w:lineRule="auto"/>
              <w:ind w:left="107" w:right="108"/>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46"/>
              <w:ind w:left="103" w:right="-34"/>
              <w:jc w:val="left"/>
              <w:rPr>
                <w:rFonts w:ascii="宋体" w:hAnsi="宋体" w:cs="宋体" w:eastAsia="宋体" w:hint="default"/>
                <w:sz w:val="18"/>
                <w:szCs w:val="18"/>
              </w:rPr>
            </w:pPr>
            <w:r>
              <w:rPr>
                <w:rFonts w:ascii="宋体" w:hAnsi="宋体" w:cs="宋体" w:eastAsia="宋体" w:hint="default"/>
                <w:sz w:val="18"/>
                <w:szCs w:val="18"/>
              </w:rPr>
              <w:t>其 他</w:t>
            </w:r>
          </w:p>
        </w:tc>
        <w:tc>
          <w:tcPr>
            <w:tcW w:w="1172"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r>
    </w:tbl>
    <w:p>
      <w:pPr>
        <w:spacing w:after="0"/>
        <w:sectPr>
          <w:pgSz w:w="11910" w:h="16840"/>
          <w:pgMar w:header="720" w:footer="956" w:top="1340" w:bottom="1140" w:left="460" w:right="0"/>
        </w:sectPr>
      </w:pPr>
    </w:p>
    <w:tbl>
      <w:tblPr>
        <w:tblW w:w="0" w:type="auto"/>
        <w:jc w:val="left"/>
        <w:tblInd w:w="108" w:type="dxa"/>
        <w:tblLayout w:type="fixed"/>
        <w:tblCellMar>
          <w:top w:w="0" w:type="dxa"/>
          <w:left w:w="0" w:type="dxa"/>
          <w:bottom w:w="0" w:type="dxa"/>
          <w:right w:w="0" w:type="dxa"/>
        </w:tblCellMar>
        <w:tblLook w:val="01E0"/>
      </w:tblPr>
      <w:tblGrid>
        <w:gridCol w:w="1289"/>
        <w:gridCol w:w="1414"/>
        <w:gridCol w:w="1419"/>
        <w:gridCol w:w="288"/>
        <w:gridCol w:w="300"/>
        <w:gridCol w:w="1272"/>
        <w:gridCol w:w="408"/>
        <w:gridCol w:w="1411"/>
        <w:gridCol w:w="283"/>
        <w:gridCol w:w="989"/>
        <w:gridCol w:w="1644"/>
      </w:tblGrid>
      <w:tr>
        <w:trPr>
          <w:trHeight w:val="711" w:hRule="exact"/>
        </w:trPr>
        <w:tc>
          <w:tcPr>
            <w:tcW w:w="1289" w:type="dxa"/>
            <w:tcBorders>
              <w:top w:val="single" w:sz="6"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一、上年年末</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41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宋体" w:hAnsi="宋体" w:cs="宋体" w:eastAsia="宋体" w:hint="default"/>
                <w:sz w:val="18"/>
                <w:szCs w:val="18"/>
              </w:rPr>
            </w:pPr>
            <w:r>
              <w:rPr>
                <w:rFonts w:ascii="宋体"/>
                <w:spacing w:val="-20"/>
                <w:sz w:val="18"/>
              </w:rPr>
              <w:t>121,541,400.00</w:t>
            </w:r>
          </w:p>
        </w:tc>
        <w:tc>
          <w:tcPr>
            <w:tcW w:w="141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20"/>
                <w:sz w:val="18"/>
              </w:rPr>
              <w:t>100,173,875.66</w:t>
            </w:r>
          </w:p>
        </w:tc>
        <w:tc>
          <w:tcPr>
            <w:tcW w:w="288" w:type="dxa"/>
            <w:tcBorders>
              <w:top w:val="single" w:sz="6" w:space="0" w:color="000000"/>
              <w:left w:val="single" w:sz="4" w:space="0" w:color="000000"/>
              <w:bottom w:val="single" w:sz="4" w:space="0" w:color="000000"/>
              <w:right w:val="single" w:sz="4" w:space="0" w:color="000000"/>
            </w:tcBorders>
          </w:tcPr>
          <w:p>
            <w:pPr/>
          </w:p>
        </w:tc>
        <w:tc>
          <w:tcPr>
            <w:tcW w:w="300" w:type="dxa"/>
            <w:tcBorders>
              <w:top w:val="single" w:sz="6" w:space="0" w:color="000000"/>
              <w:left w:val="single" w:sz="4" w:space="0" w:color="000000"/>
              <w:bottom w:val="single" w:sz="4" w:space="0" w:color="000000"/>
              <w:right w:val="single" w:sz="4" w:space="0" w:color="000000"/>
            </w:tcBorders>
          </w:tcPr>
          <w:p>
            <w:pPr/>
          </w:p>
        </w:tc>
        <w:tc>
          <w:tcPr>
            <w:tcW w:w="127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9"/>
                <w:sz w:val="18"/>
              </w:rPr>
              <w:t>38,667,258.62</w:t>
            </w:r>
          </w:p>
        </w:tc>
        <w:tc>
          <w:tcPr>
            <w:tcW w:w="408" w:type="dxa"/>
            <w:tcBorders>
              <w:top w:val="single" w:sz="6" w:space="0" w:color="000000"/>
              <w:left w:val="single" w:sz="4" w:space="0" w:color="000000"/>
              <w:bottom w:val="single" w:sz="4" w:space="0" w:color="000000"/>
              <w:right w:val="single" w:sz="4" w:space="0" w:color="000000"/>
            </w:tcBorders>
          </w:tcPr>
          <w:p>
            <w:pPr/>
          </w:p>
        </w:tc>
        <w:tc>
          <w:tcPr>
            <w:tcW w:w="141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20"/>
                <w:sz w:val="18"/>
              </w:rPr>
              <w:t>170,219,503.10</w:t>
            </w:r>
          </w:p>
        </w:tc>
        <w:tc>
          <w:tcPr>
            <w:tcW w:w="283" w:type="dxa"/>
            <w:tcBorders>
              <w:top w:val="single" w:sz="6" w:space="0" w:color="000000"/>
              <w:left w:val="single" w:sz="4" w:space="0" w:color="000000"/>
              <w:bottom w:val="single" w:sz="4" w:space="0" w:color="000000"/>
              <w:right w:val="single" w:sz="4" w:space="0" w:color="000000"/>
            </w:tcBorders>
          </w:tcPr>
          <w:p>
            <w:pPr/>
          </w:p>
        </w:tc>
        <w:tc>
          <w:tcPr>
            <w:tcW w:w="98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8"/>
                <w:sz w:val="18"/>
              </w:rPr>
              <w:t>22,746.39</w:t>
            </w:r>
          </w:p>
        </w:tc>
        <w:tc>
          <w:tcPr>
            <w:tcW w:w="164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20"/>
                <w:sz w:val="18"/>
              </w:rPr>
              <w:t>430,624,783.77</w:t>
            </w:r>
          </w:p>
        </w:tc>
      </w:tr>
      <w:tr>
        <w:trPr>
          <w:trHeight w:val="71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z w:val="18"/>
                <w:szCs w:val="18"/>
              </w:rPr>
              <w:t>加：会计政</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z w:val="18"/>
                <w:szCs w:val="18"/>
              </w:rPr>
              <w:t>前期会计</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二、本年年初</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宋体" w:hAnsi="宋体" w:cs="宋体" w:eastAsia="宋体" w:hint="default"/>
                <w:sz w:val="18"/>
                <w:szCs w:val="18"/>
              </w:rPr>
            </w:pPr>
            <w:r>
              <w:rPr>
                <w:rFonts w:ascii="宋体"/>
                <w:spacing w:val="-20"/>
                <w:sz w:val="18"/>
              </w:rPr>
              <w:t>121,541,400.00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20"/>
                <w:sz w:val="18"/>
              </w:rPr>
              <w:t>100,173,875.66</w:t>
            </w: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9"/>
                <w:sz w:val="18"/>
              </w:rPr>
              <w:t>38,667,258.62</w:t>
            </w: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20"/>
                <w:sz w:val="18"/>
              </w:rPr>
              <w:t>170,219,503.10</w:t>
            </w: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8"/>
                <w:sz w:val="18"/>
              </w:rPr>
              <w:t>22,746.39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20"/>
                <w:sz w:val="18"/>
              </w:rPr>
              <w:t>430,624,783.77</w:t>
            </w:r>
          </w:p>
        </w:tc>
      </w:tr>
      <w:tr>
        <w:trPr>
          <w:trHeight w:val="1412"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三、本年增减</w:t>
            </w:r>
            <w:r>
              <w:rPr>
                <w:rFonts w:ascii="宋体" w:hAnsi="宋体" w:cs="宋体" w:eastAsia="宋体" w:hint="default"/>
                <w:sz w:val="18"/>
                <w:szCs w:val="18"/>
              </w:rPr>
            </w:r>
          </w:p>
          <w:p>
            <w:pPr>
              <w:pStyle w:val="TableParagraph"/>
              <w:spacing w:line="357" w:lineRule="auto" w:before="115"/>
              <w:ind w:left="98" w:right="102"/>
              <w:jc w:val="left"/>
              <w:rPr>
                <w:rFonts w:ascii="宋体" w:hAnsi="宋体" w:cs="宋体" w:eastAsia="宋体" w:hint="default"/>
                <w:sz w:val="18"/>
                <w:szCs w:val="18"/>
              </w:rPr>
            </w:pPr>
            <w:r>
              <w:rPr>
                <w:rFonts w:ascii="宋体" w:hAnsi="宋体" w:cs="宋体" w:eastAsia="宋体" w:hint="default"/>
                <w:b/>
                <w:bCs/>
                <w:w w:val="95"/>
                <w:sz w:val="18"/>
                <w:szCs w:val="18"/>
              </w:rPr>
              <w:t>变动金额（减</w:t>
            </w:r>
            <w:r>
              <w:rPr>
                <w:rFonts w:ascii="宋体" w:hAnsi="宋体" w:cs="宋体" w:eastAsia="宋体" w:hint="default"/>
                <w:b/>
                <w:bCs/>
                <w:spacing w:val="-46"/>
                <w:w w:val="95"/>
                <w:sz w:val="18"/>
                <w:szCs w:val="18"/>
              </w:rPr>
              <w:t> </w:t>
            </w:r>
            <w:r>
              <w:rPr>
                <w:rFonts w:ascii="宋体" w:hAnsi="宋体" w:cs="宋体" w:eastAsia="宋体" w:hint="default"/>
                <w:b/>
                <w:bCs/>
                <w:spacing w:val="-46"/>
                <w:w w:val="95"/>
                <w:sz w:val="18"/>
                <w:szCs w:val="18"/>
              </w:rPr>
            </w:r>
            <w:r>
              <w:rPr>
                <w:rFonts w:ascii="宋体" w:hAnsi="宋体" w:cs="宋体" w:eastAsia="宋体" w:hint="default"/>
                <w:b/>
                <w:bCs/>
                <w:sz w:val="18"/>
                <w:szCs w:val="18"/>
              </w:rPr>
              <w:t>少以“</w:t>
            </w:r>
            <w:r>
              <w:rPr>
                <w:rFonts w:ascii="宋体" w:hAnsi="宋体" w:cs="宋体" w:eastAsia="宋体" w:hint="default"/>
                <w:b/>
                <w:bCs/>
                <w:sz w:val="18"/>
                <w:szCs w:val="18"/>
              </w:rPr>
              <w:t>-</w:t>
            </w:r>
            <w:r>
              <w:rPr>
                <w:rFonts w:ascii="宋体" w:hAnsi="宋体" w:cs="宋体" w:eastAsia="宋体" w:hint="default"/>
                <w:b/>
                <w:bCs/>
                <w:sz w:val="18"/>
                <w:szCs w:val="18"/>
              </w:rPr>
              <w:t>”号</w:t>
            </w:r>
            <w:r>
              <w:rPr>
                <w:rFonts w:ascii="宋体" w:hAnsi="宋体" w:cs="宋体" w:eastAsia="宋体" w:hint="default"/>
                <w:b/>
                <w:bCs/>
                <w:w w:val="99"/>
                <w:sz w:val="18"/>
                <w:szCs w:val="18"/>
              </w:rPr>
              <w:t> </w:t>
            </w:r>
            <w:r>
              <w:rPr>
                <w:rFonts w:ascii="宋体" w:hAnsi="宋体" w:cs="宋体" w:eastAsia="宋体" w:hint="default"/>
                <w:b/>
                <w:bCs/>
                <w:sz w:val="18"/>
                <w:szCs w:val="18"/>
              </w:rPr>
              <w:t>填列）</w:t>
            </w:r>
            <w:r>
              <w:rPr>
                <w:rFonts w:ascii="宋体" w:hAnsi="宋体" w:cs="宋体" w:eastAsia="宋体" w:hint="default"/>
                <w:sz w:val="18"/>
                <w:szCs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2"/>
              <w:jc w:val="right"/>
              <w:rPr>
                <w:rFonts w:ascii="宋体" w:hAnsi="宋体" w:cs="宋体" w:eastAsia="宋体" w:hint="default"/>
                <w:sz w:val="18"/>
                <w:szCs w:val="18"/>
              </w:rPr>
            </w:pPr>
            <w:r>
              <w:rPr>
                <w:rFonts w:ascii="宋体"/>
                <w:spacing w:val="-20"/>
                <w:sz w:val="18"/>
              </w:rPr>
              <w:t>134,954,291.00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宋体" w:hAnsi="宋体" w:cs="宋体" w:eastAsia="宋体" w:hint="default"/>
                <w:sz w:val="18"/>
                <w:szCs w:val="18"/>
              </w:rPr>
            </w:pPr>
            <w:r>
              <w:rPr>
                <w:rFonts w:ascii="宋体"/>
                <w:spacing w:val="-20"/>
                <w:sz w:val="18"/>
              </w:rPr>
              <w:t>880,138,832.57</w:t>
            </w: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宋体" w:hAnsi="宋体" w:cs="宋体" w:eastAsia="宋体" w:hint="default"/>
                <w:sz w:val="18"/>
                <w:szCs w:val="18"/>
              </w:rPr>
            </w:pPr>
            <w:r>
              <w:rPr>
                <w:rFonts w:ascii="宋体"/>
                <w:spacing w:val="-19"/>
                <w:sz w:val="18"/>
              </w:rPr>
              <w:t>4,786,001.34</w:t>
            </w: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宋体" w:hAnsi="宋体" w:cs="宋体" w:eastAsia="宋体" w:hint="default"/>
                <w:sz w:val="18"/>
                <w:szCs w:val="18"/>
              </w:rPr>
            </w:pPr>
            <w:r>
              <w:rPr>
                <w:rFonts w:ascii="宋体"/>
                <w:spacing w:val="-20"/>
                <w:sz w:val="18"/>
              </w:rPr>
              <w:t>141,283,872.66</w:t>
            </w: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宋体" w:hAnsi="宋体" w:cs="宋体" w:eastAsia="宋体" w:hint="default"/>
                <w:sz w:val="18"/>
                <w:szCs w:val="18"/>
              </w:rPr>
            </w:pPr>
            <w:r>
              <w:rPr>
                <w:rFonts w:ascii="宋体"/>
                <w:spacing w:val="-18"/>
                <w:sz w:val="18"/>
              </w:rPr>
              <w:t>-8,054.10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80"/>
              <w:jc w:val="right"/>
              <w:rPr>
                <w:rFonts w:ascii="宋体" w:hAnsi="宋体" w:cs="宋体" w:eastAsia="宋体" w:hint="default"/>
                <w:sz w:val="18"/>
                <w:szCs w:val="18"/>
              </w:rPr>
            </w:pPr>
            <w:r>
              <w:rPr>
                <w:rFonts w:ascii="宋体"/>
                <w:spacing w:val="-20"/>
                <w:sz w:val="18"/>
              </w:rPr>
              <w:t>1,161,154,943.47</w:t>
            </w:r>
          </w:p>
        </w:tc>
      </w:tr>
      <w:tr>
        <w:trPr>
          <w:trHeight w:val="47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0"/>
              <w:jc w:val="right"/>
              <w:rPr>
                <w:rFonts w:ascii="宋体" w:hAnsi="宋体" w:cs="宋体" w:eastAsia="宋体" w:hint="default"/>
                <w:sz w:val="18"/>
                <w:szCs w:val="18"/>
              </w:rPr>
            </w:pPr>
            <w:r>
              <w:rPr>
                <w:rFonts w:ascii="宋体"/>
                <w:spacing w:val="-20"/>
                <w:sz w:val="18"/>
              </w:rPr>
              <w:t>173,173,606.20</w:t>
            </w: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0"/>
              <w:jc w:val="right"/>
              <w:rPr>
                <w:rFonts w:ascii="宋体" w:hAnsi="宋体" w:cs="宋体" w:eastAsia="宋体" w:hint="default"/>
                <w:sz w:val="18"/>
                <w:szCs w:val="18"/>
              </w:rPr>
            </w:pPr>
            <w:r>
              <w:rPr>
                <w:rFonts w:ascii="宋体"/>
                <w:spacing w:val="-18"/>
                <w:sz w:val="18"/>
              </w:rPr>
              <w:t>-8,054.10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0"/>
              <w:jc w:val="right"/>
              <w:rPr>
                <w:rFonts w:ascii="宋体" w:hAnsi="宋体" w:cs="宋体" w:eastAsia="宋体" w:hint="default"/>
                <w:sz w:val="18"/>
                <w:szCs w:val="18"/>
              </w:rPr>
            </w:pPr>
            <w:r>
              <w:rPr>
                <w:rFonts w:ascii="宋体"/>
                <w:spacing w:val="-20"/>
                <w:sz w:val="18"/>
              </w:rPr>
              <w:t>173,165,552.10</w:t>
            </w:r>
          </w:p>
        </w:tc>
      </w:tr>
      <w:tr>
        <w:trPr>
          <w:trHeight w:val="71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（二）其他综</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0"/>
              <w:jc w:val="right"/>
              <w:rPr>
                <w:rFonts w:ascii="宋体" w:hAnsi="宋体" w:cs="宋体" w:eastAsia="宋体" w:hint="default"/>
                <w:sz w:val="18"/>
                <w:szCs w:val="18"/>
              </w:rPr>
            </w:pPr>
            <w:r>
              <w:rPr>
                <w:rFonts w:ascii="宋体"/>
                <w:spacing w:val="-19"/>
                <w:sz w:val="18"/>
              </w:rPr>
              <w:t>4,334,733.33</w:t>
            </w: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0"/>
              <w:jc w:val="right"/>
              <w:rPr>
                <w:rFonts w:ascii="宋体" w:hAnsi="宋体" w:cs="宋体" w:eastAsia="宋体" w:hint="default"/>
                <w:sz w:val="18"/>
                <w:szCs w:val="18"/>
              </w:rPr>
            </w:pPr>
            <w:r>
              <w:rPr>
                <w:rFonts w:ascii="宋体"/>
                <w:spacing w:val="-19"/>
                <w:sz w:val="18"/>
              </w:rPr>
              <w:t>4,334,733.33</w:t>
            </w:r>
          </w:p>
        </w:tc>
      </w:tr>
      <w:tr>
        <w:trPr>
          <w:trHeight w:val="71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上述（一）和</w:t>
            </w:r>
          </w:p>
          <w:p>
            <w:pPr>
              <w:pStyle w:val="TableParagraph"/>
              <w:spacing w:line="240" w:lineRule="auto" w:before="112"/>
              <w:ind w:left="98" w:right="0"/>
              <w:jc w:val="left"/>
              <w:rPr>
                <w:rFonts w:ascii="宋体" w:hAnsi="宋体" w:cs="宋体" w:eastAsia="宋体" w:hint="default"/>
                <w:sz w:val="18"/>
                <w:szCs w:val="18"/>
              </w:rPr>
            </w:pPr>
            <w:r>
              <w:rPr>
                <w:rFonts w:ascii="宋体" w:hAnsi="宋体" w:cs="宋体" w:eastAsia="宋体" w:hint="default"/>
                <w:sz w:val="18"/>
                <w:szCs w:val="18"/>
              </w:rPr>
              <w:t>（二）小计</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0"/>
              <w:jc w:val="right"/>
              <w:rPr>
                <w:rFonts w:ascii="宋体" w:hAnsi="宋体" w:cs="宋体" w:eastAsia="宋体" w:hint="default"/>
                <w:sz w:val="18"/>
                <w:szCs w:val="18"/>
              </w:rPr>
            </w:pPr>
            <w:r>
              <w:rPr>
                <w:rFonts w:ascii="宋体"/>
                <w:spacing w:val="-19"/>
                <w:sz w:val="18"/>
              </w:rPr>
              <w:t>4,334,733.33</w:t>
            </w: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0"/>
              <w:jc w:val="right"/>
              <w:rPr>
                <w:rFonts w:ascii="宋体" w:hAnsi="宋体" w:cs="宋体" w:eastAsia="宋体" w:hint="default"/>
                <w:sz w:val="18"/>
                <w:szCs w:val="18"/>
              </w:rPr>
            </w:pPr>
            <w:r>
              <w:rPr>
                <w:rFonts w:ascii="宋体"/>
                <w:spacing w:val="-20"/>
                <w:sz w:val="18"/>
              </w:rPr>
              <w:t>173,173,606.20</w:t>
            </w: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0"/>
              <w:jc w:val="right"/>
              <w:rPr>
                <w:rFonts w:ascii="宋体" w:hAnsi="宋体" w:cs="宋体" w:eastAsia="宋体" w:hint="default"/>
                <w:sz w:val="18"/>
                <w:szCs w:val="18"/>
              </w:rPr>
            </w:pPr>
            <w:r>
              <w:rPr>
                <w:rFonts w:ascii="宋体"/>
                <w:spacing w:val="-18"/>
                <w:sz w:val="18"/>
              </w:rPr>
              <w:t>-8,054.10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80"/>
              <w:jc w:val="right"/>
              <w:rPr>
                <w:rFonts w:ascii="宋体" w:hAnsi="宋体" w:cs="宋体" w:eastAsia="宋体" w:hint="default"/>
                <w:sz w:val="18"/>
                <w:szCs w:val="18"/>
              </w:rPr>
            </w:pPr>
            <w:r>
              <w:rPr>
                <w:rFonts w:ascii="宋体"/>
                <w:spacing w:val="-20"/>
                <w:sz w:val="18"/>
              </w:rPr>
              <w:t>177,500,285.43</w:t>
            </w:r>
          </w:p>
        </w:tc>
      </w:tr>
      <w:tr>
        <w:trPr>
          <w:trHeight w:val="1061"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（三）所有者</w:t>
            </w:r>
          </w:p>
          <w:p>
            <w:pPr>
              <w:pStyle w:val="TableParagraph"/>
              <w:spacing w:line="357" w:lineRule="auto" w:before="112"/>
              <w:ind w:left="98" w:right="274"/>
              <w:jc w:val="left"/>
              <w:rPr>
                <w:rFonts w:ascii="宋体" w:hAnsi="宋体" w:cs="宋体" w:eastAsia="宋体" w:hint="default"/>
                <w:sz w:val="18"/>
                <w:szCs w:val="18"/>
              </w:rPr>
            </w:pPr>
            <w:r>
              <w:rPr>
                <w:rFonts w:ascii="宋体" w:hAnsi="宋体" w:cs="宋体" w:eastAsia="宋体" w:hint="default"/>
                <w:sz w:val="18"/>
                <w:szCs w:val="18"/>
              </w:rPr>
              <w:t>投入和减少 资本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82"/>
              <w:jc w:val="right"/>
              <w:rPr>
                <w:rFonts w:ascii="宋体" w:hAnsi="宋体" w:cs="宋体" w:eastAsia="宋体" w:hint="default"/>
                <w:sz w:val="18"/>
                <w:szCs w:val="18"/>
              </w:rPr>
            </w:pPr>
            <w:r>
              <w:rPr>
                <w:rFonts w:ascii="宋体"/>
                <w:spacing w:val="-19"/>
                <w:sz w:val="18"/>
              </w:rPr>
              <w:t>49,875,311.00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80"/>
              <w:jc w:val="right"/>
              <w:rPr>
                <w:rFonts w:ascii="宋体" w:hAnsi="宋体" w:cs="宋体" w:eastAsia="宋体" w:hint="default"/>
                <w:sz w:val="18"/>
                <w:szCs w:val="18"/>
              </w:rPr>
            </w:pPr>
            <w:r>
              <w:rPr>
                <w:rFonts w:ascii="宋体"/>
                <w:spacing w:val="-20"/>
                <w:sz w:val="18"/>
              </w:rPr>
              <w:t>936,574,799.24</w:t>
            </w: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80"/>
              <w:jc w:val="right"/>
              <w:rPr>
                <w:rFonts w:ascii="宋体" w:hAnsi="宋体" w:cs="宋体" w:eastAsia="宋体" w:hint="default"/>
                <w:sz w:val="18"/>
                <w:szCs w:val="18"/>
              </w:rPr>
            </w:pPr>
            <w:r>
              <w:rPr>
                <w:rFonts w:ascii="宋体"/>
                <w:spacing w:val="-20"/>
                <w:sz w:val="18"/>
              </w:rPr>
              <w:t>986,450,110.24</w:t>
            </w:r>
          </w:p>
        </w:tc>
      </w:tr>
      <w:tr>
        <w:trPr>
          <w:trHeight w:val="71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宋体" w:hAnsi="宋体" w:cs="宋体" w:eastAsia="宋体" w:hint="default"/>
                <w:sz w:val="18"/>
                <w:szCs w:val="18"/>
              </w:rPr>
            </w:pPr>
            <w:r>
              <w:rPr>
                <w:rFonts w:ascii="宋体"/>
                <w:spacing w:val="-19"/>
                <w:sz w:val="18"/>
              </w:rPr>
              <w:t>49,875,311.00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20"/>
                <w:sz w:val="18"/>
              </w:rPr>
              <w:t>936,574,799.24</w:t>
            </w: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20"/>
                <w:sz w:val="18"/>
              </w:rPr>
              <w:t>986,450,110.24</w:t>
            </w:r>
          </w:p>
        </w:tc>
      </w:tr>
      <w:tr>
        <w:trPr>
          <w:trHeight w:val="1061"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w:t>
            </w:r>
          </w:p>
          <w:p>
            <w:pPr>
              <w:pStyle w:val="TableParagraph"/>
              <w:spacing w:line="357" w:lineRule="auto" w:before="115"/>
              <w:ind w:left="98" w:right="274"/>
              <w:jc w:val="left"/>
              <w:rPr>
                <w:rFonts w:ascii="宋体" w:hAnsi="宋体" w:cs="宋体" w:eastAsia="宋体" w:hint="default"/>
                <w:sz w:val="18"/>
                <w:szCs w:val="18"/>
              </w:rPr>
            </w:pPr>
            <w:r>
              <w:rPr>
                <w:rFonts w:ascii="宋体" w:hAnsi="宋体" w:cs="宋体" w:eastAsia="宋体" w:hint="default"/>
                <w:sz w:val="18"/>
                <w:szCs w:val="18"/>
              </w:rPr>
              <w:t>计入所有者 权益的金额</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（四）利润分</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9"/>
                <w:sz w:val="18"/>
              </w:rPr>
              <w:t>4,786,001.34</w:t>
            </w: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9"/>
                <w:sz w:val="18"/>
              </w:rPr>
              <w:t>-7,581,453.54</w:t>
            </w: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9"/>
                <w:sz w:val="18"/>
              </w:rPr>
              <w:t>-2,795,452.20</w:t>
            </w:r>
          </w:p>
        </w:tc>
      </w:tr>
      <w:tr>
        <w:trPr>
          <w:trHeight w:val="711"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9"/>
                <w:sz w:val="18"/>
              </w:rPr>
              <w:t>4,786,001.34</w:t>
            </w: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9"/>
                <w:sz w:val="18"/>
              </w:rPr>
              <w:t>-4,786,001.34</w:t>
            </w: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风险准备</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9"/>
                <w:sz w:val="18"/>
              </w:rPr>
              <w:t>-2,795,452.20</w:t>
            </w: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9"/>
                <w:sz w:val="18"/>
              </w:rPr>
              <w:t>-2,795,452.20</w:t>
            </w:r>
          </w:p>
        </w:tc>
      </w:tr>
      <w:tr>
        <w:trPr>
          <w:trHeight w:val="47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1061"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（五）所有者</w:t>
            </w:r>
          </w:p>
          <w:p>
            <w:pPr>
              <w:pStyle w:val="TableParagraph"/>
              <w:spacing w:line="357" w:lineRule="auto" w:before="114"/>
              <w:ind w:left="98" w:right="274"/>
              <w:jc w:val="left"/>
              <w:rPr>
                <w:rFonts w:ascii="宋体" w:hAnsi="宋体" w:cs="宋体" w:eastAsia="宋体" w:hint="default"/>
                <w:sz w:val="18"/>
                <w:szCs w:val="18"/>
              </w:rPr>
            </w:pPr>
            <w:r>
              <w:rPr>
                <w:rFonts w:ascii="宋体" w:hAnsi="宋体" w:cs="宋体" w:eastAsia="宋体" w:hint="default"/>
                <w:sz w:val="18"/>
                <w:szCs w:val="18"/>
              </w:rPr>
              <w:t>权益内部结 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82"/>
              <w:jc w:val="right"/>
              <w:rPr>
                <w:rFonts w:ascii="宋体" w:hAnsi="宋体" w:cs="宋体" w:eastAsia="宋体" w:hint="default"/>
                <w:sz w:val="18"/>
                <w:szCs w:val="18"/>
              </w:rPr>
            </w:pPr>
            <w:r>
              <w:rPr>
                <w:rFonts w:ascii="宋体"/>
                <w:spacing w:val="-19"/>
                <w:sz w:val="18"/>
              </w:rPr>
              <w:t>85,078,980.00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80"/>
              <w:jc w:val="right"/>
              <w:rPr>
                <w:rFonts w:ascii="宋体" w:hAnsi="宋体" w:cs="宋体" w:eastAsia="宋体" w:hint="default"/>
                <w:sz w:val="18"/>
                <w:szCs w:val="18"/>
              </w:rPr>
            </w:pPr>
            <w:r>
              <w:rPr>
                <w:rFonts w:ascii="宋体"/>
                <w:spacing w:val="-20"/>
                <w:sz w:val="18"/>
              </w:rPr>
              <w:t>-60,770,700.00</w:t>
            </w: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80"/>
              <w:jc w:val="right"/>
              <w:rPr>
                <w:rFonts w:ascii="宋体" w:hAnsi="宋体" w:cs="宋体" w:eastAsia="宋体" w:hint="default"/>
                <w:sz w:val="18"/>
                <w:szCs w:val="18"/>
              </w:rPr>
            </w:pPr>
            <w:r>
              <w:rPr>
                <w:rFonts w:ascii="宋体"/>
                <w:spacing w:val="-20"/>
                <w:sz w:val="18"/>
              </w:rPr>
              <w:t>-24,308,280.00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0" w:footer="956" w:top="1340" w:bottom="1160" w:left="460" w:right="0"/>
        </w:sectPr>
      </w:pPr>
    </w:p>
    <w:p>
      <w:pPr>
        <w:spacing w:line="240" w:lineRule="auto" w:before="1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89"/>
        <w:gridCol w:w="1414"/>
        <w:gridCol w:w="1419"/>
        <w:gridCol w:w="288"/>
        <w:gridCol w:w="300"/>
        <w:gridCol w:w="1272"/>
        <w:gridCol w:w="408"/>
        <w:gridCol w:w="1411"/>
        <w:gridCol w:w="283"/>
        <w:gridCol w:w="989"/>
        <w:gridCol w:w="1205"/>
        <w:gridCol w:w="439"/>
      </w:tblGrid>
      <w:tr>
        <w:trPr>
          <w:trHeight w:val="711" w:hRule="exact"/>
        </w:trPr>
        <w:tc>
          <w:tcPr>
            <w:tcW w:w="1289" w:type="dxa"/>
            <w:tcBorders>
              <w:top w:val="single" w:sz="6"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141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2"/>
              <w:ind w:right="82"/>
              <w:jc w:val="right"/>
              <w:rPr>
                <w:rFonts w:ascii="宋体" w:hAnsi="宋体" w:cs="宋体" w:eastAsia="宋体" w:hint="default"/>
                <w:sz w:val="18"/>
                <w:szCs w:val="18"/>
              </w:rPr>
            </w:pPr>
            <w:r>
              <w:rPr>
                <w:rFonts w:ascii="宋体"/>
                <w:spacing w:val="-19"/>
                <w:sz w:val="18"/>
              </w:rPr>
              <w:t>60,770,700.00</w:t>
            </w:r>
          </w:p>
        </w:tc>
        <w:tc>
          <w:tcPr>
            <w:tcW w:w="141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20"/>
                <w:sz w:val="18"/>
              </w:rPr>
              <w:t>-60,770,700.00</w:t>
            </w:r>
          </w:p>
        </w:tc>
        <w:tc>
          <w:tcPr>
            <w:tcW w:w="288" w:type="dxa"/>
            <w:tcBorders>
              <w:top w:val="single" w:sz="6" w:space="0" w:color="000000"/>
              <w:left w:val="single" w:sz="4" w:space="0" w:color="000000"/>
              <w:bottom w:val="single" w:sz="4" w:space="0" w:color="000000"/>
              <w:right w:val="single" w:sz="4" w:space="0" w:color="000000"/>
            </w:tcBorders>
          </w:tcPr>
          <w:p>
            <w:pPr/>
          </w:p>
        </w:tc>
        <w:tc>
          <w:tcPr>
            <w:tcW w:w="300" w:type="dxa"/>
            <w:tcBorders>
              <w:top w:val="single" w:sz="6" w:space="0" w:color="000000"/>
              <w:left w:val="single" w:sz="4" w:space="0" w:color="000000"/>
              <w:bottom w:val="single" w:sz="4" w:space="0" w:color="000000"/>
              <w:right w:val="single" w:sz="4" w:space="0" w:color="000000"/>
            </w:tcBorders>
          </w:tcPr>
          <w:p>
            <w:pPr/>
          </w:p>
        </w:tc>
        <w:tc>
          <w:tcPr>
            <w:tcW w:w="1272" w:type="dxa"/>
            <w:tcBorders>
              <w:top w:val="single" w:sz="6" w:space="0" w:color="000000"/>
              <w:left w:val="single" w:sz="4" w:space="0" w:color="000000"/>
              <w:bottom w:val="single" w:sz="4" w:space="0" w:color="000000"/>
              <w:right w:val="single" w:sz="4" w:space="0" w:color="000000"/>
            </w:tcBorders>
          </w:tcPr>
          <w:p>
            <w:pPr/>
          </w:p>
        </w:tc>
        <w:tc>
          <w:tcPr>
            <w:tcW w:w="408" w:type="dxa"/>
            <w:tcBorders>
              <w:top w:val="single" w:sz="6" w:space="0" w:color="000000"/>
              <w:left w:val="single" w:sz="4" w:space="0" w:color="000000"/>
              <w:bottom w:val="single" w:sz="4" w:space="0" w:color="000000"/>
              <w:right w:val="single" w:sz="4" w:space="0" w:color="000000"/>
            </w:tcBorders>
          </w:tcPr>
          <w:p>
            <w:pPr/>
          </w:p>
        </w:tc>
        <w:tc>
          <w:tcPr>
            <w:tcW w:w="1411" w:type="dxa"/>
            <w:tcBorders>
              <w:top w:val="single" w:sz="6" w:space="0" w:color="000000"/>
              <w:left w:val="single" w:sz="4" w:space="0" w:color="000000"/>
              <w:bottom w:val="single" w:sz="4" w:space="0" w:color="000000"/>
              <w:right w:val="single" w:sz="4" w:space="0" w:color="000000"/>
            </w:tcBorders>
          </w:tcPr>
          <w:p>
            <w:pPr/>
          </w:p>
        </w:tc>
        <w:tc>
          <w:tcPr>
            <w:tcW w:w="283" w:type="dxa"/>
            <w:tcBorders>
              <w:top w:val="single" w:sz="6" w:space="0" w:color="000000"/>
              <w:left w:val="single" w:sz="4" w:space="0" w:color="000000"/>
              <w:bottom w:val="single" w:sz="4" w:space="0" w:color="000000"/>
              <w:right w:val="single" w:sz="4" w:space="0" w:color="000000"/>
            </w:tcBorders>
          </w:tcPr>
          <w:p>
            <w:pPr/>
          </w:p>
        </w:tc>
        <w:tc>
          <w:tcPr>
            <w:tcW w:w="989" w:type="dxa"/>
            <w:tcBorders>
              <w:top w:val="single" w:sz="6" w:space="0" w:color="000000"/>
              <w:left w:val="single" w:sz="4" w:space="0" w:color="000000"/>
              <w:bottom w:val="single" w:sz="4" w:space="0" w:color="000000"/>
              <w:right w:val="single" w:sz="4" w:space="0" w:color="000000"/>
            </w:tcBorders>
          </w:tcPr>
          <w:p>
            <w:pPr/>
          </w:p>
        </w:tc>
        <w:tc>
          <w:tcPr>
            <w:tcW w:w="1205" w:type="dxa"/>
            <w:tcBorders>
              <w:top w:val="single" w:sz="6" w:space="0" w:color="000000"/>
              <w:left w:val="single" w:sz="4" w:space="0" w:color="000000"/>
              <w:bottom w:val="single" w:sz="4" w:space="0" w:color="000000"/>
              <w:right w:val="nil" w:sz="6" w:space="0" w:color="auto"/>
            </w:tcBorders>
          </w:tcPr>
          <w:p>
            <w:pPr/>
          </w:p>
        </w:tc>
        <w:tc>
          <w:tcPr>
            <w:tcW w:w="439" w:type="dxa"/>
            <w:tcBorders>
              <w:top w:val="nil" w:sz="6" w:space="0" w:color="auto"/>
              <w:left w:val="nil" w:sz="6" w:space="0" w:color="auto"/>
              <w:bottom w:val="single" w:sz="4" w:space="0" w:color="000000"/>
              <w:right w:val="single" w:sz="4" w:space="0" w:color="000000"/>
            </w:tcBorders>
          </w:tcPr>
          <w:p>
            <w:pPr/>
          </w:p>
        </w:tc>
      </w:tr>
      <w:tr>
        <w:trPr>
          <w:trHeight w:val="71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gridSpan w:val="2"/>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弥补亏损</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gridSpan w:val="2"/>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2"/>
              <w:jc w:val="right"/>
              <w:rPr>
                <w:rFonts w:ascii="宋体" w:hAnsi="宋体" w:cs="宋体" w:eastAsia="宋体" w:hint="default"/>
                <w:sz w:val="18"/>
                <w:szCs w:val="18"/>
              </w:rPr>
            </w:pPr>
            <w:r>
              <w:rPr>
                <w:rFonts w:ascii="宋体"/>
                <w:spacing w:val="-19"/>
                <w:sz w:val="18"/>
              </w:rPr>
              <w:t>24,308,280.00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0"/>
              <w:jc w:val="right"/>
              <w:rPr>
                <w:rFonts w:ascii="宋体" w:hAnsi="宋体" w:cs="宋体" w:eastAsia="宋体" w:hint="default"/>
                <w:sz w:val="18"/>
                <w:szCs w:val="18"/>
              </w:rPr>
            </w:pPr>
            <w:r>
              <w:rPr>
                <w:rFonts w:ascii="宋体"/>
                <w:spacing w:val="-20"/>
                <w:sz w:val="18"/>
              </w:rPr>
              <w:t>-24,308,280.00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gridSpan w:val="2"/>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（六）专项储</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gridSpan w:val="2"/>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gridSpan w:val="2"/>
            <w:tcBorders>
              <w:top w:val="single" w:sz="4" w:space="0" w:color="000000"/>
              <w:left w:val="single" w:sz="4" w:space="0" w:color="000000"/>
              <w:bottom w:val="single" w:sz="4" w:space="0" w:color="000000"/>
              <w:right w:val="single" w:sz="4" w:space="0" w:color="000000"/>
            </w:tcBorders>
          </w:tcPr>
          <w:p>
            <w:pPr/>
          </w:p>
        </w:tc>
      </w:tr>
      <w:tr>
        <w:trPr>
          <w:trHeight w:val="471" w:hRule="exact"/>
        </w:trPr>
        <w:tc>
          <w:tcPr>
            <w:tcW w:w="128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300"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644" w:type="dxa"/>
            <w:gridSpan w:val="2"/>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89" w:type="dxa"/>
            <w:tcBorders>
              <w:top w:val="single" w:sz="4" w:space="0" w:color="000000"/>
              <w:left w:val="single" w:sz="8" w:space="0" w:color="000000"/>
              <w:bottom w:val="single" w:sz="8"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四、本期期末</w:t>
            </w:r>
            <w:r>
              <w:rPr>
                <w:rFonts w:ascii="宋体" w:hAnsi="宋体" w:cs="宋体" w:eastAsia="宋体" w:hint="default"/>
                <w:sz w:val="18"/>
                <w:szCs w:val="18"/>
              </w:rPr>
            </w:r>
          </w:p>
          <w:p>
            <w:pPr>
              <w:pStyle w:val="TableParagraph"/>
              <w:spacing w:line="240" w:lineRule="auto" w:before="112"/>
              <w:ind w:left="98" w:right="0"/>
              <w:jc w:val="left"/>
              <w:rPr>
                <w:rFonts w:ascii="宋体" w:hAnsi="宋体" w:cs="宋体" w:eastAsia="宋体" w:hint="default"/>
                <w:sz w:val="18"/>
                <w:szCs w:val="18"/>
              </w:rPr>
            </w:pPr>
            <w:r>
              <w:rPr>
                <w:rFonts w:ascii="宋体" w:hAnsi="宋体" w:cs="宋体" w:eastAsia="宋体" w:hint="default"/>
                <w:b/>
                <w:bCs/>
                <w:sz w:val="18"/>
                <w:szCs w:val="18"/>
              </w:rPr>
              <w:t>余额</w:t>
            </w:r>
            <w:r>
              <w:rPr>
                <w:rFonts w:ascii="宋体" w:hAnsi="宋体" w:cs="宋体" w:eastAsia="宋体" w:hint="default"/>
                <w:sz w:val="18"/>
                <w:szCs w:val="18"/>
              </w:rPr>
            </w:r>
          </w:p>
        </w:tc>
        <w:tc>
          <w:tcPr>
            <w:tcW w:w="141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2"/>
              <w:ind w:right="82"/>
              <w:jc w:val="right"/>
              <w:rPr>
                <w:rFonts w:ascii="宋体" w:hAnsi="宋体" w:cs="宋体" w:eastAsia="宋体" w:hint="default"/>
                <w:sz w:val="18"/>
                <w:szCs w:val="18"/>
              </w:rPr>
            </w:pPr>
            <w:r>
              <w:rPr>
                <w:rFonts w:ascii="宋体"/>
                <w:spacing w:val="-20"/>
                <w:sz w:val="18"/>
              </w:rPr>
              <w:t>256,495,691.00</w:t>
            </w:r>
          </w:p>
        </w:tc>
        <w:tc>
          <w:tcPr>
            <w:tcW w:w="141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21"/>
                <w:sz w:val="18"/>
              </w:rPr>
              <w:t>980,312,708.23</w:t>
            </w:r>
            <w:r>
              <w:rPr>
                <w:rFonts w:ascii="宋体"/>
                <w:sz w:val="18"/>
              </w:rPr>
            </w:r>
          </w:p>
        </w:tc>
        <w:tc>
          <w:tcPr>
            <w:tcW w:w="288" w:type="dxa"/>
            <w:tcBorders>
              <w:top w:val="single" w:sz="4" w:space="0" w:color="000000"/>
              <w:left w:val="single" w:sz="4" w:space="0" w:color="000000"/>
              <w:bottom w:val="single" w:sz="8" w:space="0" w:color="000000"/>
              <w:right w:val="single" w:sz="4" w:space="0" w:color="000000"/>
            </w:tcBorders>
          </w:tcPr>
          <w:p>
            <w:pPr/>
          </w:p>
        </w:tc>
        <w:tc>
          <w:tcPr>
            <w:tcW w:w="300" w:type="dxa"/>
            <w:tcBorders>
              <w:top w:val="single" w:sz="4" w:space="0" w:color="000000"/>
              <w:left w:val="single" w:sz="4" w:space="0" w:color="000000"/>
              <w:bottom w:val="single" w:sz="8" w:space="0" w:color="000000"/>
              <w:right w:val="single" w:sz="4" w:space="0" w:color="000000"/>
            </w:tcBorders>
          </w:tcPr>
          <w:p>
            <w:pPr/>
          </w:p>
        </w:tc>
        <w:tc>
          <w:tcPr>
            <w:tcW w:w="127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2"/>
              <w:ind w:left="249" w:right="0"/>
              <w:jc w:val="left"/>
              <w:rPr>
                <w:rFonts w:ascii="宋体" w:hAnsi="宋体" w:cs="宋体" w:eastAsia="宋体" w:hint="default"/>
                <w:sz w:val="18"/>
                <w:szCs w:val="18"/>
              </w:rPr>
            </w:pPr>
            <w:r>
              <w:rPr>
                <w:rFonts w:ascii="宋体"/>
                <w:spacing w:val="-19"/>
                <w:sz w:val="18"/>
              </w:rPr>
              <w:t>43,453,259.96</w:t>
            </w:r>
          </w:p>
        </w:tc>
        <w:tc>
          <w:tcPr>
            <w:tcW w:w="408" w:type="dxa"/>
            <w:tcBorders>
              <w:top w:val="single" w:sz="4" w:space="0" w:color="000000"/>
              <w:left w:val="single" w:sz="4" w:space="0" w:color="000000"/>
              <w:bottom w:val="single" w:sz="8" w:space="0" w:color="000000"/>
              <w:right w:val="single" w:sz="4" w:space="0" w:color="000000"/>
            </w:tcBorders>
          </w:tcPr>
          <w:p>
            <w:pPr/>
          </w:p>
        </w:tc>
        <w:tc>
          <w:tcPr>
            <w:tcW w:w="141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20"/>
                <w:sz w:val="18"/>
              </w:rPr>
              <w:t>311,503,375.76</w:t>
            </w:r>
          </w:p>
        </w:tc>
        <w:tc>
          <w:tcPr>
            <w:tcW w:w="283" w:type="dxa"/>
            <w:tcBorders>
              <w:top w:val="single" w:sz="4" w:space="0" w:color="000000"/>
              <w:left w:val="single" w:sz="4" w:space="0" w:color="000000"/>
              <w:bottom w:val="single" w:sz="8" w:space="0" w:color="000000"/>
              <w:right w:val="single" w:sz="4" w:space="0" w:color="000000"/>
            </w:tcBorders>
          </w:tcPr>
          <w:p>
            <w:pPr/>
          </w:p>
        </w:tc>
        <w:tc>
          <w:tcPr>
            <w:tcW w:w="98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2"/>
              <w:ind w:left="245" w:right="0"/>
              <w:jc w:val="left"/>
              <w:rPr>
                <w:rFonts w:ascii="宋体" w:hAnsi="宋体" w:cs="宋体" w:eastAsia="宋体" w:hint="default"/>
                <w:sz w:val="18"/>
                <w:szCs w:val="18"/>
              </w:rPr>
            </w:pPr>
            <w:r>
              <w:rPr>
                <w:rFonts w:ascii="宋体"/>
                <w:spacing w:val="-18"/>
                <w:sz w:val="18"/>
              </w:rPr>
              <w:t>14,692.29</w:t>
            </w:r>
          </w:p>
        </w:tc>
        <w:tc>
          <w:tcPr>
            <w:tcW w:w="1644" w:type="dxa"/>
            <w:gridSpan w:val="2"/>
            <w:tcBorders>
              <w:top w:val="single" w:sz="4" w:space="0" w:color="000000"/>
              <w:left w:val="single" w:sz="4" w:space="0" w:color="000000"/>
              <w:bottom w:val="single" w:sz="8" w:space="0" w:color="000000"/>
              <w:right w:val="single" w:sz="4" w:space="0" w:color="000000"/>
            </w:tcBorders>
          </w:tcPr>
          <w:p>
            <w:pPr>
              <w:pStyle w:val="TableParagraph"/>
              <w:spacing w:line="240" w:lineRule="auto" w:before="142"/>
              <w:ind w:left="410" w:right="0"/>
              <w:jc w:val="left"/>
              <w:rPr>
                <w:rFonts w:ascii="宋体" w:hAnsi="宋体" w:cs="宋体" w:eastAsia="宋体" w:hint="default"/>
                <w:sz w:val="18"/>
                <w:szCs w:val="18"/>
              </w:rPr>
            </w:pPr>
            <w:r>
              <w:rPr>
                <w:rFonts w:ascii="宋体"/>
                <w:spacing w:val="-20"/>
                <w:sz w:val="18"/>
              </w:rPr>
              <w:t>1,591,779,727.24</w:t>
            </w:r>
          </w:p>
        </w:tc>
      </w:tr>
    </w:tbl>
    <w:p>
      <w:pPr>
        <w:tabs>
          <w:tab w:pos="4398" w:val="left" w:leader="none"/>
          <w:tab w:pos="8361" w:val="left" w:leader="none"/>
        </w:tabs>
        <w:spacing w:line="205" w:lineRule="exact" w:before="0"/>
        <w:ind w:left="612" w:right="0" w:firstLine="0"/>
        <w:jc w:val="left"/>
        <w:rPr>
          <w:rFonts w:ascii="宋体" w:hAnsi="宋体" w:cs="宋体" w:eastAsia="宋体" w:hint="default"/>
          <w:sz w:val="18"/>
          <w:szCs w:val="18"/>
        </w:rPr>
      </w:pPr>
      <w:r>
        <w:rPr>
          <w:rFonts w:ascii="宋体" w:hAnsi="宋体" w:cs="宋体" w:eastAsia="宋体" w:hint="default"/>
          <w:sz w:val="18"/>
          <w:szCs w:val="18"/>
        </w:rPr>
        <w:t>公司负责人：郭春生</w:t>
        <w:tab/>
      </w:r>
      <w:r>
        <w:rPr>
          <w:rFonts w:ascii="宋体" w:hAnsi="宋体" w:cs="宋体" w:eastAsia="宋体" w:hint="default"/>
          <w:spacing w:val="-1"/>
          <w:sz w:val="18"/>
          <w:szCs w:val="18"/>
        </w:rPr>
        <w:t>主管会计工作负责人：徐吉峰</w:t>
        <w:tab/>
      </w:r>
      <w:r>
        <w:rPr>
          <w:rFonts w:ascii="宋体" w:hAnsi="宋体" w:cs="宋体" w:eastAsia="宋体" w:hint="default"/>
          <w:sz w:val="18"/>
          <w:szCs w:val="18"/>
        </w:rPr>
        <w:t>会计机构负责人：孙莉莉</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Heading2"/>
        <w:spacing w:line="240" w:lineRule="auto" w:before="26"/>
        <w:ind w:right="489"/>
        <w:jc w:val="center"/>
        <w:rPr>
          <w:b w:val="0"/>
          <w:bCs w:val="0"/>
        </w:rPr>
      </w:pPr>
      <w:r>
        <w:rPr/>
        <w:t>合并所有者权益变动表（续）</w:t>
      </w:r>
      <w:r>
        <w:rPr>
          <w:b w:val="0"/>
          <w:bCs w:val="0"/>
        </w:rPr>
      </w:r>
    </w:p>
    <w:p>
      <w:pPr>
        <w:tabs>
          <w:tab w:pos="9108" w:val="left" w:leader="none"/>
        </w:tabs>
        <w:spacing w:before="161"/>
        <w:ind w:left="598" w:right="0" w:firstLine="0"/>
        <w:jc w:val="left"/>
        <w:rPr>
          <w:rFonts w:ascii="宋体" w:hAnsi="宋体" w:cs="宋体" w:eastAsia="宋体" w:hint="default"/>
          <w:sz w:val="18"/>
          <w:szCs w:val="18"/>
        </w:rPr>
      </w:pPr>
      <w:r>
        <w:rPr>
          <w:rFonts w:ascii="宋体" w:hAnsi="宋体" w:cs="宋体" w:eastAsia="宋体" w:hint="default"/>
          <w:sz w:val="18"/>
          <w:szCs w:val="18"/>
        </w:rPr>
        <w:t>单位名称：吉林紫鑫药业股份有限公司</w:t>
        <w:tab/>
        <w:t>单位：人民币（元）</w:t>
      </w:r>
    </w:p>
    <w:p>
      <w:pPr>
        <w:spacing w:line="240" w:lineRule="auto" w:before="4"/>
        <w:rPr>
          <w:rFonts w:ascii="宋体" w:hAnsi="宋体" w:cs="宋体" w:eastAsia="宋体" w:hint="default"/>
          <w:sz w:val="11"/>
          <w:szCs w:val="11"/>
        </w:rPr>
      </w:pPr>
    </w:p>
    <w:tbl>
      <w:tblPr>
        <w:tblW w:w="0" w:type="auto"/>
        <w:jc w:val="left"/>
        <w:tblInd w:w="480" w:type="dxa"/>
        <w:tblLayout w:type="fixed"/>
        <w:tblCellMar>
          <w:top w:w="0" w:type="dxa"/>
          <w:left w:w="0" w:type="dxa"/>
          <w:bottom w:w="0" w:type="dxa"/>
          <w:right w:w="0" w:type="dxa"/>
        </w:tblCellMar>
        <w:tblLook w:val="01E0"/>
      </w:tblPr>
      <w:tblGrid>
        <w:gridCol w:w="1488"/>
        <w:gridCol w:w="1272"/>
        <w:gridCol w:w="1277"/>
        <w:gridCol w:w="410"/>
        <w:gridCol w:w="425"/>
        <w:gridCol w:w="1136"/>
        <w:gridCol w:w="442"/>
        <w:gridCol w:w="1277"/>
        <w:gridCol w:w="409"/>
        <w:gridCol w:w="869"/>
        <w:gridCol w:w="1342"/>
      </w:tblGrid>
      <w:tr>
        <w:trPr>
          <w:trHeight w:val="475" w:hRule="exact"/>
        </w:trPr>
        <w:tc>
          <w:tcPr>
            <w:tcW w:w="1488"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8858" w:type="dxa"/>
            <w:gridSpan w:val="10"/>
            <w:tcBorders>
              <w:top w:val="single" w:sz="8" w:space="0" w:color="000000"/>
              <w:left w:val="single" w:sz="4" w:space="0" w:color="000000"/>
              <w:bottom w:val="single" w:sz="4" w:space="0" w:color="000000"/>
              <w:right w:val="single" w:sz="8"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483" w:hRule="exact"/>
        </w:trPr>
        <w:tc>
          <w:tcPr>
            <w:tcW w:w="1488" w:type="dxa"/>
            <w:vMerge/>
            <w:tcBorders>
              <w:left w:val="single" w:sz="8" w:space="0" w:color="000000"/>
              <w:right w:val="single" w:sz="4" w:space="0" w:color="000000"/>
            </w:tcBorders>
          </w:tcPr>
          <w:p>
            <w:pPr/>
          </w:p>
        </w:tc>
        <w:tc>
          <w:tcPr>
            <w:tcW w:w="664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53"/>
              <w:ind w:left="158" w:right="158"/>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1342" w:type="dxa"/>
            <w:vMerge w:val="restart"/>
            <w:tcBorders>
              <w:top w:val="single" w:sz="4" w:space="0" w:color="000000"/>
              <w:left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53"/>
              <w:ind w:left="575" w:right="120" w:hanging="452"/>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472" w:hRule="exact"/>
        </w:trPr>
        <w:tc>
          <w:tcPr>
            <w:tcW w:w="1488" w:type="dxa"/>
            <w:vMerge/>
            <w:tcBorders>
              <w:left w:val="single" w:sz="8"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10"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357" w:lineRule="auto" w:before="115"/>
              <w:ind w:left="110" w:right="108"/>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57" w:lineRule="auto"/>
              <w:ind w:left="117" w:right="11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357" w:lineRule="auto"/>
              <w:ind w:left="124" w:right="125"/>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未分配利润</w:t>
            </w:r>
          </w:p>
        </w:tc>
        <w:tc>
          <w:tcPr>
            <w:tcW w:w="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57" w:lineRule="auto"/>
              <w:ind w:left="107" w:right="110"/>
              <w:jc w:val="left"/>
              <w:rPr>
                <w:rFonts w:ascii="宋体" w:hAnsi="宋体" w:cs="宋体" w:eastAsia="宋体" w:hint="default"/>
                <w:sz w:val="18"/>
                <w:szCs w:val="18"/>
              </w:rPr>
            </w:pPr>
            <w:r>
              <w:rPr>
                <w:rFonts w:ascii="宋体" w:hAnsi="宋体" w:cs="宋体" w:eastAsia="宋体" w:hint="default"/>
                <w:sz w:val="18"/>
                <w:szCs w:val="18"/>
              </w:rPr>
              <w:t>其 他</w:t>
            </w:r>
          </w:p>
        </w:tc>
        <w:tc>
          <w:tcPr>
            <w:tcW w:w="869" w:type="dxa"/>
            <w:vMerge/>
            <w:tcBorders>
              <w:left w:val="single" w:sz="4" w:space="0" w:color="000000"/>
              <w:bottom w:val="single" w:sz="4" w:space="0" w:color="000000"/>
              <w:right w:val="single" w:sz="4" w:space="0" w:color="000000"/>
            </w:tcBorders>
          </w:tcPr>
          <w:p>
            <w:pPr/>
          </w:p>
        </w:tc>
        <w:tc>
          <w:tcPr>
            <w:tcW w:w="1342" w:type="dxa"/>
            <w:vMerge/>
            <w:tcBorders>
              <w:left w:val="single" w:sz="4" w:space="0" w:color="000000"/>
              <w:bottom w:val="single" w:sz="4" w:space="0" w:color="000000"/>
              <w:right w:val="single" w:sz="8" w:space="0" w:color="000000"/>
            </w:tcBorders>
          </w:tcPr>
          <w:p>
            <w:pPr/>
          </w:p>
        </w:tc>
      </w:tr>
      <w:tr>
        <w:trPr>
          <w:trHeight w:val="710" w:hRule="exact"/>
        </w:trPr>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一、上年年末余</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7" w:right="0"/>
              <w:jc w:val="center"/>
              <w:rPr>
                <w:rFonts w:ascii="宋体" w:hAnsi="宋体" w:cs="宋体" w:eastAsia="宋体" w:hint="default"/>
                <w:sz w:val="18"/>
                <w:szCs w:val="18"/>
              </w:rPr>
            </w:pPr>
            <w:r>
              <w:rPr>
                <w:rFonts w:ascii="宋体"/>
                <w:spacing w:val="-20"/>
                <w:sz w:val="18"/>
              </w:rPr>
              <w:t>121,541,400.00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center"/>
              <w:rPr>
                <w:rFonts w:ascii="宋体" w:hAnsi="宋体" w:cs="宋体" w:eastAsia="宋体" w:hint="default"/>
                <w:sz w:val="18"/>
                <w:szCs w:val="18"/>
              </w:rPr>
            </w:pPr>
            <w:r>
              <w:rPr>
                <w:rFonts w:ascii="宋体"/>
                <w:spacing w:val="-20"/>
                <w:sz w:val="18"/>
              </w:rPr>
              <w:t>100,173,875.66</w:t>
            </w: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0" w:right="0"/>
              <w:jc w:val="center"/>
              <w:rPr>
                <w:rFonts w:ascii="宋体" w:hAnsi="宋体" w:cs="宋体" w:eastAsia="宋体" w:hint="default"/>
                <w:sz w:val="18"/>
                <w:szCs w:val="18"/>
              </w:rPr>
            </w:pPr>
            <w:r>
              <w:rPr>
                <w:rFonts w:ascii="宋体"/>
                <w:spacing w:val="-19"/>
                <w:sz w:val="18"/>
              </w:rPr>
              <w:t>30,668,905.23</w:t>
            </w: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20"/>
                <w:sz w:val="18"/>
              </w:rPr>
              <w:t>123,216,172.41</w:t>
            </w: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2" w:right="0"/>
              <w:jc w:val="center"/>
              <w:rPr>
                <w:rFonts w:ascii="宋体" w:hAnsi="宋体" w:cs="宋体" w:eastAsia="宋体" w:hint="default"/>
                <w:sz w:val="18"/>
                <w:szCs w:val="18"/>
              </w:rPr>
            </w:pPr>
            <w:r>
              <w:rPr>
                <w:rFonts w:ascii="宋体"/>
                <w:spacing w:val="-18"/>
                <w:sz w:val="18"/>
              </w:rPr>
              <w:t>17,334.79</w:t>
            </w:r>
          </w:p>
        </w:tc>
        <w:tc>
          <w:tcPr>
            <w:tcW w:w="13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2"/>
              <w:ind w:right="75"/>
              <w:jc w:val="right"/>
              <w:rPr>
                <w:rFonts w:ascii="宋体" w:hAnsi="宋体" w:cs="宋体" w:eastAsia="宋体" w:hint="default"/>
                <w:sz w:val="18"/>
                <w:szCs w:val="18"/>
              </w:rPr>
            </w:pPr>
            <w:r>
              <w:rPr>
                <w:rFonts w:ascii="宋体"/>
                <w:spacing w:val="-20"/>
                <w:sz w:val="18"/>
              </w:rPr>
              <w:t>375,617,688.09</w:t>
            </w:r>
          </w:p>
        </w:tc>
      </w:tr>
      <w:tr>
        <w:trPr>
          <w:trHeight w:val="711" w:hRule="exact"/>
        </w:trPr>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z w:val="18"/>
                <w:szCs w:val="18"/>
              </w:rPr>
              <w:t>加：会计政策</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z w:val="18"/>
                <w:szCs w:val="18"/>
              </w:rPr>
              <w:t>前期会计差错</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8" w:space="0" w:color="000000"/>
            </w:tcBorders>
          </w:tcPr>
          <w:p>
            <w:pPr/>
          </w:p>
        </w:tc>
      </w:tr>
      <w:tr>
        <w:trPr>
          <w:trHeight w:val="470" w:hRule="exact"/>
        </w:trPr>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二、本年年初余</w:t>
            </w:r>
            <w:r>
              <w:rPr>
                <w:rFonts w:ascii="宋体" w:hAnsi="宋体" w:cs="宋体" w:eastAsia="宋体" w:hint="default"/>
                <w:sz w:val="18"/>
                <w:szCs w:val="18"/>
              </w:rPr>
            </w:r>
          </w:p>
          <w:p>
            <w:pPr>
              <w:pStyle w:val="TableParagraph"/>
              <w:spacing w:line="240" w:lineRule="auto" w:before="112"/>
              <w:ind w:left="98"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7" w:right="0"/>
              <w:jc w:val="center"/>
              <w:rPr>
                <w:rFonts w:ascii="宋体" w:hAnsi="宋体" w:cs="宋体" w:eastAsia="宋体" w:hint="default"/>
                <w:sz w:val="18"/>
                <w:szCs w:val="18"/>
              </w:rPr>
            </w:pPr>
            <w:r>
              <w:rPr>
                <w:rFonts w:ascii="宋体"/>
                <w:spacing w:val="-20"/>
                <w:sz w:val="18"/>
              </w:rPr>
              <w:t>121,541,400.00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center"/>
              <w:rPr>
                <w:rFonts w:ascii="宋体" w:hAnsi="宋体" w:cs="宋体" w:eastAsia="宋体" w:hint="default"/>
                <w:sz w:val="18"/>
                <w:szCs w:val="18"/>
              </w:rPr>
            </w:pPr>
            <w:r>
              <w:rPr>
                <w:rFonts w:ascii="宋体"/>
                <w:spacing w:val="-20"/>
                <w:sz w:val="18"/>
              </w:rPr>
              <w:t>100,173,875.66</w:t>
            </w: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0" w:right="0"/>
              <w:jc w:val="center"/>
              <w:rPr>
                <w:rFonts w:ascii="宋体" w:hAnsi="宋体" w:cs="宋体" w:eastAsia="宋体" w:hint="default"/>
                <w:sz w:val="18"/>
                <w:szCs w:val="18"/>
              </w:rPr>
            </w:pPr>
            <w:r>
              <w:rPr>
                <w:rFonts w:ascii="宋体"/>
                <w:spacing w:val="-19"/>
                <w:sz w:val="18"/>
              </w:rPr>
              <w:t>30,668,905.23</w:t>
            </w: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20"/>
                <w:sz w:val="18"/>
              </w:rPr>
              <w:t>123,216,172.41</w:t>
            </w: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2" w:right="0"/>
              <w:jc w:val="center"/>
              <w:rPr>
                <w:rFonts w:ascii="宋体" w:hAnsi="宋体" w:cs="宋体" w:eastAsia="宋体" w:hint="default"/>
                <w:sz w:val="18"/>
                <w:szCs w:val="18"/>
              </w:rPr>
            </w:pPr>
            <w:r>
              <w:rPr>
                <w:rFonts w:ascii="宋体"/>
                <w:spacing w:val="-18"/>
                <w:sz w:val="18"/>
              </w:rPr>
              <w:t>17,334.79</w:t>
            </w:r>
          </w:p>
        </w:tc>
        <w:tc>
          <w:tcPr>
            <w:tcW w:w="13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2"/>
              <w:ind w:right="75"/>
              <w:jc w:val="right"/>
              <w:rPr>
                <w:rFonts w:ascii="宋体" w:hAnsi="宋体" w:cs="宋体" w:eastAsia="宋体" w:hint="default"/>
                <w:sz w:val="18"/>
                <w:szCs w:val="18"/>
              </w:rPr>
            </w:pPr>
            <w:r>
              <w:rPr>
                <w:rFonts w:ascii="宋体"/>
                <w:spacing w:val="-20"/>
                <w:sz w:val="18"/>
              </w:rPr>
              <w:t>375,617,688.09</w:t>
            </w:r>
          </w:p>
        </w:tc>
      </w:tr>
      <w:tr>
        <w:trPr>
          <w:trHeight w:val="710" w:hRule="exact"/>
        </w:trPr>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三、本年增减变</w:t>
            </w:r>
            <w:r>
              <w:rPr>
                <w:rFonts w:ascii="宋体" w:hAnsi="宋体" w:cs="宋体" w:eastAsia="宋体" w:hint="default"/>
                <w:sz w:val="18"/>
                <w:szCs w:val="18"/>
              </w:rPr>
            </w:r>
          </w:p>
          <w:p>
            <w:pPr>
              <w:pStyle w:val="TableParagraph"/>
              <w:spacing w:line="240" w:lineRule="auto" w:before="112"/>
              <w:ind w:left="98" w:right="0"/>
              <w:jc w:val="left"/>
              <w:rPr>
                <w:rFonts w:ascii="宋体" w:hAnsi="宋体" w:cs="宋体" w:eastAsia="宋体" w:hint="default"/>
                <w:sz w:val="18"/>
                <w:szCs w:val="18"/>
              </w:rPr>
            </w:pPr>
            <w:r>
              <w:rPr>
                <w:rFonts w:ascii="宋体" w:hAnsi="宋体" w:cs="宋体" w:eastAsia="宋体" w:hint="default"/>
                <w:b/>
                <w:bCs/>
                <w:sz w:val="18"/>
                <w:szCs w:val="18"/>
              </w:rPr>
              <w:t>动金额（减少以</w:t>
            </w:r>
            <w:r>
              <w:rPr>
                <w:rFonts w:ascii="宋体" w:hAnsi="宋体" w:cs="宋体" w:eastAsia="宋体" w:hint="default"/>
                <w:sz w:val="18"/>
                <w:szCs w:val="18"/>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9" w:right="0"/>
              <w:jc w:val="center"/>
              <w:rPr>
                <w:rFonts w:ascii="宋体" w:hAnsi="宋体" w:cs="宋体" w:eastAsia="宋体" w:hint="default"/>
                <w:sz w:val="18"/>
                <w:szCs w:val="18"/>
              </w:rPr>
            </w:pPr>
            <w:r>
              <w:rPr>
                <w:rFonts w:ascii="宋体"/>
                <w:spacing w:val="-19"/>
                <w:sz w:val="18"/>
              </w:rPr>
              <w:t>7,998,353.39</w:t>
            </w: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9"/>
                <w:sz w:val="18"/>
              </w:rPr>
              <w:t>47,003,330.69</w:t>
            </w: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14" w:right="0"/>
              <w:jc w:val="center"/>
              <w:rPr>
                <w:rFonts w:ascii="宋体" w:hAnsi="宋体" w:cs="宋体" w:eastAsia="宋体" w:hint="default"/>
                <w:sz w:val="18"/>
                <w:szCs w:val="18"/>
              </w:rPr>
            </w:pPr>
            <w:r>
              <w:rPr>
                <w:rFonts w:ascii="宋体"/>
                <w:spacing w:val="-18"/>
                <w:sz w:val="18"/>
              </w:rPr>
              <w:t>5,411.60</w:t>
            </w:r>
          </w:p>
        </w:tc>
        <w:tc>
          <w:tcPr>
            <w:tcW w:w="134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2"/>
              <w:ind w:right="75"/>
              <w:jc w:val="right"/>
              <w:rPr>
                <w:rFonts w:ascii="宋体" w:hAnsi="宋体" w:cs="宋体" w:eastAsia="宋体" w:hint="default"/>
                <w:sz w:val="18"/>
                <w:szCs w:val="18"/>
              </w:rPr>
            </w:pPr>
            <w:r>
              <w:rPr>
                <w:rFonts w:ascii="宋体"/>
                <w:spacing w:val="-19"/>
                <w:sz w:val="18"/>
              </w:rPr>
              <w:t>55,007,095.68</w:t>
            </w:r>
          </w:p>
        </w:tc>
      </w:tr>
    </w:tbl>
    <w:p>
      <w:pPr>
        <w:spacing w:after="0" w:line="240" w:lineRule="auto"/>
        <w:jc w:val="right"/>
        <w:rPr>
          <w:rFonts w:ascii="宋体" w:hAnsi="宋体" w:cs="宋体" w:eastAsia="宋体" w:hint="default"/>
          <w:sz w:val="18"/>
          <w:szCs w:val="18"/>
        </w:rPr>
        <w:sectPr>
          <w:pgSz w:w="11910" w:h="16840"/>
          <w:pgMar w:header="720" w:footer="956" w:top="1300" w:bottom="1140" w:left="460" w:right="0"/>
        </w:sectPr>
      </w:pPr>
    </w:p>
    <w:tbl>
      <w:tblPr>
        <w:tblW w:w="0" w:type="auto"/>
        <w:jc w:val="left"/>
        <w:tblInd w:w="111" w:type="dxa"/>
        <w:tblLayout w:type="fixed"/>
        <w:tblCellMar>
          <w:top w:w="0" w:type="dxa"/>
          <w:left w:w="0" w:type="dxa"/>
          <w:bottom w:w="0" w:type="dxa"/>
          <w:right w:w="0" w:type="dxa"/>
        </w:tblCellMar>
        <w:tblLook w:val="01E0"/>
      </w:tblPr>
      <w:tblGrid>
        <w:gridCol w:w="259"/>
        <w:gridCol w:w="1488"/>
        <w:gridCol w:w="1272"/>
        <w:gridCol w:w="1277"/>
        <w:gridCol w:w="410"/>
        <w:gridCol w:w="425"/>
        <w:gridCol w:w="1136"/>
        <w:gridCol w:w="442"/>
        <w:gridCol w:w="1277"/>
        <w:gridCol w:w="409"/>
        <w:gridCol w:w="869"/>
        <w:gridCol w:w="902"/>
        <w:gridCol w:w="439"/>
      </w:tblGrid>
      <w:tr>
        <w:trPr>
          <w:trHeight w:val="473" w:hRule="exact"/>
        </w:trPr>
        <w:tc>
          <w:tcPr>
            <w:tcW w:w="259" w:type="dxa"/>
            <w:vMerge w:val="restart"/>
            <w:tcBorders>
              <w:top w:val="single" w:sz="6" w:space="0" w:color="000000"/>
              <w:left w:val="nil" w:sz="6" w:space="0" w:color="auto"/>
              <w:right w:val="single" w:sz="8" w:space="0" w:color="000000"/>
            </w:tcBorders>
          </w:tcPr>
          <w:p>
            <w:pPr/>
          </w:p>
        </w:tc>
        <w:tc>
          <w:tcPr>
            <w:tcW w:w="1488" w:type="dxa"/>
            <w:tcBorders>
              <w:top w:val="single" w:sz="6"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272" w:type="dxa"/>
            <w:tcBorders>
              <w:top w:val="single" w:sz="6" w:space="0" w:color="000000"/>
              <w:left w:val="single" w:sz="4" w:space="0" w:color="000000"/>
              <w:bottom w:val="single" w:sz="4" w:space="0" w:color="000000"/>
              <w:right w:val="single" w:sz="4" w:space="0" w:color="000000"/>
            </w:tcBorders>
          </w:tcPr>
          <w:p>
            <w:pPr/>
          </w:p>
        </w:tc>
        <w:tc>
          <w:tcPr>
            <w:tcW w:w="1277" w:type="dxa"/>
            <w:tcBorders>
              <w:top w:val="single" w:sz="6" w:space="0" w:color="000000"/>
              <w:left w:val="single" w:sz="4" w:space="0" w:color="000000"/>
              <w:bottom w:val="single" w:sz="4" w:space="0" w:color="000000"/>
              <w:right w:val="single" w:sz="4" w:space="0" w:color="000000"/>
            </w:tcBorders>
          </w:tcPr>
          <w:p>
            <w:pPr/>
          </w:p>
        </w:tc>
        <w:tc>
          <w:tcPr>
            <w:tcW w:w="410" w:type="dxa"/>
            <w:tcBorders>
              <w:top w:val="single" w:sz="6" w:space="0" w:color="000000"/>
              <w:left w:val="single" w:sz="4" w:space="0" w:color="000000"/>
              <w:bottom w:val="single" w:sz="4" w:space="0" w:color="000000"/>
              <w:right w:val="single" w:sz="4" w:space="0" w:color="000000"/>
            </w:tcBorders>
          </w:tcPr>
          <w:p>
            <w:pPr/>
          </w:p>
        </w:tc>
        <w:tc>
          <w:tcPr>
            <w:tcW w:w="425" w:type="dxa"/>
            <w:tcBorders>
              <w:top w:val="single" w:sz="6" w:space="0" w:color="000000"/>
              <w:left w:val="single" w:sz="4" w:space="0" w:color="000000"/>
              <w:bottom w:val="single" w:sz="4" w:space="0" w:color="000000"/>
              <w:right w:val="single" w:sz="4" w:space="0" w:color="000000"/>
            </w:tcBorders>
          </w:tcPr>
          <w:p>
            <w:pPr/>
          </w:p>
        </w:tc>
        <w:tc>
          <w:tcPr>
            <w:tcW w:w="1136" w:type="dxa"/>
            <w:tcBorders>
              <w:top w:val="single" w:sz="6" w:space="0" w:color="000000"/>
              <w:left w:val="single" w:sz="4" w:space="0" w:color="000000"/>
              <w:bottom w:val="single" w:sz="4" w:space="0" w:color="000000"/>
              <w:right w:val="single" w:sz="4" w:space="0" w:color="000000"/>
            </w:tcBorders>
          </w:tcPr>
          <w:p>
            <w:pPr/>
          </w:p>
        </w:tc>
        <w:tc>
          <w:tcPr>
            <w:tcW w:w="442" w:type="dxa"/>
            <w:tcBorders>
              <w:top w:val="single" w:sz="6" w:space="0" w:color="000000"/>
              <w:left w:val="single" w:sz="4" w:space="0" w:color="000000"/>
              <w:bottom w:val="single" w:sz="4" w:space="0" w:color="000000"/>
              <w:right w:val="single" w:sz="4" w:space="0" w:color="000000"/>
            </w:tcBorders>
          </w:tcPr>
          <w:p>
            <w:pPr/>
          </w:p>
        </w:tc>
        <w:tc>
          <w:tcPr>
            <w:tcW w:w="1277" w:type="dxa"/>
            <w:tcBorders>
              <w:top w:val="single" w:sz="6" w:space="0" w:color="000000"/>
              <w:left w:val="single" w:sz="4" w:space="0" w:color="000000"/>
              <w:bottom w:val="single" w:sz="4" w:space="0" w:color="000000"/>
              <w:right w:val="single" w:sz="4" w:space="0" w:color="000000"/>
            </w:tcBorders>
          </w:tcPr>
          <w:p>
            <w:pPr/>
          </w:p>
        </w:tc>
        <w:tc>
          <w:tcPr>
            <w:tcW w:w="409" w:type="dxa"/>
            <w:tcBorders>
              <w:top w:val="single" w:sz="6" w:space="0" w:color="000000"/>
              <w:left w:val="single" w:sz="4" w:space="0" w:color="000000"/>
              <w:bottom w:val="single" w:sz="4" w:space="0" w:color="000000"/>
              <w:right w:val="single" w:sz="4" w:space="0" w:color="000000"/>
            </w:tcBorders>
          </w:tcPr>
          <w:p>
            <w:pPr/>
          </w:p>
        </w:tc>
        <w:tc>
          <w:tcPr>
            <w:tcW w:w="869" w:type="dxa"/>
            <w:tcBorders>
              <w:top w:val="single" w:sz="6" w:space="0" w:color="000000"/>
              <w:left w:val="single" w:sz="4" w:space="0" w:color="000000"/>
              <w:bottom w:val="single" w:sz="4" w:space="0" w:color="000000"/>
              <w:right w:val="single" w:sz="4" w:space="0" w:color="000000"/>
            </w:tcBorders>
          </w:tcPr>
          <w:p>
            <w:pPr/>
          </w:p>
        </w:tc>
        <w:tc>
          <w:tcPr>
            <w:tcW w:w="902" w:type="dxa"/>
            <w:tcBorders>
              <w:top w:val="single" w:sz="6" w:space="0" w:color="000000"/>
              <w:left w:val="single" w:sz="4" w:space="0" w:color="000000"/>
              <w:bottom w:val="single" w:sz="4" w:space="0" w:color="000000"/>
              <w:right w:val="nil" w:sz="6" w:space="0" w:color="auto"/>
            </w:tcBorders>
          </w:tcPr>
          <w:p>
            <w:pPr/>
          </w:p>
        </w:tc>
        <w:tc>
          <w:tcPr>
            <w:tcW w:w="439" w:type="dxa"/>
            <w:tcBorders>
              <w:top w:val="nil" w:sz="6" w:space="0" w:color="auto"/>
              <w:left w:val="nil" w:sz="6" w:space="0" w:color="auto"/>
              <w:bottom w:val="single" w:sz="4" w:space="0" w:color="000000"/>
              <w:right w:val="single" w:sz="8" w:space="0" w:color="000000"/>
            </w:tcBorders>
          </w:tcPr>
          <w:p>
            <w:pPr/>
          </w:p>
        </w:tc>
      </w:tr>
      <w:tr>
        <w:trPr>
          <w:trHeight w:val="473"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0"/>
              <w:jc w:val="right"/>
              <w:rPr>
                <w:rFonts w:ascii="宋体" w:hAnsi="宋体" w:cs="宋体" w:eastAsia="宋体" w:hint="default"/>
                <w:sz w:val="18"/>
                <w:szCs w:val="18"/>
              </w:rPr>
            </w:pPr>
            <w:r>
              <w:rPr>
                <w:rFonts w:ascii="宋体"/>
                <w:spacing w:val="-19"/>
                <w:sz w:val="18"/>
              </w:rPr>
              <w:t>61,078,754.08</w:t>
            </w: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4" w:right="0"/>
              <w:jc w:val="center"/>
              <w:rPr>
                <w:rFonts w:ascii="宋体" w:hAnsi="宋体" w:cs="宋体" w:eastAsia="宋体" w:hint="default"/>
                <w:sz w:val="18"/>
                <w:szCs w:val="18"/>
              </w:rPr>
            </w:pPr>
            <w:r>
              <w:rPr>
                <w:rFonts w:ascii="宋体"/>
                <w:spacing w:val="-18"/>
                <w:sz w:val="18"/>
              </w:rPr>
              <w:t>5,411.60</w:t>
            </w:r>
          </w:p>
        </w:tc>
        <w:tc>
          <w:tcPr>
            <w:tcW w:w="1342" w:type="dxa"/>
            <w:gridSpan w:val="2"/>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left="319" w:right="0"/>
              <w:jc w:val="left"/>
              <w:rPr>
                <w:rFonts w:ascii="宋体" w:hAnsi="宋体" w:cs="宋体" w:eastAsia="宋体" w:hint="default"/>
                <w:sz w:val="18"/>
                <w:szCs w:val="18"/>
              </w:rPr>
            </w:pPr>
            <w:r>
              <w:rPr>
                <w:rFonts w:ascii="宋体"/>
                <w:spacing w:val="-19"/>
                <w:sz w:val="18"/>
              </w:rPr>
              <w:t>61,084,165.68</w:t>
            </w:r>
          </w:p>
        </w:tc>
      </w:tr>
      <w:tr>
        <w:trPr>
          <w:trHeight w:val="710"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（二）其他综合</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87"/>
                <w:sz w:val="18"/>
                <w:szCs w:val="18"/>
              </w:rPr>
              <w:t>述</w:t>
            </w:r>
            <w:r>
              <w:rPr>
                <w:rFonts w:ascii="宋体" w:hAnsi="宋体" w:cs="宋体" w:eastAsia="宋体" w:hint="default"/>
                <w:sz w:val="18"/>
                <w:szCs w:val="18"/>
              </w:rPr>
              <w:t>（一</w:t>
            </w:r>
            <w:r>
              <w:rPr>
                <w:rFonts w:ascii="宋体" w:hAnsi="宋体" w:cs="宋体" w:eastAsia="宋体" w:hint="default"/>
                <w:spacing w:val="-87"/>
                <w:sz w:val="18"/>
                <w:szCs w:val="18"/>
              </w:rPr>
              <w:t>）和</w:t>
            </w:r>
            <w:r>
              <w:rPr>
                <w:rFonts w:ascii="宋体" w:hAnsi="宋体" w:cs="宋体" w:eastAsia="宋体" w:hint="default"/>
                <w:sz w:val="18"/>
                <w:szCs w:val="18"/>
              </w:rPr>
              <w:t>（二）</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0"/>
              <w:jc w:val="right"/>
              <w:rPr>
                <w:rFonts w:ascii="宋体" w:hAnsi="宋体" w:cs="宋体" w:eastAsia="宋体" w:hint="default"/>
                <w:sz w:val="18"/>
                <w:szCs w:val="18"/>
              </w:rPr>
            </w:pPr>
            <w:r>
              <w:rPr>
                <w:rFonts w:ascii="宋体"/>
                <w:spacing w:val="-19"/>
                <w:sz w:val="18"/>
              </w:rPr>
              <w:t>61,078,754.08</w:t>
            </w: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14" w:right="0"/>
              <w:jc w:val="center"/>
              <w:rPr>
                <w:rFonts w:ascii="宋体" w:hAnsi="宋体" w:cs="宋体" w:eastAsia="宋体" w:hint="default"/>
                <w:sz w:val="18"/>
                <w:szCs w:val="18"/>
              </w:rPr>
            </w:pPr>
            <w:r>
              <w:rPr>
                <w:rFonts w:ascii="宋体"/>
                <w:spacing w:val="-18"/>
                <w:sz w:val="18"/>
              </w:rPr>
              <w:t>5,411.60</w:t>
            </w:r>
          </w:p>
        </w:tc>
        <w:tc>
          <w:tcPr>
            <w:tcW w:w="1342" w:type="dxa"/>
            <w:gridSpan w:val="2"/>
            <w:tcBorders>
              <w:top w:val="single" w:sz="4" w:space="0" w:color="000000"/>
              <w:left w:val="single" w:sz="4" w:space="0" w:color="000000"/>
              <w:bottom w:val="single" w:sz="4" w:space="0" w:color="000000"/>
              <w:right w:val="single" w:sz="8" w:space="0" w:color="000000"/>
            </w:tcBorders>
          </w:tcPr>
          <w:p>
            <w:pPr>
              <w:pStyle w:val="TableParagraph"/>
              <w:spacing w:line="240" w:lineRule="auto" w:before="142"/>
              <w:ind w:left="319" w:right="0"/>
              <w:jc w:val="left"/>
              <w:rPr>
                <w:rFonts w:ascii="宋体" w:hAnsi="宋体" w:cs="宋体" w:eastAsia="宋体" w:hint="default"/>
                <w:sz w:val="18"/>
                <w:szCs w:val="18"/>
              </w:rPr>
            </w:pPr>
            <w:r>
              <w:rPr>
                <w:rFonts w:ascii="宋体"/>
                <w:spacing w:val="-19"/>
                <w:sz w:val="18"/>
              </w:rPr>
              <w:t>61,084,165.68</w:t>
            </w:r>
          </w:p>
        </w:tc>
      </w:tr>
      <w:tr>
        <w:trPr>
          <w:trHeight w:val="710"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（三）所有者投</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所有者投入资</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1061"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股份支付计入</w:t>
            </w:r>
          </w:p>
          <w:p>
            <w:pPr>
              <w:pStyle w:val="TableParagraph"/>
              <w:spacing w:line="357" w:lineRule="auto" w:before="115"/>
              <w:ind w:left="98" w:right="113"/>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470"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473"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9" w:right="0"/>
              <w:jc w:val="center"/>
              <w:rPr>
                <w:rFonts w:ascii="宋体" w:hAnsi="宋体" w:cs="宋体" w:eastAsia="宋体" w:hint="default"/>
                <w:sz w:val="18"/>
                <w:szCs w:val="18"/>
              </w:rPr>
            </w:pPr>
            <w:r>
              <w:rPr>
                <w:rFonts w:ascii="宋体"/>
                <w:spacing w:val="-19"/>
                <w:sz w:val="18"/>
              </w:rPr>
              <w:t>7,998,353.39</w:t>
            </w: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0"/>
              <w:jc w:val="right"/>
              <w:rPr>
                <w:rFonts w:ascii="宋体" w:hAnsi="宋体" w:cs="宋体" w:eastAsia="宋体" w:hint="default"/>
                <w:sz w:val="18"/>
                <w:szCs w:val="18"/>
              </w:rPr>
            </w:pPr>
            <w:r>
              <w:rPr>
                <w:rFonts w:ascii="宋体"/>
                <w:spacing w:val="-20"/>
                <w:sz w:val="18"/>
              </w:rPr>
              <w:t>-14,075,423.39</w:t>
            </w: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Style w:val="TableParagraph"/>
              <w:spacing w:line="240" w:lineRule="auto" w:before="25"/>
              <w:ind w:left="319" w:right="0"/>
              <w:jc w:val="left"/>
              <w:rPr>
                <w:rFonts w:ascii="宋体" w:hAnsi="宋体" w:cs="宋体" w:eastAsia="宋体" w:hint="default"/>
                <w:sz w:val="18"/>
                <w:szCs w:val="18"/>
              </w:rPr>
            </w:pPr>
            <w:r>
              <w:rPr>
                <w:rFonts w:ascii="宋体"/>
                <w:spacing w:val="-19"/>
                <w:sz w:val="18"/>
              </w:rPr>
              <w:t>-6,077,070.00</w:t>
            </w:r>
          </w:p>
        </w:tc>
      </w:tr>
      <w:tr>
        <w:trPr>
          <w:trHeight w:val="473"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提取盈余公积</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9" w:right="0"/>
              <w:jc w:val="center"/>
              <w:rPr>
                <w:rFonts w:ascii="宋体" w:hAnsi="宋体" w:cs="宋体" w:eastAsia="宋体" w:hint="default"/>
                <w:sz w:val="18"/>
                <w:szCs w:val="18"/>
              </w:rPr>
            </w:pPr>
            <w:r>
              <w:rPr>
                <w:rFonts w:ascii="宋体"/>
                <w:spacing w:val="-19"/>
                <w:sz w:val="18"/>
              </w:rPr>
              <w:t>7,998,353.39</w:t>
            </w: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0"/>
              <w:jc w:val="right"/>
              <w:rPr>
                <w:rFonts w:ascii="宋体" w:hAnsi="宋体" w:cs="宋体" w:eastAsia="宋体" w:hint="default"/>
                <w:sz w:val="18"/>
                <w:szCs w:val="18"/>
              </w:rPr>
            </w:pPr>
            <w:r>
              <w:rPr>
                <w:rFonts w:ascii="宋体"/>
                <w:spacing w:val="-19"/>
                <w:sz w:val="18"/>
              </w:rPr>
              <w:t>-7,998,353.39</w:t>
            </w: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提取一般风险</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470"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对股东的分配</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80"/>
              <w:jc w:val="right"/>
              <w:rPr>
                <w:rFonts w:ascii="宋体" w:hAnsi="宋体" w:cs="宋体" w:eastAsia="宋体" w:hint="default"/>
                <w:sz w:val="18"/>
                <w:szCs w:val="18"/>
              </w:rPr>
            </w:pPr>
            <w:r>
              <w:rPr>
                <w:rFonts w:ascii="宋体"/>
                <w:spacing w:val="-19"/>
                <w:sz w:val="18"/>
              </w:rPr>
              <w:t>-6,077,070.00</w:t>
            </w: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Style w:val="TableParagraph"/>
              <w:spacing w:line="240" w:lineRule="auto" w:before="22"/>
              <w:ind w:left="319" w:right="0"/>
              <w:jc w:val="left"/>
              <w:rPr>
                <w:rFonts w:ascii="宋体" w:hAnsi="宋体" w:cs="宋体" w:eastAsia="宋体" w:hint="default"/>
                <w:sz w:val="18"/>
                <w:szCs w:val="18"/>
              </w:rPr>
            </w:pPr>
            <w:r>
              <w:rPr>
                <w:rFonts w:ascii="宋体"/>
                <w:spacing w:val="-19"/>
                <w:sz w:val="18"/>
              </w:rPr>
              <w:t>-6,077,070.00</w:t>
            </w:r>
          </w:p>
        </w:tc>
      </w:tr>
      <w:tr>
        <w:trPr>
          <w:trHeight w:val="473"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（五）所有者权</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80"/>
                <w:sz w:val="18"/>
                <w:szCs w:val="18"/>
              </w:rPr>
              <w:t>、</w:t>
            </w:r>
            <w:r>
              <w:rPr>
                <w:rFonts w:ascii="宋体" w:hAnsi="宋体" w:cs="宋体" w:eastAsia="宋体" w:hint="default"/>
                <w:sz w:val="18"/>
                <w:szCs w:val="18"/>
              </w:rPr>
              <w:t>资本公积转增</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盈余公积转增</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80"/>
                <w:sz w:val="18"/>
                <w:szCs w:val="18"/>
              </w:rPr>
              <w:t>、</w:t>
            </w:r>
            <w:r>
              <w:rPr>
                <w:rFonts w:ascii="宋体" w:hAnsi="宋体" w:cs="宋体" w:eastAsia="宋体" w:hint="default"/>
                <w:sz w:val="18"/>
                <w:szCs w:val="18"/>
              </w:rPr>
              <w:t>盈余公积弥补</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471"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473"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473"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470" w:hRule="exact"/>
        </w:trPr>
        <w:tc>
          <w:tcPr>
            <w:tcW w:w="259" w:type="dxa"/>
            <w:vMerge/>
            <w:tcBorders>
              <w:left w:val="nil" w:sz="6" w:space="0" w:color="auto"/>
              <w:right w:val="single" w:sz="8" w:space="0" w:color="000000"/>
            </w:tcBorders>
          </w:tcPr>
          <w:p>
            <w:pPr/>
          </w:p>
        </w:tc>
        <w:tc>
          <w:tcPr>
            <w:tcW w:w="148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27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342" w:type="dxa"/>
            <w:gridSpan w:val="2"/>
            <w:tcBorders>
              <w:top w:val="single" w:sz="4" w:space="0" w:color="000000"/>
              <w:left w:val="single" w:sz="4" w:space="0" w:color="000000"/>
              <w:bottom w:val="single" w:sz="4" w:space="0" w:color="000000"/>
              <w:right w:val="single" w:sz="8" w:space="0" w:color="000000"/>
            </w:tcBorders>
          </w:tcPr>
          <w:p>
            <w:pPr/>
          </w:p>
        </w:tc>
      </w:tr>
      <w:tr>
        <w:trPr>
          <w:trHeight w:val="715" w:hRule="exact"/>
        </w:trPr>
        <w:tc>
          <w:tcPr>
            <w:tcW w:w="259" w:type="dxa"/>
            <w:vMerge/>
            <w:tcBorders>
              <w:left w:val="nil" w:sz="6" w:space="0" w:color="auto"/>
              <w:bottom w:val="nil" w:sz="6" w:space="0" w:color="auto"/>
              <w:right w:val="single" w:sz="8" w:space="0" w:color="000000"/>
            </w:tcBorders>
          </w:tcPr>
          <w:p>
            <w:pPr/>
          </w:p>
        </w:tc>
        <w:tc>
          <w:tcPr>
            <w:tcW w:w="1488" w:type="dxa"/>
            <w:tcBorders>
              <w:top w:val="single" w:sz="4" w:space="0" w:color="000000"/>
              <w:left w:val="single" w:sz="8" w:space="0" w:color="000000"/>
              <w:bottom w:val="single" w:sz="8"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四、本期期末余</w:t>
            </w:r>
            <w:r>
              <w:rPr>
                <w:rFonts w:ascii="宋体" w:hAnsi="宋体" w:cs="宋体" w:eastAsia="宋体" w:hint="default"/>
                <w:sz w:val="18"/>
                <w:szCs w:val="18"/>
              </w:rPr>
            </w:r>
          </w:p>
          <w:p>
            <w:pPr>
              <w:pStyle w:val="TableParagraph"/>
              <w:spacing w:line="240" w:lineRule="auto" w:before="112"/>
              <w:ind w:left="98"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127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5"/>
              <w:ind w:left="180" w:right="0"/>
              <w:jc w:val="left"/>
              <w:rPr>
                <w:rFonts w:ascii="宋体" w:hAnsi="宋体" w:cs="宋体" w:eastAsia="宋体" w:hint="default"/>
                <w:sz w:val="18"/>
                <w:szCs w:val="18"/>
              </w:rPr>
            </w:pPr>
            <w:r>
              <w:rPr>
                <w:rFonts w:ascii="宋体"/>
                <w:spacing w:val="-20"/>
                <w:sz w:val="18"/>
              </w:rPr>
              <w:t>121,541,400.00</w:t>
            </w: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5"/>
              <w:ind w:left="185" w:right="0"/>
              <w:jc w:val="left"/>
              <w:rPr>
                <w:rFonts w:ascii="宋体" w:hAnsi="宋体" w:cs="宋体" w:eastAsia="宋体" w:hint="default"/>
                <w:sz w:val="18"/>
                <w:szCs w:val="18"/>
              </w:rPr>
            </w:pPr>
            <w:r>
              <w:rPr>
                <w:rFonts w:ascii="宋体"/>
                <w:spacing w:val="-20"/>
                <w:sz w:val="18"/>
              </w:rPr>
              <w:t>100,173,875.66</w:t>
            </w:r>
          </w:p>
        </w:tc>
        <w:tc>
          <w:tcPr>
            <w:tcW w:w="410" w:type="dxa"/>
            <w:tcBorders>
              <w:top w:val="single" w:sz="4" w:space="0" w:color="000000"/>
              <w:left w:val="single" w:sz="4" w:space="0" w:color="000000"/>
              <w:bottom w:val="single" w:sz="8" w:space="0" w:color="000000"/>
              <w:right w:val="single" w:sz="4" w:space="0" w:color="000000"/>
            </w:tcBorders>
          </w:tcPr>
          <w:p>
            <w:pPr/>
          </w:p>
        </w:tc>
        <w:tc>
          <w:tcPr>
            <w:tcW w:w="425" w:type="dxa"/>
            <w:tcBorders>
              <w:top w:val="single" w:sz="4" w:space="0" w:color="000000"/>
              <w:left w:val="single" w:sz="4" w:space="0" w:color="000000"/>
              <w:bottom w:val="single" w:sz="8" w:space="0" w:color="000000"/>
              <w:right w:val="single" w:sz="4" w:space="0" w:color="000000"/>
            </w:tcBorders>
          </w:tcPr>
          <w:p>
            <w:pPr/>
          </w:p>
        </w:tc>
        <w:tc>
          <w:tcPr>
            <w:tcW w:w="11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5"/>
              <w:ind w:left="30" w:right="0"/>
              <w:jc w:val="center"/>
              <w:rPr>
                <w:rFonts w:ascii="宋体" w:hAnsi="宋体" w:cs="宋体" w:eastAsia="宋体" w:hint="default"/>
                <w:sz w:val="18"/>
                <w:szCs w:val="18"/>
              </w:rPr>
            </w:pPr>
            <w:r>
              <w:rPr>
                <w:rFonts w:ascii="宋体"/>
                <w:spacing w:val="-19"/>
                <w:sz w:val="18"/>
              </w:rPr>
              <w:t>38,667,258.62</w:t>
            </w:r>
          </w:p>
        </w:tc>
        <w:tc>
          <w:tcPr>
            <w:tcW w:w="442" w:type="dxa"/>
            <w:tcBorders>
              <w:top w:val="single" w:sz="4" w:space="0" w:color="000000"/>
              <w:left w:val="single" w:sz="4" w:space="0" w:color="000000"/>
              <w:bottom w:val="single" w:sz="8" w:space="0" w:color="000000"/>
              <w:right w:val="single" w:sz="4" w:space="0" w:color="000000"/>
            </w:tcBorders>
          </w:tcPr>
          <w:p>
            <w:pPr/>
          </w:p>
        </w:tc>
        <w:tc>
          <w:tcPr>
            <w:tcW w:w="127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5"/>
              <w:ind w:right="80"/>
              <w:jc w:val="right"/>
              <w:rPr>
                <w:rFonts w:ascii="宋体" w:hAnsi="宋体" w:cs="宋体" w:eastAsia="宋体" w:hint="default"/>
                <w:sz w:val="18"/>
                <w:szCs w:val="18"/>
              </w:rPr>
            </w:pPr>
            <w:r>
              <w:rPr>
                <w:rFonts w:ascii="宋体"/>
                <w:spacing w:val="-20"/>
                <w:sz w:val="18"/>
              </w:rPr>
              <w:t>170,219,503.10</w:t>
            </w:r>
          </w:p>
        </w:tc>
        <w:tc>
          <w:tcPr>
            <w:tcW w:w="409" w:type="dxa"/>
            <w:tcBorders>
              <w:top w:val="single" w:sz="4" w:space="0" w:color="000000"/>
              <w:left w:val="single" w:sz="4" w:space="0" w:color="000000"/>
              <w:bottom w:val="single" w:sz="8" w:space="0" w:color="000000"/>
              <w:right w:val="single" w:sz="4" w:space="0" w:color="000000"/>
            </w:tcBorders>
          </w:tcPr>
          <w:p>
            <w:pPr/>
          </w:p>
        </w:tc>
        <w:tc>
          <w:tcPr>
            <w:tcW w:w="86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5"/>
              <w:ind w:left="42" w:right="0"/>
              <w:jc w:val="center"/>
              <w:rPr>
                <w:rFonts w:ascii="宋体" w:hAnsi="宋体" w:cs="宋体" w:eastAsia="宋体" w:hint="default"/>
                <w:sz w:val="18"/>
                <w:szCs w:val="18"/>
              </w:rPr>
            </w:pPr>
            <w:r>
              <w:rPr>
                <w:rFonts w:ascii="宋体"/>
                <w:spacing w:val="-18"/>
                <w:sz w:val="18"/>
              </w:rPr>
              <w:t>22,746.39</w:t>
            </w:r>
          </w:p>
        </w:tc>
        <w:tc>
          <w:tcPr>
            <w:tcW w:w="1342" w:type="dxa"/>
            <w:gridSpan w:val="2"/>
            <w:tcBorders>
              <w:top w:val="single" w:sz="4" w:space="0" w:color="000000"/>
              <w:left w:val="single" w:sz="4" w:space="0" w:color="000000"/>
              <w:bottom w:val="single" w:sz="8" w:space="0" w:color="000000"/>
              <w:right w:val="single" w:sz="8" w:space="0" w:color="000000"/>
            </w:tcBorders>
          </w:tcPr>
          <w:p>
            <w:pPr>
              <w:pStyle w:val="TableParagraph"/>
              <w:spacing w:line="240" w:lineRule="auto" w:before="145"/>
              <w:ind w:left="249" w:right="0"/>
              <w:jc w:val="left"/>
              <w:rPr>
                <w:rFonts w:ascii="宋体" w:hAnsi="宋体" w:cs="宋体" w:eastAsia="宋体" w:hint="default"/>
                <w:sz w:val="18"/>
                <w:szCs w:val="18"/>
              </w:rPr>
            </w:pPr>
            <w:r>
              <w:rPr>
                <w:rFonts w:ascii="宋体"/>
                <w:spacing w:val="-20"/>
                <w:sz w:val="18"/>
              </w:rPr>
              <w:t>430,624,783.77</w:t>
            </w:r>
          </w:p>
        </w:tc>
      </w:tr>
    </w:tbl>
    <w:p>
      <w:pPr>
        <w:tabs>
          <w:tab w:pos="4508" w:val="left" w:leader="none"/>
          <w:tab w:pos="8472" w:val="left" w:leader="none"/>
        </w:tabs>
        <w:spacing w:line="205" w:lineRule="exact" w:before="0"/>
        <w:ind w:left="634" w:right="0" w:firstLine="0"/>
        <w:jc w:val="left"/>
        <w:rPr>
          <w:rFonts w:ascii="宋体" w:hAnsi="宋体" w:cs="宋体" w:eastAsia="宋体" w:hint="default"/>
          <w:sz w:val="18"/>
          <w:szCs w:val="18"/>
        </w:rPr>
      </w:pPr>
      <w:r>
        <w:rPr>
          <w:rFonts w:ascii="宋体" w:hAnsi="宋体" w:cs="宋体" w:eastAsia="宋体" w:hint="default"/>
          <w:sz w:val="18"/>
          <w:szCs w:val="18"/>
        </w:rPr>
        <w:t>公司负责人：郭春生</w:t>
        <w:tab/>
      </w:r>
      <w:r>
        <w:rPr>
          <w:rFonts w:ascii="宋体" w:hAnsi="宋体" w:cs="宋体" w:eastAsia="宋体" w:hint="default"/>
          <w:spacing w:val="-1"/>
          <w:sz w:val="18"/>
          <w:szCs w:val="18"/>
        </w:rPr>
        <w:t>主管会计工作负责人：徐吉峰</w:t>
        <w:tab/>
        <w:t>会计机构负责人：孙莉莉</w:t>
      </w:r>
    </w:p>
    <w:p>
      <w:pPr>
        <w:spacing w:after="0" w:line="205" w:lineRule="exact"/>
        <w:jc w:val="left"/>
        <w:rPr>
          <w:rFonts w:ascii="宋体" w:hAnsi="宋体" w:cs="宋体" w:eastAsia="宋体" w:hint="default"/>
          <w:sz w:val="18"/>
          <w:szCs w:val="18"/>
        </w:rPr>
        <w:sectPr>
          <w:pgSz w:w="11910" w:h="16840"/>
          <w:pgMar w:header="720" w:footer="956" w:top="1340" w:bottom="1140" w:left="580" w:right="0"/>
        </w:sectPr>
      </w:pPr>
    </w:p>
    <w:p>
      <w:pPr>
        <w:pStyle w:val="Heading2"/>
        <w:spacing w:line="240" w:lineRule="auto" w:before="13"/>
        <w:ind w:right="481"/>
        <w:jc w:val="center"/>
        <w:rPr>
          <w:b w:val="0"/>
          <w:bCs w:val="0"/>
        </w:rPr>
      </w:pPr>
      <w:r>
        <w:rPr/>
        <w:pict>
          <v:group style="position:absolute;margin-left:34.560001pt;margin-top:2.305654pt;width:508.3pt;height:.1pt;mso-position-horizontal-relative:page;mso-position-vertical-relative:paragraph;z-index:-533872" coordorigin="691,46" coordsize="10166,2">
            <v:shape style="position:absolute;left:691;top:46;width:10166;height:2" coordorigin="691,46" coordsize="10166,0" path="m691,46l10857,46e" filled="false" stroked="true" strokeweight=".72pt" strokecolor="#000000">
              <v:path arrowok="t"/>
            </v:shape>
            <w10:wrap type="none"/>
          </v:group>
        </w:pict>
      </w:r>
      <w:r>
        <w:rPr/>
        <w:t>母公司资产负债表</w:t>
      </w:r>
      <w:r>
        <w:rPr>
          <w:b w:val="0"/>
          <w:bCs w:val="0"/>
        </w:rPr>
      </w:r>
    </w:p>
    <w:p>
      <w:pPr>
        <w:tabs>
          <w:tab w:pos="8987" w:val="left" w:leader="none"/>
        </w:tabs>
        <w:spacing w:before="159"/>
        <w:ind w:left="0" w:right="387" w:firstLine="0"/>
        <w:jc w:val="center"/>
        <w:rPr>
          <w:rFonts w:ascii="宋体" w:hAnsi="宋体" w:cs="宋体" w:eastAsia="宋体" w:hint="default"/>
          <w:sz w:val="18"/>
          <w:szCs w:val="18"/>
        </w:rPr>
      </w:pPr>
      <w:r>
        <w:rPr>
          <w:rFonts w:ascii="宋体" w:hAnsi="宋体" w:cs="宋体" w:eastAsia="宋体" w:hint="default"/>
          <w:spacing w:val="-2"/>
          <w:sz w:val="18"/>
          <w:szCs w:val="18"/>
        </w:rPr>
        <w:t>单位名称：吉林紫鑫药业股份有限公司</w:t>
        <w:tab/>
      </w:r>
      <w:r>
        <w:rPr>
          <w:rFonts w:ascii="宋体" w:hAnsi="宋体" w:cs="宋体" w:eastAsia="宋体" w:hint="default"/>
          <w:spacing w:val="-5"/>
          <w:sz w:val="18"/>
          <w:szCs w:val="18"/>
        </w:rPr>
        <w:t>单位：人民币（元）</w:t>
      </w:r>
    </w:p>
    <w:p>
      <w:pPr>
        <w:spacing w:line="240" w:lineRule="auto" w:before="4"/>
        <w:rPr>
          <w:rFonts w:ascii="宋体" w:hAnsi="宋体" w:cs="宋体" w:eastAsia="宋体"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1268"/>
        <w:gridCol w:w="533"/>
        <w:gridCol w:w="1736"/>
        <w:gridCol w:w="1560"/>
        <w:gridCol w:w="1887"/>
        <w:gridCol w:w="516"/>
        <w:gridCol w:w="1729"/>
        <w:gridCol w:w="1462"/>
      </w:tblGrid>
      <w:tr>
        <w:trPr>
          <w:trHeight w:val="715" w:hRule="exact"/>
        </w:trPr>
        <w:tc>
          <w:tcPr>
            <w:tcW w:w="1268" w:type="dxa"/>
            <w:tcBorders>
              <w:top w:val="single" w:sz="8" w:space="0" w:color="000000"/>
              <w:left w:val="single" w:sz="8" w:space="0" w:color="000000"/>
              <w:bottom w:val="single" w:sz="4" w:space="0" w:color="000000"/>
              <w:right w:val="single" w:sz="4" w:space="0" w:color="000000"/>
            </w:tcBorders>
          </w:tcPr>
          <w:p>
            <w:pPr>
              <w:pStyle w:val="TableParagraph"/>
              <w:tabs>
                <w:tab w:pos="542" w:val="left" w:leader="none"/>
              </w:tabs>
              <w:spacing w:line="240" w:lineRule="auto" w:before="142"/>
              <w:ind w:right="26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533" w:type="dxa"/>
            <w:tcBorders>
              <w:top w:val="single" w:sz="8" w:space="0" w:color="000000"/>
              <w:left w:val="single" w:sz="4" w:space="0" w:color="000000"/>
              <w:bottom w:val="single" w:sz="4" w:space="0" w:color="000000"/>
              <w:right w:val="single" w:sz="4" w:space="0" w:color="000000"/>
            </w:tcBorders>
          </w:tcPr>
          <w:p>
            <w:pPr>
              <w:pStyle w:val="TableParagraph"/>
              <w:spacing w:line="203" w:lineRule="exact"/>
              <w:ind w:left="170" w:right="0"/>
              <w:jc w:val="left"/>
              <w:rPr>
                <w:rFonts w:ascii="宋体" w:hAnsi="宋体" w:cs="宋体" w:eastAsia="宋体" w:hint="default"/>
                <w:sz w:val="18"/>
                <w:szCs w:val="18"/>
              </w:rPr>
            </w:pPr>
            <w:r>
              <w:rPr>
                <w:rFonts w:ascii="宋体" w:hAnsi="宋体" w:cs="宋体" w:eastAsia="宋体" w:hint="default"/>
                <w:sz w:val="18"/>
                <w:szCs w:val="18"/>
              </w:rPr>
              <w:t>附</w:t>
            </w:r>
          </w:p>
          <w:p>
            <w:pPr>
              <w:pStyle w:val="TableParagraph"/>
              <w:spacing w:line="240" w:lineRule="auto" w:before="115"/>
              <w:ind w:left="170"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73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2"/>
              <w:ind w:left="5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2"/>
              <w:ind w:left="41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887" w:type="dxa"/>
            <w:tcBorders>
              <w:top w:val="single" w:sz="8" w:space="0" w:color="000000"/>
              <w:left w:val="single" w:sz="4" w:space="0" w:color="000000"/>
              <w:bottom w:val="single" w:sz="4" w:space="0" w:color="000000"/>
              <w:right w:val="single" w:sz="4" w:space="0" w:color="000000"/>
            </w:tcBorders>
          </w:tcPr>
          <w:p>
            <w:pPr>
              <w:pStyle w:val="TableParagraph"/>
              <w:tabs>
                <w:tab w:pos="1121" w:val="left" w:leader="none"/>
              </w:tabs>
              <w:spacing w:line="240" w:lineRule="auto" w:before="142"/>
              <w:ind w:left="57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516" w:type="dxa"/>
            <w:tcBorders>
              <w:top w:val="single" w:sz="8" w:space="0" w:color="000000"/>
              <w:left w:val="single" w:sz="4" w:space="0" w:color="000000"/>
              <w:bottom w:val="single" w:sz="4" w:space="0" w:color="000000"/>
              <w:right w:val="single" w:sz="4" w:space="0" w:color="000000"/>
            </w:tcBorders>
          </w:tcPr>
          <w:p>
            <w:pPr>
              <w:pStyle w:val="TableParagraph"/>
              <w:spacing w:line="203" w:lineRule="exact"/>
              <w:ind w:left="163" w:right="0"/>
              <w:jc w:val="left"/>
              <w:rPr>
                <w:rFonts w:ascii="宋体" w:hAnsi="宋体" w:cs="宋体" w:eastAsia="宋体" w:hint="default"/>
                <w:sz w:val="18"/>
                <w:szCs w:val="18"/>
              </w:rPr>
            </w:pPr>
            <w:r>
              <w:rPr>
                <w:rFonts w:ascii="宋体" w:hAnsi="宋体" w:cs="宋体" w:eastAsia="宋体" w:hint="default"/>
                <w:sz w:val="18"/>
                <w:szCs w:val="18"/>
              </w:rPr>
              <w:t>附</w:t>
            </w:r>
          </w:p>
          <w:p>
            <w:pPr>
              <w:pStyle w:val="TableParagraph"/>
              <w:spacing w:line="240" w:lineRule="auto" w:before="115"/>
              <w:ind w:left="163"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72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2"/>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62"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42"/>
              <w:ind w:left="364"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43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5"/>
              <w:ind w:right="252"/>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1,371,900,334.64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78,409,700.24</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877,000,000.00</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160,000,000.0</w:t>
            </w:r>
          </w:p>
          <w:p>
            <w:pPr>
              <w:pStyle w:val="TableParagraph"/>
              <w:spacing w:line="240" w:lineRule="auto" w:before="112"/>
              <w:ind w:right="97"/>
              <w:jc w:val="right"/>
              <w:rPr>
                <w:rFonts w:ascii="宋体" w:hAnsi="宋体" w:cs="宋体" w:eastAsia="宋体" w:hint="default"/>
                <w:sz w:val="18"/>
                <w:szCs w:val="18"/>
              </w:rPr>
            </w:pPr>
            <w:r>
              <w:rPr>
                <w:rFonts w:ascii="宋体"/>
                <w:sz w:val="18"/>
              </w:rPr>
              <w:t>0</w:t>
            </w: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交易性金</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2"/>
              <w:ind w:left="98"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33"/>
              <w:jc w:val="right"/>
              <w:rPr>
                <w:rFonts w:ascii="宋体" w:hAnsi="宋体" w:cs="宋体" w:eastAsia="宋体" w:hint="default"/>
                <w:sz w:val="18"/>
                <w:szCs w:val="18"/>
              </w:rPr>
            </w:pPr>
            <w:r>
              <w:rPr>
                <w:rFonts w:ascii="宋体" w:hAnsi="宋体" w:cs="宋体" w:eastAsia="宋体" w:hint="default"/>
                <w:sz w:val="18"/>
                <w:szCs w:val="18"/>
              </w:rPr>
              <w:t>交易性金融负债</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432"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252"/>
              <w:jc w:val="right"/>
              <w:rPr>
                <w:rFonts w:ascii="宋体" w:hAnsi="宋体" w:cs="宋体" w:eastAsia="宋体" w:hint="default"/>
                <w:sz w:val="18"/>
                <w:szCs w:val="18"/>
              </w:rPr>
            </w:pPr>
            <w:r>
              <w:rPr>
                <w:rFonts w:ascii="宋体" w:hAnsi="宋体" w:cs="宋体" w:eastAsia="宋体" w:hint="default"/>
                <w:sz w:val="18"/>
                <w:szCs w:val="18"/>
              </w:rPr>
              <w:t>应收票据</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4,985,651.61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252"/>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宋体" w:hAnsi="宋体" w:cs="宋体" w:eastAsia="宋体" w:hint="default"/>
                <w:sz w:val="18"/>
                <w:szCs w:val="18"/>
              </w:rPr>
            </w:pPr>
            <w:r>
              <w:rPr>
                <w:rFonts w:ascii="宋体"/>
                <w:sz w:val="18"/>
              </w:rPr>
              <w:t>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93,559,026.25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103,612,340.47</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35,997,154.59</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96"/>
              <w:jc w:val="right"/>
              <w:rPr>
                <w:rFonts w:ascii="宋体" w:hAnsi="宋体" w:cs="宋体" w:eastAsia="宋体" w:hint="default"/>
                <w:sz w:val="18"/>
                <w:szCs w:val="18"/>
              </w:rPr>
            </w:pPr>
            <w:r>
              <w:rPr>
                <w:rFonts w:ascii="宋体"/>
                <w:spacing w:val="-1"/>
                <w:sz w:val="18"/>
              </w:rPr>
              <w:t>10,001,685.63</w:t>
            </w:r>
          </w:p>
        </w:tc>
      </w:tr>
      <w:tr>
        <w:trPr>
          <w:trHeight w:val="43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right="252"/>
              <w:jc w:val="right"/>
              <w:rPr>
                <w:rFonts w:ascii="宋体" w:hAnsi="宋体" w:cs="宋体" w:eastAsia="宋体" w:hint="default"/>
                <w:sz w:val="18"/>
                <w:szCs w:val="18"/>
              </w:rPr>
            </w:pPr>
            <w:r>
              <w:rPr>
                <w:rFonts w:ascii="宋体" w:hAnsi="宋体" w:cs="宋体" w:eastAsia="宋体" w:hint="default"/>
                <w:sz w:val="18"/>
                <w:szCs w:val="18"/>
              </w:rPr>
              <w:t>预付款项</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120,042,106.52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38,579,854.70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252"/>
              <w:jc w:val="right"/>
              <w:rPr>
                <w:rFonts w:ascii="宋体" w:hAnsi="宋体" w:cs="宋体" w:eastAsia="宋体" w:hint="default"/>
                <w:sz w:val="18"/>
                <w:szCs w:val="18"/>
              </w:rPr>
            </w:pPr>
            <w:r>
              <w:rPr>
                <w:rFonts w:ascii="宋体" w:hAnsi="宋体" w:cs="宋体" w:eastAsia="宋体" w:hint="default"/>
                <w:sz w:val="18"/>
                <w:szCs w:val="18"/>
              </w:rPr>
              <w:t>应收利息</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0"/>
              <w:jc w:val="right"/>
              <w:rPr>
                <w:rFonts w:ascii="宋体" w:hAnsi="宋体" w:cs="宋体" w:eastAsia="宋体" w:hint="default"/>
                <w:sz w:val="18"/>
                <w:szCs w:val="18"/>
              </w:rPr>
            </w:pPr>
            <w:r>
              <w:rPr>
                <w:rFonts w:ascii="宋体"/>
                <w:spacing w:val="-1"/>
                <w:sz w:val="18"/>
              </w:rPr>
              <w:t>174,994.71</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pacing w:val="-1"/>
                <w:sz w:val="18"/>
              </w:rPr>
              <w:t>227,613.85</w:t>
            </w:r>
          </w:p>
        </w:tc>
      </w:tr>
      <w:tr>
        <w:trPr>
          <w:trHeight w:val="43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252"/>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5,149,995.05</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pacing w:val="-1"/>
                <w:sz w:val="18"/>
              </w:rPr>
              <w:t>2,019,195.12</w:t>
            </w: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其他应收</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款</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322,124,117.84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79,297,719.53</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68,239,763.13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98"/>
              <w:jc w:val="right"/>
              <w:rPr>
                <w:rFonts w:ascii="宋体" w:hAnsi="宋体" w:cs="宋体" w:eastAsia="宋体" w:hint="default"/>
                <w:sz w:val="18"/>
                <w:szCs w:val="18"/>
              </w:rPr>
            </w:pPr>
            <w:r>
              <w:rPr>
                <w:rFonts w:ascii="宋体"/>
                <w:spacing w:val="-1"/>
                <w:sz w:val="18"/>
              </w:rPr>
              <w:t>17,019,538.41</w:t>
            </w:r>
            <w:r>
              <w:rPr>
                <w:rFonts w:ascii="宋体"/>
                <w:sz w:val="18"/>
              </w:rPr>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1061"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firstLine="180"/>
              <w:jc w:val="left"/>
              <w:rPr>
                <w:rFonts w:ascii="宋体" w:hAnsi="宋体" w:cs="宋体" w:eastAsia="宋体" w:hint="default"/>
                <w:sz w:val="18"/>
                <w:szCs w:val="18"/>
              </w:rPr>
            </w:pPr>
            <w:r>
              <w:rPr>
                <w:rFonts w:ascii="宋体" w:hAnsi="宋体" w:cs="宋体" w:eastAsia="宋体" w:hint="default"/>
                <w:spacing w:val="37"/>
                <w:sz w:val="18"/>
                <w:szCs w:val="18"/>
              </w:rPr>
              <w:t>一年内到</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357" w:lineRule="auto" w:before="115"/>
              <w:ind w:left="98" w:right="60"/>
              <w:jc w:val="left"/>
              <w:rPr>
                <w:rFonts w:ascii="宋体" w:hAnsi="宋体" w:cs="宋体" w:eastAsia="宋体" w:hint="default"/>
                <w:sz w:val="18"/>
                <w:szCs w:val="18"/>
              </w:rPr>
            </w:pPr>
            <w:r>
              <w:rPr>
                <w:rFonts w:ascii="宋体" w:hAnsi="宋体" w:cs="宋体" w:eastAsia="宋体" w:hint="default"/>
                <w:spacing w:val="30"/>
                <w:sz w:val="18"/>
                <w:szCs w:val="18"/>
              </w:rPr>
              <w:t>期的非流动</w:t>
            </w:r>
            <w:r>
              <w:rPr>
                <w:rFonts w:ascii="宋体" w:hAnsi="宋体" w:cs="宋体" w:eastAsia="宋体" w:hint="default"/>
                <w:spacing w:val="-52"/>
                <w:sz w:val="18"/>
                <w:szCs w:val="18"/>
              </w:rPr>
              <w:t> </w:t>
            </w:r>
            <w:r>
              <w:rPr>
                <w:rFonts w:ascii="宋体" w:hAnsi="宋体" w:cs="宋体" w:eastAsia="宋体" w:hint="default"/>
                <w:sz w:val="18"/>
                <w:szCs w:val="18"/>
              </w:rPr>
              <w:t>资产</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4,071.00</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1,423,493.77</w:t>
            </w: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其他流动</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pacing w:val="7"/>
                <w:sz w:val="18"/>
                <w:szCs w:val="18"/>
              </w:rPr>
              <w:t>一年内到期的非流</w:t>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动负债</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1268" w:type="dxa"/>
            <w:tcBorders>
              <w:top w:val="single" w:sz="4" w:space="0" w:color="000000"/>
              <w:left w:val="single" w:sz="8"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b/>
                <w:bCs/>
                <w:spacing w:val="37"/>
                <w:sz w:val="18"/>
                <w:szCs w:val="18"/>
              </w:rPr>
              <w:t>流动资产</w:t>
            </w:r>
            <w:r>
              <w:rPr>
                <w:rFonts w:ascii="宋体" w:hAnsi="宋体" w:cs="宋体" w:eastAsia="宋体" w:hint="default"/>
                <w:b/>
                <w:bCs/>
                <w:spacing w:val="-41"/>
                <w:sz w:val="18"/>
                <w:szCs w:val="18"/>
              </w:rPr>
              <w:t> </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1,980,850,999.99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316,919,153.35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918,326,215.35</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173,671,988.3</w:t>
            </w:r>
          </w:p>
          <w:p>
            <w:pPr>
              <w:pStyle w:val="TableParagraph"/>
              <w:spacing w:line="240" w:lineRule="auto" w:before="115"/>
              <w:ind w:right="97"/>
              <w:jc w:val="right"/>
              <w:rPr>
                <w:rFonts w:ascii="宋体" w:hAnsi="宋体" w:cs="宋体" w:eastAsia="宋体" w:hint="default"/>
                <w:sz w:val="18"/>
                <w:szCs w:val="18"/>
              </w:rPr>
            </w:pPr>
            <w:r>
              <w:rPr>
                <w:rFonts w:ascii="宋体"/>
                <w:sz w:val="18"/>
              </w:rPr>
              <w:t>7</w:t>
            </w:r>
          </w:p>
        </w:tc>
      </w:tr>
      <w:tr>
        <w:trPr>
          <w:trHeight w:val="43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0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可供出售</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2"/>
              <w:ind w:left="98"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28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711"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持有至到</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3"/>
              <w:ind w:left="98" w:right="0"/>
              <w:jc w:val="left"/>
              <w:rPr>
                <w:rFonts w:ascii="宋体" w:hAnsi="宋体" w:cs="宋体" w:eastAsia="宋体" w:hint="default"/>
                <w:sz w:val="18"/>
                <w:szCs w:val="18"/>
              </w:rPr>
            </w:pPr>
            <w:r>
              <w:rPr>
                <w:rFonts w:ascii="宋体" w:hAnsi="宋体" w:cs="宋体" w:eastAsia="宋体" w:hint="default"/>
                <w:sz w:val="18"/>
                <w:szCs w:val="18"/>
              </w:rPr>
              <w:t>期投资</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长期应收</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2"/>
              <w:ind w:left="98" w:right="0"/>
              <w:jc w:val="left"/>
              <w:rPr>
                <w:rFonts w:ascii="宋体" w:hAnsi="宋体" w:cs="宋体" w:eastAsia="宋体" w:hint="default"/>
                <w:sz w:val="18"/>
                <w:szCs w:val="18"/>
              </w:rPr>
            </w:pPr>
            <w:r>
              <w:rPr>
                <w:rFonts w:ascii="宋体" w:hAnsi="宋体" w:cs="宋体" w:eastAsia="宋体" w:hint="default"/>
                <w:sz w:val="18"/>
                <w:szCs w:val="18"/>
              </w:rPr>
              <w:t>款</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长期股权</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sz w:val="18"/>
              </w:rPr>
              <w:t>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129,837,641.41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50,237,641.41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1,320,000.00</w:t>
            </w:r>
          </w:p>
        </w:tc>
        <w:tc>
          <w:tcPr>
            <w:tcW w:w="146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1,460,000.00</w:t>
            </w: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投资性房</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地产</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r>
        <w:trPr>
          <w:trHeight w:val="432"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right="252"/>
              <w:jc w:val="right"/>
              <w:rPr>
                <w:rFonts w:ascii="宋体" w:hAnsi="宋体" w:cs="宋体" w:eastAsia="宋体" w:hint="default"/>
                <w:sz w:val="18"/>
                <w:szCs w:val="18"/>
              </w:rPr>
            </w:pPr>
            <w:r>
              <w:rPr>
                <w:rFonts w:ascii="宋体" w:hAnsi="宋体" w:cs="宋体" w:eastAsia="宋体" w:hint="default"/>
                <w:sz w:val="18"/>
                <w:szCs w:val="18"/>
              </w:rPr>
              <w:t>固定资产</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210,255,570.79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196,054,779.44</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33"/>
              <w:jc w:val="right"/>
              <w:rPr>
                <w:rFonts w:ascii="宋体" w:hAnsi="宋体" w:cs="宋体" w:eastAsia="宋体" w:hint="default"/>
                <w:sz w:val="18"/>
                <w:szCs w:val="18"/>
              </w:rPr>
            </w:pPr>
            <w:r>
              <w:rPr>
                <w:rFonts w:ascii="宋体" w:hAnsi="宋体" w:cs="宋体" w:eastAsia="宋体" w:hint="default"/>
                <w:sz w:val="18"/>
                <w:szCs w:val="18"/>
              </w:rPr>
              <w:t>递延所得税负债</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8" w:space="0" w:color="000000"/>
            </w:tcBorders>
          </w:tcPr>
          <w:p>
            <w:pPr/>
          </w:p>
        </w:tc>
      </w:tr>
    </w:tbl>
    <w:p>
      <w:pPr>
        <w:spacing w:after="0"/>
        <w:sectPr>
          <w:pgSz w:w="11910" w:h="16840"/>
          <w:pgMar w:header="720" w:footer="956" w:top="1300" w:bottom="1140" w:left="480" w:right="0"/>
        </w:sectPr>
      </w:pPr>
    </w:p>
    <w:tbl>
      <w:tblPr>
        <w:tblW w:w="0" w:type="auto"/>
        <w:jc w:val="left"/>
        <w:tblInd w:w="117" w:type="dxa"/>
        <w:tblLayout w:type="fixed"/>
        <w:tblCellMar>
          <w:top w:w="0" w:type="dxa"/>
          <w:left w:w="0" w:type="dxa"/>
          <w:bottom w:w="0" w:type="dxa"/>
          <w:right w:w="0" w:type="dxa"/>
        </w:tblCellMar>
        <w:tblLook w:val="01E0"/>
      </w:tblPr>
      <w:tblGrid>
        <w:gridCol w:w="1268"/>
        <w:gridCol w:w="533"/>
        <w:gridCol w:w="1736"/>
        <w:gridCol w:w="1560"/>
        <w:gridCol w:w="1887"/>
        <w:gridCol w:w="516"/>
        <w:gridCol w:w="1729"/>
        <w:gridCol w:w="1022"/>
        <w:gridCol w:w="439"/>
      </w:tblGrid>
      <w:tr>
        <w:trPr>
          <w:trHeight w:val="432" w:hRule="exact"/>
        </w:trPr>
        <w:tc>
          <w:tcPr>
            <w:tcW w:w="1268" w:type="dxa"/>
            <w:tcBorders>
              <w:top w:val="single" w:sz="6" w:space="0" w:color="000000"/>
              <w:left w:val="single" w:sz="8" w:space="0" w:color="000000"/>
              <w:bottom w:val="single" w:sz="4" w:space="0" w:color="000000"/>
              <w:right w:val="single" w:sz="4" w:space="0" w:color="000000"/>
            </w:tcBorders>
          </w:tcPr>
          <w:p>
            <w:pPr>
              <w:pStyle w:val="TableParagraph"/>
              <w:spacing w:line="240" w:lineRule="auto" w:before="1"/>
              <w:ind w:left="27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533" w:type="dxa"/>
            <w:tcBorders>
              <w:top w:val="single" w:sz="6" w:space="0" w:color="000000"/>
              <w:left w:val="single" w:sz="4" w:space="0" w:color="000000"/>
              <w:bottom w:val="single" w:sz="4" w:space="0" w:color="000000"/>
              <w:right w:val="single" w:sz="4" w:space="0" w:color="000000"/>
            </w:tcBorders>
          </w:tcPr>
          <w:p>
            <w:pPr/>
          </w:p>
        </w:tc>
        <w:tc>
          <w:tcPr>
            <w:tcW w:w="1736" w:type="dxa"/>
            <w:tcBorders>
              <w:top w:val="single" w:sz="6" w:space="0" w:color="000000"/>
              <w:left w:val="single" w:sz="4" w:space="0" w:color="000000"/>
              <w:bottom w:val="single" w:sz="4" w:space="0" w:color="000000"/>
              <w:right w:val="single" w:sz="4" w:space="0" w:color="000000"/>
            </w:tcBorders>
          </w:tcPr>
          <w:p>
            <w:pPr/>
          </w:p>
        </w:tc>
        <w:tc>
          <w:tcPr>
            <w:tcW w:w="156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15,943,221.80</w:t>
            </w:r>
          </w:p>
        </w:tc>
        <w:tc>
          <w:tcPr>
            <w:tcW w:w="188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left="28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516" w:type="dxa"/>
            <w:tcBorders>
              <w:top w:val="single" w:sz="6" w:space="0" w:color="000000"/>
              <w:left w:val="single" w:sz="4" w:space="0" w:color="000000"/>
              <w:bottom w:val="single" w:sz="4" w:space="0" w:color="000000"/>
              <w:right w:val="single" w:sz="4" w:space="0" w:color="000000"/>
            </w:tcBorders>
          </w:tcPr>
          <w:p>
            <w:pPr/>
          </w:p>
        </w:tc>
        <w:tc>
          <w:tcPr>
            <w:tcW w:w="1729" w:type="dxa"/>
            <w:tcBorders>
              <w:top w:val="single" w:sz="6" w:space="0" w:color="000000"/>
              <w:left w:val="single" w:sz="4" w:space="0" w:color="000000"/>
              <w:bottom w:val="single" w:sz="4" w:space="0" w:color="000000"/>
              <w:right w:val="single" w:sz="4" w:space="0" w:color="000000"/>
            </w:tcBorders>
          </w:tcPr>
          <w:p>
            <w:pPr/>
          </w:p>
        </w:tc>
        <w:tc>
          <w:tcPr>
            <w:tcW w:w="1022" w:type="dxa"/>
            <w:tcBorders>
              <w:top w:val="single" w:sz="6" w:space="0" w:color="000000"/>
              <w:left w:val="single" w:sz="4" w:space="0" w:color="000000"/>
              <w:bottom w:val="single" w:sz="4" w:space="0" w:color="000000"/>
              <w:right w:val="nil" w:sz="6" w:space="0" w:color="auto"/>
            </w:tcBorders>
          </w:tcPr>
          <w:p>
            <w:pPr/>
          </w:p>
        </w:tc>
        <w:tc>
          <w:tcPr>
            <w:tcW w:w="439" w:type="dxa"/>
            <w:tcBorders>
              <w:top w:val="nil" w:sz="6" w:space="0" w:color="auto"/>
              <w:left w:val="nil" w:sz="6" w:space="0" w:color="auto"/>
              <w:bottom w:val="single" w:sz="4" w:space="0" w:color="000000"/>
              <w:right w:val="single" w:sz="8" w:space="0" w:color="000000"/>
            </w:tcBorders>
          </w:tcPr>
          <w:p>
            <w:pPr/>
          </w:p>
        </w:tc>
      </w:tr>
      <w:tr>
        <w:trPr>
          <w:trHeight w:val="43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278"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3"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1,320,000.00</w:t>
            </w:r>
          </w:p>
        </w:tc>
        <w:tc>
          <w:tcPr>
            <w:tcW w:w="1462" w:type="dxa"/>
            <w:gridSpan w:val="2"/>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left="268" w:right="0"/>
              <w:jc w:val="left"/>
              <w:rPr>
                <w:rFonts w:ascii="宋体" w:hAnsi="宋体" w:cs="宋体" w:eastAsia="宋体" w:hint="default"/>
                <w:sz w:val="18"/>
                <w:szCs w:val="18"/>
              </w:rPr>
            </w:pPr>
            <w:r>
              <w:rPr>
                <w:rFonts w:ascii="宋体"/>
                <w:sz w:val="18"/>
              </w:rPr>
              <w:t>1,460,000.00</w:t>
            </w: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固定资产</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清理</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919,646,215.35</w:t>
            </w:r>
          </w:p>
        </w:tc>
        <w:tc>
          <w:tcPr>
            <w:tcW w:w="1462" w:type="dxa"/>
            <w:gridSpan w:val="2"/>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175,131,988.3</w:t>
            </w:r>
          </w:p>
          <w:p>
            <w:pPr>
              <w:pStyle w:val="TableParagraph"/>
              <w:spacing w:line="240" w:lineRule="auto" w:before="115"/>
              <w:ind w:right="97"/>
              <w:jc w:val="right"/>
              <w:rPr>
                <w:rFonts w:ascii="宋体" w:hAnsi="宋体" w:cs="宋体" w:eastAsia="宋体" w:hint="default"/>
                <w:sz w:val="18"/>
                <w:szCs w:val="18"/>
              </w:rPr>
            </w:pPr>
            <w:r>
              <w:rPr>
                <w:rFonts w:ascii="宋体"/>
                <w:sz w:val="18"/>
              </w:rPr>
              <w:t>7</w:t>
            </w: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生产性生</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物资产</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gridSpan w:val="2"/>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2"/>
              <w:ind w:left="278"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256,495,691.00</w:t>
            </w:r>
          </w:p>
        </w:tc>
        <w:tc>
          <w:tcPr>
            <w:tcW w:w="1462" w:type="dxa"/>
            <w:gridSpan w:val="2"/>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121,541,400.0</w:t>
            </w:r>
          </w:p>
          <w:p>
            <w:pPr>
              <w:pStyle w:val="TableParagraph"/>
              <w:spacing w:line="240" w:lineRule="auto" w:before="115"/>
              <w:ind w:right="97"/>
              <w:jc w:val="right"/>
              <w:rPr>
                <w:rFonts w:ascii="宋体" w:hAnsi="宋体" w:cs="宋体" w:eastAsia="宋体" w:hint="default"/>
                <w:sz w:val="18"/>
                <w:szCs w:val="18"/>
              </w:rPr>
            </w:pPr>
            <w:r>
              <w:rPr>
                <w:rFonts w:ascii="宋体"/>
                <w:sz w:val="18"/>
              </w:rPr>
              <w:t>0</w:t>
            </w: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42"/>
              <w:ind w:left="27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47,886,353.32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12,912,860.22</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975,977,974.90</w:t>
            </w:r>
          </w:p>
        </w:tc>
        <w:tc>
          <w:tcPr>
            <w:tcW w:w="1462" w:type="dxa"/>
            <w:gridSpan w:val="2"/>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100,173,875.6</w:t>
            </w:r>
          </w:p>
          <w:p>
            <w:pPr>
              <w:pStyle w:val="TableParagraph"/>
              <w:spacing w:line="240" w:lineRule="auto" w:before="115"/>
              <w:ind w:right="97"/>
              <w:jc w:val="right"/>
              <w:rPr>
                <w:rFonts w:ascii="宋体" w:hAnsi="宋体" w:cs="宋体" w:eastAsia="宋体" w:hint="default"/>
                <w:sz w:val="18"/>
                <w:szCs w:val="18"/>
              </w:rPr>
            </w:pPr>
            <w:r>
              <w:rPr>
                <w:rFonts w:ascii="宋体"/>
                <w:sz w:val="18"/>
              </w:rPr>
              <w:t>6</w:t>
            </w:r>
          </w:p>
        </w:tc>
      </w:tr>
      <w:tr>
        <w:trPr>
          <w:trHeight w:val="43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278"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gridSpan w:val="2"/>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pacing w:val="-1"/>
                <w:sz w:val="18"/>
              </w:rPr>
              <w:t>42,291,509.25</w:t>
            </w:r>
          </w:p>
        </w:tc>
        <w:tc>
          <w:tcPr>
            <w:tcW w:w="1462" w:type="dxa"/>
            <w:gridSpan w:val="2"/>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left="177" w:right="0"/>
              <w:jc w:val="left"/>
              <w:rPr>
                <w:rFonts w:ascii="宋体" w:hAnsi="宋体" w:cs="宋体" w:eastAsia="宋体" w:hint="default"/>
                <w:sz w:val="18"/>
                <w:szCs w:val="18"/>
              </w:rPr>
            </w:pPr>
            <w:r>
              <w:rPr>
                <w:rFonts w:ascii="宋体"/>
                <w:sz w:val="18"/>
              </w:rPr>
              <w:t>37,505,507.91</w:t>
            </w: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长期待摊</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2,022,222.20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2,600,000.00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177,356,931.29</w:t>
            </w:r>
          </w:p>
        </w:tc>
        <w:tc>
          <w:tcPr>
            <w:tcW w:w="1462" w:type="dxa"/>
            <w:gridSpan w:val="2"/>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161,386,651.4</w:t>
            </w:r>
          </w:p>
          <w:p>
            <w:pPr>
              <w:pStyle w:val="TableParagraph"/>
              <w:spacing w:line="240" w:lineRule="auto" w:before="115"/>
              <w:ind w:right="97"/>
              <w:jc w:val="right"/>
              <w:rPr>
                <w:rFonts w:ascii="宋体" w:hAnsi="宋体" w:cs="宋体" w:eastAsia="宋体" w:hint="default"/>
                <w:sz w:val="18"/>
                <w:szCs w:val="18"/>
              </w:rPr>
            </w:pPr>
            <w:r>
              <w:rPr>
                <w:rFonts w:ascii="宋体"/>
                <w:sz w:val="18"/>
              </w:rPr>
              <w:t>2</w:t>
            </w: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递延所得</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税资产</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915,534.08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1,071,767.14</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gridSpan w:val="2"/>
            <w:tcBorders>
              <w:top w:val="single" w:sz="4" w:space="0" w:color="000000"/>
              <w:left w:val="single" w:sz="4" w:space="0" w:color="000000"/>
              <w:bottom w:val="single" w:sz="4" w:space="0" w:color="000000"/>
              <w:right w:val="single" w:sz="8" w:space="0" w:color="000000"/>
            </w:tcBorders>
          </w:tcPr>
          <w:p>
            <w:pPr/>
          </w:p>
        </w:tc>
      </w:tr>
      <w:tr>
        <w:trPr>
          <w:trHeight w:val="710"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pacing w:val="37"/>
                <w:sz w:val="18"/>
                <w:szCs w:val="18"/>
              </w:rPr>
              <w:t>其他非流</w:t>
            </w:r>
            <w:r>
              <w:rPr>
                <w:rFonts w:ascii="宋体" w:hAnsi="宋体" w:cs="宋体" w:eastAsia="宋体" w:hint="default"/>
                <w:spacing w:val="-40"/>
                <w:sz w:val="18"/>
                <w:szCs w:val="18"/>
              </w:rPr>
              <w:t> </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动资产</w:t>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83" w:right="0"/>
              <w:jc w:val="left"/>
              <w:rPr>
                <w:rFonts w:ascii="宋体" w:hAnsi="宋体" w:cs="宋体" w:eastAsia="宋体" w:hint="default"/>
                <w:sz w:val="18"/>
                <w:szCs w:val="18"/>
              </w:rPr>
            </w:pPr>
            <w:r>
              <w:rPr>
                <w:rFonts w:ascii="宋体" w:hAnsi="宋体" w:cs="宋体" w:eastAsia="宋体" w:hint="default"/>
                <w:spacing w:val="7"/>
                <w:sz w:val="18"/>
                <w:szCs w:val="18"/>
              </w:rPr>
              <w:t>归属于母公司股东</w:t>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权益合计</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1,452,122,106.44</w:t>
            </w:r>
          </w:p>
        </w:tc>
        <w:tc>
          <w:tcPr>
            <w:tcW w:w="1462" w:type="dxa"/>
            <w:gridSpan w:val="2"/>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420,607,434.9</w:t>
            </w:r>
          </w:p>
          <w:p>
            <w:pPr>
              <w:pStyle w:val="TableParagraph"/>
              <w:spacing w:line="240" w:lineRule="auto" w:before="115"/>
              <w:ind w:right="97"/>
              <w:jc w:val="right"/>
              <w:rPr>
                <w:rFonts w:ascii="宋体" w:hAnsi="宋体" w:cs="宋体" w:eastAsia="宋体" w:hint="default"/>
                <w:sz w:val="18"/>
                <w:szCs w:val="18"/>
              </w:rPr>
            </w:pPr>
            <w:r>
              <w:rPr>
                <w:rFonts w:ascii="宋体"/>
                <w:sz w:val="18"/>
              </w:rPr>
              <w:t>9</w:t>
            </w:r>
          </w:p>
        </w:tc>
      </w:tr>
      <w:tr>
        <w:trPr>
          <w:trHeight w:val="430" w:hRule="exact"/>
        </w:trPr>
        <w:tc>
          <w:tcPr>
            <w:tcW w:w="1268" w:type="dxa"/>
            <w:tcBorders>
              <w:top w:val="single" w:sz="4" w:space="0" w:color="000000"/>
              <w:left w:val="single" w:sz="8"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gridSpan w:val="2"/>
            <w:tcBorders>
              <w:top w:val="single" w:sz="4" w:space="0" w:color="000000"/>
              <w:left w:val="single" w:sz="4" w:space="0" w:color="000000"/>
              <w:bottom w:val="single" w:sz="4" w:space="0" w:color="000000"/>
              <w:right w:val="single" w:sz="8" w:space="0" w:color="000000"/>
            </w:tcBorders>
          </w:tcPr>
          <w:p>
            <w:pPr/>
          </w:p>
        </w:tc>
      </w:tr>
      <w:tr>
        <w:trPr>
          <w:trHeight w:val="711" w:hRule="exact"/>
        </w:trPr>
        <w:tc>
          <w:tcPr>
            <w:tcW w:w="1268"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b/>
                <w:bCs/>
                <w:spacing w:val="37"/>
                <w:sz w:val="18"/>
                <w:szCs w:val="18"/>
              </w:rPr>
              <w:t>非流动资</w:t>
            </w:r>
            <w:r>
              <w:rPr>
                <w:rFonts w:ascii="宋体" w:hAnsi="宋体" w:cs="宋体" w:eastAsia="宋体" w:hint="default"/>
                <w:b/>
                <w:bCs/>
                <w:spacing w:val="-41"/>
                <w:sz w:val="18"/>
                <w:szCs w:val="18"/>
              </w:rPr>
              <w:t> </w:t>
            </w:r>
            <w:r>
              <w:rPr>
                <w:rFonts w:ascii="宋体" w:hAnsi="宋体" w:cs="宋体" w:eastAsia="宋体" w:hint="default"/>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b/>
                <w:bCs/>
                <w:sz w:val="18"/>
                <w:szCs w:val="18"/>
              </w:rPr>
              <w:t>产合计</w:t>
            </w:r>
            <w:r>
              <w:rPr>
                <w:rFonts w:ascii="宋体" w:hAnsi="宋体" w:cs="宋体" w:eastAsia="宋体" w:hint="default"/>
                <w:sz w:val="18"/>
                <w:szCs w:val="18"/>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390,917,321.80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278,820,270.01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83"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51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1,452,122,106.44</w:t>
            </w:r>
          </w:p>
        </w:tc>
        <w:tc>
          <w:tcPr>
            <w:tcW w:w="1462" w:type="dxa"/>
            <w:gridSpan w:val="2"/>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420,607,434.9</w:t>
            </w:r>
          </w:p>
          <w:p>
            <w:pPr>
              <w:pStyle w:val="TableParagraph"/>
              <w:spacing w:line="240" w:lineRule="auto" w:before="115"/>
              <w:ind w:right="97"/>
              <w:jc w:val="right"/>
              <w:rPr>
                <w:rFonts w:ascii="宋体" w:hAnsi="宋体" w:cs="宋体" w:eastAsia="宋体" w:hint="default"/>
                <w:sz w:val="18"/>
                <w:szCs w:val="18"/>
              </w:rPr>
            </w:pPr>
            <w:r>
              <w:rPr>
                <w:rFonts w:ascii="宋体"/>
                <w:sz w:val="18"/>
              </w:rPr>
              <w:t>9</w:t>
            </w:r>
          </w:p>
        </w:tc>
      </w:tr>
      <w:tr>
        <w:trPr>
          <w:trHeight w:val="715" w:hRule="exact"/>
        </w:trPr>
        <w:tc>
          <w:tcPr>
            <w:tcW w:w="1268"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42"/>
              <w:ind w:left="261"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533" w:type="dxa"/>
            <w:tcBorders>
              <w:top w:val="single" w:sz="4" w:space="0" w:color="000000"/>
              <w:left w:val="single" w:sz="4" w:space="0" w:color="000000"/>
              <w:bottom w:val="single" w:sz="8" w:space="0" w:color="000000"/>
              <w:right w:val="single" w:sz="4" w:space="0" w:color="000000"/>
            </w:tcBorders>
          </w:tcPr>
          <w:p>
            <w:pPr/>
          </w:p>
        </w:tc>
        <w:tc>
          <w:tcPr>
            <w:tcW w:w="173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2,371,768,321.79</w:t>
            </w:r>
          </w:p>
        </w:tc>
        <w:tc>
          <w:tcPr>
            <w:tcW w:w="15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595,739,423.36</w:t>
            </w:r>
          </w:p>
        </w:tc>
        <w:tc>
          <w:tcPr>
            <w:tcW w:w="18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2"/>
              <w:ind w:left="124"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516" w:type="dxa"/>
            <w:tcBorders>
              <w:top w:val="single" w:sz="4" w:space="0" w:color="000000"/>
              <w:left w:val="single" w:sz="4" w:space="0" w:color="000000"/>
              <w:bottom w:val="single" w:sz="8" w:space="0" w:color="000000"/>
              <w:right w:val="single" w:sz="4" w:space="0" w:color="000000"/>
            </w:tcBorders>
          </w:tcPr>
          <w:p>
            <w:pPr/>
          </w:p>
        </w:tc>
        <w:tc>
          <w:tcPr>
            <w:tcW w:w="17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42"/>
              <w:ind w:right="100"/>
              <w:jc w:val="right"/>
              <w:rPr>
                <w:rFonts w:ascii="宋体" w:hAnsi="宋体" w:cs="宋体" w:eastAsia="宋体" w:hint="default"/>
                <w:sz w:val="18"/>
                <w:szCs w:val="18"/>
              </w:rPr>
            </w:pPr>
            <w:r>
              <w:rPr>
                <w:rFonts w:ascii="宋体"/>
                <w:spacing w:val="-1"/>
                <w:sz w:val="18"/>
              </w:rPr>
              <w:t>2,371,768,321.79</w:t>
            </w:r>
          </w:p>
        </w:tc>
        <w:tc>
          <w:tcPr>
            <w:tcW w:w="1462" w:type="dxa"/>
            <w:gridSpan w:val="2"/>
            <w:tcBorders>
              <w:top w:val="single" w:sz="4" w:space="0" w:color="000000"/>
              <w:left w:val="single" w:sz="4"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595,739,423.3</w:t>
            </w:r>
          </w:p>
          <w:p>
            <w:pPr>
              <w:pStyle w:val="TableParagraph"/>
              <w:spacing w:line="240" w:lineRule="auto" w:before="115"/>
              <w:ind w:right="97"/>
              <w:jc w:val="right"/>
              <w:rPr>
                <w:rFonts w:ascii="宋体" w:hAnsi="宋体" w:cs="宋体" w:eastAsia="宋体" w:hint="default"/>
                <w:sz w:val="18"/>
                <w:szCs w:val="18"/>
              </w:rPr>
            </w:pPr>
            <w:r>
              <w:rPr>
                <w:rFonts w:ascii="宋体"/>
                <w:sz w:val="18"/>
              </w:rPr>
              <w:t>6</w:t>
            </w:r>
          </w:p>
        </w:tc>
      </w:tr>
    </w:tbl>
    <w:p>
      <w:pPr>
        <w:spacing w:line="203" w:lineRule="exact" w:before="0"/>
        <w:ind w:left="235" w:right="606"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注：所附附注为财务报表重要组成部分</w:t>
      </w:r>
    </w:p>
    <w:p>
      <w:pPr>
        <w:spacing w:line="240" w:lineRule="auto" w:before="2"/>
        <w:rPr>
          <w:rFonts w:ascii="宋体" w:hAnsi="宋体" w:cs="宋体" w:eastAsia="宋体" w:hint="default"/>
          <w:sz w:val="12"/>
          <w:szCs w:val="12"/>
        </w:rPr>
      </w:pPr>
    </w:p>
    <w:tbl>
      <w:tblPr>
        <w:tblW w:w="0" w:type="auto"/>
        <w:jc w:val="left"/>
        <w:tblInd w:w="279" w:type="dxa"/>
        <w:tblLayout w:type="fixed"/>
        <w:tblCellMar>
          <w:top w:w="0" w:type="dxa"/>
          <w:left w:w="0" w:type="dxa"/>
          <w:bottom w:w="0" w:type="dxa"/>
          <w:right w:w="0" w:type="dxa"/>
        </w:tblCellMar>
        <w:tblLook w:val="01E0"/>
      </w:tblPr>
      <w:tblGrid>
        <w:gridCol w:w="3606"/>
        <w:gridCol w:w="3690"/>
        <w:gridCol w:w="2826"/>
      </w:tblGrid>
      <w:tr>
        <w:trPr>
          <w:trHeight w:val="1398"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0" w:right="0"/>
              <w:jc w:val="left"/>
              <w:rPr>
                <w:rFonts w:ascii="宋体" w:hAnsi="宋体" w:cs="宋体" w:eastAsia="宋体" w:hint="default"/>
                <w:sz w:val="18"/>
                <w:szCs w:val="18"/>
              </w:rPr>
            </w:pPr>
            <w:r>
              <w:rPr>
                <w:rFonts w:ascii="宋体" w:hAnsi="宋体" w:cs="宋体" w:eastAsia="宋体" w:hint="default"/>
                <w:sz w:val="18"/>
                <w:szCs w:val="18"/>
              </w:rPr>
              <w:t>公司负责人：郭春生</w:t>
            </w:r>
          </w:p>
        </w:tc>
        <w:tc>
          <w:tcPr>
            <w:tcW w:w="36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39" w:right="0"/>
              <w:jc w:val="left"/>
              <w:rPr>
                <w:rFonts w:ascii="宋体" w:hAnsi="宋体" w:cs="宋体" w:eastAsia="宋体" w:hint="default"/>
                <w:sz w:val="18"/>
                <w:szCs w:val="18"/>
              </w:rPr>
            </w:pPr>
            <w:r>
              <w:rPr>
                <w:rFonts w:ascii="宋体" w:hAnsi="宋体" w:cs="宋体" w:eastAsia="宋体" w:hint="default"/>
                <w:sz w:val="18"/>
                <w:szCs w:val="18"/>
              </w:rPr>
              <w:t>主管会计工作负责人：徐吉峰</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848" w:right="0"/>
              <w:jc w:val="left"/>
              <w:rPr>
                <w:rFonts w:ascii="宋体" w:hAnsi="宋体" w:cs="宋体" w:eastAsia="宋体" w:hint="default"/>
                <w:sz w:val="24"/>
                <w:szCs w:val="24"/>
              </w:rPr>
            </w:pPr>
            <w:r>
              <w:rPr>
                <w:rFonts w:ascii="宋体" w:hAnsi="宋体" w:cs="宋体" w:eastAsia="宋体" w:hint="default"/>
                <w:b/>
                <w:bCs/>
                <w:sz w:val="24"/>
                <w:szCs w:val="24"/>
              </w:rPr>
              <w:t>母公司利润表</w:t>
            </w:r>
            <w:r>
              <w:rPr>
                <w:rFonts w:ascii="宋体" w:hAnsi="宋体" w:cs="宋体" w:eastAsia="宋体" w:hint="default"/>
                <w:sz w:val="24"/>
                <w:szCs w:val="24"/>
              </w:rPr>
            </w: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12" w:right="0"/>
              <w:jc w:val="left"/>
              <w:rPr>
                <w:rFonts w:ascii="宋体" w:hAnsi="宋体" w:cs="宋体" w:eastAsia="宋体" w:hint="default"/>
                <w:sz w:val="18"/>
                <w:szCs w:val="18"/>
              </w:rPr>
            </w:pPr>
            <w:r>
              <w:rPr>
                <w:rFonts w:ascii="宋体" w:hAnsi="宋体" w:cs="宋体" w:eastAsia="宋体" w:hint="default"/>
                <w:sz w:val="18"/>
                <w:szCs w:val="18"/>
              </w:rPr>
              <w:t>会计机构负责人：孙莉莉</w:t>
            </w:r>
          </w:p>
        </w:tc>
      </w:tr>
      <w:tr>
        <w:trPr>
          <w:trHeight w:val="509" w:hRule="exact"/>
        </w:trPr>
        <w:tc>
          <w:tcPr>
            <w:tcW w:w="36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单位名称：吉林紫鑫药业股份有限公司</w:t>
            </w:r>
          </w:p>
        </w:tc>
        <w:tc>
          <w:tcPr>
            <w:tcW w:w="3690" w:type="dxa"/>
            <w:tcBorders>
              <w:top w:val="nil" w:sz="6" w:space="0" w:color="auto"/>
              <w:left w:val="nil" w:sz="6" w:space="0" w:color="auto"/>
              <w:bottom w:val="nil" w:sz="6" w:space="0" w:color="auto"/>
              <w:right w:val="nil" w:sz="6" w:space="0" w:color="auto"/>
            </w:tcBorders>
          </w:tcPr>
          <w:p>
            <w:pPr/>
          </w:p>
        </w:tc>
        <w:tc>
          <w:tcPr>
            <w:tcW w:w="28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88" w:right="0"/>
              <w:jc w:val="left"/>
              <w:rPr>
                <w:rFonts w:ascii="宋体" w:hAnsi="宋体" w:cs="宋体" w:eastAsia="宋体" w:hint="default"/>
                <w:sz w:val="18"/>
                <w:szCs w:val="18"/>
              </w:rPr>
            </w:pPr>
            <w:r>
              <w:rPr>
                <w:rFonts w:ascii="宋体" w:hAnsi="宋体" w:cs="宋体" w:eastAsia="宋体" w:hint="default"/>
                <w:spacing w:val="-8"/>
                <w:sz w:val="18"/>
                <w:szCs w:val="18"/>
              </w:rPr>
              <w:t>单位：人民币（元）</w:t>
            </w:r>
          </w:p>
        </w:tc>
      </w:tr>
    </w:tbl>
    <w:p>
      <w:pPr>
        <w:spacing w:line="240" w:lineRule="auto" w:before="8"/>
        <w:rPr>
          <w:rFonts w:ascii="宋体" w:hAnsi="宋体" w:cs="宋体" w:eastAsia="宋体" w:hint="default"/>
          <w:sz w:val="3"/>
          <w:szCs w:val="3"/>
        </w:rPr>
      </w:pPr>
    </w:p>
    <w:tbl>
      <w:tblPr>
        <w:tblW w:w="0" w:type="auto"/>
        <w:jc w:val="left"/>
        <w:tblInd w:w="196" w:type="dxa"/>
        <w:tblLayout w:type="fixed"/>
        <w:tblCellMar>
          <w:top w:w="0" w:type="dxa"/>
          <w:left w:w="0" w:type="dxa"/>
          <w:bottom w:w="0" w:type="dxa"/>
          <w:right w:w="0" w:type="dxa"/>
        </w:tblCellMar>
        <w:tblLook w:val="01E0"/>
      </w:tblPr>
      <w:tblGrid>
        <w:gridCol w:w="3721"/>
        <w:gridCol w:w="1356"/>
        <w:gridCol w:w="2588"/>
        <w:gridCol w:w="2367"/>
      </w:tblGrid>
      <w:tr>
        <w:trPr>
          <w:trHeight w:val="538" w:hRule="exact"/>
        </w:trPr>
        <w:tc>
          <w:tcPr>
            <w:tcW w:w="3721"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35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258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67"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530"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4</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277,634,347.03</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
                <w:sz w:val="18"/>
              </w:rPr>
              <w:t>218,328,556.52</w:t>
            </w:r>
          </w:p>
        </w:tc>
      </w:tr>
      <w:tr>
        <w:trPr>
          <w:trHeight w:val="533"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4</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89,958,745.40</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52,407,693.61</w:t>
            </w:r>
          </w:p>
        </w:tc>
      </w:tr>
      <w:tr>
        <w:trPr>
          <w:trHeight w:val="533"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2,396,622.36</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2,071,230.42</w:t>
            </w:r>
          </w:p>
        </w:tc>
      </w:tr>
      <w:tr>
        <w:trPr>
          <w:trHeight w:val="530"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86,974,546.80</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
                <w:sz w:val="18"/>
              </w:rPr>
              <w:t>73,952,216.66</w:t>
            </w:r>
          </w:p>
        </w:tc>
      </w:tr>
      <w:tr>
        <w:trPr>
          <w:trHeight w:val="533"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31,984,378.07</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17,414,831.69</w:t>
            </w:r>
          </w:p>
        </w:tc>
      </w:tr>
    </w:tbl>
    <w:p>
      <w:pPr>
        <w:spacing w:after="0" w:line="240" w:lineRule="auto"/>
        <w:jc w:val="right"/>
        <w:rPr>
          <w:rFonts w:ascii="宋体" w:hAnsi="宋体" w:cs="宋体" w:eastAsia="宋体" w:hint="default"/>
          <w:sz w:val="18"/>
          <w:szCs w:val="18"/>
        </w:rPr>
        <w:sectPr>
          <w:pgSz w:w="11910" w:h="16840"/>
          <w:pgMar w:header="720" w:footer="956" w:top="1340" w:bottom="1140" w:left="480" w:right="0"/>
        </w:sectPr>
      </w:pPr>
    </w:p>
    <w:tbl>
      <w:tblPr>
        <w:tblW w:w="0" w:type="auto"/>
        <w:jc w:val="left"/>
        <w:tblInd w:w="116" w:type="dxa"/>
        <w:tblLayout w:type="fixed"/>
        <w:tblCellMar>
          <w:top w:w="0" w:type="dxa"/>
          <w:left w:w="0" w:type="dxa"/>
          <w:bottom w:w="0" w:type="dxa"/>
          <w:right w:w="0" w:type="dxa"/>
        </w:tblCellMar>
        <w:tblLook w:val="01E0"/>
      </w:tblPr>
      <w:tblGrid>
        <w:gridCol w:w="3721"/>
        <w:gridCol w:w="1356"/>
        <w:gridCol w:w="2588"/>
        <w:gridCol w:w="2367"/>
      </w:tblGrid>
      <w:tr>
        <w:trPr>
          <w:trHeight w:val="533" w:hRule="exact"/>
        </w:trPr>
        <w:tc>
          <w:tcPr>
            <w:tcW w:w="3721" w:type="dxa"/>
            <w:tcBorders>
              <w:top w:val="single" w:sz="6" w:space="0" w:color="000000"/>
              <w:left w:val="single" w:sz="8" w:space="0" w:color="000000"/>
              <w:bottom w:val="single" w:sz="4" w:space="0" w:color="000000"/>
              <w:right w:val="single" w:sz="4" w:space="0" w:color="000000"/>
            </w:tcBorders>
          </w:tcPr>
          <w:p>
            <w:pPr>
              <w:pStyle w:val="TableParagraph"/>
              <w:spacing w:line="240" w:lineRule="auto" w:before="51"/>
              <w:ind w:left="27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356" w:type="dxa"/>
            <w:tcBorders>
              <w:top w:val="single" w:sz="6" w:space="0" w:color="000000"/>
              <w:left w:val="single" w:sz="4" w:space="0" w:color="000000"/>
              <w:bottom w:val="single" w:sz="4" w:space="0" w:color="000000"/>
              <w:right w:val="single" w:sz="4" w:space="0" w:color="000000"/>
            </w:tcBorders>
          </w:tcPr>
          <w:p>
            <w:pPr/>
          </w:p>
        </w:tc>
        <w:tc>
          <w:tcPr>
            <w:tcW w:w="258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23,906,928.24</w:t>
            </w:r>
          </w:p>
        </w:tc>
        <w:tc>
          <w:tcPr>
            <w:tcW w:w="2367" w:type="dxa"/>
            <w:tcBorders>
              <w:top w:val="single" w:sz="6" w:space="0" w:color="000000"/>
              <w:left w:val="single" w:sz="4" w:space="0" w:color="000000"/>
              <w:bottom w:val="single" w:sz="4" w:space="0" w:color="000000"/>
              <w:right w:val="single" w:sz="8"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
                <w:sz w:val="18"/>
              </w:rPr>
              <w:t>7,884,991.17</w:t>
            </w:r>
          </w:p>
        </w:tc>
      </w:tr>
      <w:tr>
        <w:trPr>
          <w:trHeight w:val="533"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-1,041,553.77</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4,344,143.91</w:t>
            </w:r>
          </w:p>
        </w:tc>
      </w:tr>
      <w:tr>
        <w:trPr>
          <w:trHeight w:val="710"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278"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加：公允价值变动收益（损失以“—”填</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single" w:sz="8" w:space="0" w:color="000000"/>
            </w:tcBorders>
          </w:tcPr>
          <w:p>
            <w:pPr/>
          </w:p>
        </w:tc>
      </w:tr>
      <w:tr>
        <w:trPr>
          <w:trHeight w:val="530"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投资收益（损失以“—”填列）</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5</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6,256,729.38</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28,200,000.00</w:t>
            </w:r>
          </w:p>
        </w:tc>
      </w:tr>
      <w:tr>
        <w:trPr>
          <w:trHeight w:val="533"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single" w:sz="8" w:space="0" w:color="000000"/>
            </w:tcBorders>
          </w:tcPr>
          <w:p>
            <w:pPr/>
          </w:p>
        </w:tc>
      </w:tr>
      <w:tr>
        <w:trPr>
          <w:trHeight w:val="533"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b/>
                <w:bCs/>
                <w:sz w:val="18"/>
                <w:szCs w:val="18"/>
              </w:rPr>
              <w:t>二、营业利润（亏损以“—”填列）</w:t>
            </w:r>
            <w:r>
              <w:rPr>
                <w:rFonts w:ascii="宋体" w:hAnsi="宋体" w:cs="宋体" w:eastAsia="宋体" w:hint="default"/>
                <w:sz w:val="18"/>
                <w:szCs w:val="18"/>
              </w:rPr>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49,711,409.31</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88,453,449.06</w:t>
            </w:r>
          </w:p>
        </w:tc>
      </w:tr>
      <w:tr>
        <w:trPr>
          <w:trHeight w:val="530"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22,214.64</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314,522.31</w:t>
            </w:r>
          </w:p>
        </w:tc>
      </w:tr>
      <w:tr>
        <w:trPr>
          <w:trHeight w:val="533"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4"/>
              <w:ind w:left="278"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18"/>
                <w:szCs w:val="18"/>
              </w:rPr>
            </w:pPr>
            <w:r>
              <w:rPr>
                <w:rFonts w:ascii="宋体"/>
                <w:spacing w:val="-1"/>
                <w:sz w:val="18"/>
              </w:rPr>
              <w:t>1,733,332.88</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pacing w:val="-1"/>
                <w:sz w:val="18"/>
              </w:rPr>
              <w:t>265,462.94</w:t>
            </w:r>
          </w:p>
        </w:tc>
      </w:tr>
      <w:tr>
        <w:trPr>
          <w:trHeight w:val="533"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35,332.88</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252,501.31</w:t>
            </w:r>
          </w:p>
        </w:tc>
      </w:tr>
      <w:tr>
        <w:trPr>
          <w:trHeight w:val="530"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三、利润总额（亏损总额以“—”填列）</w:t>
            </w:r>
            <w:r>
              <w:rPr>
                <w:rFonts w:ascii="宋体" w:hAnsi="宋体" w:cs="宋体" w:eastAsia="宋体" w:hint="default"/>
                <w:sz w:val="18"/>
                <w:szCs w:val="18"/>
              </w:rPr>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48,000,291.07</w:t>
            </w:r>
            <w:r>
              <w:rPr>
                <w:rFonts w:ascii="宋体"/>
                <w:sz w:val="18"/>
              </w:rPr>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88,502,508.43</w:t>
            </w:r>
          </w:p>
        </w:tc>
      </w:tr>
      <w:tr>
        <w:trPr>
          <w:trHeight w:val="533"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140,277.66</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8,518,974.50</w:t>
            </w:r>
          </w:p>
        </w:tc>
      </w:tr>
      <w:tr>
        <w:trPr>
          <w:trHeight w:val="533"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b/>
                <w:bCs/>
                <w:sz w:val="18"/>
                <w:szCs w:val="18"/>
              </w:rPr>
              <w:t>四、净利润（净亏损以“—”号填列）</w:t>
            </w:r>
            <w:r>
              <w:rPr>
                <w:rFonts w:ascii="宋体" w:hAnsi="宋体" w:cs="宋体" w:eastAsia="宋体" w:hint="default"/>
                <w:sz w:val="18"/>
                <w:szCs w:val="18"/>
              </w:rPr>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47,860,013.41</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79,983,533.93</w:t>
            </w:r>
          </w:p>
        </w:tc>
      </w:tr>
      <w:tr>
        <w:trPr>
          <w:trHeight w:val="530"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single" w:sz="8" w:space="0" w:color="000000"/>
            </w:tcBorders>
          </w:tcPr>
          <w:p>
            <w:pPr/>
          </w:p>
        </w:tc>
      </w:tr>
      <w:tr>
        <w:trPr>
          <w:trHeight w:val="533"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0.23</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0.39</w:t>
            </w:r>
          </w:p>
        </w:tc>
      </w:tr>
      <w:tr>
        <w:trPr>
          <w:trHeight w:val="533"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0.23</w:t>
            </w:r>
          </w:p>
        </w:tc>
        <w:tc>
          <w:tcPr>
            <w:tcW w:w="236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3"/>
              <w:ind w:right="97"/>
              <w:jc w:val="right"/>
              <w:rPr>
                <w:rFonts w:ascii="宋体" w:hAnsi="宋体" w:cs="宋体" w:eastAsia="宋体" w:hint="default"/>
                <w:sz w:val="18"/>
                <w:szCs w:val="18"/>
              </w:rPr>
            </w:pPr>
            <w:r>
              <w:rPr>
                <w:rFonts w:ascii="宋体"/>
                <w:sz w:val="18"/>
              </w:rPr>
              <w:t>0.39</w:t>
            </w:r>
          </w:p>
        </w:tc>
      </w:tr>
      <w:tr>
        <w:trPr>
          <w:trHeight w:val="530" w:hRule="exact"/>
        </w:trPr>
        <w:tc>
          <w:tcPr>
            <w:tcW w:w="372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1356" w:type="dxa"/>
            <w:tcBorders>
              <w:top w:val="single" w:sz="4" w:space="0" w:color="000000"/>
              <w:left w:val="single" w:sz="4" w:space="0" w:color="000000"/>
              <w:bottom w:val="single" w:sz="4" w:space="0" w:color="000000"/>
              <w:right w:val="single" w:sz="4" w:space="0" w:color="000000"/>
            </w:tcBorders>
          </w:tcPr>
          <w:p>
            <w:pPr/>
          </w:p>
        </w:tc>
        <w:tc>
          <w:tcPr>
            <w:tcW w:w="2588" w:type="dxa"/>
            <w:tcBorders>
              <w:top w:val="single" w:sz="4" w:space="0" w:color="000000"/>
              <w:left w:val="single" w:sz="4" w:space="0" w:color="000000"/>
              <w:bottom w:val="single" w:sz="4" w:space="0" w:color="000000"/>
              <w:right w:val="single" w:sz="4" w:space="0" w:color="000000"/>
            </w:tcBorders>
          </w:tcPr>
          <w:p>
            <w:pPr/>
          </w:p>
        </w:tc>
        <w:tc>
          <w:tcPr>
            <w:tcW w:w="2367" w:type="dxa"/>
            <w:tcBorders>
              <w:top w:val="single" w:sz="4" w:space="0" w:color="000000"/>
              <w:left w:val="single" w:sz="4" w:space="0" w:color="000000"/>
              <w:bottom w:val="single" w:sz="4" w:space="0" w:color="000000"/>
              <w:right w:val="single" w:sz="8" w:space="0" w:color="000000"/>
            </w:tcBorders>
          </w:tcPr>
          <w:p>
            <w:pPr/>
          </w:p>
        </w:tc>
      </w:tr>
      <w:tr>
        <w:trPr>
          <w:trHeight w:val="538" w:hRule="exact"/>
        </w:trPr>
        <w:tc>
          <w:tcPr>
            <w:tcW w:w="3721"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1356" w:type="dxa"/>
            <w:tcBorders>
              <w:top w:val="single" w:sz="4" w:space="0" w:color="000000"/>
              <w:left w:val="single" w:sz="4" w:space="0" w:color="000000"/>
              <w:bottom w:val="single" w:sz="8" w:space="0" w:color="000000"/>
              <w:right w:val="single" w:sz="4" w:space="0" w:color="000000"/>
            </w:tcBorders>
          </w:tcPr>
          <w:p>
            <w:pPr/>
          </w:p>
        </w:tc>
        <w:tc>
          <w:tcPr>
            <w:tcW w:w="25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47,860,013.41</w:t>
            </w:r>
          </w:p>
        </w:tc>
        <w:tc>
          <w:tcPr>
            <w:tcW w:w="236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79,983,533.93</w:t>
            </w:r>
          </w:p>
        </w:tc>
      </w:tr>
    </w:tbl>
    <w:p>
      <w:pPr>
        <w:spacing w:line="203" w:lineRule="exact" w:before="0"/>
        <w:ind w:left="234" w:right="587" w:firstLine="0"/>
        <w:jc w:val="left"/>
        <w:rPr>
          <w:rFonts w:ascii="宋体" w:hAnsi="宋体" w:cs="宋体" w:eastAsia="宋体" w:hint="default"/>
          <w:sz w:val="18"/>
          <w:szCs w:val="18"/>
        </w:rPr>
      </w:pPr>
      <w:r>
        <w:rPr/>
        <w:pict>
          <v:group style="position:absolute;margin-left:34.560001pt;margin-top:68.279984pt;width:508.3pt;height:.1pt;mso-position-horizontal-relative:page;mso-position-vertical-relative:page;z-index:-533848" coordorigin="691,1366" coordsize="10166,2">
            <v:shape style="position:absolute;left:691;top:1366;width:10166;height:2" coordorigin="691,1366" coordsize="10166,0" path="m691,1366l10857,1366e" filled="false" stroked="true" strokeweight=".72pt" strokecolor="#000000">
              <v:path arrowok="t"/>
            </v:shape>
            <w10:wrap type="none"/>
          </v:group>
        </w:pict>
      </w:r>
      <w:r>
        <w:rPr>
          <w:rFonts w:ascii="宋体" w:hAnsi="宋体" w:cs="宋体" w:eastAsia="宋体" w:hint="default"/>
          <w:sz w:val="18"/>
          <w:szCs w:val="18"/>
        </w:rPr>
        <w:t>*</w:t>
      </w:r>
      <w:r>
        <w:rPr>
          <w:rFonts w:ascii="宋体" w:hAnsi="宋体" w:cs="宋体" w:eastAsia="宋体" w:hint="default"/>
          <w:sz w:val="18"/>
          <w:szCs w:val="18"/>
        </w:rPr>
        <w:t>注：所附附注为财务报表重要组成部分</w:t>
      </w:r>
    </w:p>
    <w:p>
      <w:pPr>
        <w:tabs>
          <w:tab w:pos="3514" w:val="left" w:leader="none"/>
          <w:tab w:pos="7746" w:val="left" w:leader="none"/>
        </w:tabs>
        <w:spacing w:before="115"/>
        <w:ind w:left="0" w:right="1151" w:firstLine="0"/>
        <w:jc w:val="center"/>
        <w:rPr>
          <w:rFonts w:ascii="宋体" w:hAnsi="宋体" w:cs="宋体" w:eastAsia="宋体" w:hint="default"/>
          <w:sz w:val="18"/>
          <w:szCs w:val="18"/>
        </w:rPr>
      </w:pPr>
      <w:r>
        <w:rPr>
          <w:rFonts w:ascii="宋体" w:hAnsi="宋体" w:cs="宋体" w:eastAsia="宋体" w:hint="default"/>
          <w:sz w:val="18"/>
          <w:szCs w:val="18"/>
        </w:rPr>
        <w:t>公司负责人：郭春生</w:t>
        <w:tab/>
      </w:r>
      <w:r>
        <w:rPr>
          <w:rFonts w:ascii="宋体" w:hAnsi="宋体" w:cs="宋体" w:eastAsia="宋体" w:hint="default"/>
          <w:spacing w:val="-1"/>
          <w:sz w:val="18"/>
          <w:szCs w:val="18"/>
        </w:rPr>
        <w:t>主管会计工作负责人：徐吉峰</w:t>
        <w:tab/>
        <w:t>会计机构负责人：孙莉莉</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8"/>
          <w:szCs w:val="18"/>
        </w:rPr>
      </w:pPr>
    </w:p>
    <w:p>
      <w:pPr>
        <w:pStyle w:val="Heading2"/>
        <w:spacing w:line="240" w:lineRule="auto"/>
        <w:ind w:right="1026"/>
        <w:jc w:val="center"/>
        <w:rPr>
          <w:b w:val="0"/>
          <w:bCs w:val="0"/>
        </w:rPr>
      </w:pPr>
      <w:r>
        <w:rPr/>
        <w:t>母公司现金流量表</w:t>
      </w:r>
      <w:r>
        <w:rPr>
          <w:b w:val="0"/>
          <w:bCs w:val="0"/>
        </w:rPr>
      </w:r>
    </w:p>
    <w:p>
      <w:pPr>
        <w:tabs>
          <w:tab w:pos="7926" w:val="left" w:leader="none"/>
        </w:tabs>
        <w:spacing w:before="183"/>
        <w:ind w:left="0" w:right="1112" w:firstLine="0"/>
        <w:jc w:val="center"/>
        <w:rPr>
          <w:rFonts w:ascii="宋体" w:hAnsi="宋体" w:cs="宋体" w:eastAsia="宋体" w:hint="default"/>
          <w:sz w:val="18"/>
          <w:szCs w:val="18"/>
        </w:rPr>
      </w:pPr>
      <w:r>
        <w:rPr>
          <w:rFonts w:ascii="宋体" w:hAnsi="宋体" w:cs="宋体" w:eastAsia="宋体" w:hint="default"/>
          <w:sz w:val="18"/>
          <w:szCs w:val="18"/>
        </w:rPr>
        <w:t>单位名称：吉林紫鑫药业股份有限公司</w:t>
        <w:tab/>
        <w:t>单位：人民币（元）</w:t>
      </w:r>
    </w:p>
    <w:p>
      <w:pPr>
        <w:spacing w:line="240" w:lineRule="auto" w:before="4"/>
        <w:rPr>
          <w:rFonts w:ascii="宋体" w:hAnsi="宋体" w:cs="宋体" w:eastAsia="宋体" w:hint="default"/>
          <w:sz w:val="11"/>
          <w:szCs w:val="11"/>
        </w:rPr>
      </w:pPr>
    </w:p>
    <w:tbl>
      <w:tblPr>
        <w:tblW w:w="0" w:type="auto"/>
        <w:jc w:val="left"/>
        <w:tblInd w:w="224" w:type="dxa"/>
        <w:tblLayout w:type="fixed"/>
        <w:tblCellMar>
          <w:top w:w="0" w:type="dxa"/>
          <w:left w:w="0" w:type="dxa"/>
          <w:bottom w:w="0" w:type="dxa"/>
          <w:right w:w="0" w:type="dxa"/>
        </w:tblCellMar>
        <w:tblLook w:val="01E0"/>
      </w:tblPr>
      <w:tblGrid>
        <w:gridCol w:w="4962"/>
        <w:gridCol w:w="792"/>
        <w:gridCol w:w="2150"/>
        <w:gridCol w:w="1947"/>
      </w:tblGrid>
      <w:tr>
        <w:trPr>
          <w:trHeight w:val="365" w:hRule="exact"/>
        </w:trPr>
        <w:tc>
          <w:tcPr>
            <w:tcW w:w="4962" w:type="dxa"/>
            <w:tcBorders>
              <w:top w:val="single" w:sz="8" w:space="0" w:color="000000"/>
              <w:left w:val="single" w:sz="8" w:space="0" w:color="000000"/>
              <w:bottom w:val="single" w:sz="4" w:space="0" w:color="000000"/>
              <w:right w:val="single" w:sz="4" w:space="0" w:color="000000"/>
            </w:tcBorders>
          </w:tcPr>
          <w:p>
            <w:pPr>
              <w:pStyle w:val="TableParagraph"/>
              <w:tabs>
                <w:tab w:pos="3550" w:val="left" w:leader="none"/>
              </w:tabs>
              <w:spacing w:line="203" w:lineRule="exact"/>
              <w:ind w:left="121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792" w:type="dxa"/>
            <w:tcBorders>
              <w:top w:val="single" w:sz="8" w:space="0" w:color="000000"/>
              <w:left w:val="single" w:sz="4" w:space="0" w:color="000000"/>
              <w:bottom w:val="single" w:sz="4" w:space="0" w:color="000000"/>
              <w:right w:val="single" w:sz="4" w:space="0" w:color="000000"/>
            </w:tcBorders>
          </w:tcPr>
          <w:p>
            <w:pPr>
              <w:pStyle w:val="TableParagraph"/>
              <w:spacing w:line="203" w:lineRule="exact"/>
              <w:ind w:left="208" w:right="0"/>
              <w:jc w:val="left"/>
              <w:rPr>
                <w:rFonts w:ascii="宋体" w:hAnsi="宋体" w:cs="宋体" w:eastAsia="宋体" w:hint="default"/>
                <w:sz w:val="18"/>
                <w:szCs w:val="18"/>
              </w:rPr>
            </w:pPr>
            <w:r>
              <w:rPr>
                <w:rFonts w:ascii="宋体" w:hAnsi="宋体" w:cs="宋体" w:eastAsia="宋体" w:hint="default"/>
                <w:sz w:val="18"/>
                <w:szCs w:val="18"/>
              </w:rPr>
              <w:t>附注</w:t>
            </w:r>
          </w:p>
        </w:tc>
        <w:tc>
          <w:tcPr>
            <w:tcW w:w="2150" w:type="dxa"/>
            <w:tcBorders>
              <w:top w:val="single" w:sz="8" w:space="0" w:color="000000"/>
              <w:left w:val="single" w:sz="4" w:space="0" w:color="000000"/>
              <w:bottom w:val="single" w:sz="4" w:space="0" w:color="000000"/>
              <w:right w:val="single" w:sz="4" w:space="0" w:color="000000"/>
            </w:tcBorders>
          </w:tcPr>
          <w:p>
            <w:pPr>
              <w:pStyle w:val="TableParagraph"/>
              <w:spacing w:line="203" w:lineRule="exact"/>
              <w:ind w:left="71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47" w:type="dxa"/>
            <w:tcBorders>
              <w:top w:val="single" w:sz="8" w:space="0" w:color="000000"/>
              <w:left w:val="single" w:sz="4" w:space="0" w:color="000000"/>
              <w:bottom w:val="single" w:sz="4" w:space="0" w:color="000000"/>
              <w:right w:val="single" w:sz="8" w:space="0" w:color="000000"/>
            </w:tcBorders>
          </w:tcPr>
          <w:p>
            <w:pPr>
              <w:pStyle w:val="TableParagraph"/>
              <w:spacing w:line="203" w:lineRule="exact"/>
              <w:ind w:left="607"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326,310,766.17</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197,503,349.10</w:t>
            </w: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1,719,916.89</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4,959,561.29</w:t>
            </w: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b/>
                <w:bCs/>
                <w:sz w:val="18"/>
                <w:szCs w:val="18"/>
              </w:rPr>
              <w:t>现金流入小计</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328,030,683.06</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202,462,910.39</w:t>
            </w: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184,877,972.59</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56,526,452.11</w:t>
            </w: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30,940,176.84</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25,060,266.85</w:t>
            </w:r>
          </w:p>
        </w:tc>
      </w:tr>
    </w:tbl>
    <w:p>
      <w:pPr>
        <w:spacing w:after="0" w:line="203" w:lineRule="exact"/>
        <w:jc w:val="right"/>
        <w:rPr>
          <w:rFonts w:ascii="宋体" w:hAnsi="宋体" w:cs="宋体" w:eastAsia="宋体" w:hint="default"/>
          <w:sz w:val="18"/>
          <w:szCs w:val="18"/>
        </w:rPr>
        <w:sectPr>
          <w:pgSz w:w="11910" w:h="16840"/>
          <w:pgMar w:header="720" w:footer="956" w:top="1340" w:bottom="1140" w:left="560" w:right="0"/>
        </w:sectPr>
      </w:pPr>
    </w:p>
    <w:tbl>
      <w:tblPr>
        <w:tblW w:w="0" w:type="auto"/>
        <w:jc w:val="left"/>
        <w:tblInd w:w="324" w:type="dxa"/>
        <w:tblLayout w:type="fixed"/>
        <w:tblCellMar>
          <w:top w:w="0" w:type="dxa"/>
          <w:left w:w="0" w:type="dxa"/>
          <w:bottom w:w="0" w:type="dxa"/>
          <w:right w:w="0" w:type="dxa"/>
        </w:tblCellMar>
        <w:tblLook w:val="01E0"/>
      </w:tblPr>
      <w:tblGrid>
        <w:gridCol w:w="4962"/>
        <w:gridCol w:w="792"/>
        <w:gridCol w:w="2150"/>
        <w:gridCol w:w="1947"/>
        <w:gridCol w:w="211"/>
      </w:tblGrid>
      <w:tr>
        <w:trPr>
          <w:trHeight w:val="362" w:hRule="exact"/>
        </w:trPr>
        <w:tc>
          <w:tcPr>
            <w:tcW w:w="4962" w:type="dxa"/>
            <w:tcBorders>
              <w:top w:val="single" w:sz="6"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92" w:type="dxa"/>
            <w:tcBorders>
              <w:top w:val="single" w:sz="6" w:space="0" w:color="000000"/>
              <w:left w:val="single" w:sz="4" w:space="0" w:color="000000"/>
              <w:bottom w:val="single" w:sz="4" w:space="0" w:color="000000"/>
              <w:right w:val="single" w:sz="4" w:space="0" w:color="000000"/>
            </w:tcBorders>
          </w:tcPr>
          <w:p>
            <w:pPr/>
          </w:p>
        </w:tc>
        <w:tc>
          <w:tcPr>
            <w:tcW w:w="2150" w:type="dxa"/>
            <w:tcBorders>
              <w:top w:val="single" w:sz="6"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32,629,748.82</w:t>
            </w:r>
          </w:p>
        </w:tc>
        <w:tc>
          <w:tcPr>
            <w:tcW w:w="1947" w:type="dxa"/>
            <w:tcBorders>
              <w:top w:val="single" w:sz="6"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37,985,673.57</w:t>
            </w:r>
          </w:p>
        </w:tc>
        <w:tc>
          <w:tcPr>
            <w:tcW w:w="211" w:type="dxa"/>
            <w:vMerge w:val="restart"/>
            <w:tcBorders>
              <w:top w:val="single" w:sz="6" w:space="0" w:color="000000"/>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331,726,936.36</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102,780,668.37</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b/>
                <w:bCs/>
                <w:sz w:val="18"/>
                <w:szCs w:val="18"/>
              </w:rPr>
              <w:t>现金流出小计</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580,174,834.61</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222,353,060.90</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1296"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-252,144,151.55</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-19,890,150.51</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1,960,000.00</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28,200,000.00</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处置固定资产、无形资产和其他长期资产而收回的现金净额</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b/>
                <w:bCs/>
                <w:sz w:val="18"/>
                <w:szCs w:val="18"/>
              </w:rPr>
              <w:t>现金流入小计</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1,960,000.00</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28,200,000.00</w:t>
            </w:r>
          </w:p>
        </w:tc>
        <w:tc>
          <w:tcPr>
            <w:tcW w:w="211" w:type="dxa"/>
            <w:vMerge/>
            <w:tcBorders>
              <w:left w:val="single" w:sz="8" w:space="0" w:color="000000"/>
              <w:right w:val="nil" w:sz="6" w:space="0" w:color="auto"/>
            </w:tcBorders>
          </w:tcPr>
          <w:p>
            <w:pPr/>
          </w:p>
        </w:tc>
      </w:tr>
      <w:tr>
        <w:trPr>
          <w:trHeight w:val="361"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宋体" w:hAnsi="宋体" w:cs="宋体" w:eastAsia="宋体" w:hint="default"/>
                <w:sz w:val="18"/>
                <w:szCs w:val="18"/>
              </w:rPr>
            </w:pPr>
            <w:r>
              <w:rPr>
                <w:rFonts w:ascii="宋体"/>
                <w:spacing w:val="-1"/>
                <w:sz w:val="18"/>
              </w:rPr>
              <w:t>52,157,547.05</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20,750,015.91</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80,600,000.00</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28,000,000.00</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2"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b/>
                <w:bCs/>
                <w:sz w:val="18"/>
                <w:szCs w:val="18"/>
              </w:rPr>
              <w:t>现金流出小计</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132,757,547.05</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48,750,015.91</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1296"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-130,797,547.05</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-20,550,015.91</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987,999,985.55</w:t>
            </w: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取得借款所收到的现金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887,000,000.00</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168,000,000.00</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b/>
                <w:bCs/>
                <w:sz w:val="18"/>
                <w:szCs w:val="18"/>
              </w:rPr>
              <w:t>现金流入小计</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1,874,999,985.55</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168,000,000.00</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170,000,000.00</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123,200,000.00</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26,877,777.24</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13,906,502.09</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1,689,875.31</w:t>
            </w: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b/>
                <w:bCs/>
                <w:sz w:val="18"/>
                <w:szCs w:val="18"/>
              </w:rPr>
              <w:t>现金流出小计</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198,567,652.55</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137,106,502.09</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1296"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1,676,432,333.00</w:t>
            </w:r>
          </w:p>
        </w:tc>
        <w:tc>
          <w:tcPr>
            <w:tcW w:w="1947" w:type="dxa"/>
            <w:tcBorders>
              <w:top w:val="single" w:sz="4" w:space="0" w:color="000000"/>
              <w:left w:val="single" w:sz="4" w:space="0" w:color="000000"/>
              <w:bottom w:val="single" w:sz="4" w:space="0" w:color="000000"/>
              <w:right w:val="single" w:sz="8"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30,893,497.91</w:t>
            </w:r>
          </w:p>
        </w:tc>
        <w:tc>
          <w:tcPr>
            <w:tcW w:w="211" w:type="dxa"/>
            <w:vMerge/>
            <w:tcBorders>
              <w:left w:val="single" w:sz="8" w:space="0" w:color="000000"/>
              <w:right w:val="nil" w:sz="6" w:space="0" w:color="auto"/>
            </w:tcBorders>
          </w:tcPr>
          <w:p>
            <w:pPr/>
          </w:p>
        </w:tc>
      </w:tr>
      <w:tr>
        <w:trPr>
          <w:trHeight w:val="360" w:hRule="exact"/>
        </w:trPr>
        <w:tc>
          <w:tcPr>
            <w:tcW w:w="4962" w:type="dxa"/>
            <w:tcBorders>
              <w:top w:val="single" w:sz="4" w:space="0" w:color="000000"/>
              <w:left w:val="single" w:sz="8" w:space="0" w:color="000000"/>
              <w:bottom w:val="single" w:sz="4"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四、汇率变动对现金的影响</w:t>
            </w:r>
            <w:r>
              <w:rPr>
                <w:rFonts w:ascii="宋体" w:hAnsi="宋体" w:cs="宋体" w:eastAsia="宋体" w:hint="default"/>
                <w:sz w:val="18"/>
                <w:szCs w:val="18"/>
              </w:rPr>
            </w:r>
          </w:p>
        </w:tc>
        <w:tc>
          <w:tcPr>
            <w:tcW w:w="792" w:type="dxa"/>
            <w:tcBorders>
              <w:top w:val="single" w:sz="4" w:space="0" w:color="000000"/>
              <w:left w:val="single" w:sz="4" w:space="0" w:color="000000"/>
              <w:bottom w:val="single" w:sz="4" w:space="0" w:color="000000"/>
              <w:right w:val="single" w:sz="4" w:space="0" w:color="000000"/>
            </w:tcBorders>
          </w:tcPr>
          <w:p>
            <w:pPr/>
          </w:p>
        </w:tc>
        <w:tc>
          <w:tcPr>
            <w:tcW w:w="2150"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8" w:space="0" w:color="000000"/>
            </w:tcBorders>
          </w:tcPr>
          <w:p>
            <w:pPr/>
          </w:p>
        </w:tc>
        <w:tc>
          <w:tcPr>
            <w:tcW w:w="211" w:type="dxa"/>
            <w:vMerge/>
            <w:tcBorders>
              <w:left w:val="single" w:sz="8" w:space="0" w:color="000000"/>
              <w:right w:val="nil" w:sz="6" w:space="0" w:color="auto"/>
            </w:tcBorders>
          </w:tcPr>
          <w:p>
            <w:pPr/>
          </w:p>
        </w:tc>
      </w:tr>
      <w:tr>
        <w:trPr>
          <w:trHeight w:val="368" w:hRule="exact"/>
        </w:trPr>
        <w:tc>
          <w:tcPr>
            <w:tcW w:w="4962" w:type="dxa"/>
            <w:tcBorders>
              <w:top w:val="single" w:sz="4" w:space="0" w:color="000000"/>
              <w:left w:val="single" w:sz="8" w:space="0" w:color="000000"/>
              <w:bottom w:val="single" w:sz="8" w:space="0" w:color="000000"/>
              <w:right w:val="single" w:sz="4"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92" w:type="dxa"/>
            <w:tcBorders>
              <w:top w:val="single" w:sz="4" w:space="0" w:color="000000"/>
              <w:left w:val="single" w:sz="4" w:space="0" w:color="000000"/>
              <w:bottom w:val="single" w:sz="8" w:space="0" w:color="000000"/>
              <w:right w:val="single" w:sz="4" w:space="0" w:color="000000"/>
            </w:tcBorders>
          </w:tcPr>
          <w:p>
            <w:pPr/>
          </w:p>
        </w:tc>
        <w:tc>
          <w:tcPr>
            <w:tcW w:w="2150" w:type="dxa"/>
            <w:tcBorders>
              <w:top w:val="single" w:sz="4" w:space="0" w:color="000000"/>
              <w:left w:val="single" w:sz="4" w:space="0" w:color="000000"/>
              <w:bottom w:val="single" w:sz="8"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1,293,490,634.40</w:t>
            </w:r>
          </w:p>
        </w:tc>
        <w:tc>
          <w:tcPr>
            <w:tcW w:w="1947" w:type="dxa"/>
            <w:tcBorders>
              <w:top w:val="single" w:sz="4" w:space="0" w:color="000000"/>
              <w:left w:val="single" w:sz="4" w:space="0" w:color="000000"/>
              <w:bottom w:val="single" w:sz="8" w:space="0" w:color="000000"/>
              <w:right w:val="single" w:sz="8"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-9,546,668.51</w:t>
            </w:r>
          </w:p>
        </w:tc>
        <w:tc>
          <w:tcPr>
            <w:tcW w:w="211" w:type="dxa"/>
            <w:vMerge/>
            <w:tcBorders>
              <w:left w:val="single" w:sz="8" w:space="0" w:color="000000"/>
              <w:bottom w:val="nil" w:sz="6" w:space="0" w:color="auto"/>
              <w:right w:val="nil" w:sz="6" w:space="0" w:color="auto"/>
            </w:tcBorders>
          </w:tcPr>
          <w:p>
            <w:pPr/>
          </w:p>
        </w:tc>
      </w:tr>
    </w:tbl>
    <w:p>
      <w:pPr>
        <w:spacing w:line="203" w:lineRule="exact" w:before="0"/>
        <w:ind w:left="442"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注：所附附注为财务报表重要组成部分</w:t>
      </w:r>
    </w:p>
    <w:p>
      <w:pPr>
        <w:tabs>
          <w:tab w:pos="3688" w:val="left" w:leader="none"/>
          <w:tab w:pos="7379" w:val="left" w:leader="none"/>
        </w:tabs>
        <w:spacing w:before="115"/>
        <w:ind w:left="442" w:right="0" w:firstLine="0"/>
        <w:jc w:val="left"/>
        <w:rPr>
          <w:rFonts w:ascii="宋体" w:hAnsi="宋体" w:cs="宋体" w:eastAsia="宋体" w:hint="default"/>
          <w:sz w:val="18"/>
          <w:szCs w:val="18"/>
        </w:rPr>
      </w:pPr>
      <w:r>
        <w:rPr>
          <w:rFonts w:ascii="宋体" w:hAnsi="宋体" w:cs="宋体" w:eastAsia="宋体" w:hint="default"/>
          <w:sz w:val="18"/>
          <w:szCs w:val="18"/>
        </w:rPr>
        <w:t>公司负责人：郭春生</w:t>
        <w:tab/>
      </w:r>
      <w:r>
        <w:rPr>
          <w:rFonts w:ascii="宋体" w:hAnsi="宋体" w:cs="宋体" w:eastAsia="宋体" w:hint="default"/>
          <w:spacing w:val="-1"/>
          <w:sz w:val="18"/>
          <w:szCs w:val="18"/>
        </w:rPr>
        <w:t>主管会计工作负责人：徐吉峰</w:t>
        <w:tab/>
        <w:t>会计机构负责人：孙莉莉</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6"/>
          <w:szCs w:val="16"/>
        </w:rPr>
      </w:pPr>
    </w:p>
    <w:p>
      <w:pPr>
        <w:pStyle w:val="Heading2"/>
        <w:spacing w:line="240" w:lineRule="auto"/>
        <w:ind w:right="924"/>
        <w:jc w:val="center"/>
        <w:rPr>
          <w:b w:val="0"/>
          <w:bCs w:val="0"/>
        </w:rPr>
      </w:pPr>
      <w:r>
        <w:rPr/>
        <w:t>母公司所有者权益变动表</w:t>
      </w:r>
      <w:r>
        <w:rPr>
          <w:b w:val="0"/>
          <w:bCs w:val="0"/>
        </w:rPr>
      </w:r>
    </w:p>
    <w:p>
      <w:pPr>
        <w:tabs>
          <w:tab w:pos="9137" w:val="left" w:leader="none"/>
        </w:tabs>
        <w:spacing w:before="159"/>
        <w:ind w:left="226" w:right="0" w:firstLine="0"/>
        <w:jc w:val="left"/>
        <w:rPr>
          <w:rFonts w:ascii="宋体" w:hAnsi="宋体" w:cs="宋体" w:eastAsia="宋体" w:hint="default"/>
          <w:sz w:val="18"/>
          <w:szCs w:val="18"/>
        </w:rPr>
      </w:pPr>
      <w:r>
        <w:rPr>
          <w:rFonts w:ascii="宋体" w:hAnsi="宋体" w:cs="宋体" w:eastAsia="宋体" w:hint="default"/>
          <w:spacing w:val="-1"/>
          <w:sz w:val="18"/>
          <w:szCs w:val="18"/>
        </w:rPr>
        <w:t>单位名称：吉林紫鑫药业股份有限公司</w:t>
        <w:tab/>
      </w:r>
      <w:r>
        <w:rPr>
          <w:rFonts w:ascii="宋体" w:hAnsi="宋体" w:cs="宋体" w:eastAsia="宋体" w:hint="default"/>
          <w:spacing w:val="-4"/>
          <w:sz w:val="18"/>
          <w:szCs w:val="18"/>
        </w:rPr>
        <w:t>单位：（人民币）元</w:t>
      </w:r>
    </w:p>
    <w:p>
      <w:pPr>
        <w:spacing w:line="240" w:lineRule="auto" w:before="4"/>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256"/>
        <w:gridCol w:w="1839"/>
        <w:gridCol w:w="1306"/>
        <w:gridCol w:w="543"/>
        <w:gridCol w:w="437"/>
        <w:gridCol w:w="1229"/>
        <w:gridCol w:w="398"/>
        <w:gridCol w:w="1304"/>
        <w:gridCol w:w="1406"/>
      </w:tblGrid>
      <w:tr>
        <w:trPr>
          <w:trHeight w:val="391" w:hRule="exact"/>
        </w:trPr>
        <w:tc>
          <w:tcPr>
            <w:tcW w:w="2256"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8462" w:type="dxa"/>
            <w:gridSpan w:val="8"/>
            <w:tcBorders>
              <w:top w:val="single" w:sz="8" w:space="0" w:color="000000"/>
              <w:left w:val="single" w:sz="4" w:space="0" w:color="000000"/>
              <w:bottom w:val="single" w:sz="4" w:space="0" w:color="000000"/>
              <w:right w:val="single" w:sz="4"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830" w:hRule="exact"/>
        </w:trPr>
        <w:tc>
          <w:tcPr>
            <w:tcW w:w="2256" w:type="dxa"/>
            <w:vMerge/>
            <w:tcBorders>
              <w:left w:val="single" w:sz="8"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减：</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22" w:right="0"/>
              <w:jc w:val="left"/>
              <w:rPr>
                <w:rFonts w:ascii="宋体" w:hAnsi="宋体" w:cs="宋体" w:eastAsia="宋体" w:hint="default"/>
                <w:sz w:val="18"/>
                <w:szCs w:val="18"/>
              </w:rPr>
            </w:pPr>
            <w:r>
              <w:rPr>
                <w:rFonts w:ascii="宋体" w:hAnsi="宋体" w:cs="宋体" w:eastAsia="宋体" w:hint="default"/>
                <w:sz w:val="18"/>
                <w:szCs w:val="18"/>
              </w:rPr>
              <w:t>专</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32"/>
              <w:ind w:left="607" w:right="156"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bl>
    <w:p>
      <w:pPr>
        <w:spacing w:after="0" w:line="357" w:lineRule="auto"/>
        <w:jc w:val="left"/>
        <w:rPr>
          <w:rFonts w:ascii="宋体" w:hAnsi="宋体" w:cs="宋体" w:eastAsia="宋体" w:hint="default"/>
          <w:sz w:val="18"/>
          <w:szCs w:val="18"/>
        </w:rPr>
        <w:sectPr>
          <w:pgSz w:w="11910" w:h="16840"/>
          <w:pgMar w:header="720" w:footer="956" w:top="1340" w:bottom="1140" w:left="460" w:right="0"/>
        </w:sectPr>
      </w:pPr>
    </w:p>
    <w:tbl>
      <w:tblPr>
        <w:tblW w:w="0" w:type="auto"/>
        <w:jc w:val="left"/>
        <w:tblInd w:w="108" w:type="dxa"/>
        <w:tblLayout w:type="fixed"/>
        <w:tblCellMar>
          <w:top w:w="0" w:type="dxa"/>
          <w:left w:w="0" w:type="dxa"/>
          <w:bottom w:w="0" w:type="dxa"/>
          <w:right w:w="0" w:type="dxa"/>
        </w:tblCellMar>
        <w:tblLook w:val="01E0"/>
      </w:tblPr>
      <w:tblGrid>
        <w:gridCol w:w="2256"/>
        <w:gridCol w:w="1839"/>
        <w:gridCol w:w="1306"/>
        <w:gridCol w:w="543"/>
        <w:gridCol w:w="437"/>
        <w:gridCol w:w="1229"/>
        <w:gridCol w:w="398"/>
        <w:gridCol w:w="1304"/>
        <w:gridCol w:w="967"/>
        <w:gridCol w:w="439"/>
      </w:tblGrid>
      <w:tr>
        <w:trPr>
          <w:trHeight w:val="1784" w:hRule="exact"/>
        </w:trPr>
        <w:tc>
          <w:tcPr>
            <w:tcW w:w="2256" w:type="dxa"/>
            <w:tcBorders>
              <w:top w:val="single" w:sz="8" w:space="0" w:color="000000"/>
              <w:left w:val="single" w:sz="8" w:space="0" w:color="000000"/>
              <w:bottom w:val="single" w:sz="4" w:space="0" w:color="000000"/>
              <w:right w:val="single" w:sz="4" w:space="0" w:color="000000"/>
            </w:tcBorders>
          </w:tcPr>
          <w:p>
            <w:pPr/>
          </w:p>
        </w:tc>
        <w:tc>
          <w:tcPr>
            <w:tcW w:w="1839" w:type="dxa"/>
            <w:tcBorders>
              <w:top w:val="single" w:sz="6" w:space="0" w:color="000000"/>
              <w:left w:val="single" w:sz="4" w:space="0" w:color="000000"/>
              <w:bottom w:val="single" w:sz="4" w:space="0" w:color="000000"/>
              <w:right w:val="single" w:sz="4" w:space="0" w:color="000000"/>
            </w:tcBorders>
          </w:tcPr>
          <w:p>
            <w:pPr/>
          </w:p>
        </w:tc>
        <w:tc>
          <w:tcPr>
            <w:tcW w:w="1306" w:type="dxa"/>
            <w:tcBorders>
              <w:top w:val="single" w:sz="6" w:space="0" w:color="000000"/>
              <w:left w:val="single" w:sz="4" w:space="0" w:color="000000"/>
              <w:bottom w:val="single" w:sz="4" w:space="0" w:color="000000"/>
              <w:right w:val="single" w:sz="4" w:space="0" w:color="000000"/>
            </w:tcBorders>
          </w:tcPr>
          <w:p>
            <w:pPr/>
          </w:p>
        </w:tc>
        <w:tc>
          <w:tcPr>
            <w:tcW w:w="543" w:type="dxa"/>
            <w:tcBorders>
              <w:top w:val="single" w:sz="6" w:space="0" w:color="000000"/>
              <w:left w:val="single" w:sz="4" w:space="0" w:color="000000"/>
              <w:bottom w:val="single" w:sz="4" w:space="0" w:color="000000"/>
              <w:right w:val="single" w:sz="4" w:space="0" w:color="000000"/>
            </w:tcBorders>
          </w:tcPr>
          <w:p>
            <w:pPr>
              <w:pStyle w:val="TableParagraph"/>
              <w:spacing w:line="220" w:lineRule="exact"/>
              <w:ind w:left="175" w:right="0"/>
              <w:jc w:val="left"/>
              <w:rPr>
                <w:rFonts w:ascii="宋体" w:hAnsi="宋体" w:cs="宋体" w:eastAsia="宋体" w:hint="default"/>
                <w:sz w:val="18"/>
                <w:szCs w:val="18"/>
              </w:rPr>
            </w:pPr>
            <w:r>
              <w:rPr>
                <w:rFonts w:ascii="宋体" w:hAnsi="宋体" w:cs="宋体" w:eastAsia="宋体" w:hint="default"/>
                <w:sz w:val="18"/>
                <w:szCs w:val="18"/>
              </w:rPr>
              <w:t>库</w:t>
            </w:r>
          </w:p>
          <w:p>
            <w:pPr>
              <w:pStyle w:val="TableParagraph"/>
              <w:spacing w:line="357" w:lineRule="auto" w:before="115"/>
              <w:ind w:left="175" w:right="177"/>
              <w:jc w:val="left"/>
              <w:rPr>
                <w:rFonts w:ascii="宋体" w:hAnsi="宋体" w:cs="宋体" w:eastAsia="宋体" w:hint="default"/>
                <w:sz w:val="18"/>
                <w:szCs w:val="18"/>
              </w:rPr>
            </w:pPr>
            <w:r>
              <w:rPr>
                <w:rFonts w:ascii="宋体" w:hAnsi="宋体" w:cs="宋体" w:eastAsia="宋体" w:hint="default"/>
                <w:sz w:val="18"/>
                <w:szCs w:val="18"/>
              </w:rPr>
              <w:t>存 股</w:t>
            </w:r>
          </w:p>
        </w:tc>
        <w:tc>
          <w:tcPr>
            <w:tcW w:w="437" w:type="dxa"/>
            <w:tcBorders>
              <w:top w:val="single" w:sz="6" w:space="0" w:color="000000"/>
              <w:left w:val="single" w:sz="4" w:space="0" w:color="000000"/>
              <w:bottom w:val="single" w:sz="4" w:space="0" w:color="000000"/>
              <w:right w:val="single" w:sz="4" w:space="0" w:color="000000"/>
            </w:tcBorders>
          </w:tcPr>
          <w:p>
            <w:pPr>
              <w:pStyle w:val="TableParagraph"/>
              <w:spacing w:line="220" w:lineRule="exact"/>
              <w:ind w:left="122" w:right="0"/>
              <w:jc w:val="left"/>
              <w:rPr>
                <w:rFonts w:ascii="宋体" w:hAnsi="宋体" w:cs="宋体" w:eastAsia="宋体" w:hint="default"/>
                <w:sz w:val="18"/>
                <w:szCs w:val="18"/>
              </w:rPr>
            </w:pPr>
            <w:r>
              <w:rPr>
                <w:rFonts w:ascii="宋体" w:hAnsi="宋体" w:cs="宋体" w:eastAsia="宋体" w:hint="default"/>
                <w:sz w:val="18"/>
                <w:szCs w:val="18"/>
              </w:rPr>
              <w:t>项</w:t>
            </w:r>
          </w:p>
          <w:p>
            <w:pPr>
              <w:pStyle w:val="TableParagraph"/>
              <w:spacing w:line="357" w:lineRule="auto" w:before="115"/>
              <w:ind w:left="122" w:right="122"/>
              <w:jc w:val="left"/>
              <w:rPr>
                <w:rFonts w:ascii="宋体" w:hAnsi="宋体" w:cs="宋体" w:eastAsia="宋体" w:hint="default"/>
                <w:sz w:val="18"/>
                <w:szCs w:val="18"/>
              </w:rPr>
            </w:pPr>
            <w:r>
              <w:rPr>
                <w:rFonts w:ascii="宋体" w:hAnsi="宋体" w:cs="宋体" w:eastAsia="宋体" w:hint="default"/>
                <w:sz w:val="18"/>
                <w:szCs w:val="18"/>
              </w:rPr>
              <w:t>储 备</w:t>
            </w:r>
          </w:p>
        </w:tc>
        <w:tc>
          <w:tcPr>
            <w:tcW w:w="1229" w:type="dxa"/>
            <w:tcBorders>
              <w:top w:val="single" w:sz="6" w:space="0" w:color="000000"/>
              <w:left w:val="single" w:sz="4" w:space="0" w:color="000000"/>
              <w:bottom w:val="single" w:sz="4" w:space="0" w:color="000000"/>
              <w:right w:val="single" w:sz="4" w:space="0" w:color="000000"/>
            </w:tcBorders>
          </w:tcPr>
          <w:p>
            <w:pPr/>
          </w:p>
        </w:tc>
        <w:tc>
          <w:tcPr>
            <w:tcW w:w="398" w:type="dxa"/>
            <w:tcBorders>
              <w:top w:val="single" w:sz="6" w:space="0" w:color="000000"/>
              <w:left w:val="single" w:sz="4" w:space="0" w:color="000000"/>
              <w:bottom w:val="single" w:sz="4" w:space="0" w:color="000000"/>
              <w:right w:val="single" w:sz="4" w:space="0" w:color="000000"/>
            </w:tcBorders>
          </w:tcPr>
          <w:p>
            <w:pPr>
              <w:pStyle w:val="TableParagraph"/>
              <w:spacing w:line="220" w:lineRule="exact"/>
              <w:ind w:left="103" w:right="0"/>
              <w:jc w:val="both"/>
              <w:rPr>
                <w:rFonts w:ascii="宋体" w:hAnsi="宋体" w:cs="宋体" w:eastAsia="宋体" w:hint="default"/>
                <w:sz w:val="18"/>
                <w:szCs w:val="18"/>
              </w:rPr>
            </w:pPr>
            <w:r>
              <w:rPr>
                <w:rFonts w:ascii="宋体" w:hAnsi="宋体" w:cs="宋体" w:eastAsia="宋体" w:hint="default"/>
                <w:sz w:val="18"/>
                <w:szCs w:val="18"/>
              </w:rPr>
              <w:t>般</w:t>
            </w:r>
          </w:p>
          <w:p>
            <w:pPr>
              <w:pStyle w:val="TableParagraph"/>
              <w:spacing w:line="357" w:lineRule="auto" w:before="115"/>
              <w:ind w:left="103" w:right="103"/>
              <w:jc w:val="both"/>
              <w:rPr>
                <w:rFonts w:ascii="宋体" w:hAnsi="宋体" w:cs="宋体" w:eastAsia="宋体" w:hint="default"/>
                <w:sz w:val="18"/>
                <w:szCs w:val="18"/>
              </w:rPr>
            </w:pPr>
            <w:r>
              <w:rPr>
                <w:rFonts w:ascii="宋体" w:hAnsi="宋体" w:cs="宋体" w:eastAsia="宋体" w:hint="default"/>
                <w:sz w:val="18"/>
                <w:szCs w:val="18"/>
              </w:rPr>
              <w:t>风 险 准 备</w:t>
            </w:r>
          </w:p>
        </w:tc>
        <w:tc>
          <w:tcPr>
            <w:tcW w:w="1304" w:type="dxa"/>
            <w:tcBorders>
              <w:top w:val="single" w:sz="6" w:space="0" w:color="000000"/>
              <w:left w:val="single" w:sz="4" w:space="0" w:color="000000"/>
              <w:bottom w:val="single" w:sz="4" w:space="0" w:color="000000"/>
              <w:right w:val="single" w:sz="4" w:space="0" w:color="000000"/>
            </w:tcBorders>
          </w:tcPr>
          <w:p>
            <w:pPr/>
          </w:p>
        </w:tc>
        <w:tc>
          <w:tcPr>
            <w:tcW w:w="967" w:type="dxa"/>
            <w:tcBorders>
              <w:top w:val="single" w:sz="6" w:space="0" w:color="000000"/>
              <w:left w:val="single" w:sz="4" w:space="0" w:color="000000"/>
              <w:bottom w:val="single" w:sz="4" w:space="0" w:color="000000"/>
              <w:right w:val="nil" w:sz="6" w:space="0" w:color="auto"/>
            </w:tcBorders>
          </w:tcPr>
          <w:p>
            <w:pPr/>
          </w:p>
        </w:tc>
        <w:tc>
          <w:tcPr>
            <w:tcW w:w="439" w:type="dxa"/>
            <w:tcBorders>
              <w:top w:val="nil" w:sz="6" w:space="0" w:color="auto"/>
              <w:left w:val="nil" w:sz="6" w:space="0" w:color="auto"/>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9"/>
              <w:jc w:val="right"/>
              <w:rPr>
                <w:rFonts w:ascii="宋体" w:hAnsi="宋体" w:cs="宋体" w:eastAsia="宋体" w:hint="default"/>
                <w:sz w:val="18"/>
                <w:szCs w:val="18"/>
              </w:rPr>
            </w:pPr>
            <w:r>
              <w:rPr>
                <w:rFonts w:ascii="宋体"/>
                <w:spacing w:val="-17"/>
                <w:sz w:val="18"/>
              </w:rPr>
              <w:t>121,541,400.00</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5" w:right="0"/>
              <w:jc w:val="center"/>
              <w:rPr>
                <w:rFonts w:ascii="宋体" w:hAnsi="宋体" w:cs="宋体" w:eastAsia="宋体" w:hint="default"/>
                <w:sz w:val="18"/>
                <w:szCs w:val="18"/>
              </w:rPr>
            </w:pPr>
            <w:r>
              <w:rPr>
                <w:rFonts w:ascii="宋体"/>
                <w:spacing w:val="-17"/>
                <w:sz w:val="18"/>
              </w:rPr>
              <w:t>100,173,875.66</w:t>
            </w:r>
            <w:r>
              <w:rPr>
                <w:rFonts w:ascii="宋体"/>
                <w:sz w:val="18"/>
              </w:rPr>
            </w: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98"/>
              <w:jc w:val="right"/>
              <w:rPr>
                <w:rFonts w:ascii="宋体" w:hAnsi="宋体" w:cs="宋体" w:eastAsia="宋体" w:hint="default"/>
                <w:sz w:val="18"/>
                <w:szCs w:val="18"/>
              </w:rPr>
            </w:pPr>
            <w:r>
              <w:rPr>
                <w:rFonts w:ascii="宋体"/>
                <w:spacing w:val="-17"/>
                <w:sz w:val="18"/>
              </w:rPr>
              <w:t>37,505,507.91</w:t>
            </w:r>
            <w:r>
              <w:rPr>
                <w:rFonts w:ascii="宋体"/>
                <w:sz w:val="18"/>
              </w:rPr>
            </w: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2" w:right="0"/>
              <w:jc w:val="center"/>
              <w:rPr>
                <w:rFonts w:ascii="宋体" w:hAnsi="宋体" w:cs="宋体" w:eastAsia="宋体" w:hint="default"/>
                <w:sz w:val="18"/>
                <w:szCs w:val="18"/>
              </w:rPr>
            </w:pPr>
            <w:r>
              <w:rPr>
                <w:rFonts w:ascii="宋体"/>
                <w:spacing w:val="-17"/>
                <w:sz w:val="18"/>
              </w:rPr>
              <w:t>161,386,651.42</w:t>
            </w:r>
            <w:r>
              <w:rPr>
                <w:rFonts w:ascii="宋体"/>
                <w:sz w:val="18"/>
              </w:rPr>
            </w: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56" w:right="0"/>
              <w:jc w:val="left"/>
              <w:rPr>
                <w:rFonts w:ascii="宋体" w:hAnsi="宋体" w:cs="宋体" w:eastAsia="宋体" w:hint="default"/>
                <w:sz w:val="18"/>
                <w:szCs w:val="18"/>
              </w:rPr>
            </w:pPr>
            <w:r>
              <w:rPr>
                <w:rFonts w:ascii="宋体"/>
                <w:spacing w:val="-17"/>
                <w:sz w:val="18"/>
              </w:rPr>
              <w:t>420,607,434.99</w:t>
            </w:r>
            <w:r>
              <w:rPr>
                <w:rFonts w:ascii="宋体"/>
                <w:sz w:val="18"/>
              </w:rPr>
            </w: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34" w:lineRule="exact"/>
              <w:ind w:left="27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278" w:right="0"/>
              <w:jc w:val="left"/>
              <w:rPr>
                <w:rFonts w:ascii="宋体" w:hAnsi="宋体" w:cs="宋体" w:eastAsia="宋体" w:hint="default"/>
                <w:sz w:val="18"/>
                <w:szCs w:val="18"/>
              </w:rPr>
            </w:pPr>
            <w:r>
              <w:rPr>
                <w:rFonts w:ascii="宋体" w:hAnsi="宋体" w:cs="宋体" w:eastAsia="宋体" w:hint="default"/>
                <w:sz w:val="18"/>
                <w:szCs w:val="18"/>
              </w:rPr>
              <w:t>前期会计差错更正</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宋体" w:hAnsi="宋体" w:cs="宋体" w:eastAsia="宋体" w:hint="default"/>
                <w:sz w:val="18"/>
                <w:szCs w:val="18"/>
              </w:rPr>
            </w:pPr>
            <w:r>
              <w:rPr>
                <w:rFonts w:ascii="宋体"/>
                <w:spacing w:val="-17"/>
                <w:sz w:val="18"/>
              </w:rPr>
              <w:t>121,541,400.00</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5" w:right="0"/>
              <w:jc w:val="center"/>
              <w:rPr>
                <w:rFonts w:ascii="宋体" w:hAnsi="宋体" w:cs="宋体" w:eastAsia="宋体" w:hint="default"/>
                <w:sz w:val="18"/>
                <w:szCs w:val="18"/>
              </w:rPr>
            </w:pPr>
            <w:r>
              <w:rPr>
                <w:rFonts w:ascii="宋体"/>
                <w:spacing w:val="-17"/>
                <w:sz w:val="18"/>
              </w:rPr>
              <w:t>100,173,875.66</w:t>
            </w:r>
            <w:r>
              <w:rPr>
                <w:rFonts w:ascii="宋体"/>
                <w:sz w:val="18"/>
              </w:rPr>
            </w: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7"/>
                <w:sz w:val="18"/>
              </w:rPr>
              <w:t>37,505,507.91</w:t>
            </w:r>
            <w:r>
              <w:rPr>
                <w:rFonts w:ascii="宋体"/>
                <w:sz w:val="18"/>
              </w:rPr>
            </w: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2" w:right="0"/>
              <w:jc w:val="center"/>
              <w:rPr>
                <w:rFonts w:ascii="宋体" w:hAnsi="宋体" w:cs="宋体" w:eastAsia="宋体" w:hint="default"/>
                <w:sz w:val="18"/>
                <w:szCs w:val="18"/>
              </w:rPr>
            </w:pPr>
            <w:r>
              <w:rPr>
                <w:rFonts w:ascii="宋体"/>
                <w:spacing w:val="-17"/>
                <w:sz w:val="18"/>
              </w:rPr>
              <w:t>161,386,651.42</w:t>
            </w:r>
            <w:r>
              <w:rPr>
                <w:rFonts w:ascii="宋体"/>
                <w:sz w:val="18"/>
              </w:rPr>
            </w: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56" w:right="0"/>
              <w:jc w:val="left"/>
              <w:rPr>
                <w:rFonts w:ascii="宋体" w:hAnsi="宋体" w:cs="宋体" w:eastAsia="宋体" w:hint="default"/>
                <w:sz w:val="18"/>
                <w:szCs w:val="18"/>
              </w:rPr>
            </w:pPr>
            <w:r>
              <w:rPr>
                <w:rFonts w:ascii="宋体"/>
                <w:spacing w:val="-17"/>
                <w:sz w:val="18"/>
              </w:rPr>
              <w:t>420,607,434.99</w:t>
            </w:r>
            <w:r>
              <w:rPr>
                <w:rFonts w:ascii="宋体"/>
                <w:sz w:val="18"/>
              </w:rPr>
            </w:r>
          </w:p>
        </w:tc>
      </w:tr>
      <w:tr>
        <w:trPr>
          <w:trHeight w:val="711"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b/>
                <w:bCs/>
                <w:spacing w:val="-11"/>
                <w:sz w:val="18"/>
                <w:szCs w:val="18"/>
              </w:rPr>
              <w:t>三、本年增减变动金额（减</w:t>
            </w:r>
            <w:r>
              <w:rPr>
                <w:rFonts w:ascii="宋体" w:hAnsi="宋体" w:cs="宋体" w:eastAsia="宋体" w:hint="default"/>
                <w:spacing w:val="-11"/>
                <w:sz w:val="18"/>
                <w:szCs w:val="18"/>
              </w:rPr>
            </w:r>
          </w:p>
          <w:p>
            <w:pPr>
              <w:pStyle w:val="TableParagraph"/>
              <w:spacing w:line="240" w:lineRule="auto" w:before="112"/>
              <w:ind w:left="98" w:right="0"/>
              <w:jc w:val="left"/>
              <w:rPr>
                <w:rFonts w:ascii="宋体" w:hAnsi="宋体" w:cs="宋体" w:eastAsia="宋体" w:hint="default"/>
                <w:sz w:val="18"/>
                <w:szCs w:val="18"/>
              </w:rPr>
            </w:pPr>
            <w:r>
              <w:rPr>
                <w:rFonts w:ascii="宋体" w:hAnsi="宋体" w:cs="宋体" w:eastAsia="宋体" w:hint="default"/>
                <w:b/>
                <w:bCs/>
                <w:sz w:val="18"/>
                <w:szCs w:val="18"/>
              </w:rPr>
              <w:t>少以“</w:t>
            </w:r>
            <w:r>
              <w:rPr>
                <w:rFonts w:ascii="宋体" w:hAnsi="宋体" w:cs="宋体" w:eastAsia="宋体"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9"/>
              <w:jc w:val="right"/>
              <w:rPr>
                <w:rFonts w:ascii="宋体" w:hAnsi="宋体" w:cs="宋体" w:eastAsia="宋体" w:hint="default"/>
                <w:sz w:val="18"/>
                <w:szCs w:val="18"/>
              </w:rPr>
            </w:pPr>
            <w:r>
              <w:rPr>
                <w:rFonts w:ascii="宋体"/>
                <w:spacing w:val="-17"/>
                <w:sz w:val="18"/>
              </w:rPr>
              <w:t>134,954,291.00</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5" w:right="0"/>
              <w:jc w:val="center"/>
              <w:rPr>
                <w:rFonts w:ascii="宋体" w:hAnsi="宋体" w:cs="宋体" w:eastAsia="宋体" w:hint="default"/>
                <w:sz w:val="18"/>
                <w:szCs w:val="18"/>
              </w:rPr>
            </w:pPr>
            <w:r>
              <w:rPr>
                <w:rFonts w:ascii="宋体"/>
                <w:spacing w:val="-17"/>
                <w:sz w:val="18"/>
              </w:rPr>
              <w:t>875,804,099.24</w:t>
            </w:r>
            <w:r>
              <w:rPr>
                <w:rFonts w:ascii="宋体"/>
                <w:sz w:val="18"/>
              </w:rPr>
            </w: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宋体" w:hAnsi="宋体" w:cs="宋体" w:eastAsia="宋体" w:hint="default"/>
                <w:sz w:val="18"/>
                <w:szCs w:val="18"/>
              </w:rPr>
            </w:pPr>
            <w:r>
              <w:rPr>
                <w:rFonts w:ascii="宋体"/>
                <w:spacing w:val="-17"/>
                <w:sz w:val="18"/>
              </w:rPr>
              <w:t>4,786,001.34</w:t>
            </w:r>
            <w:r>
              <w:rPr>
                <w:rFonts w:ascii="宋体"/>
                <w:sz w:val="18"/>
              </w:rPr>
            </w: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27" w:right="0"/>
              <w:jc w:val="center"/>
              <w:rPr>
                <w:rFonts w:ascii="宋体" w:hAnsi="宋体" w:cs="宋体" w:eastAsia="宋体" w:hint="default"/>
                <w:sz w:val="18"/>
                <w:szCs w:val="18"/>
              </w:rPr>
            </w:pPr>
            <w:r>
              <w:rPr>
                <w:rFonts w:ascii="宋体"/>
                <w:spacing w:val="-17"/>
                <w:sz w:val="18"/>
              </w:rPr>
              <w:t>15,970,279.87</w:t>
            </w:r>
            <w:r>
              <w:rPr>
                <w:rFonts w:ascii="宋体"/>
                <w:sz w:val="18"/>
              </w:rPr>
            </w: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10" w:right="0"/>
              <w:jc w:val="left"/>
              <w:rPr>
                <w:rFonts w:ascii="宋体" w:hAnsi="宋体" w:cs="宋体" w:eastAsia="宋体" w:hint="default"/>
                <w:sz w:val="18"/>
                <w:szCs w:val="18"/>
              </w:rPr>
            </w:pPr>
            <w:r>
              <w:rPr>
                <w:rFonts w:ascii="宋体"/>
                <w:spacing w:val="-16"/>
                <w:sz w:val="18"/>
              </w:rPr>
              <w:t>1,031,514,671.45</w:t>
            </w: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27" w:right="0"/>
              <w:jc w:val="center"/>
              <w:rPr>
                <w:rFonts w:ascii="宋体" w:hAnsi="宋体" w:cs="宋体" w:eastAsia="宋体" w:hint="default"/>
                <w:sz w:val="18"/>
                <w:szCs w:val="18"/>
              </w:rPr>
            </w:pPr>
            <w:r>
              <w:rPr>
                <w:rFonts w:ascii="宋体"/>
                <w:spacing w:val="-17"/>
                <w:sz w:val="18"/>
              </w:rPr>
              <w:t>47,860,013.41</w:t>
            </w:r>
            <w:r>
              <w:rPr>
                <w:rFonts w:ascii="宋体"/>
                <w:sz w:val="18"/>
              </w:rPr>
            </w: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31" w:right="0"/>
              <w:jc w:val="left"/>
              <w:rPr>
                <w:rFonts w:ascii="宋体" w:hAnsi="宋体" w:cs="宋体" w:eastAsia="宋体" w:hint="default"/>
                <w:sz w:val="18"/>
                <w:szCs w:val="18"/>
              </w:rPr>
            </w:pPr>
            <w:r>
              <w:rPr>
                <w:rFonts w:ascii="宋体"/>
                <w:spacing w:val="-17"/>
                <w:sz w:val="18"/>
              </w:rPr>
              <w:t>47,860,013.41</w:t>
            </w:r>
            <w:r>
              <w:rPr>
                <w:rFonts w:ascii="宋体"/>
                <w:sz w:val="18"/>
              </w:rPr>
            </w:r>
          </w:p>
        </w:tc>
      </w:tr>
      <w:tr>
        <w:trPr>
          <w:trHeight w:val="432"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7" w:right="0"/>
              <w:jc w:val="center"/>
              <w:rPr>
                <w:rFonts w:ascii="宋体" w:hAnsi="宋体" w:cs="宋体" w:eastAsia="宋体" w:hint="default"/>
                <w:sz w:val="18"/>
                <w:szCs w:val="18"/>
              </w:rPr>
            </w:pPr>
            <w:r>
              <w:rPr>
                <w:rFonts w:ascii="宋体"/>
                <w:spacing w:val="-17"/>
                <w:sz w:val="18"/>
              </w:rPr>
              <w:t>47,860,013.41</w:t>
            </w:r>
            <w:r>
              <w:rPr>
                <w:rFonts w:ascii="宋体"/>
                <w:sz w:val="18"/>
              </w:rPr>
            </w: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31" w:right="0"/>
              <w:jc w:val="left"/>
              <w:rPr>
                <w:rFonts w:ascii="宋体" w:hAnsi="宋体" w:cs="宋体" w:eastAsia="宋体" w:hint="default"/>
                <w:sz w:val="18"/>
                <w:szCs w:val="18"/>
              </w:rPr>
            </w:pPr>
            <w:r>
              <w:rPr>
                <w:rFonts w:ascii="宋体"/>
                <w:spacing w:val="-17"/>
                <w:sz w:val="18"/>
              </w:rPr>
              <w:t>47,860,013.41</w:t>
            </w:r>
            <w:r>
              <w:rPr>
                <w:rFonts w:ascii="宋体"/>
                <w:sz w:val="18"/>
              </w:rPr>
            </w:r>
          </w:p>
        </w:tc>
      </w:tr>
      <w:tr>
        <w:trPr>
          <w:trHeight w:val="71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01" w:lineRule="exact"/>
              <w:ind w:left="98" w:right="0"/>
              <w:jc w:val="left"/>
              <w:rPr>
                <w:rFonts w:ascii="宋体" w:hAnsi="宋体" w:cs="宋体" w:eastAsia="宋体" w:hint="default"/>
                <w:sz w:val="18"/>
                <w:szCs w:val="18"/>
              </w:rPr>
            </w:pPr>
            <w:r>
              <w:rPr>
                <w:rFonts w:ascii="宋体" w:hAnsi="宋体" w:cs="宋体" w:eastAsia="宋体" w:hint="default"/>
                <w:sz w:val="18"/>
                <w:szCs w:val="18"/>
              </w:rPr>
              <w:t>（三）所有者投入和减少</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9"/>
              <w:jc w:val="right"/>
              <w:rPr>
                <w:rFonts w:ascii="宋体" w:hAnsi="宋体" w:cs="宋体" w:eastAsia="宋体" w:hint="default"/>
                <w:sz w:val="18"/>
                <w:szCs w:val="18"/>
              </w:rPr>
            </w:pPr>
            <w:r>
              <w:rPr>
                <w:rFonts w:ascii="宋体"/>
                <w:spacing w:val="-17"/>
                <w:sz w:val="18"/>
              </w:rPr>
              <w:t>49,875,311.00</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5" w:right="0"/>
              <w:jc w:val="center"/>
              <w:rPr>
                <w:rFonts w:ascii="宋体" w:hAnsi="宋体" w:cs="宋体" w:eastAsia="宋体" w:hint="default"/>
                <w:sz w:val="18"/>
                <w:szCs w:val="18"/>
              </w:rPr>
            </w:pPr>
            <w:r>
              <w:rPr>
                <w:rFonts w:ascii="宋体"/>
                <w:spacing w:val="-17"/>
                <w:sz w:val="18"/>
              </w:rPr>
              <w:t>936,574,799.24</w:t>
            </w:r>
            <w:r>
              <w:rPr>
                <w:rFonts w:ascii="宋体"/>
                <w:sz w:val="18"/>
              </w:rPr>
            </w: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56" w:right="0"/>
              <w:jc w:val="left"/>
              <w:rPr>
                <w:rFonts w:ascii="宋体" w:hAnsi="宋体" w:cs="宋体" w:eastAsia="宋体" w:hint="default"/>
                <w:sz w:val="18"/>
                <w:szCs w:val="18"/>
              </w:rPr>
            </w:pPr>
            <w:r>
              <w:rPr>
                <w:rFonts w:ascii="宋体"/>
                <w:spacing w:val="-17"/>
                <w:sz w:val="18"/>
              </w:rPr>
              <w:t>986,450,110.24</w:t>
            </w:r>
            <w:r>
              <w:rPr>
                <w:rFonts w:ascii="宋体"/>
                <w:sz w:val="18"/>
              </w:rPr>
            </w: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83"/>
              <w:jc w:val="right"/>
              <w:rPr>
                <w:rFonts w:ascii="宋体" w:hAnsi="宋体" w:cs="宋体" w:eastAsia="宋体" w:hint="default"/>
                <w:sz w:val="18"/>
                <w:szCs w:val="18"/>
              </w:rPr>
            </w:pPr>
            <w:r>
              <w:rPr>
                <w:rFonts w:ascii="宋体"/>
                <w:spacing w:val="-15"/>
                <w:sz w:val="18"/>
              </w:rPr>
              <w:t>49,875,311.00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55" w:right="0"/>
              <w:jc w:val="center"/>
              <w:rPr>
                <w:rFonts w:ascii="宋体" w:hAnsi="宋体" w:cs="宋体" w:eastAsia="宋体" w:hint="default"/>
                <w:sz w:val="18"/>
                <w:szCs w:val="18"/>
              </w:rPr>
            </w:pPr>
            <w:r>
              <w:rPr>
                <w:rFonts w:ascii="宋体"/>
                <w:spacing w:val="-17"/>
                <w:sz w:val="18"/>
              </w:rPr>
              <w:t>936,574,799.24</w:t>
            </w:r>
            <w:r>
              <w:rPr>
                <w:rFonts w:ascii="宋体"/>
                <w:sz w:val="18"/>
              </w:rPr>
            </w: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256" w:right="0"/>
              <w:jc w:val="left"/>
              <w:rPr>
                <w:rFonts w:ascii="宋体" w:hAnsi="宋体" w:cs="宋体" w:eastAsia="宋体" w:hint="default"/>
                <w:sz w:val="18"/>
                <w:szCs w:val="18"/>
              </w:rPr>
            </w:pPr>
            <w:r>
              <w:rPr>
                <w:rFonts w:ascii="宋体"/>
                <w:spacing w:val="-17"/>
                <w:sz w:val="18"/>
              </w:rPr>
              <w:t>986,450,110.24</w:t>
            </w:r>
            <w:r>
              <w:rPr>
                <w:rFonts w:ascii="宋体"/>
                <w:sz w:val="18"/>
              </w:rPr>
            </w:r>
          </w:p>
        </w:tc>
      </w:tr>
      <w:tr>
        <w:trPr>
          <w:trHeight w:val="711"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01" w:lineRule="exact"/>
              <w:ind w:left="98" w:right="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、股份支付计入所有者权</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7"/>
                <w:sz w:val="18"/>
              </w:rPr>
              <w:t>4,786,001.34</w:t>
            </w:r>
            <w:r>
              <w:rPr>
                <w:rFonts w:ascii="宋体"/>
                <w:sz w:val="18"/>
              </w:rPr>
            </w: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27" w:right="0"/>
              <w:jc w:val="center"/>
              <w:rPr>
                <w:rFonts w:ascii="宋体" w:hAnsi="宋体" w:cs="宋体" w:eastAsia="宋体" w:hint="default"/>
                <w:sz w:val="18"/>
                <w:szCs w:val="18"/>
              </w:rPr>
            </w:pPr>
            <w:r>
              <w:rPr>
                <w:rFonts w:ascii="宋体"/>
                <w:spacing w:val="-17"/>
                <w:sz w:val="18"/>
              </w:rPr>
              <w:t>-7,581,453.54</w:t>
            </w:r>
            <w:r>
              <w:rPr>
                <w:rFonts w:ascii="宋体"/>
                <w:sz w:val="18"/>
              </w:rPr>
            </w: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31" w:right="0"/>
              <w:jc w:val="left"/>
              <w:rPr>
                <w:rFonts w:ascii="宋体" w:hAnsi="宋体" w:cs="宋体" w:eastAsia="宋体" w:hint="default"/>
                <w:sz w:val="18"/>
                <w:szCs w:val="18"/>
              </w:rPr>
            </w:pPr>
            <w:r>
              <w:rPr>
                <w:rFonts w:ascii="宋体"/>
                <w:spacing w:val="-17"/>
                <w:sz w:val="18"/>
              </w:rPr>
              <w:t>-2,795,452.20</w:t>
            </w:r>
            <w:r>
              <w:rPr>
                <w:rFonts w:ascii="宋体"/>
                <w:sz w:val="18"/>
              </w:rPr>
            </w: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8"/>
              <w:jc w:val="right"/>
              <w:rPr>
                <w:rFonts w:ascii="宋体" w:hAnsi="宋体" w:cs="宋体" w:eastAsia="宋体" w:hint="default"/>
                <w:sz w:val="18"/>
                <w:szCs w:val="18"/>
              </w:rPr>
            </w:pPr>
            <w:r>
              <w:rPr>
                <w:rFonts w:ascii="宋体"/>
                <w:spacing w:val="-17"/>
                <w:sz w:val="18"/>
              </w:rPr>
              <w:t>4,786,001.34</w:t>
            </w:r>
            <w:r>
              <w:rPr>
                <w:rFonts w:ascii="宋体"/>
                <w:sz w:val="18"/>
              </w:rPr>
            </w: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27" w:right="0"/>
              <w:jc w:val="center"/>
              <w:rPr>
                <w:rFonts w:ascii="宋体" w:hAnsi="宋体" w:cs="宋体" w:eastAsia="宋体" w:hint="default"/>
                <w:sz w:val="18"/>
                <w:szCs w:val="18"/>
              </w:rPr>
            </w:pPr>
            <w:r>
              <w:rPr>
                <w:rFonts w:ascii="宋体"/>
                <w:spacing w:val="-17"/>
                <w:sz w:val="18"/>
              </w:rPr>
              <w:t>-4,786,001.34</w:t>
            </w:r>
            <w:r>
              <w:rPr>
                <w:rFonts w:ascii="宋体"/>
                <w:sz w:val="18"/>
              </w:rPr>
            </w: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、对股东的分配</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27" w:right="0"/>
              <w:jc w:val="center"/>
              <w:rPr>
                <w:rFonts w:ascii="宋体" w:hAnsi="宋体" w:cs="宋体" w:eastAsia="宋体" w:hint="default"/>
                <w:sz w:val="18"/>
                <w:szCs w:val="18"/>
              </w:rPr>
            </w:pPr>
            <w:r>
              <w:rPr>
                <w:rFonts w:ascii="宋体"/>
                <w:spacing w:val="-17"/>
                <w:sz w:val="18"/>
              </w:rPr>
              <w:t>-2,795,452.20</w:t>
            </w:r>
            <w:r>
              <w:rPr>
                <w:rFonts w:ascii="宋体"/>
                <w:sz w:val="18"/>
              </w:rPr>
            </w:r>
          </w:p>
        </w:tc>
        <w:tc>
          <w:tcPr>
            <w:tcW w:w="14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331" w:right="0"/>
              <w:jc w:val="left"/>
              <w:rPr>
                <w:rFonts w:ascii="宋体" w:hAnsi="宋体" w:cs="宋体" w:eastAsia="宋体" w:hint="default"/>
                <w:sz w:val="18"/>
                <w:szCs w:val="18"/>
              </w:rPr>
            </w:pPr>
            <w:r>
              <w:rPr>
                <w:rFonts w:ascii="宋体"/>
                <w:spacing w:val="-17"/>
                <w:sz w:val="18"/>
              </w:rPr>
              <w:t>-2,795,452.20</w:t>
            </w:r>
            <w:r>
              <w:rPr>
                <w:rFonts w:ascii="宋体"/>
                <w:sz w:val="18"/>
              </w:rPr>
            </w: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01" w:lineRule="exact"/>
              <w:ind w:left="98"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9"/>
              <w:jc w:val="right"/>
              <w:rPr>
                <w:rFonts w:ascii="宋体" w:hAnsi="宋体" w:cs="宋体" w:eastAsia="宋体" w:hint="default"/>
                <w:sz w:val="18"/>
                <w:szCs w:val="18"/>
              </w:rPr>
            </w:pPr>
            <w:r>
              <w:rPr>
                <w:rFonts w:ascii="宋体"/>
                <w:spacing w:val="-17"/>
                <w:sz w:val="18"/>
              </w:rPr>
              <w:t>85,078,980.00</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5" w:right="0"/>
              <w:jc w:val="center"/>
              <w:rPr>
                <w:rFonts w:ascii="宋体" w:hAnsi="宋体" w:cs="宋体" w:eastAsia="宋体" w:hint="default"/>
                <w:sz w:val="18"/>
                <w:szCs w:val="18"/>
              </w:rPr>
            </w:pPr>
            <w:r>
              <w:rPr>
                <w:rFonts w:ascii="宋体"/>
                <w:spacing w:val="-17"/>
                <w:sz w:val="18"/>
              </w:rPr>
              <w:t>-60,770,700.00</w:t>
            </w:r>
            <w:r>
              <w:rPr>
                <w:rFonts w:ascii="宋体"/>
                <w:sz w:val="18"/>
              </w:rPr>
            </w: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52" w:right="0"/>
              <w:jc w:val="center"/>
              <w:rPr>
                <w:rFonts w:ascii="宋体" w:hAnsi="宋体" w:cs="宋体" w:eastAsia="宋体" w:hint="default"/>
                <w:sz w:val="18"/>
                <w:szCs w:val="18"/>
              </w:rPr>
            </w:pPr>
            <w:r>
              <w:rPr>
                <w:rFonts w:ascii="宋体"/>
                <w:spacing w:val="-17"/>
                <w:sz w:val="18"/>
              </w:rPr>
              <w:t>-24,308,280.00</w:t>
            </w:r>
            <w:r>
              <w:rPr>
                <w:rFonts w:ascii="宋体"/>
                <w:sz w:val="18"/>
              </w:rPr>
            </w: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宋体" w:hAnsi="宋体" w:cs="宋体" w:eastAsia="宋体" w:hint="default"/>
                <w:sz w:val="18"/>
                <w:szCs w:val="18"/>
              </w:rPr>
            </w:pPr>
            <w:r>
              <w:rPr>
                <w:rFonts w:ascii="宋体"/>
                <w:spacing w:val="-17"/>
                <w:sz w:val="18"/>
              </w:rPr>
              <w:t>60,770,700.00</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5" w:right="0"/>
              <w:jc w:val="center"/>
              <w:rPr>
                <w:rFonts w:ascii="宋体" w:hAnsi="宋体" w:cs="宋体" w:eastAsia="宋体" w:hint="default"/>
                <w:sz w:val="18"/>
                <w:szCs w:val="18"/>
              </w:rPr>
            </w:pPr>
            <w:r>
              <w:rPr>
                <w:rFonts w:ascii="宋体"/>
                <w:spacing w:val="-17"/>
                <w:sz w:val="18"/>
              </w:rPr>
              <w:t>-60,770,700.00</w:t>
            </w:r>
            <w:r>
              <w:rPr>
                <w:rFonts w:ascii="宋体"/>
                <w:sz w:val="18"/>
              </w:rPr>
            </w: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99"/>
              <w:jc w:val="right"/>
              <w:rPr>
                <w:rFonts w:ascii="宋体" w:hAnsi="宋体" w:cs="宋体" w:eastAsia="宋体" w:hint="default"/>
                <w:sz w:val="18"/>
                <w:szCs w:val="18"/>
              </w:rPr>
            </w:pPr>
            <w:r>
              <w:rPr>
                <w:rFonts w:ascii="宋体"/>
                <w:spacing w:val="-17"/>
                <w:sz w:val="18"/>
              </w:rPr>
              <w:t>24,308,280.00</w:t>
            </w:r>
            <w:r>
              <w:rPr>
                <w:rFonts w:ascii="宋体"/>
                <w:sz w:val="18"/>
              </w:rPr>
            </w: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2" w:right="0"/>
              <w:jc w:val="center"/>
              <w:rPr>
                <w:rFonts w:ascii="宋体" w:hAnsi="宋体" w:cs="宋体" w:eastAsia="宋体" w:hint="default"/>
                <w:sz w:val="18"/>
                <w:szCs w:val="18"/>
              </w:rPr>
            </w:pPr>
            <w:r>
              <w:rPr>
                <w:rFonts w:ascii="宋体"/>
                <w:spacing w:val="-17"/>
                <w:sz w:val="18"/>
              </w:rPr>
              <w:t>-24,308,280.00</w:t>
            </w:r>
            <w:r>
              <w:rPr>
                <w:rFonts w:ascii="宋体"/>
                <w:sz w:val="18"/>
              </w:rPr>
            </w: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single" w:sz="4" w:space="0" w:color="000000"/>
              <w:right w:val="single" w:sz="4" w:space="0" w:color="000000"/>
            </w:tcBorders>
          </w:tcPr>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single" w:sz="4" w:space="0" w:color="000000"/>
              <w:right w:val="single" w:sz="4" w:space="0" w:color="000000"/>
            </w:tcBorders>
          </w:tcPr>
          <w:p>
            <w:pPr/>
          </w:p>
        </w:tc>
        <w:tc>
          <w:tcPr>
            <w:tcW w:w="43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2256" w:type="dxa"/>
            <w:tcBorders>
              <w:top w:val="single" w:sz="4" w:space="0" w:color="000000"/>
              <w:left w:val="single" w:sz="8" w:space="0" w:color="000000"/>
              <w:bottom w:val="nil" w:sz="6" w:space="0" w:color="auto"/>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83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43" w:type="dxa"/>
            <w:tcBorders>
              <w:top w:val="single" w:sz="4" w:space="0" w:color="000000"/>
              <w:left w:val="single" w:sz="4" w:space="0" w:color="000000"/>
              <w:bottom w:val="nil" w:sz="6" w:space="0" w:color="auto"/>
              <w:right w:val="single" w:sz="4" w:space="0" w:color="000000"/>
            </w:tcBorders>
          </w:tcPr>
          <w:p>
            <w:pPr/>
          </w:p>
        </w:tc>
        <w:tc>
          <w:tcPr>
            <w:tcW w:w="437" w:type="dxa"/>
            <w:tcBorders>
              <w:top w:val="single" w:sz="4" w:space="0" w:color="000000"/>
              <w:left w:val="single" w:sz="4" w:space="0" w:color="000000"/>
              <w:bottom w:val="nil" w:sz="6" w:space="0" w:color="auto"/>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nil" w:sz="6" w:space="0" w:color="auto"/>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
        </w:tc>
        <w:tc>
          <w:tcPr>
            <w:tcW w:w="1406"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20" w:footer="956" w:top="1340" w:bottom="1140" w:left="460" w:right="0"/>
        </w:sectPr>
      </w:pPr>
    </w:p>
    <w:p>
      <w:pPr>
        <w:spacing w:line="240" w:lineRule="auto" w:before="8"/>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256"/>
        <w:gridCol w:w="1839"/>
        <w:gridCol w:w="1306"/>
        <w:gridCol w:w="543"/>
        <w:gridCol w:w="437"/>
        <w:gridCol w:w="1229"/>
        <w:gridCol w:w="398"/>
        <w:gridCol w:w="1304"/>
        <w:gridCol w:w="1406"/>
      </w:tblGrid>
      <w:tr>
        <w:trPr>
          <w:trHeight w:val="447" w:hRule="exact"/>
        </w:trPr>
        <w:tc>
          <w:tcPr>
            <w:tcW w:w="2256" w:type="dxa"/>
            <w:tcBorders>
              <w:top w:val="single" w:sz="10" w:space="0" w:color="000000"/>
              <w:left w:val="single" w:sz="8" w:space="0" w:color="000000"/>
              <w:bottom w:val="single" w:sz="8" w:space="0" w:color="000000"/>
              <w:right w:val="single" w:sz="4" w:space="0" w:color="000000"/>
            </w:tcBorders>
          </w:tcPr>
          <w:p>
            <w:pPr>
              <w:pStyle w:val="TableParagraph"/>
              <w:spacing w:line="240" w:lineRule="auto" w:before="5"/>
              <w:ind w:left="98"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83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before="10"/>
              <w:ind w:left="688" w:right="0"/>
              <w:jc w:val="left"/>
              <w:rPr>
                <w:rFonts w:ascii="宋体" w:hAnsi="宋体" w:cs="宋体" w:eastAsia="宋体" w:hint="default"/>
                <w:sz w:val="18"/>
                <w:szCs w:val="18"/>
              </w:rPr>
            </w:pPr>
            <w:r>
              <w:rPr>
                <w:rFonts w:ascii="宋体"/>
                <w:spacing w:val="-17"/>
                <w:sz w:val="18"/>
              </w:rPr>
              <w:t>256,495,691.00</w:t>
            </w:r>
            <w:r>
              <w:rPr>
                <w:rFonts w:ascii="宋体"/>
                <w:sz w:val="18"/>
              </w:rPr>
            </w:r>
          </w:p>
        </w:tc>
        <w:tc>
          <w:tcPr>
            <w:tcW w:w="1306"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before="10"/>
              <w:ind w:left="155" w:right="0"/>
              <w:jc w:val="left"/>
              <w:rPr>
                <w:rFonts w:ascii="宋体" w:hAnsi="宋体" w:cs="宋体" w:eastAsia="宋体" w:hint="default"/>
                <w:sz w:val="18"/>
                <w:szCs w:val="18"/>
              </w:rPr>
            </w:pPr>
            <w:r>
              <w:rPr>
                <w:rFonts w:ascii="宋体"/>
                <w:spacing w:val="-17"/>
                <w:sz w:val="18"/>
              </w:rPr>
              <w:t>975,977,974.90</w:t>
            </w:r>
            <w:r>
              <w:rPr>
                <w:rFonts w:ascii="宋体"/>
                <w:sz w:val="18"/>
              </w:rPr>
            </w:r>
          </w:p>
        </w:tc>
        <w:tc>
          <w:tcPr>
            <w:tcW w:w="543" w:type="dxa"/>
            <w:tcBorders>
              <w:top w:val="single" w:sz="10" w:space="0" w:color="000000"/>
              <w:left w:val="single" w:sz="4" w:space="0" w:color="000000"/>
              <w:bottom w:val="single" w:sz="8" w:space="0" w:color="000000"/>
              <w:right w:val="single" w:sz="4" w:space="0" w:color="000000"/>
            </w:tcBorders>
          </w:tcPr>
          <w:p>
            <w:pPr/>
          </w:p>
        </w:tc>
        <w:tc>
          <w:tcPr>
            <w:tcW w:w="437" w:type="dxa"/>
            <w:tcBorders>
              <w:top w:val="single" w:sz="10" w:space="0" w:color="000000"/>
              <w:left w:val="single" w:sz="4" w:space="0" w:color="000000"/>
              <w:bottom w:val="single" w:sz="8" w:space="0" w:color="000000"/>
              <w:right w:val="single" w:sz="4" w:space="0" w:color="000000"/>
            </w:tcBorders>
          </w:tcPr>
          <w:p>
            <w:pPr/>
          </w:p>
        </w:tc>
        <w:tc>
          <w:tcPr>
            <w:tcW w:w="1229"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before="10"/>
              <w:ind w:left="153" w:right="0"/>
              <w:jc w:val="left"/>
              <w:rPr>
                <w:rFonts w:ascii="宋体" w:hAnsi="宋体" w:cs="宋体" w:eastAsia="宋体" w:hint="default"/>
                <w:sz w:val="18"/>
                <w:szCs w:val="18"/>
              </w:rPr>
            </w:pPr>
            <w:r>
              <w:rPr>
                <w:rFonts w:ascii="宋体"/>
                <w:spacing w:val="-17"/>
                <w:sz w:val="18"/>
              </w:rPr>
              <w:t>42,291,509.25</w:t>
            </w:r>
            <w:r>
              <w:rPr>
                <w:rFonts w:ascii="宋体"/>
                <w:sz w:val="18"/>
              </w:rPr>
            </w:r>
          </w:p>
        </w:tc>
        <w:tc>
          <w:tcPr>
            <w:tcW w:w="398" w:type="dxa"/>
            <w:tcBorders>
              <w:top w:val="single" w:sz="10" w:space="0" w:color="000000"/>
              <w:left w:val="single" w:sz="4" w:space="0" w:color="000000"/>
              <w:bottom w:val="single" w:sz="8" w:space="0" w:color="000000"/>
              <w:right w:val="single" w:sz="4" w:space="0" w:color="000000"/>
            </w:tcBorders>
          </w:tcPr>
          <w:p>
            <w:pPr/>
          </w:p>
        </w:tc>
        <w:tc>
          <w:tcPr>
            <w:tcW w:w="1304"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before="10"/>
              <w:ind w:left="153" w:right="0"/>
              <w:jc w:val="left"/>
              <w:rPr>
                <w:rFonts w:ascii="宋体" w:hAnsi="宋体" w:cs="宋体" w:eastAsia="宋体" w:hint="default"/>
                <w:sz w:val="18"/>
                <w:szCs w:val="18"/>
              </w:rPr>
            </w:pPr>
            <w:r>
              <w:rPr>
                <w:rFonts w:ascii="宋体"/>
                <w:spacing w:val="-17"/>
                <w:sz w:val="18"/>
              </w:rPr>
              <w:t>177,356,931.29</w:t>
            </w:r>
            <w:r>
              <w:rPr>
                <w:rFonts w:ascii="宋体"/>
                <w:sz w:val="18"/>
              </w:rPr>
            </w:r>
          </w:p>
        </w:tc>
        <w:tc>
          <w:tcPr>
            <w:tcW w:w="1406" w:type="dxa"/>
            <w:tcBorders>
              <w:top w:val="single" w:sz="6" w:space="0" w:color="000000"/>
              <w:left w:val="single" w:sz="4" w:space="0" w:color="000000"/>
              <w:bottom w:val="single" w:sz="8" w:space="0" w:color="000000"/>
              <w:right w:val="single" w:sz="4" w:space="0" w:color="000000"/>
            </w:tcBorders>
          </w:tcPr>
          <w:p>
            <w:pPr>
              <w:pStyle w:val="TableParagraph"/>
              <w:spacing w:line="240" w:lineRule="auto" w:before="10"/>
              <w:ind w:left="110" w:right="0"/>
              <w:jc w:val="left"/>
              <w:rPr>
                <w:rFonts w:ascii="宋体" w:hAnsi="宋体" w:cs="宋体" w:eastAsia="宋体" w:hint="default"/>
                <w:sz w:val="18"/>
                <w:szCs w:val="18"/>
              </w:rPr>
            </w:pPr>
            <w:r>
              <w:rPr>
                <w:rFonts w:ascii="宋体"/>
                <w:spacing w:val="-16"/>
                <w:sz w:val="18"/>
              </w:rPr>
              <w:t>1,452,122,106.44</w:t>
            </w:r>
          </w:p>
        </w:tc>
      </w:tr>
    </w:tbl>
    <w:p>
      <w:pPr>
        <w:spacing w:line="203" w:lineRule="exact" w:before="0"/>
        <w:ind w:left="387"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注：所附附注为财务报表重要组成部分</w:t>
      </w:r>
    </w:p>
    <w:p>
      <w:pPr>
        <w:tabs>
          <w:tab w:pos="3632" w:val="left" w:leader="none"/>
          <w:tab w:pos="7324" w:val="left" w:leader="none"/>
        </w:tabs>
        <w:spacing w:before="115"/>
        <w:ind w:left="387" w:right="0" w:firstLine="0"/>
        <w:jc w:val="left"/>
        <w:rPr>
          <w:rFonts w:ascii="宋体" w:hAnsi="宋体" w:cs="宋体" w:eastAsia="宋体" w:hint="default"/>
          <w:sz w:val="18"/>
          <w:szCs w:val="18"/>
        </w:rPr>
      </w:pPr>
      <w:r>
        <w:rPr>
          <w:rFonts w:ascii="宋体" w:hAnsi="宋体" w:cs="宋体" w:eastAsia="宋体" w:hint="default"/>
          <w:sz w:val="18"/>
          <w:szCs w:val="18"/>
        </w:rPr>
        <w:t>公司负责人：郭春生</w:t>
        <w:tab/>
      </w:r>
      <w:r>
        <w:rPr>
          <w:rFonts w:ascii="宋体" w:hAnsi="宋体" w:cs="宋体" w:eastAsia="宋体" w:hint="default"/>
          <w:spacing w:val="-1"/>
          <w:sz w:val="18"/>
          <w:szCs w:val="18"/>
        </w:rPr>
        <w:t>主管会计工作负责人：徐吉峰</w:t>
        <w:tab/>
        <w:t>会计机构负责人：孙莉莉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2"/>
        <w:spacing w:line="240" w:lineRule="auto"/>
        <w:ind w:right="492"/>
        <w:jc w:val="center"/>
        <w:rPr>
          <w:b w:val="0"/>
          <w:bCs w:val="0"/>
        </w:rPr>
      </w:pPr>
      <w:r>
        <w:rPr/>
        <w:t>母公司所有者权益变动表（续）</w:t>
      </w:r>
      <w:r>
        <w:rPr>
          <w:b w:val="0"/>
          <w:bCs w:val="0"/>
        </w:rPr>
      </w:r>
    </w:p>
    <w:p>
      <w:pPr>
        <w:tabs>
          <w:tab w:pos="8881" w:val="left" w:leader="none"/>
        </w:tabs>
        <w:spacing w:before="161"/>
        <w:ind w:left="0" w:right="489" w:firstLine="0"/>
        <w:jc w:val="center"/>
        <w:rPr>
          <w:rFonts w:ascii="宋体" w:hAnsi="宋体" w:cs="宋体" w:eastAsia="宋体" w:hint="default"/>
          <w:sz w:val="18"/>
          <w:szCs w:val="18"/>
        </w:rPr>
      </w:pPr>
      <w:r>
        <w:rPr>
          <w:rFonts w:ascii="宋体" w:hAnsi="宋体" w:cs="宋体" w:eastAsia="宋体" w:hint="default"/>
          <w:sz w:val="18"/>
          <w:szCs w:val="18"/>
        </w:rPr>
        <w:t>单位名称：吉林紫鑫药业股份有限公司</w:t>
        <w:tab/>
        <w:t>单位：人民币（元）</w:t>
      </w:r>
    </w:p>
    <w:p>
      <w:pPr>
        <w:spacing w:line="240" w:lineRule="auto" w:before="4"/>
        <w:rPr>
          <w:rFonts w:ascii="宋体" w:hAnsi="宋体" w:cs="宋体" w:eastAsia="宋体" w:hint="default"/>
          <w:sz w:val="11"/>
          <w:szCs w:val="11"/>
        </w:rPr>
      </w:pPr>
    </w:p>
    <w:tbl>
      <w:tblPr>
        <w:tblW w:w="0" w:type="auto"/>
        <w:jc w:val="left"/>
        <w:tblInd w:w="108" w:type="dxa"/>
        <w:tblLayout w:type="fixed"/>
        <w:tblCellMar>
          <w:top w:w="0" w:type="dxa"/>
          <w:left w:w="0" w:type="dxa"/>
          <w:bottom w:w="0" w:type="dxa"/>
          <w:right w:w="0" w:type="dxa"/>
        </w:tblCellMar>
        <w:tblLook w:val="01E0"/>
      </w:tblPr>
      <w:tblGrid>
        <w:gridCol w:w="2501"/>
        <w:gridCol w:w="1388"/>
        <w:gridCol w:w="1387"/>
        <w:gridCol w:w="574"/>
        <w:gridCol w:w="396"/>
        <w:gridCol w:w="1301"/>
        <w:gridCol w:w="396"/>
        <w:gridCol w:w="1388"/>
        <w:gridCol w:w="1387"/>
      </w:tblGrid>
      <w:tr>
        <w:trPr>
          <w:trHeight w:val="389" w:hRule="exact"/>
        </w:trPr>
        <w:tc>
          <w:tcPr>
            <w:tcW w:w="2501" w:type="dxa"/>
            <w:vMerge w:val="restart"/>
            <w:tcBorders>
              <w:top w:val="single" w:sz="8"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8217" w:type="dxa"/>
            <w:gridSpan w:val="8"/>
            <w:tcBorders>
              <w:top w:val="single" w:sz="8" w:space="0" w:color="000000"/>
              <w:left w:val="single" w:sz="4" w:space="0" w:color="000000"/>
              <w:bottom w:val="single" w:sz="4" w:space="0" w:color="000000"/>
              <w:right w:val="single" w:sz="8" w:space="0" w:color="000000"/>
            </w:tcBorders>
          </w:tcPr>
          <w:p>
            <w:pPr>
              <w:pStyle w:val="TableParagraph"/>
              <w:spacing w:line="215" w:lineRule="exact"/>
              <w:ind w:left="2" w:right="0"/>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823" w:hRule="exact"/>
        </w:trPr>
        <w:tc>
          <w:tcPr>
            <w:tcW w:w="2501" w:type="dxa"/>
            <w:vMerge/>
            <w:tcBorders>
              <w:left w:val="single" w:sz="8"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47"/>
              <w:ind w:left="191" w:right="99" w:hanging="89"/>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57" w:lineRule="auto" w:before="147"/>
              <w:ind w:left="103" w:right="101"/>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357" w:lineRule="auto"/>
              <w:ind w:left="103" w:right="101"/>
              <w:jc w:val="both"/>
              <w:rPr>
                <w:rFonts w:ascii="宋体" w:hAnsi="宋体" w:cs="宋体" w:eastAsia="宋体" w:hint="default"/>
                <w:sz w:val="18"/>
                <w:szCs w:val="18"/>
              </w:rPr>
            </w:pPr>
            <w:r>
              <w:rPr>
                <w:rFonts w:ascii="宋体" w:hAnsi="宋体" w:cs="宋体" w:eastAsia="宋体" w:hint="default"/>
                <w:sz w:val="18"/>
                <w:szCs w:val="18"/>
              </w:rPr>
              <w:t>一 般 风 险 准 备</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3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57" w:lineRule="auto"/>
              <w:ind w:left="597" w:right="143" w:hanging="449"/>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0" w:right="0"/>
              <w:jc w:val="center"/>
              <w:rPr>
                <w:rFonts w:ascii="宋体" w:hAnsi="宋体" w:cs="宋体" w:eastAsia="宋体" w:hint="default"/>
                <w:sz w:val="18"/>
                <w:szCs w:val="18"/>
              </w:rPr>
            </w:pPr>
            <w:r>
              <w:rPr>
                <w:rFonts w:ascii="宋体"/>
                <w:spacing w:val="-10"/>
                <w:sz w:val="18"/>
              </w:rPr>
              <w:t>121,541,400.00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0" w:right="0"/>
              <w:jc w:val="center"/>
              <w:rPr>
                <w:rFonts w:ascii="宋体" w:hAnsi="宋体" w:cs="宋体" w:eastAsia="宋体" w:hint="default"/>
                <w:sz w:val="18"/>
                <w:szCs w:val="18"/>
              </w:rPr>
            </w:pPr>
            <w:r>
              <w:rPr>
                <w:rFonts w:ascii="宋体"/>
                <w:spacing w:val="-10"/>
                <w:sz w:val="18"/>
              </w:rPr>
              <w:t>100,173,875.66</w:t>
            </w: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60" w:right="0"/>
              <w:jc w:val="center"/>
              <w:rPr>
                <w:rFonts w:ascii="宋体" w:hAnsi="宋体" w:cs="宋体" w:eastAsia="宋体" w:hint="default"/>
                <w:sz w:val="18"/>
                <w:szCs w:val="18"/>
              </w:rPr>
            </w:pPr>
            <w:r>
              <w:rPr>
                <w:rFonts w:ascii="宋体"/>
                <w:spacing w:val="-10"/>
                <w:sz w:val="18"/>
              </w:rPr>
              <w:t>29,507,154.52</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1" w:right="0"/>
              <w:jc w:val="center"/>
              <w:rPr>
                <w:rFonts w:ascii="宋体" w:hAnsi="宋体" w:cs="宋体" w:eastAsia="宋体" w:hint="default"/>
                <w:sz w:val="18"/>
                <w:szCs w:val="18"/>
              </w:rPr>
            </w:pPr>
            <w:r>
              <w:rPr>
                <w:rFonts w:ascii="宋体"/>
                <w:spacing w:val="-10"/>
                <w:sz w:val="18"/>
              </w:rPr>
              <w:t>95,478,540.88</w:t>
            </w:r>
          </w:p>
        </w:tc>
        <w:tc>
          <w:tcPr>
            <w:tcW w:w="13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85"/>
              <w:jc w:val="right"/>
              <w:rPr>
                <w:rFonts w:ascii="宋体" w:hAnsi="宋体" w:cs="宋体" w:eastAsia="宋体" w:hint="default"/>
                <w:sz w:val="18"/>
                <w:szCs w:val="18"/>
              </w:rPr>
            </w:pPr>
            <w:r>
              <w:rPr>
                <w:rFonts w:ascii="宋体"/>
                <w:spacing w:val="-10"/>
                <w:sz w:val="18"/>
              </w:rPr>
              <w:t>346,700,971.06</w:t>
            </w: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前期会计差错更正</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8" w:space="0" w:color="000000"/>
            </w:tcBorders>
          </w:tcPr>
          <w:p>
            <w:pPr/>
          </w:p>
        </w:tc>
      </w:tr>
      <w:tr>
        <w:trPr>
          <w:trHeight w:val="432"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 w:right="0"/>
              <w:jc w:val="center"/>
              <w:rPr>
                <w:rFonts w:ascii="宋体" w:hAnsi="宋体" w:cs="宋体" w:eastAsia="宋体" w:hint="default"/>
                <w:sz w:val="18"/>
                <w:szCs w:val="18"/>
              </w:rPr>
            </w:pPr>
            <w:r>
              <w:rPr>
                <w:rFonts w:ascii="宋体"/>
                <w:spacing w:val="-10"/>
                <w:sz w:val="18"/>
              </w:rPr>
              <w:t>121,541,400.00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 w:right="0"/>
              <w:jc w:val="center"/>
              <w:rPr>
                <w:rFonts w:ascii="宋体" w:hAnsi="宋体" w:cs="宋体" w:eastAsia="宋体" w:hint="default"/>
                <w:sz w:val="18"/>
                <w:szCs w:val="18"/>
              </w:rPr>
            </w:pPr>
            <w:r>
              <w:rPr>
                <w:rFonts w:ascii="宋体"/>
                <w:spacing w:val="-10"/>
                <w:sz w:val="18"/>
              </w:rPr>
              <w:t>100,173,875.66</w:t>
            </w: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 w:right="0"/>
              <w:jc w:val="center"/>
              <w:rPr>
                <w:rFonts w:ascii="宋体" w:hAnsi="宋体" w:cs="宋体" w:eastAsia="宋体" w:hint="default"/>
                <w:sz w:val="18"/>
                <w:szCs w:val="18"/>
              </w:rPr>
            </w:pPr>
            <w:r>
              <w:rPr>
                <w:rFonts w:ascii="宋体"/>
                <w:spacing w:val="-10"/>
                <w:sz w:val="18"/>
              </w:rPr>
              <w:t>29,507,154.52</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1" w:right="0"/>
              <w:jc w:val="center"/>
              <w:rPr>
                <w:rFonts w:ascii="宋体" w:hAnsi="宋体" w:cs="宋体" w:eastAsia="宋体" w:hint="default"/>
                <w:sz w:val="18"/>
                <w:szCs w:val="18"/>
              </w:rPr>
            </w:pPr>
            <w:r>
              <w:rPr>
                <w:rFonts w:ascii="宋体"/>
                <w:spacing w:val="-10"/>
                <w:sz w:val="18"/>
              </w:rPr>
              <w:t>95,478,540.88</w:t>
            </w:r>
          </w:p>
        </w:tc>
        <w:tc>
          <w:tcPr>
            <w:tcW w:w="13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right="85"/>
              <w:jc w:val="right"/>
              <w:rPr>
                <w:rFonts w:ascii="宋体" w:hAnsi="宋体" w:cs="宋体" w:eastAsia="宋体" w:hint="default"/>
                <w:sz w:val="18"/>
                <w:szCs w:val="18"/>
              </w:rPr>
            </w:pPr>
            <w:r>
              <w:rPr>
                <w:rFonts w:ascii="宋体"/>
                <w:spacing w:val="-10"/>
                <w:sz w:val="18"/>
              </w:rPr>
              <w:t>346,700,971.06</w:t>
            </w:r>
          </w:p>
        </w:tc>
      </w:tr>
      <w:tr>
        <w:trPr>
          <w:trHeight w:val="71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03" w:lineRule="exact"/>
              <w:ind w:left="98" w:right="0"/>
              <w:jc w:val="left"/>
              <w:rPr>
                <w:rFonts w:ascii="宋体" w:hAnsi="宋体" w:cs="宋体" w:eastAsia="宋体" w:hint="default"/>
                <w:sz w:val="18"/>
                <w:szCs w:val="18"/>
              </w:rPr>
            </w:pPr>
            <w:r>
              <w:rPr>
                <w:rFonts w:ascii="宋体" w:hAnsi="宋体" w:cs="宋体" w:eastAsia="宋体" w:hint="default"/>
                <w:b/>
                <w:bCs/>
                <w:spacing w:val="-5"/>
                <w:sz w:val="18"/>
                <w:szCs w:val="18"/>
              </w:rPr>
              <w:t>三、本年增减变动金额（减少</w:t>
            </w:r>
            <w:r>
              <w:rPr>
                <w:rFonts w:ascii="宋体" w:hAnsi="宋体" w:cs="宋体" w:eastAsia="宋体" w:hint="default"/>
                <w:spacing w:val="-5"/>
                <w:sz w:val="18"/>
                <w:szCs w:val="18"/>
              </w:rPr>
            </w:r>
          </w:p>
          <w:p>
            <w:pPr>
              <w:pStyle w:val="TableParagraph"/>
              <w:spacing w:line="240" w:lineRule="auto" w:before="115"/>
              <w:ind w:left="98" w:right="0"/>
              <w:jc w:val="left"/>
              <w:rPr>
                <w:rFonts w:ascii="宋体" w:hAnsi="宋体" w:cs="宋体" w:eastAsia="宋体" w:hint="default"/>
                <w:sz w:val="18"/>
                <w:szCs w:val="18"/>
              </w:rPr>
            </w:pPr>
            <w:r>
              <w:rPr>
                <w:rFonts w:ascii="宋体" w:hAnsi="宋体" w:cs="宋体" w:eastAsia="宋体" w:hint="default"/>
                <w:b/>
                <w:bCs/>
                <w:sz w:val="18"/>
                <w:szCs w:val="18"/>
              </w:rPr>
              <w:t>以“</w:t>
            </w:r>
            <w:r>
              <w:rPr>
                <w:rFonts w:ascii="宋体" w:hAnsi="宋体" w:cs="宋体" w:eastAsia="宋体"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40" w:right="0"/>
              <w:jc w:val="center"/>
              <w:rPr>
                <w:rFonts w:ascii="宋体" w:hAnsi="宋体" w:cs="宋体" w:eastAsia="宋体" w:hint="default"/>
                <w:sz w:val="18"/>
                <w:szCs w:val="18"/>
              </w:rPr>
            </w:pPr>
            <w:r>
              <w:rPr>
                <w:rFonts w:ascii="宋体"/>
                <w:spacing w:val="-10"/>
                <w:sz w:val="18"/>
              </w:rPr>
              <w:t>7,998,353.39</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41" w:right="0"/>
              <w:jc w:val="center"/>
              <w:rPr>
                <w:rFonts w:ascii="宋体" w:hAnsi="宋体" w:cs="宋体" w:eastAsia="宋体" w:hint="default"/>
                <w:sz w:val="18"/>
                <w:szCs w:val="18"/>
              </w:rPr>
            </w:pPr>
            <w:r>
              <w:rPr>
                <w:rFonts w:ascii="宋体"/>
                <w:spacing w:val="-10"/>
                <w:sz w:val="18"/>
              </w:rPr>
              <w:t>65,908,110.54</w:t>
            </w:r>
          </w:p>
        </w:tc>
        <w:tc>
          <w:tcPr>
            <w:tcW w:w="13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42"/>
              <w:ind w:right="85"/>
              <w:jc w:val="right"/>
              <w:rPr>
                <w:rFonts w:ascii="宋体" w:hAnsi="宋体" w:cs="宋体" w:eastAsia="宋体" w:hint="default"/>
                <w:sz w:val="18"/>
                <w:szCs w:val="18"/>
              </w:rPr>
            </w:pPr>
            <w:r>
              <w:rPr>
                <w:rFonts w:ascii="宋体"/>
                <w:spacing w:val="-10"/>
                <w:sz w:val="18"/>
              </w:rPr>
              <w:t>73,906,463.93</w:t>
            </w: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1" w:right="0"/>
              <w:jc w:val="center"/>
              <w:rPr>
                <w:rFonts w:ascii="宋体" w:hAnsi="宋体" w:cs="宋体" w:eastAsia="宋体" w:hint="default"/>
                <w:sz w:val="18"/>
                <w:szCs w:val="18"/>
              </w:rPr>
            </w:pPr>
            <w:r>
              <w:rPr>
                <w:rFonts w:ascii="宋体"/>
                <w:spacing w:val="-10"/>
                <w:sz w:val="18"/>
              </w:rPr>
              <w:t>79,983,533.93</w:t>
            </w:r>
          </w:p>
        </w:tc>
        <w:tc>
          <w:tcPr>
            <w:tcW w:w="13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
              <w:ind w:right="85"/>
              <w:jc w:val="right"/>
              <w:rPr>
                <w:rFonts w:ascii="宋体" w:hAnsi="宋体" w:cs="宋体" w:eastAsia="宋体" w:hint="default"/>
                <w:sz w:val="18"/>
                <w:szCs w:val="18"/>
              </w:rPr>
            </w:pPr>
            <w:r>
              <w:rPr>
                <w:rFonts w:ascii="宋体"/>
                <w:spacing w:val="-10"/>
                <w:sz w:val="18"/>
              </w:rPr>
              <w:t>79,983,533.93</w:t>
            </w: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1" w:right="0"/>
              <w:jc w:val="center"/>
              <w:rPr>
                <w:rFonts w:ascii="宋体" w:hAnsi="宋体" w:cs="宋体" w:eastAsia="宋体" w:hint="default"/>
                <w:sz w:val="18"/>
                <w:szCs w:val="18"/>
              </w:rPr>
            </w:pPr>
            <w:r>
              <w:rPr>
                <w:rFonts w:ascii="宋体"/>
                <w:spacing w:val="-10"/>
                <w:sz w:val="18"/>
              </w:rPr>
              <w:t>79,983,533.93</w:t>
            </w:r>
          </w:p>
        </w:tc>
        <w:tc>
          <w:tcPr>
            <w:tcW w:w="13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right="85"/>
              <w:jc w:val="right"/>
              <w:rPr>
                <w:rFonts w:ascii="宋体" w:hAnsi="宋体" w:cs="宋体" w:eastAsia="宋体" w:hint="default"/>
                <w:sz w:val="18"/>
                <w:szCs w:val="18"/>
              </w:rPr>
            </w:pPr>
            <w:r>
              <w:rPr>
                <w:rFonts w:ascii="宋体"/>
                <w:spacing w:val="-10"/>
                <w:sz w:val="18"/>
              </w:rPr>
              <w:t>79,983,533.93</w:t>
            </w: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pacing w:val="-5"/>
                <w:sz w:val="18"/>
                <w:szCs w:val="18"/>
              </w:rPr>
              <w:t>（三）所有者投入和减少资本</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、所有者投入资本</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8" w:space="0" w:color="000000"/>
            </w:tcBorders>
          </w:tcPr>
          <w:p>
            <w:pPr/>
          </w:p>
        </w:tc>
      </w:tr>
      <w:tr>
        <w:trPr>
          <w:trHeight w:val="711"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、股份支付计入所有者权益</w:t>
            </w:r>
          </w:p>
          <w:p>
            <w:pPr>
              <w:pStyle w:val="TableParagraph"/>
              <w:spacing w:line="240" w:lineRule="auto" w:before="112"/>
              <w:ind w:left="98"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8" w:space="0" w:color="000000"/>
            </w:tcBorders>
          </w:tcPr>
          <w:p>
            <w:pPr/>
          </w:p>
        </w:tc>
      </w:tr>
      <w:tr>
        <w:trPr>
          <w:trHeight w:val="432"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0" w:right="0"/>
              <w:jc w:val="center"/>
              <w:rPr>
                <w:rFonts w:ascii="宋体" w:hAnsi="宋体" w:cs="宋体" w:eastAsia="宋体" w:hint="default"/>
                <w:sz w:val="18"/>
                <w:szCs w:val="18"/>
              </w:rPr>
            </w:pPr>
            <w:r>
              <w:rPr>
                <w:rFonts w:ascii="宋体"/>
                <w:spacing w:val="-10"/>
                <w:sz w:val="18"/>
              </w:rPr>
              <w:t>7,998,353.39</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 w:right="0"/>
              <w:jc w:val="center"/>
              <w:rPr>
                <w:rFonts w:ascii="宋体" w:hAnsi="宋体" w:cs="宋体" w:eastAsia="宋体" w:hint="default"/>
                <w:sz w:val="18"/>
                <w:szCs w:val="18"/>
              </w:rPr>
            </w:pPr>
            <w:r>
              <w:rPr>
                <w:rFonts w:ascii="宋体"/>
                <w:spacing w:val="-10"/>
                <w:sz w:val="18"/>
              </w:rPr>
              <w:t>-14,075,423.39</w:t>
            </w:r>
          </w:p>
        </w:tc>
        <w:tc>
          <w:tcPr>
            <w:tcW w:w="13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right="85"/>
              <w:jc w:val="right"/>
              <w:rPr>
                <w:rFonts w:ascii="宋体" w:hAnsi="宋体" w:cs="宋体" w:eastAsia="宋体" w:hint="default"/>
                <w:sz w:val="18"/>
                <w:szCs w:val="18"/>
              </w:rPr>
            </w:pPr>
            <w:r>
              <w:rPr>
                <w:rFonts w:ascii="宋体"/>
                <w:spacing w:val="-10"/>
                <w:sz w:val="18"/>
              </w:rPr>
              <w:t>-6,077,070.00</w:t>
            </w: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0" w:right="0"/>
              <w:jc w:val="center"/>
              <w:rPr>
                <w:rFonts w:ascii="宋体" w:hAnsi="宋体" w:cs="宋体" w:eastAsia="宋体" w:hint="default"/>
                <w:sz w:val="18"/>
                <w:szCs w:val="18"/>
              </w:rPr>
            </w:pPr>
            <w:r>
              <w:rPr>
                <w:rFonts w:ascii="宋体"/>
                <w:spacing w:val="-10"/>
                <w:sz w:val="18"/>
              </w:rPr>
              <w:t>7,998,353.39</w:t>
            </w: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42" w:right="0"/>
              <w:jc w:val="center"/>
              <w:rPr>
                <w:rFonts w:ascii="宋体" w:hAnsi="宋体" w:cs="宋体" w:eastAsia="宋体" w:hint="default"/>
                <w:sz w:val="18"/>
                <w:szCs w:val="18"/>
              </w:rPr>
            </w:pPr>
            <w:r>
              <w:rPr>
                <w:rFonts w:ascii="宋体"/>
                <w:spacing w:val="-10"/>
                <w:sz w:val="18"/>
              </w:rPr>
              <w:t>-7,998,353.39</w:t>
            </w:r>
          </w:p>
        </w:tc>
        <w:tc>
          <w:tcPr>
            <w:tcW w:w="1387" w:type="dxa"/>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、对股东的分配</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42" w:right="0"/>
              <w:jc w:val="center"/>
              <w:rPr>
                <w:rFonts w:ascii="宋体" w:hAnsi="宋体" w:cs="宋体" w:eastAsia="宋体" w:hint="default"/>
                <w:sz w:val="18"/>
                <w:szCs w:val="18"/>
              </w:rPr>
            </w:pPr>
            <w:r>
              <w:rPr>
                <w:rFonts w:ascii="宋体"/>
                <w:spacing w:val="-10"/>
                <w:sz w:val="18"/>
              </w:rPr>
              <w:t>-6,077,070.00</w:t>
            </w:r>
          </w:p>
        </w:tc>
        <w:tc>
          <w:tcPr>
            <w:tcW w:w="13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
              <w:ind w:right="85"/>
              <w:jc w:val="right"/>
              <w:rPr>
                <w:rFonts w:ascii="宋体" w:hAnsi="宋体" w:cs="宋体" w:eastAsia="宋体" w:hint="default"/>
                <w:sz w:val="18"/>
                <w:szCs w:val="18"/>
              </w:rPr>
            </w:pPr>
            <w:r>
              <w:rPr>
                <w:rFonts w:ascii="宋体"/>
                <w:spacing w:val="-10"/>
                <w:sz w:val="18"/>
              </w:rPr>
              <w:t>-6,077,070.00</w:t>
            </w: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8" w:space="0" w:color="000000"/>
            </w:tcBorders>
          </w:tcPr>
          <w:p>
            <w:pPr/>
          </w:p>
        </w:tc>
      </w:tr>
    </w:tbl>
    <w:p>
      <w:pPr>
        <w:spacing w:after="0"/>
        <w:sectPr>
          <w:pgSz w:w="11910" w:h="16840"/>
          <w:pgMar w:header="720" w:footer="956" w:top="1300" w:bottom="1180" w:left="460" w:right="0"/>
        </w:sectPr>
      </w:pPr>
    </w:p>
    <w:p>
      <w:pPr>
        <w:spacing w:line="240" w:lineRule="auto" w:before="13"/>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501"/>
        <w:gridCol w:w="1388"/>
        <w:gridCol w:w="1387"/>
        <w:gridCol w:w="574"/>
        <w:gridCol w:w="396"/>
        <w:gridCol w:w="1301"/>
        <w:gridCol w:w="396"/>
        <w:gridCol w:w="1388"/>
        <w:gridCol w:w="948"/>
        <w:gridCol w:w="439"/>
      </w:tblGrid>
      <w:tr>
        <w:trPr>
          <w:trHeight w:val="432" w:hRule="exact"/>
        </w:trPr>
        <w:tc>
          <w:tcPr>
            <w:tcW w:w="2501" w:type="dxa"/>
            <w:tcBorders>
              <w:top w:val="single" w:sz="6"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388" w:type="dxa"/>
            <w:tcBorders>
              <w:top w:val="single" w:sz="6" w:space="0" w:color="000000"/>
              <w:left w:val="single" w:sz="4" w:space="0" w:color="000000"/>
              <w:bottom w:val="single" w:sz="4" w:space="0" w:color="000000"/>
              <w:right w:val="single" w:sz="4" w:space="0" w:color="000000"/>
            </w:tcBorders>
          </w:tcPr>
          <w:p>
            <w:pPr/>
          </w:p>
        </w:tc>
        <w:tc>
          <w:tcPr>
            <w:tcW w:w="1387" w:type="dxa"/>
            <w:tcBorders>
              <w:top w:val="single" w:sz="6" w:space="0" w:color="000000"/>
              <w:left w:val="single" w:sz="4" w:space="0" w:color="000000"/>
              <w:bottom w:val="single" w:sz="4" w:space="0" w:color="000000"/>
              <w:right w:val="single" w:sz="4" w:space="0" w:color="000000"/>
            </w:tcBorders>
          </w:tcPr>
          <w:p>
            <w:pPr/>
          </w:p>
        </w:tc>
        <w:tc>
          <w:tcPr>
            <w:tcW w:w="574" w:type="dxa"/>
            <w:tcBorders>
              <w:top w:val="single" w:sz="6" w:space="0" w:color="000000"/>
              <w:left w:val="single" w:sz="4" w:space="0" w:color="000000"/>
              <w:bottom w:val="single" w:sz="4" w:space="0" w:color="000000"/>
              <w:right w:val="single" w:sz="4" w:space="0" w:color="000000"/>
            </w:tcBorders>
          </w:tcPr>
          <w:p>
            <w:pPr/>
          </w:p>
        </w:tc>
        <w:tc>
          <w:tcPr>
            <w:tcW w:w="396" w:type="dxa"/>
            <w:tcBorders>
              <w:top w:val="single" w:sz="6" w:space="0" w:color="000000"/>
              <w:left w:val="single" w:sz="4" w:space="0" w:color="000000"/>
              <w:bottom w:val="single" w:sz="4" w:space="0" w:color="000000"/>
              <w:right w:val="single" w:sz="4" w:space="0" w:color="000000"/>
            </w:tcBorders>
          </w:tcPr>
          <w:p>
            <w:pPr/>
          </w:p>
        </w:tc>
        <w:tc>
          <w:tcPr>
            <w:tcW w:w="1301" w:type="dxa"/>
            <w:tcBorders>
              <w:top w:val="single" w:sz="6" w:space="0" w:color="000000"/>
              <w:left w:val="single" w:sz="4" w:space="0" w:color="000000"/>
              <w:bottom w:val="single" w:sz="4" w:space="0" w:color="000000"/>
              <w:right w:val="single" w:sz="4" w:space="0" w:color="000000"/>
            </w:tcBorders>
          </w:tcPr>
          <w:p>
            <w:pPr/>
          </w:p>
        </w:tc>
        <w:tc>
          <w:tcPr>
            <w:tcW w:w="396" w:type="dxa"/>
            <w:tcBorders>
              <w:top w:val="single" w:sz="6" w:space="0" w:color="000000"/>
              <w:left w:val="single" w:sz="4" w:space="0" w:color="000000"/>
              <w:bottom w:val="single" w:sz="4" w:space="0" w:color="000000"/>
              <w:right w:val="single" w:sz="4" w:space="0" w:color="000000"/>
            </w:tcBorders>
          </w:tcPr>
          <w:p>
            <w:pPr/>
          </w:p>
        </w:tc>
        <w:tc>
          <w:tcPr>
            <w:tcW w:w="1388" w:type="dxa"/>
            <w:tcBorders>
              <w:top w:val="single" w:sz="6" w:space="0" w:color="000000"/>
              <w:left w:val="single" w:sz="4" w:space="0" w:color="000000"/>
              <w:bottom w:val="single" w:sz="4" w:space="0" w:color="000000"/>
              <w:right w:val="single" w:sz="4" w:space="0" w:color="000000"/>
            </w:tcBorders>
          </w:tcPr>
          <w:p>
            <w:pPr/>
          </w:p>
        </w:tc>
        <w:tc>
          <w:tcPr>
            <w:tcW w:w="948" w:type="dxa"/>
            <w:tcBorders>
              <w:top w:val="single" w:sz="6" w:space="0" w:color="000000"/>
              <w:left w:val="single" w:sz="4" w:space="0" w:color="000000"/>
              <w:bottom w:val="single" w:sz="4" w:space="0" w:color="000000"/>
              <w:right w:val="nil" w:sz="6" w:space="0" w:color="auto"/>
            </w:tcBorders>
          </w:tcPr>
          <w:p>
            <w:pPr/>
          </w:p>
        </w:tc>
        <w:tc>
          <w:tcPr>
            <w:tcW w:w="439" w:type="dxa"/>
            <w:tcBorders>
              <w:top w:val="nil" w:sz="6" w:space="0" w:color="auto"/>
              <w:left w:val="nil" w:sz="6" w:space="0" w:color="auto"/>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、资本公积转增股本</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、盈余公积转增股本</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8" w:space="0" w:color="000000"/>
            </w:tcBorders>
          </w:tcPr>
          <w:p>
            <w:pPr/>
          </w:p>
        </w:tc>
      </w:tr>
      <w:tr>
        <w:trPr>
          <w:trHeight w:val="432"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8" w:space="0" w:color="000000"/>
            </w:tcBorders>
          </w:tcPr>
          <w:p>
            <w:pPr/>
          </w:p>
        </w:tc>
      </w:tr>
      <w:tr>
        <w:trPr>
          <w:trHeight w:val="430" w:hRule="exact"/>
        </w:trPr>
        <w:tc>
          <w:tcPr>
            <w:tcW w:w="250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
              <w:ind w:left="9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87" w:type="dxa"/>
            <w:gridSpan w:val="2"/>
            <w:tcBorders>
              <w:top w:val="single" w:sz="4" w:space="0" w:color="000000"/>
              <w:left w:val="single" w:sz="4" w:space="0" w:color="000000"/>
              <w:bottom w:val="single" w:sz="4" w:space="0" w:color="000000"/>
              <w:right w:val="single" w:sz="8" w:space="0" w:color="000000"/>
            </w:tcBorders>
          </w:tcPr>
          <w:p>
            <w:pPr/>
          </w:p>
        </w:tc>
      </w:tr>
      <w:tr>
        <w:trPr>
          <w:trHeight w:val="434" w:hRule="exact"/>
        </w:trPr>
        <w:tc>
          <w:tcPr>
            <w:tcW w:w="2501"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3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
              <w:ind w:left="153" w:right="0"/>
              <w:jc w:val="left"/>
              <w:rPr>
                <w:rFonts w:ascii="宋体" w:hAnsi="宋体" w:cs="宋体" w:eastAsia="宋体" w:hint="default"/>
                <w:sz w:val="18"/>
                <w:szCs w:val="18"/>
              </w:rPr>
            </w:pPr>
            <w:r>
              <w:rPr>
                <w:rFonts w:ascii="宋体"/>
                <w:spacing w:val="-10"/>
                <w:sz w:val="18"/>
              </w:rPr>
              <w:t>121,541,400.00</w:t>
            </w:r>
          </w:p>
        </w:tc>
        <w:tc>
          <w:tcPr>
            <w:tcW w:w="13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
              <w:ind w:left="153" w:right="0"/>
              <w:jc w:val="left"/>
              <w:rPr>
                <w:rFonts w:ascii="宋体" w:hAnsi="宋体" w:cs="宋体" w:eastAsia="宋体" w:hint="default"/>
                <w:sz w:val="18"/>
                <w:szCs w:val="18"/>
              </w:rPr>
            </w:pPr>
            <w:r>
              <w:rPr>
                <w:rFonts w:ascii="宋体"/>
                <w:spacing w:val="-10"/>
                <w:sz w:val="18"/>
              </w:rPr>
              <w:t>100,173,875.66</w:t>
            </w:r>
          </w:p>
        </w:tc>
        <w:tc>
          <w:tcPr>
            <w:tcW w:w="574" w:type="dxa"/>
            <w:tcBorders>
              <w:top w:val="single" w:sz="4" w:space="0" w:color="000000"/>
              <w:left w:val="single" w:sz="4" w:space="0" w:color="000000"/>
              <w:bottom w:val="single" w:sz="8" w:space="0" w:color="000000"/>
              <w:right w:val="single" w:sz="4" w:space="0" w:color="000000"/>
            </w:tcBorders>
          </w:tcPr>
          <w:p>
            <w:pPr/>
          </w:p>
        </w:tc>
        <w:tc>
          <w:tcPr>
            <w:tcW w:w="396" w:type="dxa"/>
            <w:tcBorders>
              <w:top w:val="single" w:sz="4" w:space="0" w:color="000000"/>
              <w:left w:val="single" w:sz="4" w:space="0" w:color="000000"/>
              <w:bottom w:val="single" w:sz="8" w:space="0" w:color="000000"/>
              <w:right w:val="single" w:sz="4" w:space="0" w:color="000000"/>
            </w:tcBorders>
          </w:tcPr>
          <w:p>
            <w:pPr/>
          </w:p>
        </w:tc>
        <w:tc>
          <w:tcPr>
            <w:tcW w:w="130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
              <w:ind w:left="151" w:right="0"/>
              <w:jc w:val="left"/>
              <w:rPr>
                <w:rFonts w:ascii="宋体" w:hAnsi="宋体" w:cs="宋体" w:eastAsia="宋体" w:hint="default"/>
                <w:sz w:val="18"/>
                <w:szCs w:val="18"/>
              </w:rPr>
            </w:pPr>
            <w:r>
              <w:rPr>
                <w:rFonts w:ascii="宋体"/>
                <w:spacing w:val="-10"/>
                <w:sz w:val="18"/>
              </w:rPr>
              <w:t>37,505,507.91</w:t>
            </w:r>
          </w:p>
        </w:tc>
        <w:tc>
          <w:tcPr>
            <w:tcW w:w="396" w:type="dxa"/>
            <w:tcBorders>
              <w:top w:val="single" w:sz="4" w:space="0" w:color="000000"/>
              <w:left w:val="single" w:sz="4" w:space="0" w:color="000000"/>
              <w:bottom w:val="single" w:sz="8" w:space="0" w:color="000000"/>
              <w:right w:val="single" w:sz="4" w:space="0" w:color="000000"/>
            </w:tcBorders>
          </w:tcPr>
          <w:p>
            <w:pPr/>
          </w:p>
        </w:tc>
        <w:tc>
          <w:tcPr>
            <w:tcW w:w="13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
              <w:ind w:left="153" w:right="0"/>
              <w:jc w:val="left"/>
              <w:rPr>
                <w:rFonts w:ascii="宋体" w:hAnsi="宋体" w:cs="宋体" w:eastAsia="宋体" w:hint="default"/>
                <w:sz w:val="18"/>
                <w:szCs w:val="18"/>
              </w:rPr>
            </w:pPr>
            <w:r>
              <w:rPr>
                <w:rFonts w:ascii="宋体"/>
                <w:spacing w:val="-10"/>
                <w:sz w:val="18"/>
              </w:rPr>
              <w:t>161,386,651.42</w:t>
            </w:r>
          </w:p>
        </w:tc>
        <w:tc>
          <w:tcPr>
            <w:tcW w:w="1387" w:type="dxa"/>
            <w:gridSpan w:val="2"/>
            <w:tcBorders>
              <w:top w:val="single" w:sz="4" w:space="0" w:color="000000"/>
              <w:left w:val="single" w:sz="4" w:space="0" w:color="000000"/>
              <w:bottom w:val="single" w:sz="8" w:space="0" w:color="000000"/>
              <w:right w:val="single" w:sz="8" w:space="0" w:color="000000"/>
            </w:tcBorders>
          </w:tcPr>
          <w:p>
            <w:pPr>
              <w:pStyle w:val="TableParagraph"/>
              <w:spacing w:line="240" w:lineRule="auto" w:before="3"/>
              <w:ind w:left="153" w:right="0"/>
              <w:jc w:val="left"/>
              <w:rPr>
                <w:rFonts w:ascii="宋体" w:hAnsi="宋体" w:cs="宋体" w:eastAsia="宋体" w:hint="default"/>
                <w:sz w:val="18"/>
                <w:szCs w:val="18"/>
              </w:rPr>
            </w:pPr>
            <w:r>
              <w:rPr>
                <w:rFonts w:ascii="宋体"/>
                <w:spacing w:val="-10"/>
                <w:sz w:val="18"/>
              </w:rPr>
              <w:t>420,607,434.99</w:t>
            </w:r>
          </w:p>
        </w:tc>
      </w:tr>
    </w:tbl>
    <w:p>
      <w:pPr>
        <w:spacing w:line="204" w:lineRule="exact" w:before="0"/>
        <w:ind w:left="36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注：所附附注为财务报表重要组成部分</w:t>
      </w:r>
    </w:p>
    <w:p>
      <w:pPr>
        <w:tabs>
          <w:tab w:pos="3613" w:val="left" w:leader="none"/>
          <w:tab w:pos="7305" w:val="left" w:leader="none"/>
        </w:tabs>
        <w:spacing w:before="115"/>
        <w:ind w:left="368" w:right="0" w:firstLine="0"/>
        <w:jc w:val="left"/>
        <w:rPr>
          <w:rFonts w:ascii="宋体" w:hAnsi="宋体" w:cs="宋体" w:eastAsia="宋体" w:hint="default"/>
          <w:sz w:val="18"/>
          <w:szCs w:val="18"/>
        </w:rPr>
      </w:pPr>
      <w:r>
        <w:rPr>
          <w:rFonts w:ascii="宋体" w:hAnsi="宋体" w:cs="宋体" w:eastAsia="宋体" w:hint="default"/>
          <w:sz w:val="18"/>
          <w:szCs w:val="18"/>
        </w:rPr>
        <w:t>公司负责人：郭春生</w:t>
        <w:tab/>
      </w:r>
      <w:r>
        <w:rPr>
          <w:rFonts w:ascii="宋体" w:hAnsi="宋体" w:cs="宋体" w:eastAsia="宋体" w:hint="default"/>
          <w:spacing w:val="-1"/>
          <w:sz w:val="18"/>
          <w:szCs w:val="18"/>
        </w:rPr>
        <w:t>主管会计工作负责人：徐吉峰</w:t>
        <w:tab/>
        <w:t>会计机构负责人：孙莉莉</w:t>
      </w:r>
    </w:p>
    <w:p>
      <w:pPr>
        <w:spacing w:after="0"/>
        <w:jc w:val="left"/>
        <w:rPr>
          <w:rFonts w:ascii="宋体" w:hAnsi="宋体" w:cs="宋体" w:eastAsia="宋体" w:hint="default"/>
          <w:sz w:val="18"/>
          <w:szCs w:val="18"/>
        </w:rPr>
        <w:sectPr>
          <w:pgSz w:w="11910" w:h="16840"/>
          <w:pgMar w:header="720" w:footer="956" w:top="1300" w:bottom="1140" w:left="460" w:right="0"/>
        </w:sectPr>
      </w:pPr>
    </w:p>
    <w:p>
      <w:pPr>
        <w:spacing w:line="240" w:lineRule="auto" w:before="13"/>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3"/>
          <w:szCs w:val="13"/>
        </w:rPr>
      </w:pPr>
    </w:p>
    <w:p>
      <w:pPr>
        <w:spacing w:line="357" w:lineRule="auto" w:before="7"/>
        <w:ind w:left="3635" w:right="4217" w:firstLine="0"/>
        <w:jc w:val="center"/>
        <w:rPr>
          <w:rFonts w:ascii="宋体" w:hAnsi="宋体" w:cs="宋体" w:eastAsia="宋体" w:hint="default"/>
          <w:sz w:val="30"/>
          <w:szCs w:val="30"/>
        </w:rPr>
      </w:pPr>
      <w:r>
        <w:rPr>
          <w:rFonts w:ascii="宋体" w:hAnsi="宋体" w:cs="宋体" w:eastAsia="宋体" w:hint="default"/>
          <w:b/>
          <w:bCs/>
          <w:w w:val="95"/>
          <w:sz w:val="30"/>
          <w:szCs w:val="30"/>
        </w:rPr>
        <w:t>吉林紫鑫药业股份有限公司</w:t>
      </w:r>
      <w:r>
        <w:rPr>
          <w:rFonts w:ascii="宋体" w:hAnsi="宋体" w:cs="宋体" w:eastAsia="宋体" w:hint="default"/>
          <w:b/>
          <w:bCs/>
          <w:spacing w:val="31"/>
          <w:w w:val="95"/>
          <w:sz w:val="30"/>
          <w:szCs w:val="30"/>
        </w:rPr>
        <w:t> </w:t>
      </w:r>
      <w:r>
        <w:rPr>
          <w:rFonts w:ascii="宋体" w:hAnsi="宋体" w:cs="宋体" w:eastAsia="宋体" w:hint="default"/>
          <w:b/>
          <w:bCs/>
          <w:spacing w:val="31"/>
          <w:w w:val="95"/>
          <w:sz w:val="30"/>
          <w:szCs w:val="30"/>
        </w:rPr>
      </w:r>
      <w:r>
        <w:rPr>
          <w:rFonts w:ascii="宋体" w:hAnsi="宋体" w:cs="宋体" w:eastAsia="宋体" w:hint="default"/>
          <w:b/>
          <w:bCs/>
          <w:sz w:val="30"/>
          <w:szCs w:val="30"/>
        </w:rPr>
        <w:t>财务报表附注</w:t>
      </w:r>
      <w:r>
        <w:rPr>
          <w:rFonts w:ascii="宋体" w:hAnsi="宋体" w:cs="宋体" w:eastAsia="宋体" w:hint="default"/>
          <w:sz w:val="30"/>
          <w:szCs w:val="30"/>
        </w:rPr>
      </w:r>
    </w:p>
    <w:p>
      <w:pPr>
        <w:pStyle w:val="BodyText"/>
        <w:spacing w:line="240" w:lineRule="auto" w:before="60"/>
        <w:ind w:left="0" w:right="575"/>
        <w:jc w:val="center"/>
      </w:pPr>
      <w:r>
        <w:rPr/>
        <w:t>截至</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w:t>
      </w:r>
      <w:r>
        <w:rPr/>
        <w:t>日</w:t>
      </w:r>
    </w:p>
    <w:p>
      <w:pPr>
        <w:pStyle w:val="BodyText"/>
        <w:spacing w:line="240" w:lineRule="auto" w:before="133"/>
        <w:ind w:left="0" w:right="575"/>
        <w:jc w:val="center"/>
      </w:pPr>
      <w:r>
        <w:rPr/>
        <w:t>（除特别说明外，金额以人民币元表述）</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pStyle w:val="Heading2"/>
        <w:spacing w:line="240" w:lineRule="auto" w:before="26"/>
        <w:ind w:left="560" w:right="0"/>
        <w:jc w:val="left"/>
        <w:rPr>
          <w:b w:val="0"/>
          <w:bCs w:val="0"/>
        </w:rPr>
      </w:pPr>
      <w:r>
        <w:rPr/>
        <w:t>一、公司的基本情况</w:t>
      </w:r>
      <w:r>
        <w:rPr>
          <w:b w:val="0"/>
          <w:bCs w:val="0"/>
        </w:rPr>
      </w:r>
    </w:p>
    <w:p>
      <w:pPr>
        <w:spacing w:line="240" w:lineRule="auto" w:before="3"/>
        <w:rPr>
          <w:rFonts w:ascii="宋体" w:hAnsi="宋体" w:cs="宋体" w:eastAsia="宋体" w:hint="default"/>
          <w:b/>
          <w:bCs/>
          <w:sz w:val="21"/>
          <w:szCs w:val="21"/>
        </w:rPr>
      </w:pPr>
    </w:p>
    <w:p>
      <w:pPr>
        <w:pStyle w:val="BodyText"/>
        <w:spacing w:line="357" w:lineRule="auto" w:before="0"/>
        <w:ind w:right="4801" w:hanging="8"/>
        <w:jc w:val="left"/>
      </w:pPr>
      <w:r>
        <w:rPr>
          <w:rFonts w:ascii="宋体" w:hAnsi="宋体" w:cs="宋体" w:eastAsia="宋体" w:hint="default"/>
          <w:b/>
          <w:bCs/>
        </w:rPr>
        <w:t>（一）公司概况</w:t>
      </w:r>
      <w:r>
        <w:rPr>
          <w:rFonts w:ascii="宋体" w:hAnsi="宋体" w:cs="宋体" w:eastAsia="宋体" w:hint="default"/>
          <w:b/>
          <w:bCs/>
          <w:spacing w:val="-104"/>
        </w:rPr>
        <w:t> </w:t>
      </w:r>
      <w:r>
        <w:rPr>
          <w:spacing w:val="-2"/>
        </w:rPr>
        <w:t>公司名称：吉林紫鑫药业股份有限公司</w:t>
      </w:r>
      <w:r>
        <w:rPr>
          <w:rFonts w:ascii="宋体" w:hAnsi="宋体" w:cs="宋体" w:eastAsia="宋体" w:hint="default"/>
          <w:spacing w:val="-2"/>
        </w:rPr>
        <w:t>(</w:t>
      </w:r>
      <w:r>
        <w:rPr>
          <w:spacing w:val="-2"/>
        </w:rPr>
        <w:t>以下简称“本公司”)</w:t>
      </w:r>
      <w:r>
        <w:rPr>
          <w:spacing w:val="-60"/>
        </w:rPr>
        <w:t> </w:t>
      </w:r>
      <w:r>
        <w:rPr>
          <w:spacing w:val="-60"/>
        </w:rPr>
      </w:r>
      <w:r>
        <w:rPr/>
        <w:t>注册地址：吉林省柳河县英利路</w:t>
      </w:r>
      <w:r>
        <w:rPr>
          <w:rFonts w:ascii="宋体" w:hAnsi="宋体" w:cs="宋体" w:eastAsia="宋体" w:hint="default"/>
        </w:rPr>
        <w:t>88</w:t>
      </w:r>
      <w:r>
        <w:rPr/>
        <w:t>号</w:t>
      </w:r>
      <w:r>
        <w:rPr>
          <w:w w:val="100"/>
        </w:rPr>
        <w:t> </w:t>
      </w:r>
      <w:r>
        <w:rPr/>
        <w:t>登记机关：吉林省工商行政管理局</w:t>
      </w:r>
      <w:r>
        <w:rPr>
          <w:w w:val="100"/>
        </w:rPr>
        <w:t> </w:t>
      </w:r>
      <w:r>
        <w:rPr/>
        <w:t>企业法人营业执照注册号：</w:t>
      </w:r>
      <w:r>
        <w:rPr>
          <w:rFonts w:ascii="宋体" w:hAnsi="宋体" w:cs="宋体" w:eastAsia="宋体" w:hint="default"/>
        </w:rPr>
        <w:t>220000000052632</w:t>
      </w:r>
      <w:r>
        <w:rPr>
          <w:rFonts w:ascii="宋体" w:hAnsi="宋体" w:cs="宋体" w:eastAsia="宋体" w:hint="default"/>
          <w:w w:val="100"/>
        </w:rPr>
        <w:t> </w:t>
      </w:r>
      <w:r>
        <w:rPr/>
        <w:t>法定代表人：郭春生</w:t>
      </w:r>
      <w:r>
        <w:rPr>
          <w:w w:val="100"/>
        </w:rPr>
        <w:t> </w:t>
      </w:r>
      <w:r>
        <w:rPr/>
        <w:t>注册资本：人民币贰亿伍仟陆佰肆拾玖万伍仟陆佰玖拾壹元</w:t>
      </w:r>
    </w:p>
    <w:p>
      <w:pPr>
        <w:pStyle w:val="BodyText"/>
        <w:spacing w:line="355" w:lineRule="auto" w:before="152"/>
        <w:ind w:right="0" w:hanging="8"/>
        <w:jc w:val="left"/>
      </w:pPr>
      <w:r>
        <w:rPr>
          <w:rFonts w:ascii="宋体" w:hAnsi="宋体" w:cs="宋体" w:eastAsia="宋体" w:hint="default"/>
          <w:b/>
          <w:bCs/>
        </w:rPr>
        <w:t>（二）历史沿革</w:t>
      </w:r>
      <w:r>
        <w:rPr>
          <w:rFonts w:ascii="宋体" w:hAnsi="宋体" w:cs="宋体" w:eastAsia="宋体" w:hint="default"/>
          <w:b/>
          <w:bCs/>
          <w:spacing w:val="-104"/>
        </w:rPr>
        <w:t> </w:t>
      </w:r>
      <w:r>
        <w:rPr/>
        <w:t>本公司前身系通化紫金药业有限责任公司，于</w:t>
      </w:r>
      <w:r>
        <w:rPr>
          <w:rFonts w:ascii="宋体" w:hAnsi="宋体" w:cs="宋体" w:eastAsia="宋体" w:hint="default"/>
        </w:rPr>
        <w:t>1998</w:t>
      </w:r>
      <w:r>
        <w:rPr/>
        <w:t>年</w:t>
      </w:r>
      <w:r>
        <w:rPr>
          <w:rFonts w:ascii="宋体" w:hAnsi="宋体" w:cs="宋体" w:eastAsia="宋体" w:hint="default"/>
        </w:rPr>
        <w:t>5</w:t>
      </w:r>
      <w:r>
        <w:rPr/>
        <w:t>月</w:t>
      </w:r>
      <w:r>
        <w:rPr>
          <w:rFonts w:ascii="宋体" w:hAnsi="宋体" w:cs="宋体" w:eastAsia="宋体" w:hint="default"/>
        </w:rPr>
        <w:t>25</w:t>
      </w:r>
      <w:r>
        <w:rPr/>
        <w:t>日由敦化市康平保健食品有限责任公司、敦化市吉</w:t>
      </w:r>
    </w:p>
    <w:p>
      <w:pPr>
        <w:pStyle w:val="BodyText"/>
        <w:spacing w:line="357" w:lineRule="auto"/>
        <w:ind w:left="140" w:right="711"/>
        <w:jc w:val="both"/>
      </w:pPr>
      <w:r>
        <w:rPr>
          <w:spacing w:val="-2"/>
        </w:rPr>
        <w:t>泰经贸有限责任公司共同发起设立的有限责任公司。</w:t>
      </w:r>
      <w:r>
        <w:rPr>
          <w:rFonts w:ascii="宋体" w:hAnsi="宋体" w:cs="宋体" w:eastAsia="宋体" w:hint="default"/>
          <w:spacing w:val="-2"/>
        </w:rPr>
        <w:t>1998</w:t>
      </w:r>
      <w:r>
        <w:rPr>
          <w:spacing w:val="-2"/>
        </w:rPr>
        <w:t>年</w:t>
      </w:r>
      <w:r>
        <w:rPr>
          <w:rFonts w:ascii="宋体" w:hAnsi="宋体" w:cs="宋体" w:eastAsia="宋体" w:hint="default"/>
          <w:spacing w:val="-2"/>
        </w:rPr>
        <w:t>11</w:t>
      </w:r>
      <w:r>
        <w:rPr>
          <w:spacing w:val="-2"/>
        </w:rPr>
        <w:t>月，根据本公司临时股东会通过的增资扩股决议，新</w:t>
      </w:r>
      <w:r>
        <w:rPr>
          <w:spacing w:val="-41"/>
        </w:rPr>
        <w:t> </w:t>
      </w:r>
      <w:r>
        <w:rPr>
          <w:spacing w:val="-41"/>
        </w:rPr>
      </w:r>
      <w:r>
        <w:rPr>
          <w:spacing w:val="-3"/>
        </w:rPr>
        <w:t>增柳河沈飞合联工贸有限责任公司、吉林省霄峰广告有限公司、柳河日新餐饮有限责任公司三家股东，增资扩股后</w:t>
      </w:r>
      <w:r>
        <w:rPr>
          <w:spacing w:val="1"/>
        </w:rPr>
        <w:t> </w:t>
      </w:r>
      <w:r>
        <w:rPr>
          <w:spacing w:val="1"/>
        </w:rPr>
      </w:r>
      <w:r>
        <w:rPr/>
        <w:t>本公司注册资本为人民币</w:t>
      </w:r>
      <w:r>
        <w:rPr>
          <w:rFonts w:ascii="宋体" w:hAnsi="宋体" w:cs="宋体" w:eastAsia="宋体" w:hint="default"/>
        </w:rPr>
        <w:t>30,000,000.00</w:t>
      </w:r>
      <w:r>
        <w:rPr/>
        <w:t>元。</w:t>
      </w:r>
    </w:p>
    <w:p>
      <w:pPr>
        <w:pStyle w:val="BodyText"/>
        <w:spacing w:line="355" w:lineRule="auto" w:before="30"/>
        <w:ind w:left="140" w:right="607" w:firstLine="420"/>
        <w:jc w:val="both"/>
      </w:pPr>
      <w:r>
        <w:rPr>
          <w:rFonts w:ascii="宋体" w:hAnsi="宋体" w:cs="宋体" w:eastAsia="宋体" w:hint="default"/>
        </w:rPr>
        <w:t>2001</w:t>
      </w:r>
      <w:r>
        <w:rPr/>
        <w:t>年</w:t>
      </w:r>
      <w:r>
        <w:rPr>
          <w:rFonts w:ascii="宋体" w:hAnsi="宋体" w:cs="宋体" w:eastAsia="宋体" w:hint="default"/>
        </w:rPr>
        <w:t>2</w:t>
      </w:r>
      <w:r>
        <w:rPr/>
        <w:t>月</w:t>
      </w:r>
      <w:r>
        <w:rPr>
          <w:rFonts w:ascii="宋体" w:hAnsi="宋体" w:cs="宋体" w:eastAsia="宋体" w:hint="default"/>
        </w:rPr>
        <w:t>9</w:t>
      </w:r>
      <w:r>
        <w:rPr/>
        <w:t>日，经吉林省人民政府</w:t>
      </w:r>
      <w:r>
        <w:rPr>
          <w:rFonts w:ascii="宋体" w:hAnsi="宋体" w:cs="宋体" w:eastAsia="宋体" w:hint="default"/>
        </w:rPr>
        <w:t>[2001]5</w:t>
      </w:r>
      <w:r>
        <w:rPr>
          <w:rFonts w:ascii="宋体" w:hAnsi="宋体" w:cs="宋体" w:eastAsia="宋体" w:hint="default"/>
          <w:spacing w:val="18"/>
        </w:rPr>
        <w:t> </w:t>
      </w:r>
      <w:r>
        <w:rPr>
          <w:spacing w:val="-3"/>
        </w:rPr>
        <w:t>号文《关于通化紫金药业有限责任公司依法变更为通化紫金药业股</w:t>
      </w:r>
      <w:r>
        <w:rPr>
          <w:w w:val="100"/>
        </w:rPr>
        <w:t> </w:t>
      </w:r>
      <w:r>
        <w:rPr>
          <w:spacing w:val="-3"/>
        </w:rPr>
        <w:t>份有限公司的批复》的批准，以通化紫金药业有限责任公司截至</w:t>
      </w:r>
      <w:r>
        <w:rPr>
          <w:rFonts w:ascii="宋体" w:hAnsi="宋体" w:cs="宋体" w:eastAsia="宋体" w:hint="default"/>
          <w:spacing w:val="-3"/>
        </w:rPr>
        <w:t>2000</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30</w:t>
      </w:r>
      <w:r>
        <w:rPr>
          <w:spacing w:val="-3"/>
        </w:rPr>
        <w:t>日的净资产等额折成股份整体变更为</w:t>
      </w:r>
      <w:r>
        <w:rPr>
          <w:spacing w:val="7"/>
        </w:rPr>
        <w:t> </w:t>
      </w:r>
      <w:r>
        <w:rPr>
          <w:spacing w:val="7"/>
        </w:rPr>
      </w:r>
      <w:r>
        <w:rPr>
          <w:spacing w:val="-4"/>
        </w:rPr>
        <w:t>股份有限公司，股本总额为人民币</w:t>
      </w:r>
      <w:r>
        <w:rPr>
          <w:rFonts w:ascii="宋体" w:hAnsi="宋体" w:cs="宋体" w:eastAsia="宋体" w:hint="default"/>
          <w:spacing w:val="-4"/>
        </w:rPr>
        <w:t>35,650,000.00</w:t>
      </w:r>
      <w:r>
        <w:rPr>
          <w:spacing w:val="-4"/>
        </w:rPr>
        <w:t>元。同年</w:t>
      </w:r>
      <w:r>
        <w:rPr>
          <w:rFonts w:ascii="宋体" w:hAnsi="宋体" w:cs="宋体" w:eastAsia="宋体" w:hint="default"/>
          <w:spacing w:val="-4"/>
        </w:rPr>
        <w:t>5</w:t>
      </w:r>
      <w:r>
        <w:rPr>
          <w:spacing w:val="-4"/>
        </w:rPr>
        <w:t>月</w:t>
      </w:r>
      <w:r>
        <w:rPr>
          <w:rFonts w:ascii="宋体" w:hAnsi="宋体" w:cs="宋体" w:eastAsia="宋体" w:hint="default"/>
          <w:spacing w:val="-4"/>
        </w:rPr>
        <w:t>28</w:t>
      </w:r>
      <w:r>
        <w:rPr>
          <w:spacing w:val="-4"/>
        </w:rPr>
        <w:t>日，本公司名称变更为吉林紫鑫药业股份有限公司。</w:t>
      </w:r>
    </w:p>
    <w:p>
      <w:pPr>
        <w:pStyle w:val="BodyText"/>
        <w:spacing w:line="357" w:lineRule="auto"/>
        <w:ind w:left="140" w:right="605" w:firstLine="420"/>
        <w:jc w:val="both"/>
      </w:pPr>
      <w:r>
        <w:rPr>
          <w:rFonts w:ascii="宋体" w:hAnsi="宋体" w:cs="宋体" w:eastAsia="宋体" w:hint="default"/>
          <w:spacing w:val="-4"/>
        </w:rPr>
        <w:t>2002</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w:t>
      </w:r>
      <w:r>
        <w:rPr>
          <w:spacing w:val="-4"/>
        </w:rPr>
        <w:t>日，经吉林省人民政府审批文件</w:t>
      </w:r>
      <w:r>
        <w:rPr>
          <w:rFonts w:ascii="宋体" w:hAnsi="宋体" w:cs="宋体" w:eastAsia="宋体" w:hint="default"/>
          <w:spacing w:val="-4"/>
        </w:rPr>
        <w:t>[2002]12</w:t>
      </w:r>
      <w:r>
        <w:rPr>
          <w:spacing w:val="-4"/>
        </w:rPr>
        <w:t>号《关于同意吉林紫鑫药业股份有限公司增资扩股的批复》</w:t>
      </w:r>
      <w:r>
        <w:rPr>
          <w:w w:val="100"/>
        </w:rPr>
        <w:t> </w:t>
      </w:r>
      <w:r>
        <w:rPr>
          <w:spacing w:val="-2"/>
        </w:rPr>
        <w:t>的批准，以</w:t>
      </w:r>
      <w:r>
        <w:rPr>
          <w:rFonts w:ascii="宋体" w:hAnsi="宋体" w:cs="宋体" w:eastAsia="宋体" w:hint="default"/>
          <w:spacing w:val="-2"/>
        </w:rPr>
        <w:t>2001</w:t>
      </w:r>
      <w:r>
        <w:rPr>
          <w:spacing w:val="-2"/>
        </w:rPr>
        <w:t>年末总股本</w:t>
      </w:r>
      <w:r>
        <w:rPr>
          <w:rFonts w:ascii="宋体" w:hAnsi="宋体" w:cs="宋体" w:eastAsia="宋体" w:hint="default"/>
          <w:spacing w:val="-2"/>
        </w:rPr>
        <w:t>3,565</w:t>
      </w:r>
      <w:r>
        <w:rPr>
          <w:spacing w:val="-2"/>
        </w:rPr>
        <w:t>万股为基数每</w:t>
      </w:r>
      <w:r>
        <w:rPr>
          <w:rFonts w:ascii="宋体" w:hAnsi="宋体" w:cs="宋体" w:eastAsia="宋体" w:hint="default"/>
          <w:spacing w:val="-2"/>
        </w:rPr>
        <w:t>10</w:t>
      </w:r>
      <w:r>
        <w:rPr>
          <w:spacing w:val="-2"/>
        </w:rPr>
        <w:t>股送</w:t>
      </w:r>
      <w:r>
        <w:rPr>
          <w:rFonts w:ascii="宋体" w:hAnsi="宋体" w:cs="宋体" w:eastAsia="宋体" w:hint="default"/>
          <w:spacing w:val="-2"/>
        </w:rPr>
        <w:t>4.2</w:t>
      </w:r>
      <w:r>
        <w:rPr>
          <w:spacing w:val="-2"/>
        </w:rPr>
        <w:t>股，向全体股东转增股份总额为人民币</w:t>
      </w:r>
      <w:r>
        <w:rPr>
          <w:rFonts w:ascii="宋体" w:hAnsi="宋体" w:cs="宋体" w:eastAsia="宋体" w:hint="default"/>
          <w:spacing w:val="-2"/>
        </w:rPr>
        <w:t>14,973,000.00</w:t>
      </w:r>
      <w:r>
        <w:rPr>
          <w:spacing w:val="-2"/>
        </w:rPr>
        <w:t>元，</w:t>
      </w:r>
      <w:r>
        <w:rPr>
          <w:spacing w:val="-29"/>
        </w:rPr>
        <w:t> </w:t>
      </w:r>
      <w:r>
        <w:rPr/>
        <w:t>转增后的股本总额为人民币</w:t>
      </w:r>
      <w:r>
        <w:rPr>
          <w:rFonts w:ascii="宋体" w:hAnsi="宋体" w:cs="宋体" w:eastAsia="宋体" w:hint="default"/>
        </w:rPr>
        <w:t>50,623,000.00</w:t>
      </w:r>
      <w:r>
        <w:rPr/>
        <w:t>元。</w:t>
      </w:r>
    </w:p>
    <w:p>
      <w:pPr>
        <w:pStyle w:val="BodyText"/>
        <w:spacing w:line="240" w:lineRule="auto" w:before="30"/>
        <w:ind w:right="0"/>
        <w:jc w:val="left"/>
      </w:pPr>
      <w:r>
        <w:rPr/>
        <w:t>根据本公司</w:t>
      </w:r>
      <w:r>
        <w:rPr>
          <w:rFonts w:ascii="宋体" w:hAnsi="宋体" w:cs="宋体" w:eastAsia="宋体" w:hint="default"/>
        </w:rPr>
        <w:t>2006</w:t>
      </w:r>
      <w:r>
        <w:rPr/>
        <w:t>年</w:t>
      </w:r>
      <w:r>
        <w:rPr>
          <w:rFonts w:ascii="宋体" w:hAnsi="宋体" w:cs="宋体" w:eastAsia="宋体" w:hint="default"/>
        </w:rPr>
        <w:t>9</w:t>
      </w:r>
      <w:r>
        <w:rPr/>
        <w:t>月</w:t>
      </w:r>
      <w:r>
        <w:rPr>
          <w:rFonts w:ascii="宋体" w:hAnsi="宋体" w:cs="宋体" w:eastAsia="宋体" w:hint="default"/>
        </w:rPr>
        <w:t>25</w:t>
      </w:r>
      <w:r>
        <w:rPr/>
        <w:t>日第二次临时股东大会决议和修改后的章程规定，申请向社会公开发行人民币普通股</w:t>
      </w:r>
    </w:p>
    <w:p>
      <w:pPr>
        <w:pStyle w:val="BodyText"/>
        <w:spacing w:line="357" w:lineRule="auto" w:before="133"/>
        <w:ind w:left="140" w:right="710"/>
        <w:jc w:val="both"/>
      </w:pPr>
      <w:r>
        <w:rPr>
          <w:spacing w:val="-5"/>
        </w:rPr>
        <w:t>（</w:t>
      </w:r>
      <w:r>
        <w:rPr>
          <w:rFonts w:ascii="宋体" w:hAnsi="宋体" w:cs="宋体" w:eastAsia="宋体" w:hint="default"/>
          <w:spacing w:val="-5"/>
        </w:rPr>
        <w:t>A</w:t>
      </w:r>
      <w:r>
        <w:rPr>
          <w:spacing w:val="-5"/>
        </w:rPr>
        <w:t>股）增加注册资本人民币</w:t>
      </w:r>
      <w:r>
        <w:rPr>
          <w:rFonts w:ascii="宋体" w:hAnsi="宋体" w:cs="宋体" w:eastAsia="宋体" w:hint="default"/>
          <w:spacing w:val="-5"/>
        </w:rPr>
        <w:t>16,900,000.00</w:t>
      </w:r>
      <w:r>
        <w:rPr>
          <w:spacing w:val="-5"/>
        </w:rPr>
        <w:t>元。</w:t>
      </w:r>
      <w:r>
        <w:rPr>
          <w:rFonts w:ascii="宋体" w:hAnsi="宋体" w:cs="宋体" w:eastAsia="宋体" w:hint="default"/>
          <w:spacing w:val="-5"/>
        </w:rPr>
        <w:t>2007</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29</w:t>
      </w:r>
      <w:r>
        <w:rPr>
          <w:spacing w:val="-5"/>
        </w:rPr>
        <w:t>日经中国证券监督管理委员会证监发行字（</w:t>
      </w:r>
      <w:r>
        <w:rPr>
          <w:rFonts w:ascii="宋体" w:hAnsi="宋体" w:cs="宋体" w:eastAsia="宋体" w:hint="default"/>
          <w:spacing w:val="-5"/>
        </w:rPr>
        <w:t>2007</w:t>
      </w:r>
      <w:r>
        <w:rPr>
          <w:spacing w:val="-5"/>
        </w:rPr>
        <w:t>）</w:t>
      </w:r>
      <w:r>
        <w:rPr>
          <w:rFonts w:ascii="宋体" w:hAnsi="宋体" w:cs="宋体" w:eastAsia="宋体" w:hint="default"/>
          <w:spacing w:val="-5"/>
        </w:rPr>
        <w:t>25</w:t>
      </w:r>
      <w:r>
        <w:rPr>
          <w:rFonts w:ascii="宋体" w:hAnsi="宋体" w:cs="宋体" w:eastAsia="宋体" w:hint="default"/>
          <w:spacing w:val="46"/>
        </w:rPr>
        <w:t> </w:t>
      </w:r>
      <w:r>
        <w:rPr/>
        <w:t>号</w:t>
      </w:r>
      <w:r>
        <w:rPr>
          <w:spacing w:val="-93"/>
        </w:rPr>
        <w:t> </w:t>
      </w:r>
      <w:r>
        <w:rPr>
          <w:spacing w:val="-2"/>
        </w:rPr>
        <w:t>文核准，同意本公司向社会公开发行人民币普通股（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1,690</w:t>
      </w:r>
      <w:r>
        <w:rPr>
          <w:spacing w:val="-2"/>
        </w:rPr>
        <w:t>万股，每股面值人民币</w:t>
      </w:r>
      <w:r>
        <w:rPr>
          <w:rFonts w:ascii="宋体" w:hAnsi="宋体" w:cs="宋体" w:eastAsia="宋体" w:hint="default"/>
          <w:spacing w:val="-2"/>
        </w:rPr>
        <w:t>1.00</w:t>
      </w:r>
      <w:r>
        <w:rPr>
          <w:spacing w:val="-2"/>
        </w:rPr>
        <w:t>元，每股发行价格为人</w:t>
      </w:r>
      <w:r>
        <w:rPr>
          <w:spacing w:val="-37"/>
        </w:rPr>
        <w:t> </w:t>
      </w:r>
      <w:r>
        <w:rPr>
          <w:spacing w:val="-37"/>
        </w:rPr>
      </w:r>
      <w:r>
        <w:rPr>
          <w:spacing w:val="-3"/>
        </w:rPr>
        <w:t>民币</w:t>
      </w:r>
      <w:r>
        <w:rPr>
          <w:rFonts w:ascii="宋体" w:hAnsi="宋体" w:cs="宋体" w:eastAsia="宋体" w:hint="default"/>
          <w:spacing w:val="-3"/>
        </w:rPr>
        <w:t>9.56</w:t>
      </w:r>
      <w:r>
        <w:rPr>
          <w:spacing w:val="-3"/>
        </w:rPr>
        <w:t>元。本公司采用网下向询价对象配售和网上向社会公众投资者定价发行相结合的方式，向社会公开发行人</w:t>
      </w:r>
      <w:r>
        <w:rPr>
          <w:spacing w:val="5"/>
        </w:rPr>
        <w:t> </w:t>
      </w:r>
      <w:r>
        <w:rPr>
          <w:spacing w:val="5"/>
        </w:rPr>
      </w:r>
      <w:r>
        <w:rPr/>
        <w:t>民币普通股（</w:t>
      </w:r>
      <w:r>
        <w:rPr>
          <w:rFonts w:ascii="宋体" w:hAnsi="宋体" w:cs="宋体" w:eastAsia="宋体" w:hint="default"/>
        </w:rPr>
        <w:t>A</w:t>
      </w:r>
      <w:r>
        <w:rPr/>
        <w:t>股）</w:t>
      </w:r>
      <w:r>
        <w:rPr>
          <w:rFonts w:ascii="宋体" w:hAnsi="宋体" w:cs="宋体" w:eastAsia="宋体" w:hint="default"/>
        </w:rPr>
        <w:t>16,900,000</w:t>
      </w:r>
      <w:r>
        <w:rPr/>
        <w:t>股，并于</w:t>
      </w:r>
      <w:r>
        <w:rPr>
          <w:rFonts w:ascii="宋体" w:hAnsi="宋体" w:cs="宋体" w:eastAsia="宋体" w:hint="default"/>
        </w:rPr>
        <w:t>2007</w:t>
      </w:r>
      <w:r>
        <w:rPr/>
        <w:t>年</w:t>
      </w:r>
      <w:r>
        <w:rPr>
          <w:rFonts w:ascii="宋体" w:hAnsi="宋体" w:cs="宋体" w:eastAsia="宋体" w:hint="default"/>
        </w:rPr>
        <w:t>3</w:t>
      </w:r>
      <w:r>
        <w:rPr/>
        <w:t>月</w:t>
      </w:r>
      <w:r>
        <w:rPr>
          <w:rFonts w:ascii="宋体" w:hAnsi="宋体" w:cs="宋体" w:eastAsia="宋体" w:hint="default"/>
        </w:rPr>
        <w:t>2</w:t>
      </w:r>
      <w:r>
        <w:rPr/>
        <w:t>日在深圳证券交易所上市，股票代码为</w:t>
      </w:r>
      <w:r>
        <w:rPr>
          <w:rFonts w:ascii="宋体" w:hAnsi="宋体" w:cs="宋体" w:eastAsia="宋体" w:hint="default"/>
        </w:rPr>
        <w:t>002118</w:t>
      </w:r>
      <w:r>
        <w:rPr/>
        <w:t>。上市发行后的</w:t>
      </w:r>
      <w:r>
        <w:rPr>
          <w:spacing w:val="-38"/>
        </w:rPr>
        <w:t> </w:t>
      </w:r>
      <w:r>
        <w:rPr>
          <w:spacing w:val="-38"/>
        </w:rPr>
      </w:r>
      <w:r>
        <w:rPr/>
        <w:t>股本总额为人民币</w:t>
      </w:r>
      <w:r>
        <w:rPr>
          <w:rFonts w:ascii="宋体" w:hAnsi="宋体" w:cs="宋体" w:eastAsia="宋体" w:hint="default"/>
        </w:rPr>
        <w:t>67,523,000.00</w:t>
      </w:r>
      <w:r>
        <w:rPr/>
        <w:t>元。</w:t>
      </w:r>
    </w:p>
    <w:p>
      <w:pPr>
        <w:pStyle w:val="BodyText"/>
        <w:spacing w:line="357" w:lineRule="auto" w:before="30"/>
        <w:ind w:left="140" w:right="606" w:firstLine="420"/>
        <w:jc w:val="left"/>
      </w:pPr>
      <w:r>
        <w:rPr>
          <w:spacing w:val="-4"/>
          <w:w w:val="100"/>
        </w:rPr>
        <w:t>根据本公司</w:t>
      </w:r>
      <w:r>
        <w:rPr>
          <w:rFonts w:ascii="宋体" w:hAnsi="宋体" w:cs="宋体" w:eastAsia="宋体" w:hint="default"/>
          <w:spacing w:val="-4"/>
          <w:w w:val="100"/>
        </w:rPr>
        <w:t>2007</w:t>
      </w:r>
      <w:r>
        <w:rPr>
          <w:spacing w:val="-4"/>
          <w:w w:val="100"/>
        </w:rPr>
        <w:t>年度股东大会决议和修改后章程的规定，贵公司申请增加注册资本人</w:t>
      </w:r>
      <w:r>
        <w:rPr>
          <w:spacing w:val="-78"/>
          <w:w w:val="100"/>
        </w:rPr>
        <w:t> </w:t>
      </w:r>
      <w:r>
        <w:rPr>
          <w:spacing w:val="11"/>
          <w:w w:val="100"/>
        </w:rPr>
        <w:t>民币</w:t>
      </w:r>
      <w:r>
        <w:rPr>
          <w:spacing w:val="-76"/>
          <w:w w:val="100"/>
        </w:rPr>
        <w:t> </w:t>
      </w:r>
      <w:r>
        <w:rPr>
          <w:rFonts w:ascii="宋体" w:hAnsi="宋体" w:cs="宋体" w:eastAsia="宋体" w:hint="default"/>
          <w:spacing w:val="10"/>
          <w:w w:val="100"/>
        </w:rPr>
        <w:t>54,018,400.00</w:t>
      </w:r>
      <w:r>
        <w:rPr>
          <w:spacing w:val="10"/>
          <w:w w:val="100"/>
        </w:rPr>
        <w:t>元，</w:t>
      </w:r>
      <w:r>
        <w:rPr>
          <w:spacing w:val="-81"/>
        </w:rPr>
        <w:t> </w:t>
      </w:r>
      <w:r>
        <w:rPr>
          <w:w w:val="100"/>
        </w:rPr>
        <w:t>以</w:t>
      </w:r>
      <w:r>
        <w:rPr>
          <w:spacing w:val="-78"/>
          <w:w w:val="100"/>
        </w:rPr>
        <w:t> </w:t>
      </w:r>
      <w:r>
        <w:rPr>
          <w:rFonts w:ascii="宋体" w:hAnsi="宋体" w:cs="宋体" w:eastAsia="宋体" w:hint="default"/>
          <w:spacing w:val="8"/>
          <w:w w:val="100"/>
        </w:rPr>
        <w:t>2007</w:t>
      </w:r>
      <w:r>
        <w:rPr>
          <w:spacing w:val="8"/>
          <w:w w:val="100"/>
        </w:rPr>
        <w:t>年</w:t>
      </w:r>
      <w:r>
        <w:rPr>
          <w:spacing w:val="-78"/>
          <w:w w:val="100"/>
        </w:rPr>
        <w:t> </w:t>
      </w:r>
      <w:r>
        <w:rPr>
          <w:rFonts w:ascii="宋体" w:hAnsi="宋体" w:cs="宋体" w:eastAsia="宋体" w:hint="default"/>
          <w:spacing w:val="6"/>
          <w:w w:val="100"/>
        </w:rPr>
        <w:t>12</w:t>
      </w:r>
      <w:r>
        <w:rPr>
          <w:spacing w:val="6"/>
          <w:w w:val="100"/>
        </w:rPr>
        <w:t>月</w:t>
      </w:r>
      <w:r>
        <w:rPr>
          <w:spacing w:val="-79"/>
          <w:w w:val="100"/>
        </w:rPr>
        <w:t> </w:t>
      </w:r>
      <w:r>
        <w:rPr>
          <w:rFonts w:ascii="宋体" w:hAnsi="宋体" w:cs="宋体" w:eastAsia="宋体" w:hint="default"/>
          <w:spacing w:val="14"/>
          <w:w w:val="100"/>
        </w:rPr>
        <w:t>31</w:t>
      </w:r>
      <w:r>
        <w:rPr>
          <w:spacing w:val="14"/>
          <w:w w:val="100"/>
        </w:rPr>
        <w:t>日总股本</w:t>
      </w:r>
      <w:r>
        <w:rPr>
          <w:spacing w:val="-78"/>
          <w:w w:val="100"/>
        </w:rPr>
        <w:t> </w:t>
      </w:r>
      <w:r>
        <w:rPr>
          <w:rFonts w:ascii="宋体" w:hAnsi="宋体" w:cs="宋体" w:eastAsia="宋体" w:hint="default"/>
          <w:spacing w:val="-6"/>
          <w:w w:val="100"/>
        </w:rPr>
        <w:t>67,523,000</w:t>
      </w:r>
      <w:r>
        <w:rPr>
          <w:spacing w:val="-6"/>
          <w:w w:val="100"/>
        </w:rPr>
        <w:t>股为基础，向全体股东按每</w:t>
      </w:r>
      <w:r>
        <w:rPr>
          <w:rFonts w:ascii="宋体" w:hAnsi="宋体" w:cs="宋体" w:eastAsia="宋体" w:hint="default"/>
          <w:spacing w:val="-6"/>
          <w:w w:val="100"/>
        </w:rPr>
        <w:t>10</w:t>
      </w:r>
      <w:r>
        <w:rPr>
          <w:spacing w:val="-6"/>
          <w:w w:val="100"/>
        </w:rPr>
        <w:t>股送</w:t>
      </w:r>
      <w:r>
        <w:rPr>
          <w:rFonts w:ascii="宋体" w:hAnsi="宋体" w:cs="宋体" w:eastAsia="宋体" w:hint="default"/>
          <w:spacing w:val="-6"/>
          <w:w w:val="100"/>
        </w:rPr>
        <w:t>3</w:t>
      </w:r>
      <w:r>
        <w:rPr>
          <w:spacing w:val="-6"/>
          <w:w w:val="100"/>
        </w:rPr>
        <w:t>股、派现金股利</w:t>
      </w:r>
      <w:r>
        <w:rPr>
          <w:rFonts w:ascii="宋体" w:hAnsi="宋体" w:cs="宋体" w:eastAsia="宋体" w:hint="default"/>
          <w:spacing w:val="-6"/>
          <w:w w:val="100"/>
        </w:rPr>
        <w:t>0.33</w:t>
      </w:r>
      <w:r>
        <w:rPr>
          <w:spacing w:val="-6"/>
          <w:w w:val="100"/>
        </w:rPr>
        <w:t>元（含税），同时以</w:t>
      </w:r>
      <w:r>
        <w:rPr>
          <w:spacing w:val="-83"/>
          <w:w w:val="100"/>
        </w:rPr>
        <w:t> </w:t>
      </w:r>
      <w:r>
        <w:rPr>
          <w:spacing w:val="-83"/>
          <w:w w:val="100"/>
        </w:rPr>
      </w:r>
      <w:r>
        <w:rPr/>
        <w:t>资本公积转增股本。每</w:t>
      </w:r>
      <w:r>
        <w:rPr>
          <w:rFonts w:ascii="宋体" w:hAnsi="宋体" w:cs="宋体" w:eastAsia="宋体" w:hint="default"/>
        </w:rPr>
        <w:t>10</w:t>
      </w:r>
      <w:r>
        <w:rPr/>
        <w:t>股转增</w:t>
      </w:r>
      <w:r>
        <w:rPr>
          <w:rFonts w:ascii="宋体" w:hAnsi="宋体" w:cs="宋体" w:eastAsia="宋体" w:hint="default"/>
        </w:rPr>
        <w:t>5</w:t>
      </w:r>
      <w:r>
        <w:rPr/>
        <w:t>股，每股面值</w:t>
      </w:r>
      <w:r>
        <w:rPr>
          <w:rFonts w:ascii="宋体" w:hAnsi="宋体" w:cs="宋体" w:eastAsia="宋体" w:hint="default"/>
        </w:rPr>
        <w:t>1</w:t>
      </w:r>
      <w:r>
        <w:rPr/>
        <w:t>元，变</w:t>
      </w:r>
      <w:r>
        <w:rPr>
          <w:spacing w:val="-23"/>
        </w:rPr>
        <w:t> </w:t>
      </w:r>
      <w:r>
        <w:rPr>
          <w:spacing w:val="7"/>
        </w:rPr>
        <w:t>更后的股本总额为人民币</w:t>
      </w:r>
      <w:r>
        <w:rPr>
          <w:rFonts w:ascii="宋体" w:hAnsi="宋体" w:cs="宋体" w:eastAsia="宋体" w:hint="default"/>
          <w:spacing w:val="7"/>
        </w:rPr>
        <w:t>121,541,400.00</w:t>
      </w:r>
      <w:r>
        <w:rPr>
          <w:spacing w:val="7"/>
        </w:rPr>
        <w:t>元。</w:t>
      </w:r>
      <w:r>
        <w:rPr>
          <w:spacing w:val="-84"/>
        </w:rPr>
        <w:t> </w:t>
      </w:r>
      <w:r>
        <w:rPr/>
      </w:r>
    </w:p>
    <w:p>
      <w:pPr>
        <w:spacing w:after="0" w:line="357" w:lineRule="auto"/>
        <w:jc w:val="left"/>
        <w:sectPr>
          <w:pgSz w:w="11910" w:h="16840"/>
          <w:pgMar w:header="720" w:footer="956" w:top="1300" w:bottom="1140" w:left="580" w:right="0"/>
        </w:sectPr>
      </w:pPr>
    </w:p>
    <w:p>
      <w:pPr>
        <w:pStyle w:val="BodyText"/>
        <w:spacing w:line="357" w:lineRule="auto" w:before="19"/>
        <w:ind w:left="140" w:right="708" w:firstLine="420"/>
        <w:jc w:val="both"/>
      </w:pPr>
      <w:r>
        <w:rPr/>
        <w:pict>
          <v:group style="position:absolute;margin-left:34.560001pt;margin-top:2.293643pt;width:508.3pt;height:.1pt;mso-position-horizontal-relative:page;mso-position-vertical-relative:paragraph;z-index:-533800" coordorigin="691,46" coordsize="10166,2">
            <v:shape style="position:absolute;left:691;top:46;width:10166;height:2" coordorigin="691,46" coordsize="10166,0" path="m691,46l10857,46e" filled="false" stroked="true" strokeweight=".72pt" strokecolor="#000000">
              <v:path arrowok="t"/>
            </v:shape>
            <w10:wrap type="none"/>
          </v:group>
        </w:pict>
      </w:r>
      <w:r>
        <w:rPr/>
        <w:t>根据本公司</w:t>
      </w:r>
      <w:r>
        <w:rPr>
          <w:rFonts w:ascii="宋体" w:hAnsi="宋体" w:cs="宋体" w:eastAsia="宋体" w:hint="default"/>
        </w:rPr>
        <w:t>2009</w:t>
      </w:r>
      <w:r>
        <w:rPr/>
        <w:t>年度股东大会决议和修改后章程的规定，贵公司申请增加注册资本人民币</w:t>
      </w:r>
      <w:r>
        <w:rPr>
          <w:rFonts w:ascii="宋体" w:hAnsi="宋体" w:cs="宋体" w:eastAsia="宋体" w:hint="default"/>
        </w:rPr>
        <w:t>85,078,980.00</w:t>
      </w:r>
      <w:r>
        <w:rPr/>
        <w:t>元，</w:t>
      </w:r>
      <w:r>
        <w:rPr>
          <w:spacing w:val="2"/>
          <w:w w:val="100"/>
        </w:rPr>
        <w:t> </w:t>
      </w:r>
      <w:r>
        <w:rPr>
          <w:spacing w:val="-2"/>
          <w:w w:val="100"/>
        </w:rPr>
        <w:t>以</w:t>
      </w:r>
      <w:r>
        <w:rPr>
          <w:rFonts w:ascii="宋体" w:hAnsi="宋体" w:cs="宋体" w:eastAsia="宋体" w:hint="default"/>
          <w:spacing w:val="-2"/>
          <w:w w:val="100"/>
        </w:rPr>
        <w:t>2009</w:t>
      </w:r>
      <w:r>
        <w:rPr>
          <w:spacing w:val="-2"/>
          <w:w w:val="100"/>
        </w:rPr>
        <w:t>年</w:t>
      </w:r>
      <w:r>
        <w:rPr>
          <w:rFonts w:ascii="宋体" w:hAnsi="宋体" w:cs="宋体" w:eastAsia="宋体" w:hint="default"/>
          <w:spacing w:val="-2"/>
          <w:w w:val="100"/>
        </w:rPr>
        <w:t>12</w:t>
      </w:r>
      <w:r>
        <w:rPr>
          <w:spacing w:val="-2"/>
          <w:w w:val="100"/>
        </w:rPr>
        <w:t>月</w:t>
      </w:r>
      <w:r>
        <w:rPr>
          <w:rFonts w:ascii="宋体" w:hAnsi="宋体" w:cs="宋体" w:eastAsia="宋体" w:hint="default"/>
          <w:spacing w:val="-2"/>
          <w:w w:val="100"/>
        </w:rPr>
        <w:t>31</w:t>
      </w:r>
      <w:r>
        <w:rPr>
          <w:spacing w:val="-2"/>
          <w:w w:val="100"/>
        </w:rPr>
        <w:t>日总股本</w:t>
      </w:r>
      <w:r>
        <w:rPr>
          <w:rFonts w:ascii="宋体" w:hAnsi="宋体" w:cs="宋体" w:eastAsia="宋体" w:hint="default"/>
          <w:spacing w:val="-2"/>
          <w:w w:val="100"/>
        </w:rPr>
        <w:t>121,541,400</w:t>
      </w:r>
      <w:r>
        <w:rPr>
          <w:spacing w:val="-2"/>
          <w:w w:val="100"/>
        </w:rPr>
        <w:t>股为基数，向全体股东每</w:t>
      </w:r>
      <w:r>
        <w:rPr>
          <w:rFonts w:ascii="宋体" w:hAnsi="宋体" w:cs="宋体" w:eastAsia="宋体" w:hint="default"/>
          <w:spacing w:val="-2"/>
          <w:w w:val="100"/>
        </w:rPr>
        <w:t>10</w:t>
      </w:r>
      <w:r>
        <w:rPr>
          <w:spacing w:val="-2"/>
          <w:w w:val="100"/>
        </w:rPr>
        <w:t>股送</w:t>
      </w:r>
      <w:r>
        <w:rPr>
          <w:rFonts w:ascii="宋体" w:hAnsi="宋体" w:cs="宋体" w:eastAsia="宋体" w:hint="default"/>
          <w:spacing w:val="-2"/>
          <w:w w:val="100"/>
        </w:rPr>
        <w:t>2</w:t>
      </w:r>
      <w:r>
        <w:rPr>
          <w:spacing w:val="-2"/>
          <w:w w:val="100"/>
        </w:rPr>
        <w:t>股、派发现金红利</w:t>
      </w:r>
      <w:r>
        <w:rPr>
          <w:rFonts w:ascii="宋体" w:hAnsi="宋体" w:cs="宋体" w:eastAsia="宋体" w:hint="default"/>
          <w:spacing w:val="-2"/>
          <w:w w:val="100"/>
        </w:rPr>
        <w:t>0.23</w:t>
      </w:r>
      <w:r>
        <w:rPr>
          <w:spacing w:val="-2"/>
          <w:w w:val="100"/>
        </w:rPr>
        <w:t>元（含税），同时以</w:t>
      </w:r>
      <w:r>
        <w:rPr>
          <w:spacing w:val="-81"/>
          <w:w w:val="100"/>
        </w:rPr>
        <w:t> </w:t>
      </w:r>
      <w:r>
        <w:rPr>
          <w:spacing w:val="-81"/>
          <w:w w:val="100"/>
        </w:rPr>
      </w:r>
      <w:r>
        <w:rPr>
          <w:spacing w:val="-2"/>
        </w:rPr>
        <w:t>资本公积转增股本，每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股，每股面值</w:t>
      </w:r>
      <w:r>
        <w:rPr>
          <w:rFonts w:ascii="宋体" w:hAnsi="宋体" w:cs="宋体" w:eastAsia="宋体" w:hint="default"/>
          <w:spacing w:val="-2"/>
        </w:rPr>
        <w:t>1</w:t>
      </w:r>
      <w:r>
        <w:rPr>
          <w:spacing w:val="-2"/>
        </w:rPr>
        <w:t>元，变更后的股本总额为人民币</w:t>
      </w:r>
      <w:r>
        <w:rPr>
          <w:rFonts w:ascii="宋体" w:hAnsi="宋体" w:cs="宋体" w:eastAsia="宋体" w:hint="default"/>
          <w:spacing w:val="-2"/>
        </w:rPr>
        <w:t>206,620,380.00</w:t>
      </w:r>
      <w:r>
        <w:rPr>
          <w:spacing w:val="-2"/>
        </w:rPr>
        <w:t>元。此次股本变更</w:t>
      </w:r>
      <w:r>
        <w:rPr>
          <w:spacing w:val="-33"/>
        </w:rPr>
        <w:t> </w:t>
      </w:r>
      <w:r>
        <w:rPr>
          <w:spacing w:val="-33"/>
        </w:rPr>
      </w:r>
      <w:r>
        <w:rPr/>
        <w:t>事宜，经中准会计师事务所有限公司于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19</w:t>
      </w:r>
      <w:r>
        <w:rPr/>
        <w:t>日出具的中准验字</w:t>
      </w:r>
      <w:r>
        <w:rPr>
          <w:rFonts w:ascii="宋体" w:hAnsi="宋体" w:cs="宋体" w:eastAsia="宋体" w:hint="default"/>
        </w:rPr>
        <w:t>[2010]</w:t>
      </w:r>
      <w:r>
        <w:rPr/>
        <w:t>第</w:t>
      </w:r>
      <w:r>
        <w:rPr>
          <w:rFonts w:ascii="宋体" w:hAnsi="宋体" w:cs="宋体" w:eastAsia="宋体" w:hint="default"/>
        </w:rPr>
        <w:t>2012</w:t>
      </w:r>
      <w:r>
        <w:rPr/>
        <w:t>号验资报告予以验证，本公司</w:t>
      </w:r>
      <w:r>
        <w:rPr>
          <w:spacing w:val="-38"/>
        </w:rPr>
        <w:t> </w:t>
      </w:r>
      <w:r>
        <w:rPr>
          <w:spacing w:val="-38"/>
        </w:rPr>
      </w:r>
      <w:r>
        <w:rPr/>
        <w:t>已于</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29</w:t>
      </w:r>
      <w:r>
        <w:rPr/>
        <w:t>日取得了吉林省工商行政管理局核发的新的企业法人营业执照，注册号为</w:t>
      </w:r>
      <w:r>
        <w:rPr>
          <w:rFonts w:ascii="宋体" w:hAnsi="宋体" w:cs="宋体" w:eastAsia="宋体" w:hint="default"/>
        </w:rPr>
        <w:t>220000000052632</w:t>
      </w:r>
      <w:r>
        <w:rPr/>
        <w:t>。</w:t>
      </w:r>
    </w:p>
    <w:p>
      <w:pPr>
        <w:pStyle w:val="BodyText"/>
        <w:spacing w:line="357" w:lineRule="auto" w:before="30"/>
        <w:ind w:left="140" w:right="711" w:firstLine="420"/>
        <w:jc w:val="both"/>
      </w:pPr>
      <w:r>
        <w:rPr>
          <w:spacing w:val="-3"/>
        </w:rPr>
        <w:t>本公司经中国证券监督管理委员会《关于核准吉林紫鑫药业股份有限公司非公开发行股票的批复》（证监许可</w:t>
      </w:r>
      <w:r>
        <w:rPr>
          <w:w w:val="100"/>
        </w:rPr>
        <w:t> </w:t>
      </w:r>
      <w:r>
        <w:rPr>
          <w:rFonts w:ascii="宋体" w:hAnsi="宋体" w:cs="宋体" w:eastAsia="宋体" w:hint="default"/>
          <w:spacing w:val="-2"/>
        </w:rPr>
        <w:t>[2010]1815</w:t>
      </w:r>
      <w:r>
        <w:rPr>
          <w:spacing w:val="-2"/>
        </w:rPr>
        <w:t>号），核准本公司非公开发行</w:t>
      </w:r>
      <w:r>
        <w:rPr>
          <w:rFonts w:ascii="宋体" w:hAnsi="宋体" w:cs="宋体" w:eastAsia="宋体" w:hint="default"/>
          <w:spacing w:val="-2"/>
        </w:rPr>
        <w:t>A</w:t>
      </w:r>
      <w:r>
        <w:rPr>
          <w:spacing w:val="-2"/>
        </w:rPr>
        <w:t>股股票不超过</w:t>
      </w:r>
      <w:r>
        <w:rPr>
          <w:rFonts w:ascii="宋体" w:hAnsi="宋体" w:cs="宋体" w:eastAsia="宋体" w:hint="default"/>
          <w:spacing w:val="-2"/>
        </w:rPr>
        <w:t>9,000</w:t>
      </w:r>
      <w:r>
        <w:rPr>
          <w:spacing w:val="-2"/>
        </w:rPr>
        <w:t>万股，由保荐机构东北证券股份有限公司作为主承销</w:t>
      </w:r>
      <w:r>
        <w:rPr>
          <w:spacing w:val="-32"/>
        </w:rPr>
        <w:t> </w:t>
      </w:r>
      <w:r>
        <w:rPr>
          <w:spacing w:val="-32"/>
        </w:rPr>
      </w:r>
      <w:r>
        <w:rPr>
          <w:spacing w:val="-3"/>
        </w:rPr>
        <w:t>商，通过非公开发行方式向特定投资者发行。通过本次发行的认购询价、申购过程，本公司最终确定本次发行数量</w:t>
      </w:r>
      <w:r>
        <w:rPr>
          <w:spacing w:val="-1"/>
        </w:rPr>
        <w:t> </w:t>
      </w:r>
      <w:r>
        <w:rPr>
          <w:spacing w:val="-1"/>
        </w:rPr>
      </w:r>
      <w:r>
        <w:rPr/>
        <w:t>为</w:t>
      </w:r>
      <w:r>
        <w:rPr>
          <w:spacing w:val="-74"/>
        </w:rPr>
        <w:t> </w:t>
      </w:r>
      <w:r>
        <w:rPr>
          <w:rFonts w:ascii="宋体" w:hAnsi="宋体" w:cs="宋体" w:eastAsia="宋体" w:hint="default"/>
        </w:rPr>
        <w:t>49,875,311</w:t>
      </w:r>
      <w:r>
        <w:rPr>
          <w:rFonts w:ascii="宋体" w:hAnsi="宋体" w:cs="宋体" w:eastAsia="宋体" w:hint="default"/>
          <w:spacing w:val="-74"/>
        </w:rPr>
        <w:t> </w:t>
      </w:r>
      <w:r>
        <w:rPr>
          <w:spacing w:val="10"/>
        </w:rPr>
        <w:t>股，</w:t>
      </w:r>
      <w:r>
        <w:rPr>
          <w:spacing w:val="-75"/>
        </w:rPr>
        <w:t> </w:t>
      </w:r>
      <w:r>
        <w:rPr>
          <w:spacing w:val="18"/>
        </w:rPr>
        <w:t>每股面值为人民币</w:t>
      </w:r>
      <w:r>
        <w:rPr>
          <w:spacing w:val="-72"/>
        </w:rPr>
        <w:t> </w:t>
      </w:r>
      <w:r>
        <w:rPr>
          <w:rFonts w:ascii="宋体" w:hAnsi="宋体" w:cs="宋体" w:eastAsia="宋体" w:hint="default"/>
        </w:rPr>
        <w:t>1.00</w:t>
      </w:r>
      <w:r>
        <w:rPr>
          <w:rFonts w:ascii="宋体" w:hAnsi="宋体" w:cs="宋体" w:eastAsia="宋体" w:hint="default"/>
          <w:spacing w:val="-78"/>
        </w:rPr>
        <w:t> </w:t>
      </w:r>
      <w:r>
        <w:rPr>
          <w:spacing w:val="11"/>
        </w:rPr>
        <w:t>元、</w:t>
      </w:r>
      <w:r>
        <w:rPr>
          <w:spacing w:val="-78"/>
        </w:rPr>
        <w:t> </w:t>
      </w:r>
      <w:r>
        <w:rPr>
          <w:spacing w:val="19"/>
        </w:rPr>
        <w:t>每股发行价格为人民币</w:t>
      </w:r>
      <w:r>
        <w:rPr>
          <w:spacing w:val="-72"/>
        </w:rPr>
        <w:t> </w:t>
      </w:r>
      <w:r>
        <w:rPr>
          <w:rFonts w:ascii="宋体" w:hAnsi="宋体" w:cs="宋体" w:eastAsia="宋体" w:hint="default"/>
        </w:rPr>
        <w:t>20.05</w:t>
      </w:r>
      <w:r>
        <w:rPr>
          <w:rFonts w:ascii="宋体" w:hAnsi="宋体" w:cs="宋体" w:eastAsia="宋体" w:hint="default"/>
          <w:spacing w:val="-75"/>
        </w:rPr>
        <w:t> </w:t>
      </w:r>
      <w:r>
        <w:rPr>
          <w:spacing w:val="10"/>
        </w:rPr>
        <w:t>元，</w:t>
      </w:r>
      <w:r>
        <w:rPr>
          <w:spacing w:val="-78"/>
        </w:rPr>
        <w:t> </w:t>
      </w:r>
      <w:r>
        <w:rPr>
          <w:spacing w:val="19"/>
        </w:rPr>
        <w:t>申请增加注册资本人民币</w:t>
      </w:r>
      <w:r>
        <w:rPr>
          <w:spacing w:val="-95"/>
        </w:rPr>
        <w:t> </w:t>
      </w:r>
      <w:r>
        <w:rPr>
          <w:spacing w:val="-95"/>
        </w:rPr>
      </w:r>
      <w:r>
        <w:rPr>
          <w:rFonts w:ascii="宋体" w:hAnsi="宋体" w:cs="宋体" w:eastAsia="宋体" w:hint="default"/>
        </w:rPr>
        <w:t>49,875,311.00</w:t>
      </w:r>
      <w:r>
        <w:rPr/>
        <w:t>元，由吉林长白山股权投资管理有限公司、兴业全球基金管理有限公司、太平资产管理有限公司、</w:t>
      </w:r>
      <w:r>
        <w:rPr>
          <w:spacing w:val="-39"/>
        </w:rPr>
        <w:t> </w:t>
      </w:r>
      <w:r>
        <w:rPr>
          <w:spacing w:val="-39"/>
        </w:rPr>
      </w:r>
      <w:r>
        <w:rPr>
          <w:spacing w:val="-2"/>
        </w:rPr>
        <w:t>百年化妆护理品有限公司、天津硅谷天堂鲲鹏股权投资基金合伙企业（有限合伙）、杨录军于</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日前一</w:t>
      </w:r>
      <w:r>
        <w:rPr>
          <w:spacing w:val="-43"/>
        </w:rPr>
        <w:t> </w:t>
      </w:r>
      <w:r>
        <w:rPr>
          <w:spacing w:val="-43"/>
        </w:rPr>
      </w:r>
      <w:r>
        <w:rPr>
          <w:spacing w:val="-6"/>
          <w:w w:val="100"/>
        </w:rPr>
        <w:t>次性缴足，变更后的注册资本为人民币</w:t>
      </w:r>
      <w:r>
        <w:rPr>
          <w:rFonts w:ascii="宋体" w:hAnsi="宋体" w:cs="宋体" w:eastAsia="宋体" w:hint="default"/>
          <w:spacing w:val="-6"/>
          <w:w w:val="100"/>
        </w:rPr>
        <w:t>256,495,691.00</w:t>
      </w:r>
      <w:r>
        <w:rPr>
          <w:spacing w:val="-6"/>
          <w:w w:val="100"/>
        </w:rPr>
        <w:t>元。此次股本变更事宜，经中准会计师事务所有限公司于</w:t>
      </w:r>
      <w:r>
        <w:rPr>
          <w:rFonts w:ascii="宋体" w:hAnsi="宋体" w:cs="宋体" w:eastAsia="宋体" w:hint="default"/>
          <w:spacing w:val="-6"/>
          <w:w w:val="100"/>
        </w:rPr>
        <w:t>2010</w:t>
      </w:r>
      <w:r>
        <w:rPr>
          <w:rFonts w:ascii="宋体" w:hAnsi="宋体" w:cs="宋体" w:eastAsia="宋体" w:hint="default"/>
          <w:spacing w:val="-59"/>
          <w:w w:val="100"/>
        </w:rPr>
        <w:t> </w:t>
      </w:r>
      <w:r>
        <w:rPr/>
        <w:t>年</w:t>
      </w:r>
      <w:r>
        <w:rPr>
          <w:rFonts w:ascii="宋体" w:hAnsi="宋体" w:cs="宋体" w:eastAsia="宋体" w:hint="default"/>
        </w:rPr>
        <w:t>12</w:t>
      </w:r>
      <w:r>
        <w:rPr/>
        <w:t>月</w:t>
      </w:r>
      <w:r>
        <w:rPr>
          <w:rFonts w:ascii="宋体" w:hAnsi="宋体" w:cs="宋体" w:eastAsia="宋体" w:hint="default"/>
        </w:rPr>
        <w:t>29</w:t>
      </w:r>
      <w:r>
        <w:rPr/>
        <w:t>日出具的中准验字</w:t>
      </w:r>
      <w:r>
        <w:rPr>
          <w:rFonts w:ascii="宋体" w:hAnsi="宋体" w:cs="宋体" w:eastAsia="宋体" w:hint="default"/>
        </w:rPr>
        <w:t>[2010]2068</w:t>
      </w:r>
      <w:r>
        <w:rPr/>
        <w:t>号验资报告予以验证，本公司已于</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12</w:t>
      </w:r>
      <w:r>
        <w:rPr/>
        <w:t>日取得了吉林省工商行政管</w:t>
      </w:r>
      <w:r>
        <w:rPr>
          <w:spacing w:val="-40"/>
        </w:rPr>
        <w:t> </w:t>
      </w:r>
      <w:r>
        <w:rPr>
          <w:spacing w:val="-40"/>
        </w:rPr>
      </w:r>
      <w:r>
        <w:rPr/>
        <w:t>理局核发的新的企业法人营业执照，注册号为</w:t>
      </w:r>
      <w:r>
        <w:rPr>
          <w:rFonts w:ascii="宋体" w:hAnsi="宋体" w:cs="宋体" w:eastAsia="宋体" w:hint="default"/>
        </w:rPr>
        <w:t>220000000052632</w:t>
      </w:r>
      <w:r>
        <w:rPr/>
        <w:t>、注册资本为人民币</w:t>
      </w:r>
      <w:r>
        <w:rPr>
          <w:rFonts w:ascii="宋体" w:hAnsi="宋体" w:cs="宋体" w:eastAsia="宋体" w:hint="default"/>
        </w:rPr>
        <w:t>256,495,691.00</w:t>
      </w:r>
      <w:r>
        <w:rPr/>
        <w:t>元。</w:t>
      </w:r>
    </w:p>
    <w:p>
      <w:pPr>
        <w:spacing w:line="355" w:lineRule="auto" w:before="152"/>
        <w:ind w:left="560" w:right="0" w:hanging="8"/>
        <w:jc w:val="left"/>
        <w:rPr>
          <w:rFonts w:ascii="宋体" w:hAnsi="宋体" w:cs="宋体" w:eastAsia="宋体" w:hint="default"/>
          <w:sz w:val="21"/>
          <w:szCs w:val="21"/>
        </w:rPr>
      </w:pPr>
      <w:r>
        <w:rPr>
          <w:rFonts w:ascii="宋体" w:hAnsi="宋体" w:cs="宋体" w:eastAsia="宋体" w:hint="default"/>
          <w:b/>
          <w:bCs/>
          <w:sz w:val="21"/>
          <w:szCs w:val="21"/>
        </w:rPr>
        <w:t>（三）行业性质及主要产品</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本公司属医药行业，主要产品为活血通脉片、复方益肝灵片、四妙丸、肾复康胶囊、醒脑再造胶囊、补肾安神</w:t>
      </w:r>
    </w:p>
    <w:p>
      <w:pPr>
        <w:pStyle w:val="BodyText"/>
        <w:spacing w:line="240" w:lineRule="auto"/>
        <w:ind w:left="140" w:right="0"/>
        <w:jc w:val="left"/>
      </w:pPr>
      <w:r>
        <w:rPr/>
        <w:t>口服液、六味地黄软胶囊、人参系列产品等。</w:t>
      </w:r>
    </w:p>
    <w:p>
      <w:pPr>
        <w:spacing w:line="240" w:lineRule="auto" w:before="5"/>
        <w:rPr>
          <w:rFonts w:ascii="宋体" w:hAnsi="宋体" w:cs="宋体" w:eastAsia="宋体" w:hint="default"/>
          <w:sz w:val="19"/>
          <w:szCs w:val="19"/>
        </w:rPr>
      </w:pPr>
    </w:p>
    <w:p>
      <w:pPr>
        <w:pStyle w:val="BodyText"/>
        <w:spacing w:line="357" w:lineRule="auto" w:before="0"/>
        <w:ind w:left="605" w:right="0" w:hanging="53"/>
        <w:jc w:val="left"/>
      </w:pPr>
      <w:r>
        <w:rPr>
          <w:rFonts w:ascii="宋体" w:hAnsi="宋体" w:cs="宋体" w:eastAsia="宋体" w:hint="default"/>
          <w:b/>
          <w:bCs/>
        </w:rPr>
        <w:t>（四）经营范围</w:t>
      </w:r>
      <w:r>
        <w:rPr>
          <w:rFonts w:ascii="宋体" w:hAnsi="宋体" w:cs="宋体" w:eastAsia="宋体" w:hint="default"/>
          <w:b/>
          <w:bCs/>
          <w:spacing w:val="-104"/>
        </w:rPr>
        <w:t> </w:t>
      </w:r>
      <w:r>
        <w:rPr>
          <w:spacing w:val="-4"/>
        </w:rPr>
        <w:t>本公司主要经营业务：加工销售中成药、化学药制剂（口服液、片剂、胶囊）及保健食品、药材原料、针织品</w:t>
      </w:r>
    </w:p>
    <w:p>
      <w:pPr>
        <w:pStyle w:val="BodyText"/>
        <w:spacing w:line="355" w:lineRule="auto" w:before="30"/>
        <w:ind w:left="140" w:right="0"/>
        <w:jc w:val="left"/>
      </w:pPr>
      <w:r>
        <w:rPr>
          <w:spacing w:val="-3"/>
        </w:rPr>
        <w:t>加工、种养殖业；设计，制作，代理电视，报纸，灯箱，路牌广告业务；经营本企业自产产品及相关技术的出口业</w:t>
      </w:r>
      <w:r>
        <w:rPr>
          <w:spacing w:val="-1"/>
        </w:rPr>
        <w:t> </w:t>
      </w:r>
      <w:r>
        <w:rPr>
          <w:spacing w:val="-1"/>
        </w:rPr>
      </w:r>
      <w:r>
        <w:rPr>
          <w:spacing w:val="-2"/>
          <w:w w:val="100"/>
        </w:rPr>
        <w:t>务（国家限定公司经营或禁止出口的商品除外）；经营本企业生产科研所需的原辅材料、机械设备、仪器仪表、零</w:t>
      </w:r>
      <w:r>
        <w:rPr>
          <w:spacing w:val="-100"/>
          <w:w w:val="100"/>
        </w:rPr>
        <w:t> </w:t>
      </w:r>
      <w:r>
        <w:rPr>
          <w:spacing w:val="-100"/>
          <w:w w:val="100"/>
        </w:rPr>
      </w:r>
      <w:r>
        <w:rPr>
          <w:spacing w:val="-5"/>
          <w:w w:val="100"/>
        </w:rPr>
        <w:t>配件及相关技术的进出口业务（国家限定公司经营或禁止进口的商品除外）；经营本企业的进料加工和“三来一补”</w:t>
      </w:r>
      <w:r>
        <w:rPr>
          <w:spacing w:val="-60"/>
          <w:w w:val="100"/>
        </w:rPr>
        <w:t> </w:t>
      </w:r>
      <w:r>
        <w:rPr>
          <w:spacing w:val="-60"/>
          <w:w w:val="100"/>
        </w:rPr>
      </w:r>
      <w:r>
        <w:rPr/>
        <w:t>业务；避疫熏香、避疫香包生产等。</w:t>
      </w:r>
    </w:p>
    <w:p>
      <w:pPr>
        <w:spacing w:line="355" w:lineRule="auto" w:before="154"/>
        <w:ind w:left="560" w:right="0" w:firstLine="2"/>
        <w:jc w:val="left"/>
        <w:rPr>
          <w:rFonts w:ascii="宋体" w:hAnsi="宋体" w:cs="宋体" w:eastAsia="宋体" w:hint="default"/>
          <w:sz w:val="21"/>
          <w:szCs w:val="21"/>
        </w:rPr>
      </w:pPr>
      <w:r>
        <w:rPr>
          <w:rFonts w:ascii="宋体" w:hAnsi="宋体" w:cs="宋体" w:eastAsia="宋体" w:hint="default"/>
          <w:b/>
          <w:bCs/>
          <w:sz w:val="21"/>
          <w:szCs w:val="21"/>
        </w:rPr>
        <w:t>（五）公司的基本组织架构</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本公司按照《公司法》要求及公司实际情况设立组织机构，主要包括股东大会（公司的权力机构）、董事会（股</w:t>
      </w:r>
    </w:p>
    <w:p>
      <w:pPr>
        <w:pStyle w:val="BodyText"/>
        <w:spacing w:line="357" w:lineRule="auto"/>
        <w:ind w:left="140" w:right="0"/>
        <w:jc w:val="left"/>
      </w:pPr>
      <w:r>
        <w:rPr>
          <w:w w:val="100"/>
        </w:rPr>
        <w:t>东大</w:t>
      </w:r>
      <w:r>
        <w:rPr>
          <w:spacing w:val="-3"/>
          <w:w w:val="100"/>
        </w:rPr>
        <w:t>会</w:t>
      </w:r>
      <w:r>
        <w:rPr>
          <w:w w:val="100"/>
        </w:rPr>
        <w:t>的</w:t>
      </w:r>
      <w:r>
        <w:rPr>
          <w:spacing w:val="-3"/>
          <w:w w:val="100"/>
        </w:rPr>
        <w:t>执</w:t>
      </w:r>
      <w:r>
        <w:rPr>
          <w:w w:val="100"/>
        </w:rPr>
        <w:t>行</w:t>
      </w:r>
      <w:r>
        <w:rPr>
          <w:spacing w:val="-3"/>
          <w:w w:val="100"/>
        </w:rPr>
        <w:t>机</w:t>
      </w:r>
      <w:r>
        <w:rPr>
          <w:w w:val="100"/>
        </w:rPr>
        <w:t>构</w:t>
      </w:r>
      <w:r>
        <w:rPr>
          <w:spacing w:val="-106"/>
          <w:w w:val="100"/>
        </w:rPr>
        <w:t>）</w:t>
      </w:r>
      <w:r>
        <w:rPr>
          <w:spacing w:val="-27"/>
          <w:w w:val="100"/>
        </w:rPr>
        <w:t>、</w:t>
      </w:r>
      <w:r>
        <w:rPr>
          <w:w w:val="100"/>
        </w:rPr>
        <w:t>监</w:t>
      </w:r>
      <w:r>
        <w:rPr>
          <w:spacing w:val="-3"/>
          <w:w w:val="100"/>
        </w:rPr>
        <w:t>事</w:t>
      </w:r>
      <w:r>
        <w:rPr>
          <w:spacing w:val="-25"/>
          <w:w w:val="100"/>
        </w:rPr>
        <w:t>会</w:t>
      </w:r>
      <w:r>
        <w:rPr>
          <w:w w:val="100"/>
        </w:rPr>
        <w:t>（</w:t>
      </w:r>
      <w:r>
        <w:rPr>
          <w:spacing w:val="-3"/>
          <w:w w:val="100"/>
        </w:rPr>
        <w:t>公</w:t>
      </w:r>
      <w:r>
        <w:rPr>
          <w:w w:val="100"/>
        </w:rPr>
        <w:t>司</w:t>
      </w:r>
      <w:r>
        <w:rPr>
          <w:spacing w:val="-3"/>
          <w:w w:val="100"/>
        </w:rPr>
        <w:t>的</w:t>
      </w:r>
      <w:r>
        <w:rPr>
          <w:w w:val="100"/>
        </w:rPr>
        <w:t>内</w:t>
      </w:r>
      <w:r>
        <w:rPr>
          <w:spacing w:val="-3"/>
          <w:w w:val="100"/>
        </w:rPr>
        <w:t>部</w:t>
      </w:r>
      <w:r>
        <w:rPr>
          <w:w w:val="100"/>
        </w:rPr>
        <w:t>监</w:t>
      </w:r>
      <w:r>
        <w:rPr>
          <w:spacing w:val="-3"/>
          <w:w w:val="100"/>
        </w:rPr>
        <w:t>督</w:t>
      </w:r>
      <w:r>
        <w:rPr>
          <w:w w:val="100"/>
        </w:rPr>
        <w:t>机构</w:t>
      </w:r>
      <w:r>
        <w:rPr>
          <w:spacing w:val="-108"/>
          <w:w w:val="100"/>
        </w:rPr>
        <w:t>）</w:t>
      </w:r>
      <w:r>
        <w:rPr>
          <w:spacing w:val="-25"/>
          <w:w w:val="100"/>
        </w:rPr>
        <w:t>、</w:t>
      </w:r>
      <w:r>
        <w:rPr>
          <w:w w:val="100"/>
        </w:rPr>
        <w:t>经</w:t>
      </w:r>
      <w:r>
        <w:rPr>
          <w:spacing w:val="-3"/>
          <w:w w:val="100"/>
        </w:rPr>
        <w:t>营</w:t>
      </w:r>
      <w:r>
        <w:rPr>
          <w:w w:val="100"/>
        </w:rPr>
        <w:t>管</w:t>
      </w:r>
      <w:r>
        <w:rPr>
          <w:spacing w:val="-3"/>
          <w:w w:val="100"/>
        </w:rPr>
        <w:t>理</w:t>
      </w:r>
      <w:r>
        <w:rPr>
          <w:w w:val="100"/>
        </w:rPr>
        <w:t>机</w:t>
      </w:r>
      <w:r>
        <w:rPr>
          <w:spacing w:val="-25"/>
          <w:w w:val="100"/>
        </w:rPr>
        <w:t>构</w:t>
      </w:r>
      <w:r>
        <w:rPr>
          <w:spacing w:val="-3"/>
          <w:w w:val="100"/>
        </w:rPr>
        <w:t>（</w:t>
      </w:r>
      <w:r>
        <w:rPr>
          <w:w w:val="100"/>
        </w:rPr>
        <w:t>包</w:t>
      </w:r>
      <w:r>
        <w:rPr>
          <w:spacing w:val="-3"/>
          <w:w w:val="100"/>
        </w:rPr>
        <w:t>括总</w:t>
      </w:r>
      <w:r>
        <w:rPr>
          <w:w w:val="100"/>
        </w:rPr>
        <w:t>经理</w:t>
      </w:r>
      <w:r>
        <w:rPr>
          <w:spacing w:val="-27"/>
          <w:w w:val="100"/>
        </w:rPr>
        <w:t>、</w:t>
      </w:r>
      <w:r>
        <w:rPr>
          <w:w w:val="100"/>
        </w:rPr>
        <w:t>销</w:t>
      </w:r>
      <w:r>
        <w:rPr>
          <w:spacing w:val="-3"/>
          <w:w w:val="100"/>
        </w:rPr>
        <w:t>售</w:t>
      </w:r>
      <w:r>
        <w:rPr>
          <w:w w:val="100"/>
        </w:rPr>
        <w:t>副</w:t>
      </w:r>
      <w:r>
        <w:rPr>
          <w:spacing w:val="-3"/>
          <w:w w:val="100"/>
        </w:rPr>
        <w:t>总</w:t>
      </w:r>
      <w:r>
        <w:rPr>
          <w:w w:val="100"/>
        </w:rPr>
        <w:t>经理</w:t>
      </w:r>
      <w:r>
        <w:rPr>
          <w:spacing w:val="-27"/>
          <w:w w:val="100"/>
        </w:rPr>
        <w:t>、</w:t>
      </w:r>
      <w:r>
        <w:rPr>
          <w:spacing w:val="-3"/>
          <w:w w:val="100"/>
        </w:rPr>
        <w:t>生</w:t>
      </w:r>
      <w:r>
        <w:rPr>
          <w:w w:val="100"/>
        </w:rPr>
        <w:t>产副</w:t>
      </w:r>
      <w:r>
        <w:rPr>
          <w:spacing w:val="-3"/>
          <w:w w:val="100"/>
        </w:rPr>
        <w:t>总</w:t>
      </w:r>
      <w:r>
        <w:rPr>
          <w:w w:val="100"/>
        </w:rPr>
        <w:t>经</w:t>
      </w:r>
      <w:r>
        <w:rPr>
          <w:spacing w:val="-3"/>
          <w:w w:val="100"/>
        </w:rPr>
        <w:t>理</w:t>
      </w:r>
      <w:r>
        <w:rPr>
          <w:w w:val="100"/>
        </w:rPr>
        <w:t>、</w:t>
      </w:r>
      <w:r>
        <w:rPr>
          <w:w w:val="100"/>
        </w:rPr>
        <w:t> 财务</w:t>
      </w:r>
      <w:r>
        <w:rPr>
          <w:spacing w:val="-3"/>
          <w:w w:val="100"/>
        </w:rPr>
        <w:t>总</w:t>
      </w:r>
      <w:r>
        <w:rPr>
          <w:w w:val="100"/>
        </w:rPr>
        <w:t>监</w:t>
      </w:r>
      <w:r>
        <w:rPr>
          <w:spacing w:val="-108"/>
          <w:w w:val="100"/>
        </w:rPr>
        <w:t>）</w:t>
      </w:r>
      <w:r>
        <w:rPr>
          <w:w w:val="100"/>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Heading2"/>
        <w:spacing w:line="240" w:lineRule="auto"/>
        <w:ind w:left="560" w:right="0"/>
        <w:jc w:val="left"/>
        <w:rPr>
          <w:b w:val="0"/>
          <w:bCs w:val="0"/>
        </w:rPr>
      </w:pPr>
      <w:r>
        <w:rPr/>
        <w:t>二、本公司主要会计政策、会计估计和前期差错</w:t>
      </w:r>
      <w:r>
        <w:rPr>
          <w:b w:val="0"/>
          <w:bCs w:val="0"/>
        </w:rPr>
      </w:r>
    </w:p>
    <w:p>
      <w:pPr>
        <w:spacing w:line="355" w:lineRule="auto" w:before="160"/>
        <w:ind w:left="560" w:right="0" w:hanging="8"/>
        <w:jc w:val="left"/>
        <w:rPr>
          <w:rFonts w:ascii="宋体" w:hAnsi="宋体" w:cs="宋体" w:eastAsia="宋体" w:hint="default"/>
          <w:sz w:val="21"/>
          <w:szCs w:val="21"/>
        </w:rPr>
      </w:pPr>
      <w:r>
        <w:rPr>
          <w:rFonts w:ascii="宋体" w:hAnsi="宋体" w:cs="宋体" w:eastAsia="宋体" w:hint="default"/>
          <w:b/>
          <w:bCs/>
          <w:sz w:val="21"/>
          <w:szCs w:val="21"/>
        </w:rPr>
        <w:t>（一）财务报表的编制基础</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本公司以持续经营为基础，根据实际发生的交易和事项，按照企业会计准则的规定进行确认，计量和编制财务</w:t>
      </w:r>
    </w:p>
    <w:p>
      <w:pPr>
        <w:pStyle w:val="BodyText"/>
        <w:spacing w:line="240" w:lineRule="auto"/>
        <w:ind w:left="140" w:right="0"/>
        <w:jc w:val="left"/>
      </w:pPr>
      <w:r>
        <w:rPr/>
        <w:t>报表。</w:t>
      </w:r>
    </w:p>
    <w:p>
      <w:pPr>
        <w:spacing w:line="355" w:lineRule="auto" w:before="133"/>
        <w:ind w:left="560" w:right="0" w:hanging="8"/>
        <w:jc w:val="left"/>
        <w:rPr>
          <w:rFonts w:ascii="宋体" w:hAnsi="宋体" w:cs="宋体" w:eastAsia="宋体" w:hint="default"/>
          <w:sz w:val="21"/>
          <w:szCs w:val="21"/>
        </w:rPr>
      </w:pPr>
      <w:r>
        <w:rPr>
          <w:rFonts w:ascii="宋体" w:hAnsi="宋体" w:cs="宋体" w:eastAsia="宋体" w:hint="default"/>
          <w:b/>
          <w:bCs/>
          <w:sz w:val="21"/>
          <w:szCs w:val="21"/>
        </w:rPr>
        <w:t>（二）遵循企业会计准则的声明</w:t>
      </w:r>
      <w:r>
        <w:rPr>
          <w:rFonts w:ascii="宋体" w:hAnsi="宋体" w:cs="宋体" w:eastAsia="宋体" w:hint="default"/>
          <w:b/>
          <w:bCs/>
          <w:w w:val="100"/>
          <w:sz w:val="21"/>
          <w:szCs w:val="21"/>
        </w:rPr>
        <w:t> </w:t>
      </w:r>
      <w:r>
        <w:rPr>
          <w:rFonts w:ascii="宋体" w:hAnsi="宋体" w:cs="宋体" w:eastAsia="宋体" w:hint="default"/>
          <w:spacing w:val="-3"/>
          <w:sz w:val="21"/>
          <w:szCs w:val="21"/>
        </w:rPr>
        <w:t>本公司编制的财务报表符合企业会计准则的要求，真实、完整地反映了本公司的财务状况、经营成果、股东权</w:t>
      </w:r>
    </w:p>
    <w:p>
      <w:pPr>
        <w:spacing w:after="0" w:line="355" w:lineRule="auto"/>
        <w:jc w:val="left"/>
        <w:rPr>
          <w:rFonts w:ascii="宋体" w:hAnsi="宋体" w:cs="宋体" w:eastAsia="宋体" w:hint="default"/>
          <w:sz w:val="21"/>
          <w:szCs w:val="21"/>
        </w:rPr>
        <w:sectPr>
          <w:pgSz w:w="11910" w:h="16840"/>
          <w:pgMar w:header="720" w:footer="956" w:top="1300" w:bottom="1140" w:left="580" w:right="0"/>
        </w:sectPr>
      </w:pPr>
    </w:p>
    <w:p>
      <w:pPr>
        <w:pStyle w:val="BodyText"/>
        <w:spacing w:line="240" w:lineRule="auto" w:before="19"/>
        <w:ind w:left="140" w:right="0"/>
        <w:jc w:val="left"/>
      </w:pPr>
      <w:r>
        <w:rPr/>
        <w:pict>
          <v:group style="position:absolute;margin-left:34.560001pt;margin-top:2.293643pt;width:508.3pt;height:.1pt;mso-position-horizontal-relative:page;mso-position-vertical-relative:paragraph;z-index:-533776" coordorigin="691,46" coordsize="10166,2">
            <v:shape style="position:absolute;left:691;top:46;width:10166;height:2" coordorigin="691,46" coordsize="10166,0" path="m691,46l10857,46e" filled="false" stroked="true" strokeweight=".72pt" strokecolor="#000000">
              <v:path arrowok="t"/>
            </v:shape>
            <w10:wrap type="none"/>
          </v:group>
        </w:pict>
      </w:r>
      <w:r>
        <w:rPr/>
        <w:t>益变动和现金流量等有关信息。</w:t>
      </w:r>
    </w:p>
    <w:p>
      <w:pPr>
        <w:pStyle w:val="BodyText"/>
        <w:spacing w:line="355" w:lineRule="auto" w:before="133"/>
        <w:ind w:right="3357" w:hanging="8"/>
        <w:jc w:val="left"/>
      </w:pPr>
      <w:r>
        <w:rPr>
          <w:rFonts w:ascii="宋体" w:hAnsi="宋体" w:cs="宋体" w:eastAsia="宋体" w:hint="default"/>
          <w:b/>
          <w:bCs/>
        </w:rPr>
        <w:t>（三）会计期间</w:t>
      </w:r>
      <w:r>
        <w:rPr>
          <w:rFonts w:ascii="宋体" w:hAnsi="宋体" w:cs="宋体" w:eastAsia="宋体" w:hint="default"/>
          <w:b/>
          <w:bCs/>
          <w:spacing w:val="-104"/>
        </w:rPr>
        <w:t> </w:t>
      </w:r>
      <w:r>
        <w:rPr>
          <w:spacing w:val="-2"/>
        </w:rPr>
        <w:t>本公司以公历年度为会计期间，即每年从</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日起至</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日止。</w:t>
      </w:r>
    </w:p>
    <w:p>
      <w:pPr>
        <w:spacing w:line="357" w:lineRule="auto" w:before="32"/>
        <w:ind w:left="560" w:right="6134" w:hanging="8"/>
        <w:jc w:val="left"/>
        <w:rPr>
          <w:rFonts w:ascii="宋体" w:hAnsi="宋体" w:cs="宋体" w:eastAsia="宋体" w:hint="default"/>
          <w:sz w:val="21"/>
          <w:szCs w:val="21"/>
        </w:rPr>
      </w:pPr>
      <w:r>
        <w:rPr>
          <w:rFonts w:ascii="宋体" w:hAnsi="宋体" w:cs="宋体" w:eastAsia="宋体" w:hint="default"/>
          <w:b/>
          <w:bCs/>
          <w:sz w:val="21"/>
          <w:szCs w:val="21"/>
        </w:rPr>
        <w:t>（四）记账本位币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本公司采用人民币为记账本位币。</w:t>
      </w:r>
    </w:p>
    <w:p>
      <w:pPr>
        <w:spacing w:line="355" w:lineRule="auto" w:before="30"/>
        <w:ind w:left="552" w:right="3357" w:firstLine="0"/>
        <w:jc w:val="left"/>
        <w:rPr>
          <w:rFonts w:ascii="宋体" w:hAnsi="宋体" w:cs="宋体" w:eastAsia="宋体" w:hint="default"/>
          <w:sz w:val="21"/>
          <w:szCs w:val="21"/>
        </w:rPr>
      </w:pPr>
      <w:r>
        <w:rPr>
          <w:rFonts w:ascii="宋体" w:hAnsi="宋体" w:cs="宋体" w:eastAsia="宋体" w:hint="default"/>
          <w:b/>
          <w:bCs/>
          <w:spacing w:val="-1"/>
          <w:sz w:val="21"/>
          <w:szCs w:val="21"/>
        </w:rPr>
        <w:t>（五）同一控制下和非同一控制下企业合并的会计处理方法</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21"/>
          <w:szCs w:val="21"/>
        </w:rPr>
        <w:t>1</w:t>
      </w:r>
      <w:r>
        <w:rPr>
          <w:rFonts w:ascii="宋体" w:hAnsi="宋体" w:cs="宋体" w:eastAsia="宋体" w:hint="default"/>
          <w:sz w:val="21"/>
          <w:szCs w:val="21"/>
        </w:rPr>
        <w:t>、同一控制下的企业合并</w:t>
      </w:r>
    </w:p>
    <w:p>
      <w:pPr>
        <w:pStyle w:val="BodyText"/>
        <w:spacing w:line="357" w:lineRule="auto"/>
        <w:ind w:left="140" w:right="711" w:firstLine="412"/>
        <w:jc w:val="both"/>
      </w:pPr>
      <w:r>
        <w:rPr>
          <w:spacing w:val="-2"/>
        </w:rPr>
        <w:t>参与合并的企业在合并前后均受同一方或相同的多方最终控制且该控制并非暂时性的，为同一控制下的企业合</w:t>
      </w:r>
      <w:r>
        <w:rPr>
          <w:w w:val="100"/>
        </w:rPr>
        <w:t> </w:t>
      </w:r>
      <w:r>
        <w:rPr>
          <w:spacing w:val="-3"/>
        </w:rPr>
        <w:t>并。通常情况下，同一控制下的企业合并是指发生在同一企业集团内部企业之间的合并，除此之外，一般不作为同</w:t>
      </w:r>
      <w:r>
        <w:rPr>
          <w:spacing w:val="-1"/>
        </w:rPr>
        <w:t> </w:t>
      </w:r>
      <w:r>
        <w:rPr>
          <w:spacing w:val="-1"/>
        </w:rPr>
      </w:r>
      <w:r>
        <w:rPr/>
        <w:t>一控制下的企业合并。</w:t>
      </w:r>
    </w:p>
    <w:p>
      <w:pPr>
        <w:pStyle w:val="BodyText"/>
        <w:spacing w:line="357" w:lineRule="auto" w:before="31"/>
        <w:ind w:left="140" w:right="677" w:firstLine="412"/>
        <w:jc w:val="both"/>
      </w:pPr>
      <w:r>
        <w:rPr>
          <w:spacing w:val="-2"/>
        </w:rPr>
        <w:t>本公司作为合并方在企业合并中取得的资产、负债，按照合并日在被合并方的账面价值计量。同一控制下的控</w:t>
      </w:r>
      <w:r>
        <w:rPr>
          <w:w w:val="100"/>
        </w:rPr>
        <w:t> </w:t>
      </w:r>
      <w:r>
        <w:rPr>
          <w:spacing w:val="-3"/>
        </w:rPr>
        <w:t>股合并形成的长期股权投资，本公司以合并日应享有被合并方账面所有者权益的份额作为形成长期股权投资的初始</w:t>
      </w:r>
      <w:r>
        <w:rPr>
          <w:spacing w:val="3"/>
        </w:rPr>
        <w:t> </w:t>
      </w:r>
      <w:r>
        <w:rPr>
          <w:spacing w:val="3"/>
        </w:rPr>
      </w:r>
      <w:r>
        <w:rPr>
          <w:spacing w:val="-3"/>
        </w:rPr>
        <w:t>投资成本，相关会计处理见长期股权投资；同一控制下的吸收合并取得的资产、负债，本公司按照相关资产、负债</w:t>
      </w:r>
      <w:r>
        <w:rPr>
          <w:spacing w:val="1"/>
        </w:rPr>
        <w:t> </w:t>
      </w:r>
      <w:r>
        <w:rPr>
          <w:spacing w:val="1"/>
        </w:rPr>
      </w:r>
      <w:r>
        <w:rPr>
          <w:spacing w:val="-2"/>
        </w:rPr>
        <w:t>在被合并方的原账面价值入账。本公司取得的净资产账面价值与支付的合并对价账面价值（或发行股份面值总额）</w:t>
      </w:r>
      <w:r>
        <w:rPr>
          <w:spacing w:val="-14"/>
        </w:rPr>
        <w:t> </w:t>
      </w:r>
      <w:r>
        <w:rPr>
          <w:spacing w:val="-14"/>
        </w:rPr>
      </w:r>
      <w:r>
        <w:rPr/>
        <w:t>的差额调整资本公积；资本公积不足冲减的，调整留存收益。</w:t>
      </w:r>
    </w:p>
    <w:p>
      <w:pPr>
        <w:pStyle w:val="BodyText"/>
        <w:spacing w:line="355" w:lineRule="auto" w:before="30"/>
        <w:ind w:left="140" w:right="605" w:firstLine="412"/>
        <w:jc w:val="both"/>
      </w:pPr>
      <w:r>
        <w:rPr>
          <w:spacing w:val="-5"/>
        </w:rPr>
        <w:t>本公司作为合并方为进行企业合并发生的各项直接相关费用，包括支付的审计费用、评估费用、法律服务费等，</w:t>
      </w:r>
      <w:r>
        <w:rPr>
          <w:w w:val="100"/>
        </w:rPr>
        <w:t> </w:t>
      </w:r>
      <w:r>
        <w:rPr/>
        <w:t>于发生时计入当期损益。</w:t>
      </w:r>
    </w:p>
    <w:p>
      <w:pPr>
        <w:pStyle w:val="BodyText"/>
        <w:spacing w:line="357" w:lineRule="auto"/>
        <w:ind w:left="140" w:right="685" w:firstLine="412"/>
        <w:jc w:val="both"/>
      </w:pPr>
      <w:r>
        <w:rPr>
          <w:spacing w:val="-2"/>
        </w:rPr>
        <w:t>为企业合并发行的债券或承担其他债务支付的手续费、佣金等，计入所发行债券及其他债务的初始计量金额。</w:t>
      </w:r>
      <w:r>
        <w:rPr>
          <w:w w:val="100"/>
        </w:rPr>
        <w:t> </w:t>
      </w:r>
      <w:r>
        <w:rPr>
          <w:spacing w:val="-3"/>
        </w:rPr>
        <w:t>企业合并中发行权益性证券发生的手续费、佣金等费用，应当冲减权益性证券溢价收入，溢价收入不足冲减的，冲</w:t>
      </w:r>
      <w:r>
        <w:rPr>
          <w:spacing w:val="2"/>
        </w:rPr>
        <w:t> </w:t>
      </w:r>
      <w:r>
        <w:rPr>
          <w:spacing w:val="2"/>
        </w:rPr>
      </w:r>
      <w:r>
        <w:rPr/>
        <w:t>减留存收益。</w:t>
      </w:r>
    </w:p>
    <w:p>
      <w:pPr>
        <w:pStyle w:val="BodyText"/>
        <w:spacing w:line="355" w:lineRule="auto" w:before="30"/>
        <w:ind w:left="140" w:right="711" w:firstLine="412"/>
        <w:jc w:val="both"/>
      </w:pPr>
      <w:r>
        <w:rPr>
          <w:spacing w:val="-2"/>
        </w:rPr>
        <w:t>同一控制下的控股合并形成母子关系的，母公司在合并日编制合并财务报表，包括合并资产负债表、合并利润</w:t>
      </w:r>
      <w:r>
        <w:rPr>
          <w:w w:val="100"/>
        </w:rPr>
        <w:t> </w:t>
      </w:r>
      <w:r>
        <w:rPr/>
        <w:t>表和合并现金流量表。</w:t>
      </w:r>
    </w:p>
    <w:p>
      <w:pPr>
        <w:pStyle w:val="BodyText"/>
        <w:spacing w:line="357" w:lineRule="auto"/>
        <w:ind w:left="140" w:right="711" w:firstLine="412"/>
        <w:jc w:val="both"/>
      </w:pPr>
      <w:r>
        <w:rPr>
          <w:spacing w:val="-2"/>
        </w:rPr>
        <w:t>合并资产负债表，以被合并方有关资产、负债的账面价值并入合并财务报表，合并方与被合并方在合并日及以</w:t>
      </w:r>
      <w:r>
        <w:rPr>
          <w:w w:val="100"/>
        </w:rPr>
        <w:t> </w:t>
      </w:r>
      <w:r>
        <w:rPr>
          <w:spacing w:val="-3"/>
        </w:rPr>
        <w:t>前期间发生的交易，作为内部交易，按照“合并财务报表”有关原则进行抵销；合并利润表和现金流量表，包含合 </w:t>
      </w:r>
      <w:r>
        <w:rPr>
          <w:spacing w:val="-3"/>
        </w:rPr>
        <w:t>并及被合并方自合并当期期初至合并日实现的净利润和产生的现金流量，涉及双方在当期发生的交易及内部交易产</w:t>
      </w:r>
      <w:r>
        <w:rPr>
          <w:spacing w:val="3"/>
        </w:rPr>
        <w:t> </w:t>
      </w:r>
      <w:r>
        <w:rPr>
          <w:spacing w:val="3"/>
        </w:rPr>
      </w:r>
      <w:r>
        <w:rPr/>
        <w:t>生的现金流量，按照合并财务报表的有关原则进行抵销。</w:t>
      </w:r>
    </w:p>
    <w:p>
      <w:pPr>
        <w:pStyle w:val="BodyText"/>
        <w:spacing w:line="357" w:lineRule="auto" w:before="30"/>
        <w:ind w:left="552" w:right="0"/>
        <w:jc w:val="left"/>
      </w:pPr>
      <w:r>
        <w:rPr>
          <w:rFonts w:ascii="宋体" w:hAnsi="宋体" w:cs="宋体" w:eastAsia="宋体" w:hint="default"/>
        </w:rPr>
        <w:t>2</w:t>
      </w:r>
      <w:r>
        <w:rPr/>
        <w:t>、非同一控制下的合并</w:t>
      </w:r>
      <w:r>
        <w:rPr>
          <w:w w:val="100"/>
        </w:rPr>
        <w:t> </w:t>
      </w:r>
      <w:r>
        <w:rPr/>
        <w:t>参与合并的各方在合并前后不受同一方或相同的多方最终控制的，为非同一控制下的企业合并。</w:t>
      </w:r>
      <w:r>
        <w:rPr>
          <w:w w:val="100"/>
        </w:rPr>
        <w:t> </w:t>
      </w:r>
      <w:r>
        <w:rPr>
          <w:spacing w:val="-2"/>
        </w:rPr>
        <w:t>确定企业合并成本：企业合并成本包括购买方为进行企业合并支付的现金或非现金资产、发行或承担的债务、</w:t>
      </w:r>
    </w:p>
    <w:p>
      <w:pPr>
        <w:pStyle w:val="BodyText"/>
        <w:spacing w:line="355" w:lineRule="auto" w:before="30"/>
        <w:ind w:left="140" w:right="0"/>
        <w:jc w:val="left"/>
      </w:pPr>
      <w:r>
        <w:rPr>
          <w:spacing w:val="-3"/>
        </w:rPr>
        <w:t>发行的权益性证券等在购买日的公允价值以及企业合并中发生的各项直接相关费用之和。通过多次交换交易分步实</w:t>
      </w:r>
      <w:r>
        <w:rPr>
          <w:spacing w:val="3"/>
        </w:rPr>
        <w:t> </w:t>
      </w:r>
      <w:r>
        <w:rPr>
          <w:spacing w:val="3"/>
        </w:rPr>
      </w:r>
      <w:r>
        <w:rPr/>
        <w:t>现的企业合并，合并成本为每一单项交易成本之和。</w:t>
      </w:r>
    </w:p>
    <w:p>
      <w:pPr>
        <w:pStyle w:val="BodyText"/>
        <w:spacing w:line="357" w:lineRule="auto"/>
        <w:ind w:left="140" w:right="711" w:firstLine="412"/>
        <w:jc w:val="both"/>
      </w:pPr>
      <w:r>
        <w:rPr>
          <w:spacing w:val="-2"/>
        </w:rPr>
        <w:t>非同一控制下的控股合并取得的长期股权投资，本公司以购买日确定的企业合并成本（不包括应自被投资单位</w:t>
      </w:r>
      <w:r>
        <w:rPr>
          <w:w w:val="100"/>
        </w:rPr>
        <w:t> </w:t>
      </w:r>
      <w:r>
        <w:rPr>
          <w:spacing w:val="-2"/>
          <w:w w:val="100"/>
        </w:rPr>
        <w:t>收取的现金股利和利润），作为对被购买方长期股权投资的初始投资成本；非同一控制下的吸收合并取得的符合确</w:t>
      </w:r>
      <w:r>
        <w:rPr>
          <w:spacing w:val="-100"/>
          <w:w w:val="100"/>
        </w:rPr>
        <w:t> </w:t>
      </w:r>
      <w:r>
        <w:rPr>
          <w:spacing w:val="-100"/>
          <w:w w:val="100"/>
        </w:rPr>
      </w:r>
      <w:r>
        <w:rPr>
          <w:spacing w:val="-3"/>
        </w:rPr>
        <w:t>认条件的各项可辨认资产、负债，本公司在购买日按照公允价值确认为本企业的资产和负债。本公司以非货币资产</w:t>
      </w:r>
      <w:r>
        <w:rPr>
          <w:spacing w:val="1"/>
        </w:rPr>
        <w:t> </w:t>
      </w:r>
      <w:r>
        <w:rPr>
          <w:spacing w:val="1"/>
        </w:rPr>
      </w:r>
      <w:r>
        <w:rPr>
          <w:spacing w:val="-3"/>
        </w:rPr>
        <w:t>为对价取得被购买方的控制权或各项可辨认资产、负债的，有关非货币资产在购买日的公允价值与其账面价值的差</w:t>
      </w:r>
    </w:p>
    <w:p>
      <w:pPr>
        <w:spacing w:after="0" w:line="357" w:lineRule="auto"/>
        <w:jc w:val="both"/>
        <w:sectPr>
          <w:footerReference w:type="default" r:id="rId28"/>
          <w:pgSz w:w="11910" w:h="16840"/>
          <w:pgMar w:footer="956" w:header="720" w:top="1300" w:bottom="1140" w:left="580" w:right="0"/>
          <w:pgNumType w:start="61"/>
        </w:sectPr>
      </w:pPr>
    </w:p>
    <w:p>
      <w:pPr>
        <w:pStyle w:val="BodyText"/>
        <w:spacing w:line="357" w:lineRule="auto" w:before="19"/>
        <w:ind w:right="0" w:hanging="420"/>
        <w:jc w:val="left"/>
      </w:pPr>
      <w:r>
        <w:rPr/>
        <w:pict>
          <v:group style="position:absolute;margin-left:34.560001pt;margin-top:2.293643pt;width:508.3pt;height:.1pt;mso-position-horizontal-relative:page;mso-position-vertical-relative:paragraph;z-index:-533752" coordorigin="691,46" coordsize="10166,2">
            <v:shape style="position:absolute;left:691;top:46;width:10166;height:2" coordorigin="691,46" coordsize="10166,0" path="m691,46l10857,46e" filled="false" stroked="true" strokeweight=".72pt" strokecolor="#000000">
              <v:path arrowok="t"/>
            </v:shape>
            <w10:wrap type="none"/>
          </v:group>
        </w:pict>
      </w:r>
      <w:r>
        <w:rPr/>
        <w:t>额，作为资产的处置损益，计入合并当期的利润表。</w:t>
      </w:r>
      <w:r>
        <w:rPr>
          <w:w w:val="100"/>
        </w:rPr>
        <w:t> </w:t>
      </w:r>
      <w:r>
        <w:rPr>
          <w:spacing w:val="-3"/>
        </w:rPr>
        <w:t>非同一控制下的企业合并中，企业合并成本大于合并中取得的被购买方可辨认净资产公允价值份额的差额，确</w:t>
      </w:r>
    </w:p>
    <w:p>
      <w:pPr>
        <w:pStyle w:val="BodyText"/>
        <w:spacing w:line="355" w:lineRule="auto" w:before="30"/>
        <w:ind w:left="140" w:right="0"/>
        <w:jc w:val="left"/>
      </w:pPr>
      <w:r>
        <w:rPr>
          <w:spacing w:val="-3"/>
        </w:rPr>
        <w:t>认为商誉；在吸收合并情况下，该差额在母公司个别财务报表中确认的商誉；在控股合并情况下，该差额在合并财</w:t>
      </w:r>
      <w:r>
        <w:rPr/>
        <w:t> </w:t>
      </w:r>
      <w:r>
        <w:rPr/>
        <w:t>务报表中列示为商誉。</w:t>
      </w:r>
    </w:p>
    <w:p>
      <w:pPr>
        <w:pStyle w:val="BodyText"/>
        <w:spacing w:line="355" w:lineRule="auto" w:before="34"/>
        <w:ind w:left="140" w:right="711" w:firstLine="412"/>
        <w:jc w:val="both"/>
      </w:pPr>
      <w:r>
        <w:rPr>
          <w:spacing w:val="-2"/>
        </w:rPr>
        <w:t>企业合并成本小于合并中取得的被购买方可辨认净资产公允价值份额的差额，本公司计入合并当期损益（营业</w:t>
      </w:r>
      <w:r>
        <w:rPr>
          <w:w w:val="100"/>
        </w:rPr>
        <w:t> </w:t>
      </w:r>
      <w:r>
        <w:rPr>
          <w:spacing w:val="-2"/>
          <w:w w:val="100"/>
        </w:rPr>
        <w:t>外收入）。在吸收合并情况下，该差额计入合并当期母公司个别利润表；在控股合并情况下，该差额计入合并当期</w:t>
      </w:r>
      <w:r>
        <w:rPr>
          <w:spacing w:val="-100"/>
          <w:w w:val="100"/>
        </w:rPr>
        <w:t> </w:t>
      </w:r>
      <w:r>
        <w:rPr>
          <w:spacing w:val="-100"/>
          <w:w w:val="100"/>
        </w:rPr>
      </w:r>
      <w:r>
        <w:rPr/>
        <w:t>的合并利润表。</w:t>
      </w:r>
    </w:p>
    <w:p>
      <w:pPr>
        <w:spacing w:line="355" w:lineRule="auto" w:before="32"/>
        <w:ind w:left="560" w:right="7816" w:hanging="8"/>
        <w:jc w:val="left"/>
        <w:rPr>
          <w:rFonts w:ascii="宋体" w:hAnsi="宋体" w:cs="宋体" w:eastAsia="宋体" w:hint="default"/>
          <w:sz w:val="21"/>
          <w:szCs w:val="21"/>
        </w:rPr>
      </w:pPr>
      <w:r>
        <w:rPr>
          <w:rFonts w:ascii="宋体" w:hAnsi="宋体" w:cs="宋体" w:eastAsia="宋体" w:hint="default"/>
          <w:b/>
          <w:bCs/>
          <w:spacing w:val="-1"/>
          <w:sz w:val="21"/>
          <w:szCs w:val="21"/>
        </w:rPr>
        <w:t>（六）合并财务报表的编制方法</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1</w:t>
      </w:r>
      <w:r>
        <w:rPr>
          <w:rFonts w:ascii="宋体" w:hAnsi="宋体" w:cs="宋体" w:eastAsia="宋体" w:hint="default"/>
          <w:sz w:val="21"/>
          <w:szCs w:val="21"/>
        </w:rPr>
        <w:t>、合并范围的确定原则</w:t>
      </w:r>
    </w:p>
    <w:p>
      <w:pPr>
        <w:pStyle w:val="BodyText"/>
        <w:spacing w:line="357" w:lineRule="auto" w:before="34"/>
        <w:ind w:right="0"/>
        <w:jc w:val="left"/>
      </w:pPr>
      <w:r>
        <w:rPr/>
        <w:t>本公司将全部子公司纳入合并财务报表的合并范围。合并财务报表的合并范围以控制为基础加以确定。</w:t>
      </w:r>
      <w:r>
        <w:rPr>
          <w:w w:val="100"/>
        </w:rPr>
        <w:t> </w:t>
      </w:r>
      <w:r>
        <w:rPr>
          <w:spacing w:val="-3"/>
        </w:rPr>
        <w:t>本公司直接或通过子公司间接拥有被投资单位半数以上的表决权，表明本公司能够控制被投资单位，将该被投</w:t>
      </w:r>
    </w:p>
    <w:p>
      <w:pPr>
        <w:pStyle w:val="BodyText"/>
        <w:spacing w:line="355" w:lineRule="auto" w:before="30"/>
        <w:ind w:right="0" w:hanging="420"/>
        <w:jc w:val="left"/>
      </w:pPr>
      <w:r>
        <w:rPr/>
        <w:t>资单位认定为子公司，纳入合并财务报表的合并范围。但是，有证据表明本公司不能控制被投资单位的除外。</w:t>
      </w:r>
      <w:r>
        <w:rPr>
          <w:w w:val="100"/>
        </w:rPr>
        <w:t> </w:t>
      </w:r>
      <w:r>
        <w:rPr>
          <w:spacing w:val="-3"/>
        </w:rPr>
        <w:t>本公司拥有被投资单位半数或以下的表决权，满足以下条件之一的，视为本公司能够控制被投资单位，将该被</w:t>
      </w:r>
    </w:p>
    <w:p>
      <w:pPr>
        <w:pStyle w:val="BodyText"/>
        <w:spacing w:line="240" w:lineRule="auto"/>
        <w:ind w:left="140" w:right="0"/>
        <w:jc w:val="left"/>
      </w:pPr>
      <w:r>
        <w:rPr/>
        <w:t>投资单位认定为子公司，纳入合并财务报表的合并范围；但是，有证据表明本公司不能控制被投资单位的除外：</w:t>
      </w:r>
    </w:p>
    <w:p>
      <w:pPr>
        <w:pStyle w:val="BodyText"/>
        <w:spacing w:line="240" w:lineRule="auto" w:before="135"/>
        <w:ind w:right="0"/>
        <w:jc w:val="left"/>
      </w:pPr>
      <w:r>
        <w:rPr/>
        <w:t>（</w:t>
      </w:r>
      <w:r>
        <w:rPr>
          <w:rFonts w:ascii="宋体" w:hAnsi="宋体" w:cs="宋体" w:eastAsia="宋体" w:hint="default"/>
        </w:rPr>
        <w:t>1</w:t>
      </w:r>
      <w:r>
        <w:rPr/>
        <w:t>）通过与被投资单位其他投资者之间的协议，拥有被投资单位半数以上的表决权；</w:t>
      </w:r>
    </w:p>
    <w:p>
      <w:pPr>
        <w:pStyle w:val="BodyText"/>
        <w:spacing w:line="240" w:lineRule="auto" w:before="133"/>
        <w:ind w:right="0"/>
        <w:jc w:val="left"/>
      </w:pPr>
      <w:r>
        <w:rPr/>
        <w:t>（</w:t>
      </w:r>
      <w:r>
        <w:rPr>
          <w:rFonts w:ascii="宋体" w:hAnsi="宋体" w:cs="宋体" w:eastAsia="宋体" w:hint="default"/>
        </w:rPr>
        <w:t>2</w:t>
      </w:r>
      <w:r>
        <w:rPr/>
        <w:t>）根据本公司章程或协议，有权决定被投资单位的财务和经营政策；</w:t>
      </w:r>
    </w:p>
    <w:p>
      <w:pPr>
        <w:pStyle w:val="BodyText"/>
        <w:spacing w:line="240" w:lineRule="auto" w:before="133"/>
        <w:ind w:right="0"/>
        <w:jc w:val="left"/>
      </w:pPr>
      <w:r>
        <w:rPr/>
        <w:t>（</w:t>
      </w:r>
      <w:r>
        <w:rPr>
          <w:rFonts w:ascii="宋体" w:hAnsi="宋体" w:cs="宋体" w:eastAsia="宋体" w:hint="default"/>
        </w:rPr>
        <w:t>3</w:t>
      </w:r>
      <w:r>
        <w:rPr/>
        <w:t>）有权任免被投资单位的董事会或类似机构的多数成员；</w:t>
      </w:r>
    </w:p>
    <w:p>
      <w:pPr>
        <w:pStyle w:val="BodyText"/>
        <w:spacing w:line="357" w:lineRule="auto" w:before="133"/>
        <w:ind w:right="5406"/>
        <w:jc w:val="left"/>
      </w:pPr>
      <w:r>
        <w:rPr>
          <w:spacing w:val="-2"/>
        </w:rPr>
        <w:t>（</w:t>
      </w:r>
      <w:r>
        <w:rPr>
          <w:rFonts w:ascii="宋体" w:hAnsi="宋体" w:cs="宋体" w:eastAsia="宋体" w:hint="default"/>
          <w:spacing w:val="-2"/>
        </w:rPr>
        <w:t>4</w:t>
      </w:r>
      <w:r>
        <w:rPr>
          <w:spacing w:val="-2"/>
        </w:rPr>
        <w:t>）在被投资单位的董事会或类似机构占多数表决权。</w:t>
      </w:r>
      <w:r>
        <w:rPr>
          <w:spacing w:val="-59"/>
        </w:rPr>
        <w:t> </w:t>
      </w:r>
      <w:r>
        <w:rPr>
          <w:spacing w:val="-59"/>
        </w:rPr>
      </w:r>
      <w:r>
        <w:rPr>
          <w:rFonts w:ascii="宋体" w:hAnsi="宋体" w:cs="宋体" w:eastAsia="宋体" w:hint="default"/>
        </w:rPr>
        <w:t>2</w:t>
      </w:r>
      <w:r>
        <w:rPr/>
        <w:t>、合并程序</w:t>
      </w:r>
    </w:p>
    <w:p>
      <w:pPr>
        <w:pStyle w:val="BodyText"/>
        <w:spacing w:line="357" w:lineRule="auto" w:before="30"/>
        <w:ind w:left="140" w:right="711" w:firstLine="420"/>
        <w:jc w:val="both"/>
      </w:pPr>
      <w:r>
        <w:rPr/>
        <w:t>（</w:t>
      </w:r>
      <w:r>
        <w:rPr>
          <w:rFonts w:ascii="宋体" w:hAnsi="宋体" w:cs="宋体" w:eastAsia="宋体" w:hint="default"/>
        </w:rPr>
        <w:t>1</w:t>
      </w:r>
      <w:r>
        <w:rPr/>
        <w:t>）本公司合并财务报表以母公司和各子公司的财务报表为基础，根据其他有关资料，对子公司的长期股权</w:t>
      </w:r>
      <w:r>
        <w:rPr>
          <w:w w:val="100"/>
        </w:rPr>
        <w:t> </w:t>
      </w:r>
      <w:r>
        <w:rPr>
          <w:spacing w:val="-3"/>
        </w:rPr>
        <w:t>投资按照权益法调整后编制。编制时根据《企业会计准则第</w:t>
      </w:r>
      <w:r>
        <w:rPr>
          <w:rFonts w:ascii="宋体" w:hAnsi="宋体" w:cs="宋体" w:eastAsia="宋体" w:hint="default"/>
          <w:spacing w:val="-3"/>
        </w:rPr>
        <w:t>33</w:t>
      </w:r>
      <w:r>
        <w:rPr>
          <w:spacing w:val="-3"/>
        </w:rPr>
        <w:t>号—合并财务报表》的要求，将母公司与各子公司及</w:t>
      </w:r>
      <w:r>
        <w:rPr>
          <w:spacing w:val="2"/>
        </w:rPr>
        <w:t> </w:t>
      </w:r>
      <w:r>
        <w:rPr>
          <w:spacing w:val="2"/>
        </w:rPr>
      </w:r>
      <w:r>
        <w:rPr>
          <w:spacing w:val="-3"/>
        </w:rPr>
        <w:t>各子公司之间的重要投资、往来、存货购销等内部交易及其未实现利润抵销后逐项合并，并计算少数股东权益和少</w:t>
      </w:r>
      <w:r>
        <w:rPr>
          <w:spacing w:val="1"/>
        </w:rPr>
        <w:t> </w:t>
      </w:r>
      <w:r>
        <w:rPr>
          <w:spacing w:val="1"/>
        </w:rPr>
      </w:r>
      <w:r>
        <w:rPr>
          <w:spacing w:val="-3"/>
        </w:rPr>
        <w:t>数股东本期收益。如果子公司会计政策及会计期间与母公司不一致，合并前先按母公司的会计政策及会计期间调整</w:t>
      </w:r>
      <w:r>
        <w:rPr>
          <w:spacing w:val="-1"/>
        </w:rPr>
        <w:t> </w:t>
      </w:r>
      <w:r>
        <w:rPr>
          <w:spacing w:val="-1"/>
        </w:rPr>
      </w:r>
      <w:r>
        <w:rPr/>
        <w:t>子公司财务报表。</w:t>
      </w:r>
    </w:p>
    <w:p>
      <w:pPr>
        <w:pStyle w:val="BodyText"/>
        <w:spacing w:line="357" w:lineRule="auto" w:before="30"/>
        <w:ind w:left="140" w:right="711" w:firstLine="420"/>
        <w:jc w:val="both"/>
      </w:pPr>
      <w:r>
        <w:rPr/>
        <w:t>（</w:t>
      </w:r>
      <w:r>
        <w:rPr>
          <w:rFonts w:ascii="宋体" w:hAnsi="宋体" w:cs="宋体" w:eastAsia="宋体" w:hint="default"/>
        </w:rPr>
        <w:t>2</w:t>
      </w:r>
      <w:r>
        <w:rPr/>
        <w:t>）对于因同一控制下企业合并增加的子公司，在编制合并财务报表时，视同该企业合并于报告期最早期间</w:t>
      </w:r>
      <w:r>
        <w:rPr>
          <w:w w:val="100"/>
        </w:rPr>
        <w:t> </w:t>
      </w:r>
      <w:r>
        <w:rPr>
          <w:spacing w:val="-3"/>
        </w:rPr>
        <w:t>的年初已经发生，从报告期最早期间的年初起将其资产、负债、经营成果和现金流量纳入合并财务报表，且其合并</w:t>
      </w:r>
      <w:r>
        <w:rPr>
          <w:spacing w:val="2"/>
        </w:rPr>
        <w:t> </w:t>
      </w:r>
      <w:r>
        <w:rPr>
          <w:spacing w:val="2"/>
        </w:rPr>
      </w:r>
      <w:r>
        <w:rPr>
          <w:spacing w:val="-3"/>
        </w:rPr>
        <w:t>日前实现的净利润在合并利润表中“净利润”项下单列“被合并方在合并前实现的净利润”项目反映。对于因非同</w:t>
      </w:r>
      <w:r>
        <w:rPr>
          <w:spacing w:val="1"/>
        </w:rPr>
        <w:t> </w:t>
      </w:r>
      <w:r>
        <w:rPr>
          <w:spacing w:val="1"/>
        </w:rPr>
      </w:r>
      <w:r>
        <w:rPr>
          <w:spacing w:val="-3"/>
        </w:rPr>
        <w:t>一控制下企业合并取得的子公司，在编制合并财务报表时，以购买日可辨认净资产公允价值为基础对其个别财务报</w:t>
      </w:r>
      <w:r>
        <w:rPr>
          <w:spacing w:val="-1"/>
        </w:rPr>
        <w:t> </w:t>
      </w:r>
      <w:r>
        <w:rPr>
          <w:spacing w:val="-1"/>
        </w:rPr>
      </w:r>
      <w:r>
        <w:rPr/>
        <w:t>表进行调整。</w:t>
      </w:r>
    </w:p>
    <w:p>
      <w:pPr>
        <w:pStyle w:val="BodyText"/>
        <w:spacing w:line="355" w:lineRule="auto" w:before="30"/>
        <w:ind w:left="140" w:right="0" w:firstLine="420"/>
        <w:jc w:val="left"/>
      </w:pPr>
      <w:r>
        <w:rPr>
          <w:spacing w:val="-3"/>
        </w:rPr>
        <w:t>（</w:t>
      </w:r>
      <w:r>
        <w:rPr>
          <w:rFonts w:ascii="宋体" w:hAnsi="宋体" w:cs="宋体" w:eastAsia="宋体" w:hint="default"/>
          <w:spacing w:val="-3"/>
        </w:rPr>
        <w:t>3</w:t>
      </w:r>
      <w:r>
        <w:rPr>
          <w:spacing w:val="-3"/>
        </w:rPr>
        <w:t>）对于因同一控制下企业合并增加的子公司，编制合并资产负债表时，应当调整合并资产负债表的期初数；</w:t>
      </w:r>
      <w:r>
        <w:rPr>
          <w:w w:val="100"/>
        </w:rPr>
        <w:t> </w:t>
      </w:r>
      <w:r>
        <w:rPr>
          <w:spacing w:val="-3"/>
        </w:rPr>
        <w:t>对于因非同一控制下企业合并增加的子公司，不应当调整合并资产负债表的期初数。在报告期内处置子公司，编制</w:t>
      </w:r>
      <w:r>
        <w:rPr>
          <w:spacing w:val="1"/>
        </w:rPr>
        <w:t> </w:t>
      </w:r>
      <w:r>
        <w:rPr>
          <w:spacing w:val="1"/>
        </w:rPr>
      </w:r>
      <w:r>
        <w:rPr/>
        <w:t>合并资产负债表时，不应当调整合并资产负债表的期初数。</w:t>
      </w:r>
    </w:p>
    <w:p>
      <w:pPr>
        <w:pStyle w:val="BodyText"/>
        <w:spacing w:line="355" w:lineRule="auto" w:before="34"/>
        <w:ind w:left="140" w:right="711" w:firstLine="420"/>
        <w:jc w:val="both"/>
      </w:pPr>
      <w:r>
        <w:rPr/>
        <w:t>（</w:t>
      </w:r>
      <w:r>
        <w:rPr>
          <w:rFonts w:ascii="宋体" w:hAnsi="宋体" w:cs="宋体" w:eastAsia="宋体" w:hint="default"/>
        </w:rPr>
        <w:t>4</w:t>
      </w:r>
      <w:r>
        <w:rPr/>
        <w:t>）对于因同一控制下企业合并增加的子公司，在编制合并利润表时，应当将该子公司合并当期期初至报告</w:t>
      </w:r>
      <w:r>
        <w:rPr>
          <w:w w:val="100"/>
        </w:rPr>
        <w:t> </w:t>
      </w:r>
      <w:r>
        <w:rPr>
          <w:spacing w:val="-3"/>
        </w:rPr>
        <w:t>期末的收入、费用、利润纳入合并利润表；对于因非同一控制下企业合并增加的子公司，在编制合并利润表时，应</w:t>
      </w:r>
      <w:r>
        <w:rPr>
          <w:spacing w:val="1"/>
        </w:rPr>
        <w:t> </w:t>
      </w:r>
      <w:r>
        <w:rPr>
          <w:spacing w:val="1"/>
        </w:rPr>
      </w:r>
      <w:r>
        <w:rPr>
          <w:spacing w:val="-3"/>
        </w:rPr>
        <w:t>当将该子公司购买日至报告期末的收入、费用、利润纳入合并利润表。在报告期内处置子公司，应当将该子公司期</w:t>
      </w:r>
    </w:p>
    <w:p>
      <w:pPr>
        <w:spacing w:after="0" w:line="355" w:lineRule="auto"/>
        <w:jc w:val="both"/>
        <w:sectPr>
          <w:pgSz w:w="11910" w:h="16840"/>
          <w:pgMar w:header="720" w:footer="956" w:top="1300" w:bottom="1140" w:left="580" w:right="0"/>
        </w:sectPr>
      </w:pPr>
    </w:p>
    <w:p>
      <w:pPr>
        <w:pStyle w:val="BodyText"/>
        <w:spacing w:line="240" w:lineRule="auto" w:before="19"/>
        <w:ind w:left="140" w:right="0"/>
        <w:jc w:val="both"/>
      </w:pPr>
      <w:r>
        <w:rPr/>
        <w:pict>
          <v:group style="position:absolute;margin-left:34.560001pt;margin-top:2.293643pt;width:508.3pt;height:.1pt;mso-position-horizontal-relative:page;mso-position-vertical-relative:paragraph;z-index:-533728" coordorigin="691,46" coordsize="10166,2">
            <v:shape style="position:absolute;left:691;top:46;width:10166;height:2" coordorigin="691,46" coordsize="10166,0" path="m691,46l10857,46e" filled="false" stroked="true" strokeweight=".72pt" strokecolor="#000000">
              <v:path arrowok="t"/>
            </v:shape>
            <w10:wrap type="none"/>
          </v:group>
        </w:pict>
      </w:r>
      <w:r>
        <w:rPr/>
        <w:t>初至处置日的收入、费用、利润纳入合并利润表。</w:t>
      </w:r>
    </w:p>
    <w:p>
      <w:pPr>
        <w:pStyle w:val="BodyText"/>
        <w:spacing w:line="357" w:lineRule="auto" w:before="133"/>
        <w:ind w:left="140" w:right="0" w:firstLine="420"/>
        <w:jc w:val="left"/>
      </w:pPr>
      <w:r>
        <w:rPr/>
        <w:t>（</w:t>
      </w:r>
      <w:r>
        <w:rPr>
          <w:rFonts w:ascii="宋体" w:hAnsi="宋体" w:cs="宋体" w:eastAsia="宋体" w:hint="default"/>
        </w:rPr>
        <w:t>5</w:t>
      </w:r>
      <w:r>
        <w:rPr/>
        <w:t>）对于因同一控制下企业合并增加的子公司，在编制合并现金流量表时，应当将该子公司合并当期期初至</w:t>
      </w:r>
      <w:r>
        <w:rPr>
          <w:w w:val="100"/>
        </w:rPr>
        <w:t> </w:t>
      </w:r>
      <w:r>
        <w:rPr>
          <w:spacing w:val="-5"/>
        </w:rPr>
        <w:t>报告期末的现金流量纳入合并现金流量表；对于因非同一控制下企业合并增加的子公司，在编制合并现金流量表时，</w:t>
      </w:r>
      <w:r>
        <w:rPr>
          <w:spacing w:val="3"/>
        </w:rPr>
        <w:t> </w:t>
      </w:r>
      <w:r>
        <w:rPr>
          <w:spacing w:val="3"/>
        </w:rPr>
      </w:r>
      <w:r>
        <w:rPr>
          <w:spacing w:val="-3"/>
        </w:rPr>
        <w:t>应当将该子公司购买日至报告期末的现金流量纳入合并现金流量表。在报告期内处置子公司，应当将该子公司期初</w:t>
      </w:r>
      <w:r>
        <w:rPr>
          <w:spacing w:val="-1"/>
        </w:rPr>
        <w:t> </w:t>
      </w:r>
      <w:r>
        <w:rPr>
          <w:spacing w:val="-1"/>
        </w:rPr>
      </w:r>
      <w:r>
        <w:rPr/>
        <w:t>至处置日的现金流量纳入合并现金流量表。</w:t>
      </w:r>
    </w:p>
    <w:p>
      <w:pPr>
        <w:pStyle w:val="BodyText"/>
        <w:spacing w:line="240" w:lineRule="auto" w:before="30"/>
        <w:ind w:right="0"/>
        <w:jc w:val="left"/>
      </w:pPr>
      <w:r>
        <w:rPr/>
        <w:t>（</w:t>
      </w:r>
      <w:r>
        <w:rPr>
          <w:rFonts w:ascii="宋体" w:hAnsi="宋体" w:cs="宋体" w:eastAsia="宋体" w:hint="default"/>
        </w:rPr>
        <w:t>6</w:t>
      </w:r>
      <w:r>
        <w:rPr/>
        <w:t>）子公司发生超额亏损在合并利润表中的反映如下：</w:t>
      </w:r>
    </w:p>
    <w:p>
      <w:pPr>
        <w:pStyle w:val="BodyText"/>
        <w:spacing w:line="240" w:lineRule="auto" w:before="133"/>
        <w:ind w:right="0"/>
        <w:jc w:val="left"/>
      </w:pPr>
      <w:r>
        <w:rPr/>
        <w:t>①章程或协议规定少数股东有义务承担，并且少数股东有能力予以弥补的，该项余额应当冲减少数股东权益；</w:t>
      </w:r>
    </w:p>
    <w:p>
      <w:pPr>
        <w:pStyle w:val="BodyText"/>
        <w:spacing w:line="355" w:lineRule="auto" w:before="133"/>
        <w:ind w:left="140" w:right="0" w:firstLine="420"/>
        <w:jc w:val="left"/>
      </w:pPr>
      <w:r>
        <w:rPr>
          <w:spacing w:val="-3"/>
        </w:rPr>
        <w:t>②章程或协议未规定少数股东有义务承担的，该项余额应当冲减母公司的所有者权益。该子公司以后期间实现</w:t>
      </w:r>
      <w:r>
        <w:rPr>
          <w:w w:val="100"/>
        </w:rPr>
        <w:t> </w:t>
      </w:r>
      <w:r>
        <w:rPr>
          <w:spacing w:val="-2"/>
        </w:rPr>
        <w:t>的利润，在弥补了由母公司所有者权益所承担的属于少数股东的损失之前，应当全部归属于母公司的所有者权益。</w:t>
      </w:r>
    </w:p>
    <w:p>
      <w:pPr>
        <w:spacing w:line="357" w:lineRule="auto" w:before="34"/>
        <w:ind w:left="552" w:right="712" w:firstLine="9"/>
        <w:jc w:val="left"/>
        <w:rPr>
          <w:rFonts w:ascii="宋体" w:hAnsi="宋体" w:cs="宋体" w:eastAsia="宋体" w:hint="default"/>
          <w:sz w:val="21"/>
          <w:szCs w:val="21"/>
        </w:rPr>
      </w:pPr>
      <w:r>
        <w:rPr>
          <w:rFonts w:ascii="宋体" w:hAnsi="宋体" w:cs="宋体" w:eastAsia="宋体" w:hint="default"/>
          <w:b/>
          <w:bCs/>
          <w:sz w:val="21"/>
          <w:szCs w:val="21"/>
        </w:rPr>
        <w:t>（七）现金及现金等价物的确定标准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w w:val="100"/>
          <w:sz w:val="21"/>
          <w:szCs w:val="21"/>
        </w:rPr>
        <w:t>本公司在编制现金流量表时，将同时具备期限短（从购买日起三个月内到期）、流动性强、易于转换为已知金</w:t>
      </w:r>
    </w:p>
    <w:p>
      <w:pPr>
        <w:pStyle w:val="BodyText"/>
        <w:spacing w:line="240" w:lineRule="auto" w:before="30"/>
        <w:ind w:left="140" w:right="0"/>
        <w:jc w:val="both"/>
      </w:pPr>
      <w:r>
        <w:rPr/>
        <w:t>额现金、价值变动风险很小等四个条件的投资确定为现金等价物；权益性投资不作为现金等价物。</w:t>
      </w:r>
    </w:p>
    <w:p>
      <w:pPr>
        <w:spacing w:line="355" w:lineRule="auto" w:before="133"/>
        <w:ind w:left="560" w:right="6134" w:hanging="8"/>
        <w:jc w:val="left"/>
        <w:rPr>
          <w:rFonts w:ascii="宋体" w:hAnsi="宋体" w:cs="宋体" w:eastAsia="宋体" w:hint="default"/>
          <w:sz w:val="21"/>
          <w:szCs w:val="21"/>
        </w:rPr>
      </w:pPr>
      <w:r>
        <w:rPr>
          <w:rFonts w:ascii="宋体" w:hAnsi="宋体" w:cs="宋体" w:eastAsia="宋体" w:hint="default"/>
          <w:b/>
          <w:bCs/>
          <w:sz w:val="21"/>
          <w:szCs w:val="21"/>
        </w:rPr>
        <w:t>（八）外币业务和外币报表折算</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、外币交易折算汇率的确定及其会计处理方法</w:t>
      </w:r>
    </w:p>
    <w:p>
      <w:pPr>
        <w:pStyle w:val="BodyText"/>
        <w:spacing w:line="355" w:lineRule="auto" w:before="34"/>
        <w:ind w:left="140" w:right="0" w:firstLine="420"/>
        <w:jc w:val="left"/>
      </w:pPr>
      <w:r>
        <w:rPr>
          <w:spacing w:val="-3"/>
        </w:rPr>
        <w:t>外币交易在初始确认时，采用交易发生日的即期汇率作为折算汇率，折合成人民币记账；收到投资者以外币投</w:t>
      </w:r>
      <w:r>
        <w:rPr>
          <w:w w:val="100"/>
        </w:rPr>
        <w:t> </w:t>
      </w:r>
      <w:r>
        <w:rPr/>
        <w:t>入的资本，采用交易日即期汇率折算。在资产负债表日，视下列情况进行处理：</w:t>
      </w:r>
    </w:p>
    <w:p>
      <w:pPr>
        <w:pStyle w:val="BodyText"/>
        <w:spacing w:line="355" w:lineRule="auto"/>
        <w:ind w:left="140" w:right="0" w:firstLine="420"/>
        <w:jc w:val="left"/>
      </w:pPr>
      <w:r>
        <w:rPr/>
        <w:t>（</w:t>
      </w:r>
      <w:r>
        <w:rPr>
          <w:rFonts w:ascii="宋体" w:hAnsi="宋体" w:cs="宋体" w:eastAsia="宋体" w:hint="default"/>
        </w:rPr>
        <w:t>1</w:t>
      </w:r>
      <w:r>
        <w:rPr/>
        <w:t>）外币货币性项目：采用资产负债表日即期汇率折算。因资产负债表日即期汇率与初始确认时或前一资产</w:t>
      </w:r>
      <w:r>
        <w:rPr>
          <w:w w:val="100"/>
        </w:rPr>
        <w:t> </w:t>
      </w:r>
      <w:r>
        <w:rPr/>
        <w:t>负债表日即期汇率不同而产生的汇兑差额，计入财务费用。</w:t>
      </w:r>
    </w:p>
    <w:p>
      <w:pPr>
        <w:pStyle w:val="BodyText"/>
        <w:spacing w:line="355" w:lineRule="auto" w:before="35"/>
        <w:ind w:left="140" w:right="0" w:firstLine="420"/>
        <w:jc w:val="left"/>
      </w:pPr>
      <w:r>
        <w:rPr/>
        <w:t>（</w:t>
      </w:r>
      <w:r>
        <w:rPr>
          <w:rFonts w:ascii="宋体" w:hAnsi="宋体" w:cs="宋体" w:eastAsia="宋体" w:hint="default"/>
        </w:rPr>
        <w:t>2</w:t>
      </w:r>
      <w:r>
        <w:rPr/>
        <w:t>）以历史成本计量的外币非货币性项目：按交易发生日的即期汇率折算，在资产负债表日不改变其记账本</w:t>
      </w:r>
      <w:r>
        <w:rPr>
          <w:w w:val="100"/>
        </w:rPr>
        <w:t> </w:t>
      </w:r>
      <w:r>
        <w:rPr/>
        <w:t>位币金额。</w:t>
      </w:r>
    </w:p>
    <w:p>
      <w:pPr>
        <w:pStyle w:val="BodyText"/>
        <w:spacing w:line="355" w:lineRule="auto"/>
        <w:ind w:left="140" w:right="711" w:firstLine="420"/>
        <w:jc w:val="both"/>
      </w:pPr>
      <w:r>
        <w:rPr/>
        <w:t>（</w:t>
      </w:r>
      <w:r>
        <w:rPr>
          <w:rFonts w:ascii="宋体" w:hAnsi="宋体" w:cs="宋体" w:eastAsia="宋体" w:hint="default"/>
        </w:rPr>
        <w:t>3</w:t>
      </w:r>
      <w:r>
        <w:rPr/>
        <w:t>）以公允价值计量的外币非货币性项目：按公允价值确定日的即期汇率折算。折算后的记账本位币金额与</w:t>
      </w:r>
      <w:r>
        <w:rPr>
          <w:w w:val="100"/>
        </w:rPr>
        <w:t> </w:t>
      </w:r>
      <w:r>
        <w:rPr>
          <w:spacing w:val="-3"/>
        </w:rPr>
        <w:t>原账面记账本位币金额的差额，作为公允价值变动处理，计入当期损益。如属于可供出售外币非货币性项目，形成</w:t>
      </w:r>
      <w:r>
        <w:rPr>
          <w:spacing w:val="2"/>
        </w:rPr>
        <w:t> </w:t>
      </w:r>
      <w:r>
        <w:rPr>
          <w:spacing w:val="2"/>
        </w:rPr>
      </w:r>
      <w:r>
        <w:rPr/>
        <w:t>的汇兑差额，计入资本公积。</w:t>
      </w:r>
    </w:p>
    <w:p>
      <w:pPr>
        <w:pStyle w:val="BodyText"/>
        <w:spacing w:line="355" w:lineRule="auto" w:before="34"/>
        <w:ind w:right="0"/>
        <w:jc w:val="left"/>
      </w:pPr>
      <w:r>
        <w:rPr>
          <w:rFonts w:ascii="宋体" w:hAnsi="宋体" w:cs="宋体" w:eastAsia="宋体" w:hint="default"/>
        </w:rPr>
        <w:t>2</w:t>
      </w:r>
      <w:r>
        <w:rPr/>
        <w:t>、资产负债表日外币项目的折算方法及外币报表折算的会计处理</w:t>
      </w:r>
      <w:r>
        <w:rPr>
          <w:w w:val="100"/>
        </w:rPr>
        <w:t> </w:t>
      </w:r>
      <w:r>
        <w:rPr>
          <w:spacing w:val="-3"/>
        </w:rPr>
        <w:t>资产负债表中的资产和负债项目，采用资产负债表日的即期汇率折算，所有者权益项目除“未分配利润”项目</w:t>
      </w:r>
    </w:p>
    <w:p>
      <w:pPr>
        <w:pStyle w:val="BodyText"/>
        <w:spacing w:line="357" w:lineRule="auto"/>
        <w:ind w:left="140" w:right="711"/>
        <w:jc w:val="both"/>
      </w:pPr>
      <w:r>
        <w:rPr>
          <w:spacing w:val="-3"/>
        </w:rPr>
        <w:t>外，其他项目采用发生时的即期汇率折算。利润表中的收入和费用项目，采用交易发生日的即期汇率折算。按照上</w:t>
      </w:r>
      <w:r>
        <w:rPr>
          <w:spacing w:val="2"/>
        </w:rPr>
        <w:t> </w:t>
      </w:r>
      <w:r>
        <w:rPr>
          <w:spacing w:val="2"/>
        </w:rPr>
      </w:r>
      <w:r>
        <w:rPr>
          <w:spacing w:val="-3"/>
        </w:rPr>
        <w:t>述折算产生的外币财务报表折算差额，在编制合并财务报表时，应在合并资产负债表中所有者权益项目下单独作为</w:t>
      </w:r>
      <w:r>
        <w:rPr>
          <w:spacing w:val="-1"/>
        </w:rPr>
        <w:t> </w:t>
      </w:r>
      <w:r>
        <w:rPr>
          <w:spacing w:val="-1"/>
        </w:rPr>
      </w:r>
      <w:r>
        <w:rPr/>
        <w:t>“外币报表折算差额”项目列示。</w:t>
      </w:r>
    </w:p>
    <w:p>
      <w:pPr>
        <w:pStyle w:val="BodyText"/>
        <w:spacing w:line="355" w:lineRule="auto"/>
        <w:ind w:left="140" w:right="0" w:firstLine="412"/>
        <w:jc w:val="left"/>
      </w:pPr>
      <w:r>
        <w:rPr>
          <w:spacing w:val="-2"/>
        </w:rPr>
        <w:t>外币报表折算差额，在编制合并财务报表时，在合并资产负债表中所有者权益项目下单独作为“外币报表折算</w:t>
      </w:r>
      <w:r>
        <w:rPr>
          <w:w w:val="100"/>
        </w:rPr>
        <w:t> </w:t>
      </w:r>
      <w:r>
        <w:rPr/>
        <w:t>差额”项目列示。</w:t>
      </w:r>
    </w:p>
    <w:p>
      <w:pPr>
        <w:spacing w:line="355" w:lineRule="auto" w:before="32"/>
        <w:ind w:left="560" w:right="6134" w:hanging="8"/>
        <w:jc w:val="left"/>
        <w:rPr>
          <w:rFonts w:ascii="宋体" w:hAnsi="宋体" w:cs="宋体" w:eastAsia="宋体" w:hint="default"/>
          <w:sz w:val="21"/>
          <w:szCs w:val="21"/>
        </w:rPr>
      </w:pPr>
      <w:r>
        <w:rPr>
          <w:rFonts w:ascii="宋体" w:hAnsi="宋体" w:cs="宋体" w:eastAsia="宋体" w:hint="default"/>
          <w:b/>
          <w:bCs/>
          <w:sz w:val="21"/>
          <w:szCs w:val="21"/>
        </w:rPr>
        <w:t>（九）金融工具</w:t>
      </w:r>
      <w:r>
        <w:rPr>
          <w:rFonts w:ascii="宋体" w:hAnsi="宋体" w:cs="宋体" w:eastAsia="宋体" w:hint="default"/>
          <w:b/>
          <w:bCs/>
          <w:spacing w:val="-104"/>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、金融工具的分类、确认依据和计量方法</w:t>
      </w:r>
    </w:p>
    <w:p>
      <w:pPr>
        <w:pStyle w:val="BodyText"/>
        <w:spacing w:line="355" w:lineRule="auto" w:before="34"/>
        <w:ind w:left="140" w:right="0" w:firstLine="420"/>
        <w:jc w:val="left"/>
      </w:pPr>
      <w:r>
        <w:rPr>
          <w:spacing w:val="-2"/>
        </w:rPr>
        <w:t>（</w:t>
      </w:r>
      <w:r>
        <w:rPr>
          <w:rFonts w:ascii="宋体" w:hAnsi="宋体" w:cs="宋体" w:eastAsia="宋体" w:hint="default"/>
          <w:spacing w:val="-2"/>
        </w:rPr>
        <w:t>1</w:t>
      </w:r>
      <w:r>
        <w:rPr>
          <w:spacing w:val="-2"/>
        </w:rPr>
        <w:t>）金融工具的分类：金融工具是指形成一个企业的金融资产、并形成其他单位的金融负债或权益工具的合</w:t>
      </w:r>
      <w:r>
        <w:rPr>
          <w:w w:val="100"/>
        </w:rPr>
        <w:t> </w:t>
      </w:r>
      <w:r>
        <w:rPr/>
        <w:t>同。包括：金额资产、金融负债和权益工具。</w:t>
      </w:r>
    </w:p>
    <w:p>
      <w:pPr>
        <w:pStyle w:val="BodyText"/>
        <w:spacing w:line="240" w:lineRule="auto"/>
        <w:ind w:right="0"/>
        <w:jc w:val="left"/>
      </w:pPr>
      <w:r>
        <w:rPr>
          <w:spacing w:val="-3"/>
        </w:rPr>
        <w:t>本公司金融资产和金融负债划分为以公允价值计量且其变动计入当期损益的金融资产或金融负债、持有至到期</w:t>
      </w:r>
    </w:p>
    <w:p>
      <w:pPr>
        <w:spacing w:after="0" w:line="240" w:lineRule="auto"/>
        <w:jc w:val="left"/>
        <w:sectPr>
          <w:pgSz w:w="11910" w:h="16840"/>
          <w:pgMar w:header="720" w:footer="956" w:top="1300" w:bottom="1140" w:left="580" w:right="0"/>
        </w:sectPr>
      </w:pPr>
    </w:p>
    <w:p>
      <w:pPr>
        <w:pStyle w:val="BodyText"/>
        <w:spacing w:line="240" w:lineRule="auto" w:before="19"/>
        <w:ind w:left="140" w:right="0"/>
        <w:jc w:val="left"/>
      </w:pPr>
      <w:r>
        <w:rPr/>
        <w:pict>
          <v:group style="position:absolute;margin-left:34.560001pt;margin-top:2.293643pt;width:508.3pt;height:.1pt;mso-position-horizontal-relative:page;mso-position-vertical-relative:paragraph;z-index:-533704" coordorigin="691,46" coordsize="10166,2">
            <v:shape style="position:absolute;left:691;top:46;width:10166;height:2" coordorigin="691,46" coordsize="10166,0" path="m691,46l10857,46e" filled="false" stroked="true" strokeweight=".72pt" strokecolor="#000000">
              <v:path arrowok="t"/>
            </v:shape>
            <w10:wrap type="none"/>
          </v:group>
        </w:pict>
      </w:r>
      <w:r>
        <w:rPr/>
        <w:t>投资、应收款项和可供出售金融资产四类。</w:t>
      </w:r>
    </w:p>
    <w:p>
      <w:pPr>
        <w:pStyle w:val="BodyText"/>
        <w:spacing w:line="355" w:lineRule="auto" w:before="133"/>
        <w:ind w:right="4086"/>
        <w:jc w:val="left"/>
      </w:pPr>
      <w:r>
        <w:rPr/>
        <w:t>（</w:t>
      </w:r>
      <w:r>
        <w:rPr>
          <w:rFonts w:ascii="宋体" w:hAnsi="宋体" w:cs="宋体" w:eastAsia="宋体" w:hint="default"/>
        </w:rPr>
        <w:t>2</w:t>
      </w:r>
      <w:r>
        <w:rPr/>
        <w:t>）金融工具的确认依据和计量方法</w:t>
      </w:r>
      <w:r>
        <w:rPr>
          <w:w w:val="100"/>
        </w:rPr>
        <w:t> </w:t>
      </w:r>
      <w:r>
        <w:rPr>
          <w:rFonts w:ascii="宋体" w:hAnsi="宋体" w:cs="宋体" w:eastAsia="宋体" w:hint="default"/>
          <w:spacing w:val="-2"/>
        </w:rPr>
        <w:t>A</w:t>
      </w:r>
      <w:r>
        <w:rPr>
          <w:spacing w:val="-2"/>
        </w:rPr>
        <w:t>、以公允价值计量且其变动计入当期损益的金融资产或金融负债</w:t>
      </w:r>
      <w:r>
        <w:rPr>
          <w:spacing w:val="-52"/>
        </w:rPr>
        <w:t> </w:t>
      </w:r>
      <w:r>
        <w:rPr>
          <w:spacing w:val="-52"/>
        </w:rPr>
      </w:r>
      <w:r>
        <w:rPr/>
        <w:t>确认依据</w:t>
      </w:r>
    </w:p>
    <w:p>
      <w:pPr>
        <w:pStyle w:val="BodyText"/>
        <w:spacing w:line="355" w:lineRule="auto" w:before="34"/>
        <w:ind w:left="140" w:right="677" w:firstLine="420"/>
        <w:jc w:val="both"/>
      </w:pPr>
      <w:r>
        <w:rPr>
          <w:spacing w:val="-3"/>
        </w:rPr>
        <w:t>此类金融资产或金融负债可进一步分为交易性金融资产或金融负债、直接指定为以公允价值计量且其变动计入</w:t>
      </w:r>
      <w:r>
        <w:rPr>
          <w:w w:val="100"/>
        </w:rPr>
        <w:t> </w:t>
      </w:r>
      <w:r>
        <w:rPr>
          <w:spacing w:val="-2"/>
        </w:rPr>
        <w:t>当期损益的金融资产或金融负债。交易性金融资产或金融负债，主要指企业为了近期内出售而持有的股票、债券、</w:t>
      </w:r>
      <w:r>
        <w:rPr>
          <w:spacing w:val="-13"/>
        </w:rPr>
        <w:t> </w:t>
      </w:r>
      <w:r>
        <w:rPr>
          <w:spacing w:val="-13"/>
        </w:rPr>
      </w:r>
      <w:r>
        <w:rPr>
          <w:spacing w:val="-3"/>
        </w:rPr>
        <w:t>基金以及不作为有效套期工具的衍生工具或近期内回购而承担的金融负债；直接指定以公允价值计量且其变动计入</w:t>
      </w:r>
      <w:r>
        <w:rPr>
          <w:spacing w:val="3"/>
        </w:rPr>
        <w:t> </w:t>
      </w:r>
      <w:r>
        <w:rPr>
          <w:spacing w:val="3"/>
        </w:rPr>
      </w:r>
      <w:r>
        <w:rPr/>
        <w:t>当期损益的金融资产或金融负债，主要是指企业基于风险管理，战略投资需要等所作的指定。</w:t>
      </w:r>
    </w:p>
    <w:p>
      <w:pPr>
        <w:pStyle w:val="BodyText"/>
        <w:spacing w:line="357" w:lineRule="auto"/>
        <w:ind w:right="0"/>
        <w:jc w:val="left"/>
      </w:pPr>
      <w:r>
        <w:rPr/>
        <w:t>计量方法：</w:t>
      </w:r>
      <w:r>
        <w:rPr>
          <w:spacing w:val="-102"/>
        </w:rPr>
        <w:t> </w:t>
      </w:r>
      <w:r>
        <w:rPr>
          <w:spacing w:val="-102"/>
        </w:rPr>
      </w:r>
      <w:r>
        <w:rPr>
          <w:spacing w:val="-3"/>
        </w:rPr>
        <w:t>以公允价值计量且其变动计入当期损益的金融资产或金融负债，取得时以公允价值（扣除已宣告但尚未发放的</w:t>
      </w:r>
    </w:p>
    <w:p>
      <w:pPr>
        <w:pStyle w:val="BodyText"/>
        <w:spacing w:line="357" w:lineRule="auto" w:before="31"/>
        <w:ind w:right="705" w:hanging="420"/>
        <w:jc w:val="left"/>
      </w:pPr>
      <w:r>
        <w:rPr/>
        <w:t>现金股利或已到付息期但尚未领取的债券利息）作为初始确认金额。</w:t>
      </w:r>
      <w:r>
        <w:rPr>
          <w:w w:val="100"/>
        </w:rPr>
        <w:t> </w:t>
      </w:r>
      <w:r>
        <w:rPr/>
        <w:t>持有期间将取得的利息或现金股利确认为投资收益，资产负债表日将公允价值变动计入当期损益。</w:t>
      </w:r>
      <w:r>
        <w:rPr>
          <w:w w:val="100"/>
        </w:rPr>
        <w:t> </w:t>
      </w:r>
      <w:r>
        <w:rPr/>
        <w:t>处置时，公允价值与初始入账金额之间的差额确认为投资收益，同时调整公允价值变动损益。</w:t>
      </w:r>
      <w:r>
        <w:rPr>
          <w:w w:val="100"/>
        </w:rPr>
        <w:t> </w:t>
      </w:r>
      <w:r>
        <w:rPr>
          <w:rFonts w:ascii="宋体" w:hAnsi="宋体" w:cs="宋体" w:eastAsia="宋体" w:hint="default"/>
        </w:rPr>
        <w:t>B</w:t>
      </w:r>
      <w:r>
        <w:rPr/>
        <w:t>、持有至到期投资</w:t>
      </w:r>
      <w:r>
        <w:rPr>
          <w:w w:val="100"/>
        </w:rPr>
        <w:t> </w:t>
      </w:r>
      <w:r>
        <w:rPr>
          <w:spacing w:val="-3"/>
        </w:rPr>
        <w:t>确认依据：指本公司购入的到期日固定、回收金额固定或可确定，且本公司有明确意图和能力持有至到期的固</w:t>
      </w:r>
    </w:p>
    <w:p>
      <w:pPr>
        <w:pStyle w:val="BodyText"/>
        <w:spacing w:line="355" w:lineRule="auto" w:before="30"/>
        <w:ind w:right="0" w:hanging="420"/>
        <w:jc w:val="left"/>
      </w:pPr>
      <w:r>
        <w:rPr/>
        <w:t>定利率国债、浮动利率公司债券等非衍生金融资产。</w:t>
      </w:r>
      <w:r>
        <w:rPr>
          <w:w w:val="100"/>
        </w:rPr>
        <w:t> </w:t>
      </w:r>
      <w:r>
        <w:rPr>
          <w:spacing w:val="-3"/>
        </w:rPr>
        <w:t>计量方法：取得时按公允价值（扣除已到付息期但尚未领取的债券利息）和相关交易费用之和作为初始确认金</w:t>
      </w:r>
    </w:p>
    <w:p>
      <w:pPr>
        <w:pStyle w:val="BodyText"/>
        <w:spacing w:line="240" w:lineRule="auto"/>
        <w:ind w:left="140" w:right="0"/>
        <w:jc w:val="left"/>
      </w:pPr>
      <w:r>
        <w:rPr/>
        <w:t>额。</w:t>
      </w:r>
    </w:p>
    <w:p>
      <w:pPr>
        <w:pStyle w:val="BodyText"/>
        <w:spacing w:line="355" w:lineRule="auto" w:before="136"/>
        <w:ind w:left="140" w:right="713" w:firstLine="420"/>
        <w:jc w:val="both"/>
      </w:pPr>
      <w:r>
        <w:rPr>
          <w:spacing w:val="-3"/>
        </w:rPr>
        <w:t>持有期间按照摊余成本计量，采用实际利率法（如实际利率与票面利率差别较小的，按票面利率）计算确认利</w:t>
      </w:r>
      <w:r>
        <w:rPr>
          <w:w w:val="100"/>
        </w:rPr>
        <w:t> </w:t>
      </w:r>
      <w:r>
        <w:rPr/>
        <w:t>息收入，计入投资收益。实际利率在取得时确定，在该预期存续期间或适用的更短期间内保持不变。</w:t>
      </w:r>
    </w:p>
    <w:p>
      <w:pPr>
        <w:pStyle w:val="BodyText"/>
        <w:spacing w:line="355" w:lineRule="auto"/>
        <w:ind w:right="0"/>
        <w:jc w:val="left"/>
      </w:pPr>
      <w:r>
        <w:rPr/>
        <w:t>处置时，将所取得价款与该投资账面价值之间的差额计入投资收益。</w:t>
      </w:r>
      <w:r>
        <w:rPr>
          <w:w w:val="100"/>
        </w:rPr>
        <w:t> </w:t>
      </w:r>
      <w:r>
        <w:rPr>
          <w:spacing w:val="-3"/>
        </w:rPr>
        <w:t>若本公司于到期日前出售或重分类了较大金额的持有至到期投资（较大金额是指相对该类投资出售或重分类前</w:t>
      </w:r>
    </w:p>
    <w:p>
      <w:pPr>
        <w:pStyle w:val="BodyText"/>
        <w:spacing w:line="357" w:lineRule="auto"/>
        <w:ind w:left="140" w:right="711"/>
        <w:jc w:val="both"/>
      </w:pPr>
      <w:r>
        <w:rPr>
          <w:spacing w:val="-2"/>
          <w:w w:val="100"/>
        </w:rPr>
        <w:t>的总金额而言），则本公司将该类投资的剩余部分重分类为可供出售金融资产，且在本会计期间及以后两个完整的</w:t>
      </w:r>
      <w:r>
        <w:rPr>
          <w:spacing w:val="-100"/>
          <w:w w:val="100"/>
        </w:rPr>
        <w:t> </w:t>
      </w:r>
      <w:r>
        <w:rPr>
          <w:spacing w:val="-100"/>
          <w:w w:val="100"/>
        </w:rPr>
      </w:r>
      <w:r>
        <w:rPr>
          <w:spacing w:val="-3"/>
        </w:rPr>
        <w:t>会计年度内不再将该金融资产划分为持有至到期投资，但下列情况除外：出售日或重分类日距离该项投资到期日或</w:t>
      </w:r>
      <w:r>
        <w:rPr>
          <w:spacing w:val="2"/>
        </w:rPr>
        <w:t> </w:t>
      </w:r>
      <w:r>
        <w:rPr>
          <w:spacing w:val="2"/>
        </w:rPr>
      </w:r>
      <w:r>
        <w:rPr>
          <w:spacing w:val="-2"/>
          <w:w w:val="100"/>
        </w:rPr>
        <w:t>赎回日较近（如到期前三个月内），市场利率变化对该项投资的公允价值没有显著影响；根据合同约定的定期偿付</w:t>
      </w:r>
      <w:r>
        <w:rPr>
          <w:spacing w:val="-100"/>
          <w:w w:val="100"/>
        </w:rPr>
        <w:t> </w:t>
      </w:r>
      <w:r>
        <w:rPr>
          <w:spacing w:val="-100"/>
          <w:w w:val="100"/>
        </w:rPr>
      </w:r>
      <w:r>
        <w:rPr>
          <w:spacing w:val="-3"/>
        </w:rPr>
        <w:t>或提前还款方式收回该投资几乎所有初始本金后，将剩余部分予以出售或重分类；出售或重分类是由于本公司无法</w:t>
      </w:r>
      <w:r>
        <w:rPr>
          <w:spacing w:val="-1"/>
        </w:rPr>
        <w:t> </w:t>
      </w:r>
      <w:r>
        <w:rPr>
          <w:spacing w:val="-1"/>
        </w:rPr>
      </w:r>
      <w:r>
        <w:rPr/>
        <w:t>控制、预期不会重复发生且难以合理预计的独立事项所引起。</w:t>
      </w:r>
    </w:p>
    <w:p>
      <w:pPr>
        <w:pStyle w:val="BodyText"/>
        <w:spacing w:line="357" w:lineRule="auto" w:before="31"/>
        <w:ind w:right="0"/>
        <w:jc w:val="left"/>
      </w:pPr>
      <w:r>
        <w:rPr>
          <w:rFonts w:ascii="宋体" w:hAnsi="宋体" w:cs="宋体" w:eastAsia="宋体" w:hint="default"/>
        </w:rPr>
        <w:t>C</w:t>
      </w:r>
      <w:r>
        <w:rPr/>
        <w:t>、应收款项</w:t>
      </w:r>
      <w:r>
        <w:rPr>
          <w:w w:val="100"/>
        </w:rPr>
        <w:t> </w:t>
      </w:r>
      <w:r>
        <w:rPr>
          <w:spacing w:val="-3"/>
        </w:rPr>
        <w:t>确认依据：公司对外销售商品或提供劳务形成的应收账款等债权，按从购货方应收的合同或协议价款作为初始</w:t>
      </w:r>
    </w:p>
    <w:p>
      <w:pPr>
        <w:pStyle w:val="BodyText"/>
        <w:spacing w:line="240" w:lineRule="auto" w:before="30"/>
        <w:ind w:left="140" w:right="0"/>
        <w:jc w:val="left"/>
      </w:pPr>
      <w:r>
        <w:rPr/>
        <w:t>确认金额。</w:t>
      </w:r>
    </w:p>
    <w:p>
      <w:pPr>
        <w:pStyle w:val="BodyText"/>
        <w:spacing w:line="357" w:lineRule="auto" w:before="133"/>
        <w:ind w:right="3357"/>
        <w:jc w:val="left"/>
      </w:pPr>
      <w:r>
        <w:rPr/>
        <w:t>计量方法：持有期间采用实际利率法，按摊余成本计量。</w:t>
      </w:r>
      <w:r>
        <w:rPr>
          <w:w w:val="100"/>
        </w:rPr>
        <w:t> </w:t>
      </w:r>
      <w:r>
        <w:rPr>
          <w:spacing w:val="-2"/>
        </w:rPr>
        <w:t>收回或处置时，将取得的价款与该应收款项账面价值之间的差额计入当期损益。</w:t>
      </w:r>
      <w:r>
        <w:rPr>
          <w:spacing w:val="-38"/>
        </w:rPr>
        <w:t> </w:t>
      </w:r>
      <w:r>
        <w:rPr>
          <w:spacing w:val="-38"/>
        </w:rPr>
      </w:r>
      <w:r>
        <w:rPr>
          <w:rFonts w:ascii="宋体" w:hAnsi="宋体" w:cs="宋体" w:eastAsia="宋体" w:hint="default"/>
        </w:rPr>
        <w:t>D</w:t>
      </w:r>
      <w:r>
        <w:rPr/>
        <w:t>、可供出售金融资产</w:t>
      </w:r>
    </w:p>
    <w:p>
      <w:pPr>
        <w:pStyle w:val="BodyText"/>
        <w:spacing w:line="355" w:lineRule="auto" w:before="30"/>
        <w:ind w:left="140" w:right="711" w:firstLine="420"/>
        <w:jc w:val="both"/>
      </w:pPr>
      <w:r>
        <w:rPr>
          <w:spacing w:val="-3"/>
        </w:rPr>
        <w:t>确认依据：指本公司没有划分为以公允价值计量且其变动计入当期损益的金融资产、持有至到期投资、应收款</w:t>
      </w:r>
      <w:r>
        <w:rPr>
          <w:w w:val="100"/>
        </w:rPr>
        <w:t> </w:t>
      </w:r>
      <w:r>
        <w:rPr/>
        <w:t>项的金融资产。</w:t>
      </w:r>
    </w:p>
    <w:p>
      <w:pPr>
        <w:spacing w:after="0" w:line="355" w:lineRule="auto"/>
        <w:jc w:val="both"/>
        <w:sectPr>
          <w:pgSz w:w="11910" w:h="16840"/>
          <w:pgMar w:header="720" w:footer="956" w:top="1300" w:bottom="1140" w:left="580" w:right="0"/>
        </w:sectPr>
      </w:pPr>
    </w:p>
    <w:p>
      <w:pPr>
        <w:pStyle w:val="BodyText"/>
        <w:spacing w:line="357" w:lineRule="auto" w:before="19"/>
        <w:ind w:left="140" w:right="0" w:firstLine="420"/>
        <w:jc w:val="left"/>
      </w:pPr>
      <w:r>
        <w:rPr/>
        <w:pict>
          <v:group style="position:absolute;margin-left:34.560001pt;margin-top:2.293643pt;width:508.3pt;height:.1pt;mso-position-horizontal-relative:page;mso-position-vertical-relative:paragraph;z-index:-533680" coordorigin="691,46" coordsize="10166,2">
            <v:shape style="position:absolute;left:691;top:46;width:10166;height:2" coordorigin="691,46" coordsize="10166,0" path="m691,46l10857,46e" filled="false" stroked="true" strokeweight=".72pt" strokecolor="#000000">
              <v:path arrowok="t"/>
            </v:shape>
            <w10:wrap type="none"/>
          </v:group>
        </w:pict>
      </w:r>
      <w:r>
        <w:rPr>
          <w:spacing w:val="-3"/>
        </w:rPr>
        <w:t>计量方法：取得时按公允价值（扣除已宣告但尚未发放的现金股利或已到付息期但尚未领取的债券利息）和相</w:t>
      </w:r>
      <w:r>
        <w:rPr>
          <w:w w:val="100"/>
        </w:rPr>
        <w:t> </w:t>
      </w:r>
      <w:r>
        <w:rPr/>
        <w:t>关交易费用之和作为初始确认金额。</w:t>
      </w:r>
    </w:p>
    <w:p>
      <w:pPr>
        <w:pStyle w:val="BodyText"/>
        <w:spacing w:line="355" w:lineRule="auto" w:before="30"/>
        <w:ind w:left="140" w:right="705" w:firstLine="420"/>
        <w:jc w:val="left"/>
      </w:pPr>
      <w:r>
        <w:rPr>
          <w:spacing w:val="-3"/>
        </w:rPr>
        <w:t>持有期间将取得的利息或现金股利确认为投资收益。资产负债表日将公允价值变动计入资本公积（其他资本公</w:t>
      </w:r>
      <w:r>
        <w:rPr>
          <w:w w:val="100"/>
        </w:rPr>
        <w:t> </w:t>
      </w:r>
      <w:r>
        <w:rPr>
          <w:spacing w:val="-36"/>
          <w:w w:val="100"/>
        </w:rPr>
        <w:t>积）。</w:t>
      </w:r>
    </w:p>
    <w:p>
      <w:pPr>
        <w:pStyle w:val="BodyText"/>
        <w:spacing w:line="355" w:lineRule="auto" w:before="34"/>
        <w:ind w:left="140" w:right="0" w:firstLine="420"/>
        <w:jc w:val="left"/>
      </w:pPr>
      <w:r>
        <w:rPr>
          <w:spacing w:val="-3"/>
        </w:rPr>
        <w:t>处置时，将取得的价款与该金融资产账面价值之间的差额，计入投资损益；同时，将原直接计入所有者权益的</w:t>
      </w:r>
      <w:r>
        <w:rPr>
          <w:w w:val="100"/>
        </w:rPr>
        <w:t> </w:t>
      </w:r>
      <w:r>
        <w:rPr/>
        <w:t>公允价值变动累计额对应处置部分的金额转出，计入投资损益。</w:t>
      </w:r>
    </w:p>
    <w:p>
      <w:pPr>
        <w:pStyle w:val="BodyText"/>
        <w:spacing w:line="240" w:lineRule="auto"/>
        <w:ind w:right="0"/>
        <w:jc w:val="left"/>
      </w:pPr>
      <w:r>
        <w:rPr>
          <w:rFonts w:ascii="宋体" w:hAnsi="宋体" w:cs="宋体" w:eastAsia="宋体" w:hint="default"/>
        </w:rPr>
        <w:t>2</w:t>
      </w:r>
      <w:r>
        <w:rPr/>
        <w:t>、金融资产转移的确认依据和计量方法</w:t>
      </w:r>
    </w:p>
    <w:p>
      <w:pPr>
        <w:pStyle w:val="BodyText"/>
        <w:spacing w:line="357" w:lineRule="auto" w:before="133"/>
        <w:ind w:left="140" w:right="713" w:firstLine="420"/>
        <w:jc w:val="both"/>
      </w:pPr>
      <w:r>
        <w:rPr/>
        <w:t>（</w:t>
      </w:r>
      <w:r>
        <w:rPr>
          <w:rFonts w:ascii="宋体" w:hAnsi="宋体" w:cs="宋体" w:eastAsia="宋体" w:hint="default"/>
        </w:rPr>
        <w:t>1</w:t>
      </w:r>
      <w:r>
        <w:rPr/>
        <w:t>）金融资产转移的确认依据：本公司已将金融资产所有权上几乎所有的风险和报酬转移给转入方的或即没</w:t>
      </w:r>
      <w:r>
        <w:rPr>
          <w:w w:val="100"/>
        </w:rPr>
        <w:t> </w:t>
      </w:r>
      <w:r>
        <w:rPr>
          <w:spacing w:val="-3"/>
        </w:rPr>
        <w:t>有转移也没有保留金融资产所有权上几乎所有的风险和报酬，但放弃了对该金融资产控制的，终止对该金融资产的</w:t>
      </w:r>
      <w:r>
        <w:rPr/>
        <w:t> </w:t>
      </w:r>
      <w:r>
        <w:rPr/>
        <w:t>确认。</w:t>
      </w:r>
    </w:p>
    <w:p>
      <w:pPr>
        <w:pStyle w:val="BodyText"/>
        <w:spacing w:line="355" w:lineRule="auto" w:before="31"/>
        <w:ind w:right="0"/>
        <w:jc w:val="left"/>
      </w:pPr>
      <w:r>
        <w:rPr/>
        <w:t>（</w:t>
      </w:r>
      <w:r>
        <w:rPr>
          <w:rFonts w:ascii="宋体" w:hAnsi="宋体" w:cs="宋体" w:eastAsia="宋体" w:hint="default"/>
        </w:rPr>
        <w:t>2</w:t>
      </w:r>
      <w:r>
        <w:rPr/>
        <w:t>）金融资产转移的计量方法</w:t>
      </w:r>
      <w:r>
        <w:rPr>
          <w:w w:val="100"/>
        </w:rPr>
        <w:t> </w:t>
      </w:r>
      <w:r>
        <w:rPr>
          <w:rFonts w:ascii="宋体" w:hAnsi="宋体" w:cs="宋体" w:eastAsia="宋体" w:hint="default"/>
        </w:rPr>
        <w:t>A</w:t>
      </w:r>
      <w:r>
        <w:rPr/>
        <w:t>、整体转移满足终止确认条件时的计量：金融资产整体转移满足终止确认条件的，将下列两项的差额计入当</w:t>
      </w:r>
    </w:p>
    <w:p>
      <w:pPr>
        <w:pStyle w:val="BodyText"/>
        <w:spacing w:line="240" w:lineRule="auto"/>
        <w:ind w:left="140" w:right="0"/>
        <w:jc w:val="left"/>
      </w:pPr>
      <w:r>
        <w:rPr/>
        <w:t>期损益。</w:t>
      </w:r>
    </w:p>
    <w:p>
      <w:pPr>
        <w:pStyle w:val="BodyText"/>
        <w:spacing w:line="357" w:lineRule="auto" w:before="133"/>
        <w:ind w:right="3357"/>
        <w:jc w:val="left"/>
      </w:pPr>
      <w:r>
        <w:rPr/>
        <w:t>所转移金融资产的账面价值；</w:t>
      </w:r>
      <w:r>
        <w:rPr>
          <w:w w:val="100"/>
        </w:rPr>
        <w:t> </w:t>
      </w:r>
      <w:r>
        <w:rPr>
          <w:spacing w:val="-2"/>
        </w:rPr>
        <w:t>因转移而收到的对价，与原直接计入所有者权益的公允价值变动累计额之和。</w:t>
      </w:r>
    </w:p>
    <w:p>
      <w:pPr>
        <w:pStyle w:val="BodyText"/>
        <w:spacing w:line="355" w:lineRule="auto" w:before="30"/>
        <w:ind w:left="140" w:right="0" w:firstLine="420"/>
        <w:jc w:val="left"/>
      </w:pPr>
      <w:r>
        <w:rPr>
          <w:rFonts w:ascii="宋体" w:hAnsi="宋体" w:cs="宋体" w:eastAsia="宋体" w:hint="default"/>
          <w:spacing w:val="-2"/>
        </w:rPr>
        <w:t>B</w:t>
      </w:r>
      <w:r>
        <w:rPr>
          <w:spacing w:val="-2"/>
        </w:rPr>
        <w:t>、部分转移满足终止确认条件时的计量：金融资产部分转移满足终止确认条件的，将所转移金融资产整体的</w:t>
      </w:r>
      <w:r>
        <w:rPr>
          <w:w w:val="100"/>
        </w:rPr>
        <w:t> </w:t>
      </w:r>
      <w:r>
        <w:rPr>
          <w:spacing w:val="-3"/>
        </w:rPr>
        <w:t>账面价值，在终止确认部分和未终止确认部分之间，按照各自的相对公允价值进行分摊，并将下列两项金额的差额</w:t>
      </w:r>
      <w:r>
        <w:rPr>
          <w:spacing w:val="1"/>
        </w:rPr>
        <w:t> </w:t>
      </w:r>
      <w:r>
        <w:rPr>
          <w:spacing w:val="1"/>
        </w:rPr>
      </w:r>
      <w:r>
        <w:rPr/>
        <w:t>计入当期损益。</w:t>
      </w:r>
    </w:p>
    <w:p>
      <w:pPr>
        <w:pStyle w:val="BodyText"/>
        <w:spacing w:line="355" w:lineRule="auto" w:before="35"/>
        <w:ind w:right="0"/>
        <w:jc w:val="left"/>
      </w:pPr>
      <w:r>
        <w:rPr/>
        <w:t>终止确认部分的账面价值；</w:t>
      </w:r>
      <w:r>
        <w:rPr>
          <w:w w:val="100"/>
        </w:rPr>
        <w:t> </w:t>
      </w:r>
      <w:r>
        <w:rPr/>
        <w:t>终止确认部分的对价，与原直接计入所有者权益的公允价值变动累计额中对应终止确认部分的金额之和。</w:t>
      </w:r>
      <w:r>
        <w:rPr>
          <w:w w:val="100"/>
        </w:rPr>
        <w:t> </w:t>
      </w:r>
      <w:r>
        <w:rPr>
          <w:rFonts w:ascii="宋体" w:hAnsi="宋体" w:cs="宋体" w:eastAsia="宋体" w:hint="default"/>
        </w:rPr>
        <w:t>C</w:t>
      </w:r>
      <w:r>
        <w:rPr/>
        <w:t>、金融资产转移不满足终止确认条件的，继续确认该金融资产，将所收到的对价确认为一项金融负债。</w:t>
      </w:r>
      <w:r>
        <w:rPr>
          <w:w w:val="100"/>
        </w:rPr>
        <w:t> </w:t>
      </w:r>
      <w:r>
        <w:rPr>
          <w:rFonts w:ascii="宋体" w:hAnsi="宋体" w:cs="宋体" w:eastAsia="宋体" w:hint="default"/>
        </w:rPr>
        <w:t>D</w:t>
      </w:r>
      <w:r>
        <w:rPr/>
        <w:t>、对于采用继续涉入方式的金融资产转移，本公司按照继续涉入所转移金融资产的程度确认一项金融资产，</w:t>
      </w:r>
    </w:p>
    <w:p>
      <w:pPr>
        <w:pStyle w:val="BodyText"/>
        <w:spacing w:line="357" w:lineRule="auto"/>
        <w:ind w:right="8037" w:hanging="420"/>
        <w:jc w:val="left"/>
      </w:pPr>
      <w:r>
        <w:rPr/>
        <w:t>同时确认一项金融负债。</w:t>
      </w:r>
      <w:r>
        <w:rPr>
          <w:w w:val="100"/>
        </w:rPr>
        <w:t> </w:t>
      </w:r>
      <w:r>
        <w:rPr>
          <w:rFonts w:ascii="宋体" w:hAnsi="宋体" w:cs="宋体" w:eastAsia="宋体" w:hint="default"/>
          <w:spacing w:val="-2"/>
        </w:rPr>
        <w:t>3</w:t>
      </w:r>
      <w:r>
        <w:rPr>
          <w:spacing w:val="-2"/>
        </w:rPr>
        <w:t>、金融负债终止确认条件</w:t>
      </w:r>
    </w:p>
    <w:p>
      <w:pPr>
        <w:pStyle w:val="BodyText"/>
        <w:spacing w:line="355" w:lineRule="auto" w:before="30"/>
        <w:ind w:right="0"/>
        <w:jc w:val="left"/>
      </w:pPr>
      <w:r>
        <w:rPr>
          <w:spacing w:val="-2"/>
        </w:rPr>
        <w:t>本公司在金融负债的现实义务全部或部分已经解除时终止确认该金融负债或其一部分。</w:t>
      </w:r>
      <w:r>
        <w:rPr>
          <w:spacing w:val="-32"/>
        </w:rPr>
        <w:t> </w:t>
      </w:r>
      <w:r>
        <w:rPr>
          <w:spacing w:val="-32"/>
        </w:rPr>
      </w:r>
      <w:r>
        <w:rPr>
          <w:rFonts w:ascii="宋体" w:hAnsi="宋体" w:cs="宋体" w:eastAsia="宋体" w:hint="default"/>
        </w:rPr>
        <w:t>4</w:t>
      </w:r>
      <w:r>
        <w:rPr/>
        <w:t>、金融资产和金融负债的公允价值确定方法</w:t>
      </w:r>
    </w:p>
    <w:p>
      <w:pPr>
        <w:pStyle w:val="BodyText"/>
        <w:spacing w:line="240" w:lineRule="auto"/>
        <w:ind w:right="0"/>
        <w:jc w:val="left"/>
      </w:pPr>
      <w:r>
        <w:rPr/>
        <w:t>（</w:t>
      </w:r>
      <w:r>
        <w:rPr>
          <w:rFonts w:ascii="宋体" w:hAnsi="宋体" w:cs="宋体" w:eastAsia="宋体" w:hint="default"/>
        </w:rPr>
        <w:t>1</w:t>
      </w:r>
      <w:r>
        <w:rPr/>
        <w:t>）存在活跃市场的金融资产或金融负债，用活跃市场中的报价来确定公允价值；</w:t>
      </w:r>
    </w:p>
    <w:p>
      <w:pPr>
        <w:pStyle w:val="BodyText"/>
        <w:spacing w:line="357" w:lineRule="auto" w:before="133"/>
        <w:ind w:right="0"/>
        <w:jc w:val="left"/>
      </w:pPr>
      <w:r>
        <w:rPr>
          <w:spacing w:val="-2"/>
        </w:rPr>
        <w:t>（</w:t>
      </w:r>
      <w:r>
        <w:rPr>
          <w:rFonts w:ascii="宋体" w:hAnsi="宋体" w:cs="宋体" w:eastAsia="宋体" w:hint="default"/>
          <w:spacing w:val="-2"/>
        </w:rPr>
        <w:t>2</w:t>
      </w:r>
      <w:r>
        <w:rPr>
          <w:spacing w:val="-2"/>
        </w:rPr>
        <w:t>）金融工具不存在活跃市场的，本公司采用估值技术确定其公允价值。</w:t>
      </w:r>
      <w:r>
        <w:rPr>
          <w:spacing w:val="-45"/>
        </w:rPr>
        <w:t> </w:t>
      </w:r>
      <w:r>
        <w:rPr>
          <w:spacing w:val="-45"/>
        </w:rPr>
      </w:r>
      <w:r>
        <w:rPr>
          <w:rFonts w:ascii="宋体" w:hAnsi="宋体" w:cs="宋体" w:eastAsia="宋体" w:hint="default"/>
        </w:rPr>
        <w:t>5</w:t>
      </w:r>
      <w:r>
        <w:rPr/>
        <w:t>、金融资产（不含应收款项）减值测试方法</w:t>
      </w:r>
    </w:p>
    <w:p>
      <w:pPr>
        <w:pStyle w:val="BodyText"/>
        <w:spacing w:line="355" w:lineRule="auto" w:before="30"/>
        <w:ind w:left="140" w:right="0" w:firstLine="420"/>
        <w:jc w:val="left"/>
      </w:pPr>
      <w:r>
        <w:rPr>
          <w:spacing w:val="-3"/>
        </w:rPr>
        <w:t>（</w:t>
      </w:r>
      <w:r>
        <w:rPr>
          <w:rFonts w:ascii="宋体" w:hAnsi="宋体" w:cs="宋体" w:eastAsia="宋体" w:hint="default"/>
          <w:spacing w:val="-3"/>
        </w:rPr>
        <w:t>1</w:t>
      </w:r>
      <w:r>
        <w:rPr>
          <w:spacing w:val="-3"/>
        </w:rPr>
        <w:t>）本公司在资产负债表日对金融资产（不含应收款项）的账面价值进行检查，有客观证据表明发生减值的，</w:t>
      </w:r>
      <w:r>
        <w:rPr>
          <w:w w:val="100"/>
        </w:rPr>
        <w:t> </w:t>
      </w:r>
      <w:r>
        <w:rPr/>
        <w:t>计提减值准备。</w:t>
      </w:r>
    </w:p>
    <w:p>
      <w:pPr>
        <w:pStyle w:val="BodyText"/>
        <w:spacing w:line="357" w:lineRule="auto"/>
        <w:ind w:right="0"/>
        <w:jc w:val="left"/>
      </w:pPr>
      <w:r>
        <w:rPr/>
        <w:t>（</w:t>
      </w:r>
      <w:r>
        <w:rPr>
          <w:rFonts w:ascii="宋体" w:hAnsi="宋体" w:cs="宋体" w:eastAsia="宋体" w:hint="default"/>
        </w:rPr>
        <w:t>2</w:t>
      </w:r>
      <w:r>
        <w:rPr/>
        <w:t>）持有至到期投资：根据账面价值与预计未来现金流量的现值之间的差额计算确认减值损失。</w:t>
      </w:r>
      <w:r>
        <w:rPr>
          <w:w w:val="100"/>
        </w:rPr>
        <w:t> </w:t>
      </w:r>
      <w:r>
        <w:rPr>
          <w:spacing w:val="-3"/>
        </w:rPr>
        <w:t>可供出售金融资产：有客观证据表明可供出售金融资产公允价值发生较大幅度下降，并预期这种下降趋势属于</w:t>
      </w:r>
    </w:p>
    <w:p>
      <w:pPr>
        <w:pStyle w:val="BodyText"/>
        <w:spacing w:line="355" w:lineRule="auto" w:before="30"/>
        <w:ind w:left="140" w:right="0"/>
        <w:jc w:val="left"/>
      </w:pPr>
      <w:r>
        <w:rPr>
          <w:spacing w:val="-3"/>
        </w:rPr>
        <w:t>非暂时性的，可以认定该可供出售金融资产已发生减值，确认减值损失。可供出售金融资产发生减值的，在确认减</w:t>
      </w:r>
      <w:r>
        <w:rPr>
          <w:spacing w:val="2"/>
        </w:rPr>
        <w:t> </w:t>
      </w:r>
      <w:r>
        <w:rPr>
          <w:spacing w:val="2"/>
        </w:rPr>
      </w:r>
      <w:r>
        <w:rPr>
          <w:spacing w:val="-3"/>
        </w:rPr>
        <w:t>值损失时，应当将原直接计入所有者权益的公允价值下降形成的累计损失一并转出，计入减值损失。该转出的累积</w:t>
      </w:r>
    </w:p>
    <w:p>
      <w:pPr>
        <w:spacing w:after="0" w:line="355" w:lineRule="auto"/>
        <w:jc w:val="left"/>
        <w:sectPr>
          <w:pgSz w:w="11910" w:h="16840"/>
          <w:pgMar w:header="720" w:footer="956" w:top="1300" w:bottom="1140" w:left="580" w:right="0"/>
        </w:sectPr>
      </w:pPr>
    </w:p>
    <w:p>
      <w:pPr>
        <w:pStyle w:val="BodyText"/>
        <w:spacing w:line="357" w:lineRule="auto" w:before="19"/>
        <w:ind w:left="240" w:right="606"/>
        <w:jc w:val="left"/>
      </w:pPr>
      <w:r>
        <w:rPr/>
        <w:pict>
          <v:group style="position:absolute;margin-left:34.560001pt;margin-top:2.293643pt;width:508.3pt;height:.1pt;mso-position-horizontal-relative:page;mso-position-vertical-relative:paragraph;z-index:-533656" coordorigin="691,46" coordsize="10166,2">
            <v:shape style="position:absolute;left:691;top:46;width:10166;height:2" coordorigin="691,46" coordsize="10166,0" path="m691,46l10857,46e" filled="false" stroked="true" strokeweight=".72pt" strokecolor="#000000">
              <v:path arrowok="t"/>
            </v:shape>
            <w10:wrap type="none"/>
          </v:group>
        </w:pict>
      </w:r>
      <w:r>
        <w:rPr>
          <w:spacing w:val="-3"/>
        </w:rPr>
        <w:t>损失，等于可供出售金融资产的初始取得成本扣除已收回本金和已摊销金额、当前公允价值和原已计入损益的减值</w:t>
      </w:r>
      <w:r>
        <w:rPr>
          <w:spacing w:val="-1"/>
        </w:rPr>
        <w:t> </w:t>
      </w:r>
      <w:r>
        <w:rPr>
          <w:spacing w:val="-1"/>
        </w:rPr>
      </w:r>
      <w:r>
        <w:rPr/>
        <w:t>损失后的余额。</w:t>
      </w:r>
    </w:p>
    <w:p>
      <w:pPr>
        <w:pStyle w:val="BodyText"/>
        <w:spacing w:line="357" w:lineRule="auto" w:before="30"/>
        <w:ind w:left="240" w:right="711" w:firstLine="420"/>
        <w:jc w:val="both"/>
      </w:pPr>
      <w:r>
        <w:rPr>
          <w:spacing w:val="-3"/>
        </w:rPr>
        <w:t>对于已确认减值损失的可供出售债务工具，在随后的会计期间公允价值已上升且客观上与确认原减值损失后发</w:t>
      </w:r>
      <w:r>
        <w:rPr>
          <w:w w:val="100"/>
        </w:rPr>
        <w:t> </w:t>
      </w:r>
      <w:r>
        <w:rPr>
          <w:spacing w:val="-3"/>
        </w:rPr>
        <w:t>生的事项有关的，原确认的减值损失予以转回，计入当期损益。可供出售权益工具投资发生的减值损失，在该权益</w:t>
      </w:r>
      <w:r>
        <w:rPr>
          <w:spacing w:val="2"/>
        </w:rPr>
        <w:t> </w:t>
      </w:r>
      <w:r>
        <w:rPr>
          <w:spacing w:val="2"/>
        </w:rPr>
      </w:r>
      <w:r>
        <w:rPr/>
        <w:t>工具价值回升时，通过权益转回，不通过损益转回。</w:t>
      </w:r>
    </w:p>
    <w:p>
      <w:pPr>
        <w:pStyle w:val="BodyText"/>
        <w:spacing w:line="355" w:lineRule="auto" w:before="30"/>
        <w:ind w:left="240" w:right="711" w:firstLine="412"/>
        <w:jc w:val="both"/>
      </w:pPr>
      <w:r>
        <w:rPr>
          <w:spacing w:val="-2"/>
        </w:rPr>
        <w:t>表明金融资产发生减值的客观证据，是指在该金融资产初始确认后实际发生的，对该金融资产的预计未来现金</w:t>
      </w:r>
      <w:r>
        <w:rPr>
          <w:w w:val="100"/>
        </w:rPr>
        <w:t> </w:t>
      </w:r>
      <w:r>
        <w:rPr/>
        <w:t>流量有影响，且本公司能够对该影响进行可靠计量的事项。</w:t>
      </w:r>
    </w:p>
    <w:p>
      <w:pPr>
        <w:pStyle w:val="Heading4"/>
        <w:spacing w:line="240" w:lineRule="auto" w:before="32"/>
        <w:ind w:right="606"/>
        <w:jc w:val="left"/>
        <w:rPr>
          <w:b w:val="0"/>
          <w:bCs w:val="0"/>
        </w:rPr>
      </w:pPr>
      <w:r>
        <w:rPr/>
        <w:t>（十）应收款项</w:t>
      </w:r>
      <w:r>
        <w:rPr>
          <w:b w:val="0"/>
          <w:bCs w:val="0"/>
        </w:rPr>
      </w:r>
    </w:p>
    <w:p>
      <w:pPr>
        <w:pStyle w:val="BodyText"/>
        <w:spacing w:line="240" w:lineRule="auto" w:before="133"/>
        <w:ind w:left="765" w:right="606"/>
        <w:jc w:val="left"/>
      </w:pPr>
      <w:r>
        <w:rPr>
          <w:rFonts w:ascii="宋体" w:hAnsi="宋体" w:cs="宋体" w:eastAsia="宋体" w:hint="default"/>
        </w:rPr>
        <w:t>(1)</w:t>
      </w:r>
      <w:r>
        <w:rPr>
          <w:rFonts w:ascii="宋体" w:hAnsi="宋体" w:cs="宋体" w:eastAsia="宋体" w:hint="default"/>
          <w:spacing w:val="-5"/>
        </w:rPr>
        <w:t> </w:t>
      </w:r>
      <w:r>
        <w:rPr/>
        <w:t>单项金额重大的应收款项坏账准备的确认标准、计提方法：</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339"/>
        <w:gridCol w:w="7359"/>
      </w:tblGrid>
      <w:tr>
        <w:trPr>
          <w:trHeight w:val="723" w:hRule="exact"/>
        </w:trPr>
        <w:tc>
          <w:tcPr>
            <w:tcW w:w="3339" w:type="dxa"/>
            <w:tcBorders>
              <w:top w:val="single" w:sz="12"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单项金额重大的应收款项坏账准备的确</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认标准</w:t>
            </w:r>
          </w:p>
        </w:tc>
        <w:tc>
          <w:tcPr>
            <w:tcW w:w="7359"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3"/>
              <w:ind w:left="100" w:right="0"/>
              <w:jc w:val="left"/>
              <w:rPr>
                <w:rFonts w:ascii="宋体" w:hAnsi="宋体" w:cs="宋体" w:eastAsia="宋体" w:hint="default"/>
                <w:sz w:val="18"/>
                <w:szCs w:val="18"/>
              </w:rPr>
            </w:pPr>
            <w:r>
              <w:rPr>
                <w:rFonts w:ascii="宋体" w:hAnsi="宋体" w:cs="宋体" w:eastAsia="宋体" w:hint="default"/>
                <w:sz w:val="18"/>
                <w:szCs w:val="18"/>
              </w:rPr>
              <w:t>单项金额重大的应收款项为期末余额在</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万元以上的应收款项</w:t>
            </w:r>
          </w:p>
        </w:tc>
      </w:tr>
      <w:tr>
        <w:trPr>
          <w:trHeight w:val="1073" w:hRule="exact"/>
        </w:trPr>
        <w:tc>
          <w:tcPr>
            <w:tcW w:w="3339" w:type="dxa"/>
            <w:tcBorders>
              <w:top w:val="single" w:sz="6" w:space="0" w:color="000000"/>
              <w:left w:val="nil" w:sz="6" w:space="0" w:color="auto"/>
              <w:bottom w:val="single" w:sz="12" w:space="0" w:color="000000"/>
              <w:right w:val="single" w:sz="6" w:space="0" w:color="000000"/>
            </w:tcBorders>
          </w:tcPr>
          <w:p>
            <w:pPr>
              <w:pStyle w:val="TableParagraph"/>
              <w:spacing w:line="357" w:lineRule="auto" w:before="142"/>
              <w:ind w:left="122" w:right="105"/>
              <w:jc w:val="left"/>
              <w:rPr>
                <w:rFonts w:ascii="宋体" w:hAnsi="宋体" w:cs="宋体" w:eastAsia="宋体" w:hint="default"/>
                <w:sz w:val="18"/>
                <w:szCs w:val="18"/>
              </w:rPr>
            </w:pPr>
            <w:r>
              <w:rPr>
                <w:rFonts w:ascii="宋体" w:hAnsi="宋体" w:cs="宋体" w:eastAsia="宋体" w:hint="default"/>
                <w:spacing w:val="2"/>
                <w:sz w:val="18"/>
                <w:szCs w:val="18"/>
              </w:rPr>
              <w:t>单项金额重大的应收款项坏账准备的计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提方法</w:t>
            </w:r>
          </w:p>
        </w:tc>
        <w:tc>
          <w:tcPr>
            <w:tcW w:w="7359" w:type="dxa"/>
            <w:tcBorders>
              <w:top w:val="single" w:sz="6" w:space="0" w:color="000000"/>
              <w:left w:val="single" w:sz="6" w:space="0" w:color="000000"/>
              <w:bottom w:val="single" w:sz="12" w:space="0" w:color="000000"/>
              <w:right w:val="nil" w:sz="6" w:space="0" w:color="auto"/>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本公司对单项金额重大的应收款项单独进行减值测试，如有客观证据表明其已发生减值，确</w:t>
            </w:r>
          </w:p>
          <w:p>
            <w:pPr>
              <w:pStyle w:val="TableParagraph"/>
              <w:spacing w:line="357" w:lineRule="auto" w:before="115"/>
              <w:ind w:left="100" w:right="107"/>
              <w:jc w:val="left"/>
              <w:rPr>
                <w:rFonts w:ascii="宋体" w:hAnsi="宋体" w:cs="宋体" w:eastAsia="宋体" w:hint="default"/>
                <w:sz w:val="18"/>
                <w:szCs w:val="18"/>
              </w:rPr>
            </w:pPr>
            <w:r>
              <w:rPr>
                <w:rFonts w:ascii="宋体" w:hAnsi="宋体" w:cs="宋体" w:eastAsia="宋体" w:hint="default"/>
                <w:spacing w:val="-2"/>
                <w:sz w:val="18"/>
                <w:szCs w:val="18"/>
              </w:rPr>
              <w:t>认减值损失，计提坏账准备；如无客观证据表明其已发生减值，则对单项金额重大的应收款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项按账龄分析法计提坏账准备。</w:t>
            </w:r>
          </w:p>
        </w:tc>
      </w:tr>
    </w:tbl>
    <w:p>
      <w:pPr>
        <w:pStyle w:val="BodyText"/>
        <w:spacing w:line="240" w:lineRule="auto" w:before="86"/>
        <w:ind w:left="660" w:right="606"/>
        <w:jc w:val="left"/>
      </w:pPr>
      <w:r>
        <w:rPr>
          <w:rFonts w:ascii="宋体" w:hAnsi="宋体" w:cs="宋体" w:eastAsia="宋体" w:hint="default"/>
        </w:rPr>
        <w:t>(2)</w:t>
      </w:r>
      <w:r>
        <w:rPr>
          <w:rFonts w:ascii="宋体" w:hAnsi="宋体" w:cs="宋体" w:eastAsia="宋体" w:hint="default"/>
          <w:spacing w:val="1"/>
        </w:rPr>
        <w:t> </w:t>
      </w:r>
      <w:r>
        <w:rPr/>
        <w:t>账龄分析法</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339"/>
        <w:gridCol w:w="3363"/>
        <w:gridCol w:w="3997"/>
      </w:tblGrid>
      <w:tr>
        <w:trPr>
          <w:trHeight w:val="372" w:hRule="exact"/>
        </w:trPr>
        <w:tc>
          <w:tcPr>
            <w:tcW w:w="3339" w:type="dxa"/>
            <w:tcBorders>
              <w:top w:val="single" w:sz="12" w:space="0" w:color="000000"/>
              <w:left w:val="nil" w:sz="6" w:space="0" w:color="auto"/>
              <w:bottom w:val="single" w:sz="6" w:space="0" w:color="000000"/>
              <w:right w:val="single" w:sz="6" w:space="0" w:color="000000"/>
            </w:tcBorders>
          </w:tcPr>
          <w:p>
            <w:pPr>
              <w:pStyle w:val="TableParagraph"/>
              <w:spacing w:line="203" w:lineRule="exact"/>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363"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left="818"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宋体" w:hAnsi="宋体" w:cs="宋体" w:eastAsia="宋体" w:hint="default"/>
                <w:sz w:val="18"/>
                <w:szCs w:val="18"/>
              </w:rPr>
              <w:t>(%)</w:t>
            </w:r>
          </w:p>
        </w:tc>
        <w:tc>
          <w:tcPr>
            <w:tcW w:w="3997" w:type="dxa"/>
            <w:tcBorders>
              <w:top w:val="single" w:sz="12" w:space="0" w:color="000000"/>
              <w:left w:val="single" w:sz="6" w:space="0" w:color="000000"/>
              <w:bottom w:val="single" w:sz="6" w:space="0" w:color="000000"/>
              <w:right w:val="nil" w:sz="6" w:space="0" w:color="auto"/>
            </w:tcBorders>
          </w:tcPr>
          <w:p>
            <w:pPr>
              <w:pStyle w:val="TableParagraph"/>
              <w:spacing w:line="203" w:lineRule="exact"/>
              <w:ind w:left="1043"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宋体" w:hAnsi="宋体" w:cs="宋体" w:eastAsia="宋体" w:hint="default"/>
                <w:sz w:val="18"/>
                <w:szCs w:val="18"/>
              </w:rPr>
              <w:t>(%)</w:t>
            </w:r>
          </w:p>
        </w:tc>
      </w:tr>
      <w:tr>
        <w:trPr>
          <w:trHeight w:val="365" w:hRule="exact"/>
        </w:trPr>
        <w:tc>
          <w:tcPr>
            <w:tcW w:w="333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75" w:right="0"/>
              <w:jc w:val="center"/>
              <w:rPr>
                <w:rFonts w:ascii="宋体" w:hAnsi="宋体" w:cs="宋体" w:eastAsia="宋体" w:hint="default"/>
                <w:sz w:val="18"/>
                <w:szCs w:val="18"/>
              </w:rPr>
            </w:pPr>
            <w:r>
              <w:rPr>
                <w:rFonts w:ascii="宋体"/>
                <w:sz w:val="18"/>
              </w:rPr>
              <w:t>6</w:t>
            </w:r>
          </w:p>
        </w:tc>
        <w:tc>
          <w:tcPr>
            <w:tcW w:w="3997"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left="364" w:right="0"/>
              <w:jc w:val="center"/>
              <w:rPr>
                <w:rFonts w:ascii="宋体" w:hAnsi="宋体" w:cs="宋体" w:eastAsia="宋体" w:hint="default"/>
                <w:sz w:val="18"/>
                <w:szCs w:val="18"/>
              </w:rPr>
            </w:pPr>
            <w:r>
              <w:rPr>
                <w:rFonts w:ascii="宋体"/>
                <w:sz w:val="18"/>
              </w:rPr>
              <w:t>6</w:t>
            </w:r>
          </w:p>
        </w:tc>
      </w:tr>
      <w:tr>
        <w:trPr>
          <w:trHeight w:val="365" w:hRule="exact"/>
        </w:trPr>
        <w:tc>
          <w:tcPr>
            <w:tcW w:w="333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75" w:right="0"/>
              <w:jc w:val="center"/>
              <w:rPr>
                <w:rFonts w:ascii="宋体" w:hAnsi="宋体" w:cs="宋体" w:eastAsia="宋体" w:hint="default"/>
                <w:sz w:val="18"/>
                <w:szCs w:val="18"/>
              </w:rPr>
            </w:pPr>
            <w:r>
              <w:rPr>
                <w:rFonts w:ascii="宋体"/>
                <w:sz w:val="18"/>
              </w:rPr>
              <w:t>8</w:t>
            </w:r>
          </w:p>
        </w:tc>
        <w:tc>
          <w:tcPr>
            <w:tcW w:w="3997"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left="364" w:right="0"/>
              <w:jc w:val="center"/>
              <w:rPr>
                <w:rFonts w:ascii="宋体" w:hAnsi="宋体" w:cs="宋体" w:eastAsia="宋体" w:hint="default"/>
                <w:sz w:val="18"/>
                <w:szCs w:val="18"/>
              </w:rPr>
            </w:pPr>
            <w:r>
              <w:rPr>
                <w:rFonts w:ascii="宋体"/>
                <w:sz w:val="18"/>
              </w:rPr>
              <w:t>8</w:t>
            </w:r>
          </w:p>
        </w:tc>
      </w:tr>
      <w:tr>
        <w:trPr>
          <w:trHeight w:val="365" w:hRule="exact"/>
        </w:trPr>
        <w:tc>
          <w:tcPr>
            <w:tcW w:w="3339"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376" w:right="0"/>
              <w:jc w:val="center"/>
              <w:rPr>
                <w:rFonts w:ascii="宋体" w:hAnsi="宋体" w:cs="宋体" w:eastAsia="宋体" w:hint="default"/>
                <w:sz w:val="18"/>
                <w:szCs w:val="18"/>
              </w:rPr>
            </w:pPr>
            <w:r>
              <w:rPr>
                <w:rFonts w:ascii="宋体"/>
                <w:sz w:val="18"/>
              </w:rPr>
              <w:t>10</w:t>
            </w:r>
          </w:p>
        </w:tc>
        <w:tc>
          <w:tcPr>
            <w:tcW w:w="3997"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370" w:right="0"/>
              <w:jc w:val="center"/>
              <w:rPr>
                <w:rFonts w:ascii="宋体" w:hAnsi="宋体" w:cs="宋体" w:eastAsia="宋体" w:hint="default"/>
                <w:sz w:val="18"/>
                <w:szCs w:val="18"/>
              </w:rPr>
            </w:pPr>
            <w:r>
              <w:rPr>
                <w:rFonts w:ascii="宋体"/>
                <w:sz w:val="18"/>
              </w:rPr>
              <w:t>10</w:t>
            </w:r>
          </w:p>
        </w:tc>
      </w:tr>
      <w:tr>
        <w:trPr>
          <w:trHeight w:val="368" w:hRule="exact"/>
        </w:trPr>
        <w:tc>
          <w:tcPr>
            <w:tcW w:w="3339"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4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62" w:right="0"/>
              <w:jc w:val="center"/>
              <w:rPr>
                <w:rFonts w:ascii="宋体" w:hAnsi="宋体" w:cs="宋体" w:eastAsia="宋体" w:hint="default"/>
                <w:sz w:val="18"/>
                <w:szCs w:val="18"/>
              </w:rPr>
            </w:pPr>
            <w:r>
              <w:rPr>
                <w:rFonts w:ascii="宋体"/>
                <w:sz w:val="18"/>
              </w:rPr>
              <w:t>20</w:t>
            </w:r>
          </w:p>
        </w:tc>
        <w:tc>
          <w:tcPr>
            <w:tcW w:w="3997"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left="355" w:right="0"/>
              <w:jc w:val="center"/>
              <w:rPr>
                <w:rFonts w:ascii="宋体" w:hAnsi="宋体" w:cs="宋体" w:eastAsia="宋体" w:hint="default"/>
                <w:sz w:val="18"/>
                <w:szCs w:val="18"/>
              </w:rPr>
            </w:pPr>
            <w:r>
              <w:rPr>
                <w:rFonts w:ascii="宋体"/>
                <w:sz w:val="18"/>
              </w:rPr>
              <w:t>20</w:t>
            </w:r>
          </w:p>
        </w:tc>
      </w:tr>
      <w:tr>
        <w:trPr>
          <w:trHeight w:val="365" w:hRule="exact"/>
        </w:trPr>
        <w:tc>
          <w:tcPr>
            <w:tcW w:w="333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62" w:right="0"/>
              <w:jc w:val="center"/>
              <w:rPr>
                <w:rFonts w:ascii="宋体" w:hAnsi="宋体" w:cs="宋体" w:eastAsia="宋体" w:hint="default"/>
                <w:sz w:val="18"/>
                <w:szCs w:val="18"/>
              </w:rPr>
            </w:pPr>
            <w:r>
              <w:rPr>
                <w:rFonts w:ascii="宋体"/>
                <w:sz w:val="18"/>
              </w:rPr>
              <w:t>30</w:t>
            </w:r>
          </w:p>
        </w:tc>
        <w:tc>
          <w:tcPr>
            <w:tcW w:w="3997"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left="355" w:right="0"/>
              <w:jc w:val="center"/>
              <w:rPr>
                <w:rFonts w:ascii="宋体" w:hAnsi="宋体" w:cs="宋体" w:eastAsia="宋体" w:hint="default"/>
                <w:sz w:val="18"/>
                <w:szCs w:val="18"/>
              </w:rPr>
            </w:pPr>
            <w:r>
              <w:rPr>
                <w:rFonts w:ascii="宋体"/>
                <w:sz w:val="18"/>
              </w:rPr>
              <w:t>30</w:t>
            </w:r>
          </w:p>
        </w:tc>
      </w:tr>
      <w:tr>
        <w:trPr>
          <w:trHeight w:val="365" w:hRule="exact"/>
        </w:trPr>
        <w:tc>
          <w:tcPr>
            <w:tcW w:w="333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3363"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360" w:right="0"/>
              <w:jc w:val="center"/>
              <w:rPr>
                <w:rFonts w:ascii="宋体" w:hAnsi="宋体" w:cs="宋体" w:eastAsia="宋体" w:hint="default"/>
                <w:sz w:val="18"/>
                <w:szCs w:val="18"/>
              </w:rPr>
            </w:pPr>
            <w:r>
              <w:rPr>
                <w:rFonts w:ascii="宋体"/>
                <w:sz w:val="18"/>
              </w:rPr>
              <w:t>50</w:t>
            </w:r>
          </w:p>
        </w:tc>
        <w:tc>
          <w:tcPr>
            <w:tcW w:w="3997"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left="354" w:right="0"/>
              <w:jc w:val="center"/>
              <w:rPr>
                <w:rFonts w:ascii="宋体" w:hAnsi="宋体" w:cs="宋体" w:eastAsia="宋体" w:hint="default"/>
                <w:sz w:val="18"/>
                <w:szCs w:val="18"/>
              </w:rPr>
            </w:pPr>
            <w:r>
              <w:rPr>
                <w:rFonts w:ascii="宋体"/>
                <w:sz w:val="18"/>
              </w:rPr>
              <w:t>50</w:t>
            </w:r>
          </w:p>
        </w:tc>
      </w:tr>
      <w:tr>
        <w:trPr>
          <w:trHeight w:val="715" w:hRule="exact"/>
        </w:trPr>
        <w:tc>
          <w:tcPr>
            <w:tcW w:w="33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计提坏账准备的说明</w:t>
            </w:r>
          </w:p>
        </w:tc>
        <w:tc>
          <w:tcPr>
            <w:tcW w:w="7359" w:type="dxa"/>
            <w:gridSpan w:val="2"/>
            <w:tcBorders>
              <w:top w:val="single" w:sz="6" w:space="0" w:color="000000"/>
              <w:left w:val="single" w:sz="6" w:space="0" w:color="000000"/>
              <w:bottom w:val="single" w:sz="6" w:space="0" w:color="000000"/>
              <w:right w:val="nil" w:sz="6" w:space="0" w:color="auto"/>
            </w:tcBorders>
          </w:tcPr>
          <w:p>
            <w:pPr>
              <w:pStyle w:val="TableParagraph"/>
              <w:spacing w:line="203" w:lineRule="exact"/>
              <w:ind w:left="100" w:right="0"/>
              <w:jc w:val="left"/>
              <w:rPr>
                <w:rFonts w:ascii="宋体" w:hAnsi="宋体" w:cs="宋体" w:eastAsia="宋体" w:hint="default"/>
                <w:sz w:val="18"/>
                <w:szCs w:val="18"/>
              </w:rPr>
            </w:pPr>
            <w:r>
              <w:rPr>
                <w:rFonts w:ascii="宋体" w:hAnsi="宋体" w:cs="宋体" w:eastAsia="宋体" w:hint="default"/>
                <w:sz w:val="18"/>
                <w:szCs w:val="18"/>
              </w:rPr>
              <w:t>对于期末单项金额非重大、采用与经单独测试后未减值的非关联方的应收款项，按应收款项</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账龄余额的百分比分析计提坏账准备，期末与期初坏账准备余额之差计入资产减值损失。</w:t>
            </w:r>
          </w:p>
        </w:tc>
      </w:tr>
      <w:tr>
        <w:trPr>
          <w:trHeight w:val="1423" w:hRule="exact"/>
        </w:trPr>
        <w:tc>
          <w:tcPr>
            <w:tcW w:w="3339"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其他计提法说明</w:t>
            </w:r>
          </w:p>
        </w:tc>
        <w:tc>
          <w:tcPr>
            <w:tcW w:w="7359" w:type="dxa"/>
            <w:gridSpan w:val="2"/>
            <w:tcBorders>
              <w:top w:val="single" w:sz="6" w:space="0" w:color="000000"/>
              <w:left w:val="single" w:sz="6" w:space="0" w:color="000000"/>
              <w:bottom w:val="single" w:sz="12" w:space="0" w:color="000000"/>
              <w:right w:val="nil" w:sz="6" w:space="0" w:color="auto"/>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z w:val="18"/>
                <w:szCs w:val="18"/>
              </w:rPr>
              <w:t>期末对于合并报表范围内的公司及关联方的应收款项单独进行减值测试。如有客观证据表明</w:t>
            </w:r>
          </w:p>
          <w:p>
            <w:pPr>
              <w:pStyle w:val="TableParagraph"/>
              <w:spacing w:line="357" w:lineRule="auto" w:before="115"/>
              <w:ind w:left="100" w:right="108"/>
              <w:jc w:val="both"/>
              <w:rPr>
                <w:rFonts w:ascii="宋体" w:hAnsi="宋体" w:cs="宋体" w:eastAsia="宋体" w:hint="default"/>
                <w:sz w:val="18"/>
                <w:szCs w:val="18"/>
              </w:rPr>
            </w:pPr>
            <w:r>
              <w:rPr>
                <w:rFonts w:ascii="宋体" w:hAnsi="宋体" w:cs="宋体" w:eastAsia="宋体" w:hint="default"/>
                <w:spacing w:val="-2"/>
                <w:sz w:val="18"/>
                <w:szCs w:val="18"/>
              </w:rPr>
              <w:t>其发生了减值的，根据其未来现金流量现值低于其账面价值的差额，确认减值损失，计提坏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账准备。如无客观证据表明其发生减值的，则对关联方的应收款项按账龄分析法计提坏账准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备；对合并报表范围内的公司不计提坏账准备。</w:t>
            </w:r>
          </w:p>
        </w:tc>
      </w:tr>
    </w:tbl>
    <w:p>
      <w:pPr>
        <w:spacing w:line="357" w:lineRule="auto" w:before="86"/>
        <w:ind w:left="660" w:right="9388" w:hanging="8"/>
        <w:jc w:val="left"/>
        <w:rPr>
          <w:rFonts w:ascii="宋体" w:hAnsi="宋体" w:cs="宋体" w:eastAsia="宋体" w:hint="default"/>
          <w:sz w:val="21"/>
          <w:szCs w:val="21"/>
        </w:rPr>
      </w:pPr>
      <w:r>
        <w:rPr>
          <w:rFonts w:ascii="宋体" w:hAnsi="宋体" w:cs="宋体" w:eastAsia="宋体" w:hint="default"/>
          <w:b/>
          <w:bCs/>
          <w:sz w:val="21"/>
          <w:szCs w:val="21"/>
        </w:rPr>
        <w:t>（十一）存货</w:t>
      </w:r>
      <w:r>
        <w:rPr>
          <w:rFonts w:ascii="宋体" w:hAnsi="宋体" w:cs="宋体" w:eastAsia="宋体" w:hint="default"/>
          <w:b/>
          <w:bCs/>
          <w:spacing w:val="-104"/>
          <w:sz w:val="21"/>
          <w:szCs w:val="21"/>
        </w:rPr>
        <w:t> </w:t>
      </w:r>
      <w:r>
        <w:rPr>
          <w:rFonts w:ascii="宋体" w:hAnsi="宋体" w:cs="宋体" w:eastAsia="宋体" w:hint="default"/>
          <w:spacing w:val="-1"/>
          <w:sz w:val="21"/>
          <w:szCs w:val="21"/>
        </w:rPr>
        <w:t>1</w:t>
      </w:r>
      <w:r>
        <w:rPr>
          <w:rFonts w:ascii="宋体" w:hAnsi="宋体" w:cs="宋体" w:eastAsia="宋体" w:hint="default"/>
          <w:spacing w:val="-1"/>
          <w:sz w:val="21"/>
          <w:szCs w:val="21"/>
        </w:rPr>
        <w:t>、存货分类：</w:t>
      </w:r>
    </w:p>
    <w:p>
      <w:pPr>
        <w:pStyle w:val="BodyText"/>
        <w:spacing w:line="355" w:lineRule="auto"/>
        <w:ind w:left="240" w:right="713" w:firstLine="420"/>
        <w:jc w:val="both"/>
      </w:pPr>
      <w:r>
        <w:rPr>
          <w:spacing w:val="-3"/>
        </w:rPr>
        <w:t>存货是指本公司在日常活动中持有以备出售的产成品或商品、处在生产过程中的在产品、在生产过程或提供劳</w:t>
      </w:r>
      <w:r>
        <w:rPr>
          <w:w w:val="100"/>
        </w:rPr>
        <w:t> </w:t>
      </w:r>
      <w:r>
        <w:rPr>
          <w:spacing w:val="-3"/>
        </w:rPr>
        <w:t>务过程中耗用的材料和物料等。本公司存货包括库存商品、原材料、包装物、在产品、自制半成品、消耗性生物资 </w:t>
      </w:r>
      <w:r>
        <w:rPr>
          <w:spacing w:val="-3"/>
        </w:rPr>
      </w:r>
      <w:r>
        <w:rPr/>
        <w:t>产等。</w:t>
      </w:r>
    </w:p>
    <w:p>
      <w:pPr>
        <w:pStyle w:val="BodyText"/>
        <w:spacing w:line="357" w:lineRule="auto"/>
        <w:ind w:left="660" w:right="4341"/>
        <w:jc w:val="left"/>
      </w:pPr>
      <w:r>
        <w:rPr>
          <w:rFonts w:ascii="宋体" w:hAnsi="宋体" w:cs="宋体" w:eastAsia="宋体" w:hint="default"/>
        </w:rPr>
        <w:t>2</w:t>
      </w:r>
      <w:r>
        <w:rPr/>
        <w:t>、存货取得和发出的计价方法：</w:t>
      </w:r>
      <w:r>
        <w:rPr>
          <w:w w:val="100"/>
        </w:rPr>
        <w:t> </w:t>
      </w:r>
      <w:r>
        <w:rPr>
          <w:spacing w:val="-2"/>
        </w:rPr>
        <w:t>存货在取得时按实际成本计价，领用和发出时按加权平均法计价。</w:t>
      </w:r>
      <w:r>
        <w:rPr>
          <w:spacing w:val="-49"/>
        </w:rPr>
        <w:t> </w:t>
      </w:r>
      <w:r>
        <w:rPr>
          <w:spacing w:val="-49"/>
        </w:rPr>
      </w:r>
      <w:r>
        <w:rPr>
          <w:rFonts w:ascii="宋体" w:hAnsi="宋体" w:cs="宋体" w:eastAsia="宋体" w:hint="default"/>
        </w:rPr>
        <w:t>3</w:t>
      </w:r>
      <w:r>
        <w:rPr/>
        <w:t>、存货的盘存制度为永续盘存制。</w:t>
      </w:r>
    </w:p>
    <w:p>
      <w:pPr>
        <w:spacing w:after="0" w:line="357" w:lineRule="auto"/>
        <w:jc w:val="left"/>
        <w:sectPr>
          <w:pgSz w:w="11910" w:h="16840"/>
          <w:pgMar w:header="720" w:footer="956" w:top="1300" w:bottom="1140" w:left="480" w:right="0"/>
        </w:sectPr>
      </w:pPr>
    </w:p>
    <w:p>
      <w:pPr>
        <w:pStyle w:val="BodyText"/>
        <w:spacing w:line="357" w:lineRule="auto" w:before="19"/>
        <w:ind w:right="0"/>
        <w:jc w:val="left"/>
      </w:pPr>
      <w:r>
        <w:rPr/>
        <w:pict>
          <v:group style="position:absolute;margin-left:34.560001pt;margin-top:2.293643pt;width:508.3pt;height:.1pt;mso-position-horizontal-relative:page;mso-position-vertical-relative:paragraph;z-index:-533632"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rPr>
        <w:t>4</w:t>
      </w:r>
      <w:r>
        <w:rPr/>
        <w:t>、存货跌价准备的确认标准及计提方法：</w:t>
      </w:r>
      <w:r>
        <w:rPr>
          <w:w w:val="100"/>
        </w:rPr>
        <w:t> </w:t>
      </w:r>
      <w:r>
        <w:rPr>
          <w:spacing w:val="-2"/>
        </w:rPr>
        <w:t>本公司存货按照成本与可变现净值孰低计量。可变现净值，是指在日常活动中，存货的估计售价减去至完工时</w:t>
      </w:r>
    </w:p>
    <w:p>
      <w:pPr>
        <w:pStyle w:val="BodyText"/>
        <w:spacing w:line="357" w:lineRule="auto" w:before="30"/>
        <w:ind w:left="140" w:right="677"/>
        <w:jc w:val="both"/>
      </w:pPr>
      <w:r>
        <w:rPr>
          <w:spacing w:val="-2"/>
        </w:rPr>
        <w:t>估计将要发生的成本、估计的销售费用以及相关税费后的金额。其中：商品存货的可变现净值为估计售价减去估计</w:t>
      </w:r>
      <w:r>
        <w:rPr>
          <w:spacing w:val="-32"/>
        </w:rPr>
        <w:t> </w:t>
      </w:r>
      <w:r>
        <w:rPr>
          <w:spacing w:val="-32"/>
        </w:rPr>
      </w:r>
      <w:r>
        <w:rPr>
          <w:spacing w:val="-2"/>
        </w:rPr>
        <w:t>的销售费用以及相关税费后的金额；材料存货的可变现净值为产成品估计售价减去至完工时估计将要发生的成本、</w:t>
      </w:r>
      <w:r>
        <w:rPr>
          <w:spacing w:val="-14"/>
        </w:rPr>
        <w:t> </w:t>
      </w:r>
      <w:r>
        <w:rPr>
          <w:spacing w:val="-14"/>
        </w:rPr>
      </w:r>
      <w:r>
        <w:rPr/>
        <w:t>估计的销售费用以及相关税费后的金额。</w:t>
      </w:r>
    </w:p>
    <w:p>
      <w:pPr>
        <w:pStyle w:val="BodyText"/>
        <w:spacing w:line="355" w:lineRule="auto" w:before="30"/>
        <w:ind w:left="140" w:right="694" w:firstLine="420"/>
        <w:jc w:val="both"/>
      </w:pPr>
      <w:r>
        <w:rPr>
          <w:spacing w:val="-2"/>
        </w:rPr>
        <w:t>本公司确定存货的可变现净值，以取得的确凿证据为基础，并且考虑持有存货的目的、资产负债表日后事项的</w:t>
      </w:r>
      <w:r>
        <w:rPr>
          <w:w w:val="100"/>
        </w:rPr>
        <w:t> </w:t>
      </w:r>
      <w:r>
        <w:rPr>
          <w:spacing w:val="-2"/>
        </w:rPr>
        <w:t>影响等因素。为生产而持有的材料等，用其生产的产成品的可变现净值高于成本的，该材料仍然按照成本计量；材</w:t>
      </w:r>
      <w:r>
        <w:rPr>
          <w:spacing w:val="-31"/>
        </w:rPr>
        <w:t> </w:t>
      </w:r>
      <w:r>
        <w:rPr>
          <w:spacing w:val="-31"/>
        </w:rPr>
      </w:r>
      <w:r>
        <w:rPr/>
        <w:t>料价格的下降表明产成品的可变现净值低于成本的，该材料按照可变现净值计量。</w:t>
      </w:r>
    </w:p>
    <w:p>
      <w:pPr>
        <w:pStyle w:val="BodyText"/>
        <w:spacing w:line="357" w:lineRule="auto"/>
        <w:ind w:left="140" w:right="694" w:firstLine="420"/>
        <w:jc w:val="both"/>
      </w:pPr>
      <w:r>
        <w:rPr>
          <w:spacing w:val="-2"/>
        </w:rPr>
        <w:t>存货成本高于其可变现净值的，计提存货跌价准备，计入当期损益。本公司按照单个存货项目计提存货跌价准</w:t>
      </w:r>
      <w:r>
        <w:rPr>
          <w:w w:val="100"/>
        </w:rPr>
        <w:t> </w:t>
      </w:r>
      <w:r>
        <w:rPr/>
        <w:t>备。</w:t>
      </w:r>
    </w:p>
    <w:p>
      <w:pPr>
        <w:pStyle w:val="BodyText"/>
        <w:spacing w:line="355" w:lineRule="auto" w:before="31"/>
        <w:ind w:left="140" w:right="711" w:firstLine="412"/>
        <w:jc w:val="both"/>
      </w:pPr>
      <w:r>
        <w:rPr>
          <w:spacing w:val="-2"/>
        </w:rPr>
        <w:t>本公司于资产负债表日确定存货的可变现净值。以前减记存货价值的影响因素已经消失的，减记的金额予以恢</w:t>
      </w:r>
      <w:r>
        <w:rPr>
          <w:w w:val="100"/>
        </w:rPr>
        <w:t> </w:t>
      </w:r>
      <w:r>
        <w:rPr/>
        <w:t>复，并在原已计提的存货跌价准备金额内转回，转回的金额计入当期损益。</w:t>
      </w:r>
    </w:p>
    <w:p>
      <w:pPr>
        <w:spacing w:line="355" w:lineRule="auto" w:before="152"/>
        <w:ind w:left="560" w:right="8646" w:hanging="8"/>
        <w:jc w:val="left"/>
        <w:rPr>
          <w:rFonts w:ascii="宋体" w:hAnsi="宋体" w:cs="宋体" w:eastAsia="宋体" w:hint="default"/>
          <w:sz w:val="21"/>
          <w:szCs w:val="21"/>
        </w:rPr>
      </w:pPr>
      <w:r>
        <w:rPr>
          <w:rFonts w:ascii="宋体" w:hAnsi="宋体" w:cs="宋体" w:eastAsia="宋体" w:hint="default"/>
          <w:b/>
          <w:bCs/>
          <w:sz w:val="21"/>
          <w:szCs w:val="21"/>
        </w:rPr>
        <w:t>（十二）长期股权投资</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、投资成本确定</w:t>
      </w:r>
    </w:p>
    <w:p>
      <w:pPr>
        <w:pStyle w:val="BodyText"/>
        <w:spacing w:line="355" w:lineRule="auto" w:before="34"/>
        <w:ind w:right="705"/>
        <w:jc w:val="left"/>
      </w:pPr>
      <w:r>
        <w:rPr/>
        <w:t>（</w:t>
      </w:r>
      <w:r>
        <w:rPr>
          <w:rFonts w:ascii="宋体" w:hAnsi="宋体" w:cs="宋体" w:eastAsia="宋体" w:hint="default"/>
        </w:rPr>
        <w:t>1</w:t>
      </w:r>
      <w:r>
        <w:rPr/>
        <w:t>）同一控制下的企业合并取得的长期股权投资</w:t>
      </w:r>
      <w:r>
        <w:rPr>
          <w:w w:val="100"/>
        </w:rPr>
        <w:t> </w:t>
      </w:r>
      <w:r>
        <w:rPr/>
        <w:t>本公司对同一控制下企业合并采用权益结合法确定企业合并成本。</w:t>
      </w:r>
      <w:r>
        <w:rPr>
          <w:w w:val="100"/>
        </w:rPr>
        <w:t> </w:t>
      </w:r>
      <w:r>
        <w:rPr>
          <w:spacing w:val="-3"/>
        </w:rPr>
        <w:t>本公司以支付现金、转让非现金资产或承担债务方式以及以发行权益性证券作为合并对价的，在合并日按照取</w:t>
      </w:r>
    </w:p>
    <w:p>
      <w:pPr>
        <w:pStyle w:val="BodyText"/>
        <w:spacing w:line="357" w:lineRule="auto"/>
        <w:ind w:left="140" w:right="0"/>
        <w:jc w:val="left"/>
      </w:pPr>
      <w:r>
        <w:rPr>
          <w:spacing w:val="-3"/>
        </w:rPr>
        <w:t>得被合并方所有者权益账面价值的份额作为长期股权投资的投资成本。长期股权投资的投资成本与支付的现金、转</w:t>
      </w:r>
      <w:r>
        <w:rPr>
          <w:spacing w:val="2"/>
        </w:rPr>
        <w:t> </w:t>
      </w:r>
      <w:r>
        <w:rPr>
          <w:spacing w:val="2"/>
        </w:rPr>
      </w:r>
      <w:r>
        <w:rPr>
          <w:spacing w:val="-5"/>
          <w:w w:val="100"/>
        </w:rPr>
        <w:t>让的非现金资产或承担债务账面价值以及所发行股份面值总额之间的差额，调整资本公积（资本溢价或股本溢价）；</w:t>
      </w:r>
      <w:r>
        <w:rPr>
          <w:spacing w:val="-63"/>
          <w:w w:val="100"/>
        </w:rPr>
        <w:t> </w:t>
      </w:r>
      <w:r>
        <w:rPr>
          <w:spacing w:val="-63"/>
          <w:w w:val="100"/>
        </w:rPr>
      </w:r>
      <w:r>
        <w:rPr>
          <w:spacing w:val="-3"/>
        </w:rPr>
        <w:t>资本公积（资本溢价或股本溢价）不足冲减的，调整留存收益。合并发生的各项直接相关费用，包括为进行合并而</w:t>
      </w:r>
      <w:r>
        <w:rPr/>
        <w:t> </w:t>
      </w:r>
      <w:r>
        <w:rPr/>
        <w:t>支付的审计费用、评估费用、法律服务费用等，于发生时计入当期损益。</w:t>
      </w:r>
    </w:p>
    <w:p>
      <w:pPr>
        <w:pStyle w:val="BodyText"/>
        <w:spacing w:line="357" w:lineRule="auto" w:before="30"/>
        <w:ind w:left="140" w:right="677" w:firstLine="420"/>
        <w:jc w:val="both"/>
      </w:pPr>
      <w:r>
        <w:rPr>
          <w:spacing w:val="-2"/>
        </w:rPr>
        <w:t>同一控制下企业合并形成的长期股权投资，如子公司按照改制时确定的资产、负债评估价值调整账面价值的，</w:t>
      </w:r>
      <w:r>
        <w:rPr>
          <w:w w:val="100"/>
        </w:rPr>
        <w:t> </w:t>
      </w:r>
      <w:r>
        <w:rPr>
          <w:spacing w:val="-3"/>
        </w:rPr>
        <w:t>本公司应当按照取得子公司经评估确认净资产的份额作为长期股权投资的成本，该成本与支付对价账面价值的差额</w:t>
      </w:r>
      <w:r>
        <w:rPr>
          <w:spacing w:val="3"/>
        </w:rPr>
        <w:t> </w:t>
      </w:r>
      <w:r>
        <w:rPr>
          <w:spacing w:val="3"/>
        </w:rPr>
      </w:r>
      <w:r>
        <w:rPr/>
        <w:t>调整所有者权益。</w:t>
      </w:r>
    </w:p>
    <w:p>
      <w:pPr>
        <w:pStyle w:val="BodyText"/>
        <w:spacing w:line="355" w:lineRule="auto" w:before="30"/>
        <w:ind w:right="0"/>
        <w:jc w:val="left"/>
      </w:pPr>
      <w:r>
        <w:rPr/>
        <w:t>（</w:t>
      </w:r>
      <w:r>
        <w:rPr>
          <w:rFonts w:ascii="宋体" w:hAnsi="宋体" w:cs="宋体" w:eastAsia="宋体" w:hint="default"/>
        </w:rPr>
        <w:t>2</w:t>
      </w:r>
      <w:r>
        <w:rPr/>
        <w:t>）非同一控制下的企业合并取得的长期股权投资</w:t>
      </w:r>
      <w:r>
        <w:rPr>
          <w:w w:val="100"/>
        </w:rPr>
        <w:t> </w:t>
      </w:r>
      <w:r>
        <w:rPr>
          <w:spacing w:val="-3"/>
        </w:rPr>
        <w:t>本公司对非同一控制下的控股合并采用购买法确定企业合并成本，并按照确定的企业合并成本作为长期股权投</w:t>
      </w:r>
    </w:p>
    <w:p>
      <w:pPr>
        <w:pStyle w:val="BodyText"/>
        <w:spacing w:line="357" w:lineRule="auto"/>
        <w:ind w:left="140" w:right="711"/>
        <w:jc w:val="both"/>
      </w:pPr>
      <w:r>
        <w:rPr>
          <w:spacing w:val="-3"/>
        </w:rPr>
        <w:t>资的初始投资成本。企业合并成本包括购买日为取得对被购买方的控制权而付出的资产、发生或承担的负债以及发</w:t>
      </w:r>
      <w:r>
        <w:rPr>
          <w:spacing w:val="-1"/>
        </w:rPr>
        <w:t> </w:t>
      </w:r>
      <w:r>
        <w:rPr>
          <w:spacing w:val="-1"/>
        </w:rPr>
      </w:r>
      <w:r>
        <w:rPr/>
        <w:t>行的权益性证券的公允价值以及为进行企业合并发生的各项直接相关费用之和。通过多次交易分布实现的企业合</w:t>
      </w:r>
      <w:r>
        <w:rPr>
          <w:spacing w:val="51"/>
        </w:rPr>
        <w:t> </w:t>
      </w:r>
      <w:r>
        <w:rPr>
          <w:spacing w:val="51"/>
        </w:rPr>
      </w:r>
      <w:r>
        <w:rPr>
          <w:spacing w:val="-3"/>
        </w:rPr>
        <w:t>并，其企业合并成本为每一单项交易的成本之和。采用吸收合并时，企业合并成本大于合并中取得的被购买方可辨</w:t>
      </w:r>
      <w:r>
        <w:rPr>
          <w:spacing w:val="1"/>
        </w:rPr>
        <w:t> </w:t>
      </w:r>
      <w:r>
        <w:rPr>
          <w:spacing w:val="1"/>
        </w:rPr>
      </w:r>
      <w:r>
        <w:rPr>
          <w:spacing w:val="-3"/>
        </w:rPr>
        <w:t>认净资产公允价值份额的差额，在个别财务报表中确认为商誉；采用控股合并时，合并成本大于在合并中取得的各</w:t>
      </w:r>
      <w:r>
        <w:rPr>
          <w:spacing w:val="2"/>
        </w:rPr>
        <w:t> </w:t>
      </w:r>
      <w:r>
        <w:rPr>
          <w:spacing w:val="2"/>
        </w:rPr>
      </w:r>
      <w:r>
        <w:rPr>
          <w:spacing w:val="-3"/>
        </w:rPr>
        <w:t>项可辨认资产、负债公允价值份额的差额，在编制合并财务报表时确认为商誉；合并成本小于合并中取得的被购买</w:t>
      </w:r>
      <w:r>
        <w:rPr>
          <w:spacing w:val="1"/>
        </w:rPr>
        <w:t> </w:t>
      </w:r>
      <w:r>
        <w:rPr>
          <w:spacing w:val="1"/>
        </w:rPr>
      </w:r>
      <w:r>
        <w:rPr/>
        <w:t>方可辨认净资产公允价值份额的差额，计入合并当期损益。</w:t>
      </w:r>
    </w:p>
    <w:p>
      <w:pPr>
        <w:pStyle w:val="BodyText"/>
        <w:spacing w:line="355" w:lineRule="auto"/>
        <w:ind w:right="3357"/>
        <w:jc w:val="left"/>
      </w:pPr>
      <w:r>
        <w:rPr/>
        <w:t>（</w:t>
      </w:r>
      <w:r>
        <w:rPr>
          <w:rFonts w:ascii="宋体" w:hAnsi="宋体" w:cs="宋体" w:eastAsia="宋体" w:hint="default"/>
        </w:rPr>
        <w:t>3</w:t>
      </w:r>
      <w:r>
        <w:rPr/>
        <w:t>）其他方式取得的长期股权投资</w:t>
      </w:r>
      <w:r>
        <w:rPr>
          <w:w w:val="100"/>
        </w:rPr>
        <w:t> </w:t>
      </w:r>
      <w:r>
        <w:rPr/>
        <w:t>以支付现金取得的长期股权投资，按照实际支付的购买价款作为初始投资成本。</w:t>
      </w:r>
    </w:p>
    <w:p>
      <w:pPr>
        <w:pStyle w:val="BodyText"/>
        <w:spacing w:line="240" w:lineRule="auto"/>
        <w:ind w:right="0"/>
        <w:jc w:val="left"/>
      </w:pPr>
      <w:r>
        <w:rPr>
          <w:spacing w:val="-3"/>
        </w:rPr>
        <w:t>以发行权益性证券取得的长期股权投资，按照所发行权益性证券的公允价值（不包括自被投资单位收取的已宣</w:t>
      </w:r>
    </w:p>
    <w:p>
      <w:pPr>
        <w:spacing w:after="0" w:line="240" w:lineRule="auto"/>
        <w:jc w:val="left"/>
        <w:sectPr>
          <w:pgSz w:w="11910" w:h="16840"/>
          <w:pgMar w:header="720" w:footer="956" w:top="1300" w:bottom="1140" w:left="580" w:right="0"/>
        </w:sectPr>
      </w:pPr>
    </w:p>
    <w:p>
      <w:pPr>
        <w:pStyle w:val="BodyText"/>
        <w:spacing w:line="357" w:lineRule="auto" w:before="19"/>
        <w:ind w:right="0" w:hanging="420"/>
        <w:jc w:val="left"/>
      </w:pPr>
      <w:r>
        <w:rPr/>
        <w:pict>
          <v:group style="position:absolute;margin-left:34.560001pt;margin-top:2.293643pt;width:508.3pt;height:.1pt;mso-position-horizontal-relative:page;mso-position-vertical-relative:paragraph;z-index:-533608" coordorigin="691,46" coordsize="10166,2">
            <v:shape style="position:absolute;left:691;top:46;width:10166;height:2" coordorigin="691,46" coordsize="10166,0" path="m691,46l10857,46e" filled="false" stroked="true" strokeweight=".72pt" strokecolor="#000000">
              <v:path arrowok="t"/>
            </v:shape>
            <w10:wrap type="none"/>
          </v:group>
        </w:pict>
      </w:r>
      <w:r>
        <w:rPr/>
        <w:t>告但未发放的现金股利或利润）作为初始投资成本。</w:t>
      </w:r>
      <w:r>
        <w:rPr>
          <w:w w:val="100"/>
        </w:rPr>
        <w:t> </w:t>
      </w:r>
      <w:r>
        <w:rPr>
          <w:spacing w:val="-3"/>
        </w:rPr>
        <w:t>投资者投入的长期股权投资，按照投资合同或协议约定的价值作为初始投资成本，但合同或协议约定的价值不</w:t>
      </w:r>
    </w:p>
    <w:p>
      <w:pPr>
        <w:pStyle w:val="BodyText"/>
        <w:spacing w:line="240" w:lineRule="auto" w:before="30"/>
        <w:ind w:left="140" w:right="0"/>
        <w:jc w:val="left"/>
      </w:pPr>
      <w:r>
        <w:rPr/>
        <w:t>公允的除外。</w:t>
      </w:r>
    </w:p>
    <w:p>
      <w:pPr>
        <w:pStyle w:val="BodyText"/>
        <w:spacing w:line="357" w:lineRule="auto" w:before="133"/>
        <w:ind w:left="140" w:right="711" w:firstLine="420"/>
        <w:jc w:val="both"/>
      </w:pPr>
      <w:r>
        <w:rPr>
          <w:spacing w:val="-3"/>
        </w:rPr>
        <w:t>在非货币性资产交换具备商业实质和换入资产或换出资产的公允价值能够可靠计量的前提下，非货币性资产交</w:t>
      </w:r>
      <w:r>
        <w:rPr>
          <w:w w:val="100"/>
        </w:rPr>
        <w:t> </w:t>
      </w:r>
      <w:r>
        <w:rPr>
          <w:spacing w:val="-3"/>
        </w:rPr>
        <w:t>换换入的长期股权投资以换出资产的公允价值为基础确定其初始投资成本，除非有确凿证据表明换入资产的公允价</w:t>
      </w:r>
      <w:r>
        <w:rPr>
          <w:spacing w:val="3"/>
        </w:rPr>
        <w:t> </w:t>
      </w:r>
      <w:r>
        <w:rPr>
          <w:spacing w:val="3"/>
        </w:rPr>
      </w:r>
      <w:r>
        <w:rPr>
          <w:spacing w:val="-3"/>
        </w:rPr>
        <w:t>值更加可靠；不满足上述前提的非货币性资产交换，以换出资产的账面价值和应支付的相关税费作为换入长期股权</w:t>
      </w:r>
      <w:r>
        <w:rPr>
          <w:spacing w:val="-1"/>
        </w:rPr>
        <w:t> </w:t>
      </w:r>
      <w:r>
        <w:rPr>
          <w:spacing w:val="-1"/>
        </w:rPr>
      </w:r>
      <w:r>
        <w:rPr/>
        <w:t>投资的初始投资成本。</w:t>
      </w:r>
    </w:p>
    <w:p>
      <w:pPr>
        <w:pStyle w:val="BodyText"/>
        <w:spacing w:line="357" w:lineRule="auto" w:before="30"/>
        <w:ind w:right="1266"/>
        <w:jc w:val="left"/>
      </w:pPr>
      <w:r>
        <w:rPr/>
        <w:t>通过债务重组取得的长期股权投资，其初始投资成本按照公允价值为基础确定。</w:t>
      </w:r>
      <w:r>
        <w:rPr>
          <w:w w:val="100"/>
        </w:rPr>
        <w:t> </w:t>
      </w:r>
      <w:r>
        <w:rPr>
          <w:rFonts w:ascii="宋体" w:hAnsi="宋体" w:cs="宋体" w:eastAsia="宋体" w:hint="default"/>
        </w:rPr>
        <w:t>2</w:t>
      </w:r>
      <w:r>
        <w:rPr/>
        <w:t>、后续计量及损益确认方法</w:t>
      </w:r>
      <w:r>
        <w:rPr>
          <w:w w:val="100"/>
        </w:rPr>
        <w:t> </w:t>
      </w:r>
      <w:r>
        <w:rPr>
          <w:spacing w:val="-2"/>
        </w:rPr>
        <w:t>本公司对子公司的长期股权投资，采用成本法核算，编制合并财务报表时按照权益法进行调整。</w:t>
      </w:r>
    </w:p>
    <w:p>
      <w:pPr>
        <w:pStyle w:val="BodyText"/>
        <w:spacing w:line="355" w:lineRule="auto" w:before="31"/>
        <w:ind w:left="140" w:right="714" w:firstLine="420"/>
        <w:jc w:val="both"/>
      </w:pPr>
      <w:r>
        <w:rPr>
          <w:spacing w:val="-3"/>
        </w:rPr>
        <w:t>对被投资单位不具有共同控制或重大影响，并且在活跃市场中没有报价、公允价值不能可靠计量的长期股权投</w:t>
      </w:r>
      <w:r>
        <w:rPr>
          <w:w w:val="100"/>
        </w:rPr>
        <w:t> </w:t>
      </w:r>
      <w:r>
        <w:rPr/>
        <w:t>资，采用成本法核算。</w:t>
      </w:r>
    </w:p>
    <w:p>
      <w:pPr>
        <w:pStyle w:val="BodyText"/>
        <w:spacing w:line="240" w:lineRule="auto"/>
        <w:ind w:right="0"/>
        <w:jc w:val="left"/>
      </w:pPr>
      <w:r>
        <w:rPr/>
        <w:t>对被投资单位具有共同控制或重大影响的长期股权投资，采用权益法核算。按权益法核算长期股权投资时：</w:t>
      </w:r>
    </w:p>
    <w:p>
      <w:pPr>
        <w:pStyle w:val="BodyText"/>
        <w:spacing w:line="357" w:lineRule="auto" w:before="133"/>
        <w:ind w:left="140" w:right="711" w:firstLine="420"/>
        <w:jc w:val="both"/>
      </w:pPr>
      <w:r>
        <w:rPr/>
        <w:t>（</w:t>
      </w:r>
      <w:r>
        <w:rPr>
          <w:rFonts w:ascii="宋体" w:hAnsi="宋体" w:cs="宋体" w:eastAsia="宋体" w:hint="default"/>
        </w:rPr>
        <w:t>1</w:t>
      </w:r>
      <w:r>
        <w:rPr/>
        <w:t>）长期股权投资的初始投资成本大于投资时应享有被投资单位可辨认净资产公允价值份额的，不调整长期</w:t>
      </w:r>
      <w:r>
        <w:rPr>
          <w:w w:val="100"/>
        </w:rPr>
        <w:t> </w:t>
      </w:r>
      <w:r>
        <w:rPr>
          <w:spacing w:val="-3"/>
        </w:rPr>
        <w:t>股权投资的初始投资成本；长期股权投资的初始投资成本小于投资时应享有被投资单位可辨认净资产公允价值份额</w:t>
      </w:r>
      <w:r>
        <w:rPr>
          <w:spacing w:val="2"/>
        </w:rPr>
        <w:t> </w:t>
      </w:r>
      <w:r>
        <w:rPr>
          <w:spacing w:val="2"/>
        </w:rPr>
      </w:r>
      <w:r>
        <w:rPr/>
        <w:t>的，其差额应当计入当期损益，同时调整长期股权投资的成本。</w:t>
      </w:r>
    </w:p>
    <w:p>
      <w:pPr>
        <w:pStyle w:val="BodyText"/>
        <w:spacing w:line="357" w:lineRule="auto" w:before="30"/>
        <w:ind w:left="140" w:right="711" w:firstLine="420"/>
        <w:jc w:val="both"/>
      </w:pPr>
      <w:r>
        <w:rPr/>
        <w:t>（</w:t>
      </w:r>
      <w:r>
        <w:rPr>
          <w:rFonts w:ascii="宋体" w:hAnsi="宋体" w:cs="宋体" w:eastAsia="宋体" w:hint="default"/>
        </w:rPr>
        <w:t>2</w:t>
      </w:r>
      <w:r>
        <w:rPr/>
        <w:t>）取得长期股权投资后，按照应享有或应分担的被投资单位实现的净损益的份额，确认投资损益并调整长</w:t>
      </w:r>
      <w:r>
        <w:rPr>
          <w:w w:val="100"/>
        </w:rPr>
        <w:t> </w:t>
      </w:r>
      <w:r>
        <w:rPr>
          <w:spacing w:val="-3"/>
        </w:rPr>
        <w:t>期股权投资的账面价值。在确认应享有或应分担的被投资单位实现的净损益的份额时，以取得投资时被投资单位各</w:t>
      </w:r>
      <w:r>
        <w:rPr>
          <w:spacing w:val="-1"/>
        </w:rPr>
        <w:t> </w:t>
      </w:r>
      <w:r>
        <w:rPr>
          <w:spacing w:val="-1"/>
        </w:rPr>
      </w:r>
      <w:r>
        <w:rPr>
          <w:spacing w:val="-3"/>
        </w:rPr>
        <w:t>项可辨认资产的公允价值为基础，按照本公司的会计政策及会计期间，并抵消与联营企业及合营企业之间发生的未</w:t>
      </w:r>
      <w:r>
        <w:rPr>
          <w:spacing w:val="-1"/>
        </w:rPr>
        <w:t> </w:t>
      </w:r>
      <w:r>
        <w:rPr>
          <w:spacing w:val="-1"/>
        </w:rPr>
      </w:r>
      <w:r>
        <w:rPr>
          <w:spacing w:val="-3"/>
        </w:rPr>
        <w:t>实现内部交易损益按照持股比例计算归属于本公司的部分（但未实现内部交易损失属于资产减值损失的，应全额确</w:t>
      </w:r>
      <w:r>
        <w:rPr>
          <w:spacing w:val="2"/>
        </w:rPr>
        <w:t> </w:t>
      </w:r>
      <w:r>
        <w:rPr>
          <w:spacing w:val="2"/>
        </w:rPr>
      </w:r>
      <w:r>
        <w:rPr>
          <w:spacing w:val="-7"/>
          <w:w w:val="100"/>
        </w:rPr>
        <w:t>认），对被投资单位的净利润进行调整后确认。</w:t>
      </w:r>
    </w:p>
    <w:p>
      <w:pPr>
        <w:pStyle w:val="BodyText"/>
        <w:spacing w:line="355" w:lineRule="auto" w:before="30"/>
        <w:ind w:left="140" w:right="715" w:firstLine="420"/>
        <w:jc w:val="both"/>
      </w:pPr>
      <w:r>
        <w:rPr/>
        <w:t>（</w:t>
      </w:r>
      <w:r>
        <w:rPr>
          <w:rFonts w:ascii="宋体" w:hAnsi="宋体" w:cs="宋体" w:eastAsia="宋体" w:hint="default"/>
        </w:rPr>
        <w:t>3</w:t>
      </w:r>
      <w:r>
        <w:rPr/>
        <w:t>）确认被投资单位发生的净亏损，以长期股权投资的账面价值以及其他实质上构成对被投资单位净投资的</w:t>
      </w:r>
      <w:r>
        <w:rPr>
          <w:w w:val="100"/>
        </w:rPr>
        <w:t> </w:t>
      </w:r>
      <w:r>
        <w:rPr/>
        <w:t>长期权益减记至零为限，但合同或协议约定负有承担额外损失义务的除外。</w:t>
      </w:r>
    </w:p>
    <w:p>
      <w:pPr>
        <w:pStyle w:val="BodyText"/>
        <w:spacing w:line="355" w:lineRule="auto" w:before="34"/>
        <w:ind w:right="0"/>
        <w:jc w:val="left"/>
      </w:pPr>
      <w:r>
        <w:rPr/>
        <w:t>（</w:t>
      </w:r>
      <w:r>
        <w:rPr>
          <w:rFonts w:ascii="宋体" w:hAnsi="宋体" w:cs="宋体" w:eastAsia="宋体" w:hint="default"/>
        </w:rPr>
        <w:t>4</w:t>
      </w:r>
      <w:r>
        <w:rPr/>
        <w:t>）被投资单位宣告分派的利润或现金股利计算应分得的部分，相应冲减长期股权投资的账面价值。</w:t>
      </w:r>
      <w:r>
        <w:rPr>
          <w:w w:val="100"/>
        </w:rPr>
        <w:t> </w:t>
      </w:r>
      <w:r>
        <w:rPr>
          <w:spacing w:val="-2"/>
        </w:rPr>
        <w:t>对于被投资单位除净损益以外所有者权益的其他变动，在持股比例不变的情况下，本公司按照持股比例计算应</w:t>
      </w:r>
    </w:p>
    <w:p>
      <w:pPr>
        <w:pStyle w:val="BodyText"/>
        <w:spacing w:line="355" w:lineRule="auto"/>
        <w:ind w:right="0" w:hanging="420"/>
        <w:jc w:val="left"/>
      </w:pPr>
      <w:r>
        <w:rPr>
          <w:spacing w:val="-2"/>
        </w:rPr>
        <w:t>享有或承担的部分，调整长期股权投资的账面价值，同时增加或减少资本公积。</w:t>
      </w:r>
      <w:r>
        <w:rPr>
          <w:spacing w:val="-38"/>
        </w:rPr>
        <w:t> </w:t>
      </w:r>
      <w:r>
        <w:rPr>
          <w:spacing w:val="-38"/>
        </w:rPr>
      </w:r>
      <w:r>
        <w:rPr>
          <w:rFonts w:ascii="宋体" w:hAnsi="宋体" w:cs="宋体" w:eastAsia="宋体" w:hint="default"/>
        </w:rPr>
        <w:t>3</w:t>
      </w:r>
      <w:r>
        <w:rPr/>
        <w:t>、确定对被投资单位具有共同控制、重大影响的依据</w:t>
      </w:r>
    </w:p>
    <w:p>
      <w:pPr>
        <w:pStyle w:val="BodyText"/>
        <w:spacing w:line="357" w:lineRule="auto" w:before="33"/>
        <w:ind w:right="0"/>
        <w:jc w:val="left"/>
      </w:pPr>
      <w:r>
        <w:rPr/>
        <w:t>（</w:t>
      </w:r>
      <w:r>
        <w:rPr>
          <w:rFonts w:ascii="宋体" w:hAnsi="宋体" w:cs="宋体" w:eastAsia="宋体" w:hint="default"/>
        </w:rPr>
        <w:t>1</w:t>
      </w:r>
      <w:r>
        <w:rPr/>
        <w:t>）共同控制的判断依据：</w:t>
      </w:r>
      <w:r>
        <w:rPr>
          <w:w w:val="100"/>
        </w:rPr>
        <w:t> </w:t>
      </w:r>
      <w:r>
        <w:rPr>
          <w:spacing w:val="-3"/>
        </w:rPr>
        <w:t>共同控制是指，按照合同约定对某项经济活动共有的控制。一般在合营企业设立时，合营各方在投资合同或协</w:t>
      </w:r>
    </w:p>
    <w:p>
      <w:pPr>
        <w:pStyle w:val="BodyText"/>
        <w:spacing w:line="355" w:lineRule="auto" w:before="30"/>
        <w:ind w:left="140" w:right="0"/>
        <w:jc w:val="left"/>
      </w:pPr>
      <w:r>
        <w:rPr>
          <w:spacing w:val="-3"/>
        </w:rPr>
        <w:t>议中约定在所设立合营企业的重要财务和生产经营决策制定过程中，必须由合营各方均同意才能通过。在确定是否</w:t>
      </w:r>
      <w:r>
        <w:rPr>
          <w:spacing w:val="2"/>
        </w:rPr>
        <w:t> </w:t>
      </w:r>
      <w:r>
        <w:rPr>
          <w:spacing w:val="2"/>
        </w:rPr>
      </w:r>
      <w:r>
        <w:rPr/>
        <w:t>构成共同控制时，一般以以下三种情况作为确定基础：</w:t>
      </w:r>
    </w:p>
    <w:p>
      <w:pPr>
        <w:pStyle w:val="BodyText"/>
        <w:spacing w:line="357" w:lineRule="auto"/>
        <w:ind w:right="0"/>
        <w:jc w:val="left"/>
      </w:pPr>
      <w:r>
        <w:rPr>
          <w:rFonts w:ascii="宋体" w:hAnsi="宋体" w:cs="宋体" w:eastAsia="宋体" w:hint="default"/>
        </w:rPr>
        <w:t>A</w:t>
      </w:r>
      <w:r>
        <w:rPr/>
        <w:t>、任何一个合营方均不能单独控制合营企业的生产经营活动。</w:t>
      </w:r>
      <w:r>
        <w:rPr>
          <w:w w:val="100"/>
        </w:rPr>
        <w:t> </w:t>
      </w:r>
      <w:r>
        <w:rPr>
          <w:rFonts w:ascii="宋体" w:hAnsi="宋体" w:cs="宋体" w:eastAsia="宋体" w:hint="default"/>
        </w:rPr>
        <w:t>B</w:t>
      </w:r>
      <w:r>
        <w:rPr/>
        <w:t>、涉及合营企业基本经营活动的决策需要各合营方一致同意。</w:t>
      </w:r>
      <w:r>
        <w:rPr>
          <w:w w:val="100"/>
        </w:rPr>
        <w:t> </w:t>
      </w:r>
      <w:r>
        <w:rPr>
          <w:rFonts w:ascii="宋体" w:hAnsi="宋体" w:cs="宋体" w:eastAsia="宋体" w:hint="default"/>
        </w:rPr>
        <w:t>C</w:t>
      </w:r>
      <w:r>
        <w:rPr/>
        <w:t>、各合营方可能通过合同或协议的形式任命其中的一个合营方涉对合营企业的日常活动进行管理。但其必须</w:t>
      </w:r>
    </w:p>
    <w:p>
      <w:pPr>
        <w:pStyle w:val="BodyText"/>
        <w:spacing w:line="240" w:lineRule="auto" w:before="30"/>
        <w:ind w:left="140" w:right="0"/>
        <w:jc w:val="left"/>
      </w:pPr>
      <w:r>
        <w:rPr/>
        <w:t>在各合营方已经一致同意的财务和经营政策范围内形式管理权。</w:t>
      </w:r>
    </w:p>
    <w:p>
      <w:pPr>
        <w:spacing w:after="0" w:line="240" w:lineRule="auto"/>
        <w:jc w:val="left"/>
        <w:sectPr>
          <w:pgSz w:w="11910" w:h="16840"/>
          <w:pgMar w:header="720" w:footer="956" w:top="1300" w:bottom="1140" w:left="580" w:right="0"/>
        </w:sectPr>
      </w:pPr>
    </w:p>
    <w:p>
      <w:pPr>
        <w:pStyle w:val="BodyText"/>
        <w:spacing w:line="357" w:lineRule="auto" w:before="19"/>
        <w:ind w:right="0"/>
        <w:jc w:val="left"/>
      </w:pPr>
      <w:r>
        <w:rPr/>
        <w:pict>
          <v:group style="position:absolute;margin-left:34.560001pt;margin-top:2.293643pt;width:508.3pt;height:.1pt;mso-position-horizontal-relative:page;mso-position-vertical-relative:paragraph;z-index:-533584" coordorigin="691,46" coordsize="10166,2">
            <v:shape style="position:absolute;left:691;top:46;width:10166;height:2" coordorigin="691,46" coordsize="10166,0" path="m691,46l10857,46e" filled="false" stroked="true" strokeweight=".72pt" strokecolor="#000000">
              <v:path arrowok="t"/>
            </v:shape>
            <w10:wrap type="none"/>
          </v:group>
        </w:pict>
      </w:r>
      <w:r>
        <w:rPr/>
        <w:t>（</w:t>
      </w:r>
      <w:r>
        <w:rPr>
          <w:rFonts w:ascii="宋体" w:hAnsi="宋体" w:cs="宋体" w:eastAsia="宋体" w:hint="default"/>
        </w:rPr>
        <w:t>2</w:t>
      </w:r>
      <w:r>
        <w:rPr/>
        <w:t>）重大影响的判断依据：</w:t>
      </w:r>
      <w:r>
        <w:rPr>
          <w:w w:val="100"/>
        </w:rPr>
        <w:t> </w:t>
      </w:r>
      <w:r>
        <w:rPr>
          <w:spacing w:val="-3"/>
        </w:rPr>
        <w:t>重大影响是指对一个企业的财务和经营决策有参与决策的权利，但并不能够控制或者与其他方一起共同控制这</w:t>
      </w:r>
    </w:p>
    <w:p>
      <w:pPr>
        <w:pStyle w:val="BodyText"/>
        <w:spacing w:line="355" w:lineRule="auto" w:before="30"/>
        <w:ind w:right="3403" w:hanging="420"/>
        <w:jc w:val="left"/>
      </w:pPr>
      <w:r>
        <w:rPr>
          <w:spacing w:val="-2"/>
        </w:rPr>
        <w:t>些政策的制定。在确定是否构成重大影响时，一般以以下五种情况作为判断依据：</w:t>
      </w:r>
      <w:r>
        <w:rPr>
          <w:spacing w:val="-35"/>
        </w:rPr>
        <w:t> </w:t>
      </w:r>
      <w:r>
        <w:rPr>
          <w:spacing w:val="-35"/>
        </w:rPr>
      </w:r>
      <w:r>
        <w:rPr>
          <w:rFonts w:ascii="宋体" w:hAnsi="宋体" w:cs="宋体" w:eastAsia="宋体" w:hint="default"/>
        </w:rPr>
        <w:t>A</w:t>
      </w:r>
      <w:r>
        <w:rPr/>
        <w:t>、</w:t>
      </w:r>
      <w:r>
        <w:rPr>
          <w:spacing w:val="-3"/>
        </w:rPr>
        <w:t> </w:t>
      </w:r>
      <w:r>
        <w:rPr/>
        <w:t>在被投资单位的董事会或类似权利机构中派有代表。</w:t>
      </w:r>
    </w:p>
    <w:p>
      <w:pPr>
        <w:pStyle w:val="BodyText"/>
        <w:spacing w:line="240" w:lineRule="auto" w:before="34"/>
        <w:ind w:right="0"/>
        <w:jc w:val="left"/>
      </w:pPr>
      <w:r>
        <w:rPr>
          <w:rFonts w:ascii="宋体" w:hAnsi="宋体" w:cs="宋体" w:eastAsia="宋体" w:hint="default"/>
        </w:rPr>
        <w:t>B</w:t>
      </w:r>
      <w:r>
        <w:rPr/>
        <w:t>、</w:t>
      </w:r>
      <w:r>
        <w:rPr>
          <w:spacing w:val="-3"/>
        </w:rPr>
        <w:t> </w:t>
      </w:r>
      <w:r>
        <w:rPr/>
        <w:t>参与被投资单位的政策制定过程，包括股利分配政策等的制定。</w:t>
      </w:r>
    </w:p>
    <w:p>
      <w:pPr>
        <w:pStyle w:val="BodyText"/>
        <w:spacing w:line="355" w:lineRule="auto" w:before="133"/>
        <w:ind w:right="1929"/>
        <w:jc w:val="left"/>
      </w:pPr>
      <w:r>
        <w:rPr>
          <w:rFonts w:ascii="宋体" w:hAnsi="宋体" w:cs="宋体" w:eastAsia="宋体" w:hint="default"/>
        </w:rPr>
        <w:t>C</w:t>
      </w:r>
      <w:r>
        <w:rPr/>
        <w:t>、</w:t>
      </w:r>
      <w:r>
        <w:rPr>
          <w:spacing w:val="-3"/>
        </w:rPr>
        <w:t> </w:t>
      </w:r>
      <w:r>
        <w:rPr/>
        <w:t>与被投资单位之间发生重要交易，进而一定程度上可以影响到被投资单位的生产经营决策。</w:t>
      </w:r>
      <w:r>
        <w:rPr>
          <w:w w:val="100"/>
        </w:rPr>
        <w:t> </w:t>
      </w:r>
      <w:r>
        <w:rPr>
          <w:rFonts w:ascii="宋体" w:hAnsi="宋体" w:cs="宋体" w:eastAsia="宋体" w:hint="default"/>
        </w:rPr>
        <w:t>D</w:t>
      </w:r>
      <w:r>
        <w:rPr/>
        <w:t>、 向被投资单位派出管理人员。</w:t>
      </w:r>
    </w:p>
    <w:p>
      <w:pPr>
        <w:pStyle w:val="BodyText"/>
        <w:spacing w:line="355" w:lineRule="auto"/>
        <w:ind w:right="6134"/>
        <w:jc w:val="left"/>
      </w:pPr>
      <w:r>
        <w:rPr>
          <w:rFonts w:ascii="宋体" w:hAnsi="宋体" w:cs="宋体" w:eastAsia="宋体" w:hint="default"/>
        </w:rPr>
        <w:t>E</w:t>
      </w:r>
      <w:r>
        <w:rPr/>
        <w:t>、 向被投资单位提供关键技术。</w:t>
      </w:r>
      <w:r>
        <w:rPr>
          <w:w w:val="100"/>
        </w:rPr>
        <w:t> </w:t>
      </w:r>
      <w:r>
        <w:rPr>
          <w:rFonts w:ascii="宋体" w:hAnsi="宋体" w:cs="宋体" w:eastAsia="宋体" w:hint="default"/>
          <w:spacing w:val="-2"/>
        </w:rPr>
        <w:t>4</w:t>
      </w:r>
      <w:r>
        <w:rPr>
          <w:spacing w:val="-2"/>
        </w:rPr>
        <w:t>、减值测试方法及减值准备计提方法</w:t>
      </w:r>
    </w:p>
    <w:p>
      <w:pPr>
        <w:pStyle w:val="BodyText"/>
        <w:spacing w:line="357" w:lineRule="auto" w:before="34"/>
        <w:ind w:left="140" w:right="0" w:firstLine="420"/>
        <w:jc w:val="left"/>
      </w:pPr>
      <w:r>
        <w:rPr/>
        <w:t>（</w:t>
      </w:r>
      <w:r>
        <w:rPr>
          <w:rFonts w:ascii="宋体" w:hAnsi="宋体" w:cs="宋体" w:eastAsia="宋体" w:hint="default"/>
        </w:rPr>
        <w:t>1</w:t>
      </w:r>
      <w:r>
        <w:rPr/>
        <w:t>）本公司于资产负债表日对子公司长期股权投资、对合营企业长期股权投资、对联营企业长期股权投资估</w:t>
      </w:r>
      <w:r>
        <w:rPr>
          <w:w w:val="100"/>
        </w:rPr>
        <w:t> </w:t>
      </w:r>
      <w:r>
        <w:rPr>
          <w:spacing w:val="-3"/>
        </w:rPr>
        <w:t>计其可收回金额，可收回金额低于账面价值的，确认减值损失。可收回金额按资产的公允价值减去处置费用后的净</w:t>
      </w:r>
      <w:r>
        <w:rPr/>
        <w:t> </w:t>
      </w:r>
      <w:r>
        <w:rPr/>
      </w:r>
      <w:r>
        <w:rPr>
          <w:spacing w:val="-5"/>
        </w:rPr>
        <w:t>额与资产未来现金流量现值之间的较高者确定。对被投资单位不具有共同控制或重大影响、在活跃市场中没有报价、</w:t>
      </w:r>
      <w:r>
        <w:rPr>
          <w:spacing w:val="2"/>
        </w:rPr>
        <w:t> </w:t>
      </w:r>
      <w:r>
        <w:rPr>
          <w:spacing w:val="2"/>
        </w:rPr>
      </w:r>
      <w:r>
        <w:rPr>
          <w:spacing w:val="-3"/>
        </w:rPr>
        <w:t>公允价值不能可靠计量的长期股权投资，发生减值时将其账面价值与按类似金融资产当时市场收益率对未来现金流</w:t>
      </w:r>
      <w:r>
        <w:rPr>
          <w:spacing w:val="2"/>
        </w:rPr>
        <w:t> </w:t>
      </w:r>
      <w:r>
        <w:rPr>
          <w:spacing w:val="2"/>
        </w:rPr>
      </w:r>
      <w:r>
        <w:rPr/>
        <w:t>量折现确定的现值之间的差额确认为减值损失。减值损失计入当期损益，同时计提长期股权投资减值准备。</w:t>
      </w:r>
    </w:p>
    <w:p>
      <w:pPr>
        <w:pStyle w:val="BodyText"/>
        <w:spacing w:line="240" w:lineRule="auto"/>
        <w:ind w:right="0"/>
        <w:jc w:val="left"/>
      </w:pPr>
      <w:r>
        <w:rPr/>
        <w:t>长期股权投资减值准备一经确认，不再转回。</w:t>
      </w:r>
    </w:p>
    <w:p>
      <w:pPr>
        <w:pStyle w:val="BodyText"/>
        <w:spacing w:line="355" w:lineRule="auto" w:before="133"/>
        <w:ind w:right="0"/>
        <w:jc w:val="left"/>
      </w:pPr>
      <w:r>
        <w:rPr/>
        <w:t>（</w:t>
      </w:r>
      <w:r>
        <w:rPr>
          <w:rFonts w:ascii="宋体" w:hAnsi="宋体" w:cs="宋体" w:eastAsia="宋体" w:hint="default"/>
        </w:rPr>
        <w:t>2</w:t>
      </w:r>
      <w:r>
        <w:rPr/>
        <w:t>）商誉减值准备</w:t>
      </w:r>
      <w:r>
        <w:rPr>
          <w:w w:val="100"/>
        </w:rPr>
        <w:t> </w:t>
      </w:r>
      <w:r>
        <w:rPr>
          <w:spacing w:val="-2"/>
        </w:rPr>
        <w:t>因企业合并形成的商誉，本公司于每年年度终了进行减值测试，并根据测试情况确定是否计提减值准备。商誉</w:t>
      </w:r>
    </w:p>
    <w:p>
      <w:pPr>
        <w:pStyle w:val="BodyText"/>
        <w:spacing w:line="240" w:lineRule="auto"/>
        <w:ind w:left="140" w:right="0"/>
        <w:jc w:val="left"/>
      </w:pPr>
      <w:r>
        <w:rPr/>
        <w:t>减值准备一经确认，不再转回。</w:t>
      </w:r>
    </w:p>
    <w:p>
      <w:pPr>
        <w:spacing w:line="355" w:lineRule="auto" w:before="136"/>
        <w:ind w:left="538" w:right="8037" w:firstLine="14"/>
        <w:jc w:val="left"/>
        <w:rPr>
          <w:rFonts w:ascii="宋体" w:hAnsi="宋体" w:cs="宋体" w:eastAsia="宋体" w:hint="default"/>
          <w:sz w:val="21"/>
          <w:szCs w:val="21"/>
        </w:rPr>
      </w:pPr>
      <w:r>
        <w:rPr>
          <w:rFonts w:ascii="宋体" w:hAnsi="宋体" w:cs="宋体" w:eastAsia="宋体" w:hint="default"/>
          <w:b/>
          <w:bCs/>
          <w:sz w:val="21"/>
          <w:szCs w:val="21"/>
        </w:rPr>
        <w:t>（十三）投资性房地产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、投资性房地产的种类</w:t>
      </w:r>
    </w:p>
    <w:p>
      <w:pPr>
        <w:pStyle w:val="BodyText"/>
        <w:spacing w:line="355" w:lineRule="auto"/>
        <w:ind w:left="545" w:right="0" w:firstLine="14"/>
        <w:jc w:val="left"/>
      </w:pPr>
      <w:r>
        <w:rPr/>
        <w:t>投资性房地产分为：已出租的土地使用权、持有并准备增值后转让的土地使用权、已出租的建筑物。</w:t>
      </w:r>
      <w:r>
        <w:rPr>
          <w:w w:val="100"/>
        </w:rPr>
        <w:t> </w:t>
      </w:r>
      <w:r>
        <w:rPr>
          <w:rFonts w:ascii="宋体" w:hAnsi="宋体" w:cs="宋体" w:eastAsia="宋体" w:hint="default"/>
        </w:rPr>
        <w:t>2</w:t>
      </w:r>
      <w:r>
        <w:rPr/>
        <w:t>、投资性房地产的计量模式</w:t>
      </w:r>
      <w:r>
        <w:rPr>
          <w:w w:val="100"/>
        </w:rPr>
        <w:t> </w:t>
      </w:r>
      <w:r>
        <w:rPr>
          <w:spacing w:val="-2"/>
        </w:rPr>
        <w:t>本公司投资性房地产按照成本进行初始计量。外购投资性房地产的成本，包括购买价款、相关税费和可直接归</w:t>
      </w:r>
    </w:p>
    <w:p>
      <w:pPr>
        <w:pStyle w:val="BodyText"/>
        <w:spacing w:line="355" w:lineRule="auto" w:before="34"/>
        <w:ind w:left="140" w:right="705"/>
        <w:jc w:val="left"/>
      </w:pPr>
      <w:r>
        <w:rPr>
          <w:spacing w:val="-3"/>
        </w:rPr>
        <w:t>属于该资产的其他支出。自行建造投资性房地产的成本，由建造该项资产达到预定可使用状态前所发生的必要支出</w:t>
      </w:r>
      <w:r>
        <w:rPr>
          <w:spacing w:val="-1"/>
        </w:rPr>
        <w:t> </w:t>
      </w:r>
      <w:r>
        <w:rPr>
          <w:spacing w:val="-1"/>
        </w:rPr>
      </w:r>
      <w:r>
        <w:rPr/>
        <w:t>构成。</w:t>
      </w:r>
    </w:p>
    <w:p>
      <w:pPr>
        <w:pStyle w:val="BodyText"/>
        <w:spacing w:line="357" w:lineRule="auto"/>
        <w:ind w:left="140" w:right="711" w:firstLine="420"/>
        <w:jc w:val="both"/>
      </w:pPr>
      <w:r>
        <w:rPr>
          <w:spacing w:val="-3"/>
        </w:rPr>
        <w:t>本公司在资产负债表日采用成本模式对投资性房地产进行后续计量，按照固定资产和无形资产的规定，对投资</w:t>
      </w:r>
      <w:r>
        <w:rPr>
          <w:w w:val="100"/>
        </w:rPr>
        <w:t> </w:t>
      </w:r>
      <w:r>
        <w:rPr>
          <w:spacing w:val="-3"/>
        </w:rPr>
        <w:t>性房地产进行计量、计提折旧或摊销。存在减值迹象的，估计其可收回金额。投资性房地产的可收回金额低于其账</w:t>
      </w:r>
      <w:r>
        <w:rPr>
          <w:spacing w:val="-1"/>
        </w:rPr>
        <w:t> </w:t>
      </w:r>
      <w:r>
        <w:rPr>
          <w:spacing w:val="-1"/>
        </w:rPr>
      </w:r>
      <w:r>
        <w:rPr>
          <w:spacing w:val="-3"/>
        </w:rPr>
        <w:t>面价值的，将投资性房地产的账面价值减记至可收回金额，减记的金额确认为资产减值损失，计入当期损益，同时</w:t>
      </w:r>
      <w:r>
        <w:rPr>
          <w:spacing w:val="2"/>
        </w:rPr>
        <w:t> </w:t>
      </w:r>
      <w:r>
        <w:rPr>
          <w:spacing w:val="2"/>
        </w:rPr>
      </w:r>
      <w:r>
        <w:rPr>
          <w:spacing w:val="-3"/>
        </w:rPr>
        <w:t>计提相应的投资性房地产减值准备。投资性房地产减值损失确认后，减值投资性房地产的折旧或者摊销费用在未来</w:t>
      </w:r>
      <w:r>
        <w:rPr>
          <w:spacing w:val="-1"/>
        </w:rPr>
        <w:t> </w:t>
      </w:r>
      <w:r>
        <w:rPr>
          <w:spacing w:val="-1"/>
        </w:rPr>
      </w:r>
      <w:r>
        <w:rPr>
          <w:spacing w:val="-3"/>
        </w:rPr>
        <w:t>期间作相应调整，以使该投资性房地产在剩余使用寿命内，系统地分摊调整后的投资性房地产账面价值（扣除预计</w:t>
      </w:r>
      <w:r>
        <w:rPr/>
        <w:t> </w:t>
      </w:r>
      <w:r>
        <w:rPr/>
      </w:r>
      <w:r>
        <w:rPr>
          <w:spacing w:val="-22"/>
          <w:w w:val="100"/>
        </w:rPr>
        <w:t>净残值）。</w:t>
      </w:r>
    </w:p>
    <w:p>
      <w:pPr>
        <w:pStyle w:val="BodyText"/>
        <w:spacing w:line="240" w:lineRule="auto" w:before="30"/>
        <w:ind w:right="0"/>
        <w:jc w:val="left"/>
      </w:pPr>
      <w:r>
        <w:rPr/>
        <w:t>投资性房地产减值损失一经确认，在以后会计期间不能转回。</w:t>
      </w:r>
    </w:p>
    <w:p>
      <w:pPr>
        <w:spacing w:line="355" w:lineRule="auto" w:before="135"/>
        <w:ind w:left="560" w:right="8037" w:firstLine="0"/>
        <w:jc w:val="left"/>
        <w:rPr>
          <w:rFonts w:ascii="宋体" w:hAnsi="宋体" w:cs="宋体" w:eastAsia="宋体" w:hint="default"/>
          <w:sz w:val="21"/>
          <w:szCs w:val="21"/>
        </w:rPr>
      </w:pPr>
      <w:r>
        <w:rPr>
          <w:rFonts w:ascii="宋体" w:hAnsi="宋体" w:cs="宋体" w:eastAsia="宋体" w:hint="default"/>
          <w:b/>
          <w:bCs/>
          <w:sz w:val="21"/>
          <w:szCs w:val="21"/>
        </w:rPr>
        <w:t>（十四）固定资产</w:t>
      </w:r>
      <w:r>
        <w:rPr>
          <w:rFonts w:ascii="宋体" w:hAnsi="宋体" w:cs="宋体" w:eastAsia="宋体" w:hint="default"/>
          <w:b/>
          <w:bCs/>
          <w:spacing w:val="-103"/>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、固定资产确认条件</w:t>
      </w:r>
    </w:p>
    <w:p>
      <w:pPr>
        <w:pStyle w:val="BodyText"/>
        <w:spacing w:line="240" w:lineRule="auto"/>
        <w:ind w:right="0"/>
        <w:jc w:val="left"/>
      </w:pPr>
      <w:r>
        <w:rPr>
          <w:spacing w:val="-3"/>
        </w:rPr>
        <w:t>固定资产是指为生产商品、提供劳务、出租或经营管理，使用寿命超过一个会计年度而持有的有形资产。固定</w:t>
      </w:r>
    </w:p>
    <w:p>
      <w:pPr>
        <w:spacing w:after="0" w:line="240" w:lineRule="auto"/>
        <w:jc w:val="left"/>
        <w:sectPr>
          <w:pgSz w:w="11910" w:h="16840"/>
          <w:pgMar w:header="720" w:footer="956" w:top="1300" w:bottom="1140" w:left="580" w:right="0"/>
        </w:sectPr>
      </w:pPr>
    </w:p>
    <w:p>
      <w:pPr>
        <w:pStyle w:val="BodyText"/>
        <w:spacing w:line="240" w:lineRule="auto" w:before="19"/>
        <w:ind w:left="240" w:right="606"/>
        <w:jc w:val="left"/>
      </w:pPr>
      <w:r>
        <w:rPr/>
        <w:pict>
          <v:group style="position:absolute;margin-left:34.560001pt;margin-top:2.293643pt;width:508.3pt;height:.1pt;mso-position-horizontal-relative:page;mso-position-vertical-relative:paragraph;z-index:-533560" coordorigin="691,46" coordsize="10166,2">
            <v:shape style="position:absolute;left:691;top:46;width:10166;height:2" coordorigin="691,46" coordsize="10166,0" path="m691,46l10857,46e" filled="false" stroked="true" strokeweight=".72pt" strokecolor="#000000">
              <v:path arrowok="t"/>
            </v:shape>
            <w10:wrap type="none"/>
          </v:group>
        </w:pict>
      </w:r>
      <w:r>
        <w:rPr/>
        <w:t>资产在满足下列条件时予以确认：</w:t>
      </w:r>
    </w:p>
    <w:p>
      <w:pPr>
        <w:pStyle w:val="BodyText"/>
        <w:spacing w:line="240" w:lineRule="auto" w:before="133"/>
        <w:ind w:left="660" w:right="606"/>
        <w:jc w:val="left"/>
      </w:pPr>
      <w:r>
        <w:rPr/>
        <w:t>（</w:t>
      </w:r>
      <w:r>
        <w:rPr>
          <w:rFonts w:ascii="宋体" w:hAnsi="宋体" w:cs="宋体" w:eastAsia="宋体" w:hint="default"/>
        </w:rPr>
        <w:t>1</w:t>
      </w:r>
      <w:r>
        <w:rPr/>
        <w:t>）与该固定资产有关的经济利益很可能流入本公司；</w:t>
      </w:r>
    </w:p>
    <w:p>
      <w:pPr>
        <w:pStyle w:val="BodyText"/>
        <w:spacing w:line="355" w:lineRule="auto" w:before="133"/>
        <w:ind w:left="660" w:right="606"/>
        <w:jc w:val="left"/>
      </w:pPr>
      <w:r>
        <w:rPr/>
        <w:t>（</w:t>
      </w:r>
      <w:r>
        <w:rPr>
          <w:rFonts w:ascii="宋体" w:hAnsi="宋体" w:cs="宋体" w:eastAsia="宋体" w:hint="default"/>
        </w:rPr>
        <w:t>2</w:t>
      </w:r>
      <w:r>
        <w:rPr/>
        <w:t>）该固定资产的成本能够可靠地计量。</w:t>
      </w:r>
      <w:r>
        <w:rPr>
          <w:w w:val="100"/>
        </w:rPr>
        <w:t> </w:t>
      </w:r>
      <w:r>
        <w:rPr>
          <w:spacing w:val="-2"/>
        </w:rPr>
        <w:t>固定资产发生的修理费用，符合规定的固定资产确认条件的计入固定资产成本；不符合规定的固定资产确认条</w:t>
      </w:r>
    </w:p>
    <w:p>
      <w:pPr>
        <w:pStyle w:val="BodyText"/>
        <w:spacing w:line="355" w:lineRule="auto" w:before="34"/>
        <w:ind w:left="660" w:right="5634" w:hanging="420"/>
        <w:jc w:val="left"/>
      </w:pPr>
      <w:r>
        <w:rPr>
          <w:spacing w:val="-2"/>
        </w:rPr>
        <w:t>件的在发生时直接计入当期成本、费用。</w:t>
      </w:r>
      <w:r>
        <w:rPr>
          <w:spacing w:val="-69"/>
        </w:rPr>
        <w:t> </w:t>
      </w:r>
      <w:r>
        <w:rPr>
          <w:spacing w:val="-69"/>
        </w:rPr>
      </w:r>
      <w:r>
        <w:rPr>
          <w:rFonts w:ascii="宋体" w:hAnsi="宋体" w:cs="宋体" w:eastAsia="宋体" w:hint="default"/>
        </w:rPr>
        <w:t>2</w:t>
      </w:r>
      <w:r>
        <w:rPr/>
        <w:t>、各类固定资产的折旧方法</w:t>
      </w:r>
    </w:p>
    <w:p>
      <w:pPr>
        <w:pStyle w:val="BodyText"/>
        <w:spacing w:line="355" w:lineRule="auto"/>
        <w:ind w:left="240" w:right="606" w:firstLine="420"/>
        <w:jc w:val="left"/>
      </w:pPr>
      <w:r>
        <w:rPr>
          <w:spacing w:val="-3"/>
        </w:rPr>
        <w:t>固定资产折旧采用年限平均法分类计提，根据固定资产类别，预计使用年限和预计净残值率（</w:t>
      </w:r>
      <w:r>
        <w:rPr>
          <w:rFonts w:ascii="宋体" w:hAnsi="宋体" w:cs="宋体" w:eastAsia="宋体" w:hint="default"/>
          <w:spacing w:val="-3"/>
        </w:rPr>
        <w:t>5%</w:t>
      </w:r>
      <w:r>
        <w:rPr>
          <w:spacing w:val="-3"/>
        </w:rPr>
        <w:t>）确定固定资</w:t>
      </w:r>
      <w:r>
        <w:rPr>
          <w:w w:val="100"/>
        </w:rPr>
        <w:t> </w:t>
      </w:r>
      <w:r>
        <w:rPr>
          <w:spacing w:val="-5"/>
          <w:w w:val="100"/>
        </w:rPr>
        <w:t>产折旧率，在取得固定资产的次月按月计提折旧（已提足折旧仍继续使用的固定支持和单独计价入账的土地除外）。</w:t>
      </w:r>
      <w:r>
        <w:rPr>
          <w:spacing w:val="-62"/>
          <w:w w:val="100"/>
        </w:rPr>
        <w:t> </w:t>
      </w:r>
      <w:r>
        <w:rPr>
          <w:spacing w:val="-62"/>
          <w:w w:val="100"/>
        </w:rPr>
      </w:r>
      <w:r>
        <w:rPr/>
        <w:t>各类固定资产折旧年限和年折旧率如下：</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2686"/>
        <w:gridCol w:w="2669"/>
        <w:gridCol w:w="2672"/>
        <w:gridCol w:w="2672"/>
      </w:tblGrid>
      <w:tr>
        <w:trPr>
          <w:trHeight w:val="425" w:hRule="exact"/>
        </w:trPr>
        <w:tc>
          <w:tcPr>
            <w:tcW w:w="2686" w:type="dxa"/>
            <w:tcBorders>
              <w:top w:val="single" w:sz="12" w:space="0" w:color="000000"/>
              <w:left w:val="nil" w:sz="6" w:space="0" w:color="auto"/>
              <w:bottom w:val="single" w:sz="8" w:space="0" w:color="000000"/>
              <w:right w:val="single" w:sz="8" w:space="0" w:color="000000"/>
            </w:tcBorders>
          </w:tcPr>
          <w:p>
            <w:pPr>
              <w:pStyle w:val="TableParagraph"/>
              <w:spacing w:line="227" w:lineRule="exact"/>
              <w:ind w:left="2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669" w:type="dxa"/>
            <w:tcBorders>
              <w:top w:val="single" w:sz="12" w:space="0" w:color="000000"/>
              <w:left w:val="single" w:sz="8" w:space="0" w:color="000000"/>
              <w:bottom w:val="single" w:sz="8" w:space="0" w:color="000000"/>
              <w:right w:val="single" w:sz="8" w:space="0" w:color="000000"/>
            </w:tcBorders>
          </w:tcPr>
          <w:p>
            <w:pPr>
              <w:pStyle w:val="TableParagraph"/>
              <w:spacing w:line="227" w:lineRule="exact"/>
              <w:ind w:right="1"/>
              <w:jc w:val="center"/>
              <w:rPr>
                <w:rFonts w:ascii="宋体" w:hAnsi="宋体" w:cs="宋体" w:eastAsia="宋体" w:hint="default"/>
                <w:sz w:val="18"/>
                <w:szCs w:val="18"/>
              </w:rPr>
            </w:pPr>
            <w:r>
              <w:rPr>
                <w:rFonts w:ascii="宋体" w:hAnsi="宋体" w:cs="宋体" w:eastAsia="宋体" w:hint="default"/>
                <w:sz w:val="18"/>
                <w:szCs w:val="18"/>
              </w:rPr>
              <w:t>折旧年限（年）</w:t>
            </w:r>
          </w:p>
        </w:tc>
        <w:tc>
          <w:tcPr>
            <w:tcW w:w="2672" w:type="dxa"/>
            <w:tcBorders>
              <w:top w:val="single" w:sz="12" w:space="0" w:color="000000"/>
              <w:left w:val="single" w:sz="8" w:space="0" w:color="000000"/>
              <w:bottom w:val="single" w:sz="8" w:space="0" w:color="000000"/>
              <w:right w:val="single" w:sz="8" w:space="0" w:color="000000"/>
            </w:tcBorders>
          </w:tcPr>
          <w:p>
            <w:pPr>
              <w:pStyle w:val="TableParagraph"/>
              <w:spacing w:line="227" w:lineRule="exact"/>
              <w:ind w:left="785" w:right="0"/>
              <w:jc w:val="left"/>
              <w:rPr>
                <w:rFonts w:ascii="宋体" w:hAnsi="宋体" w:cs="宋体" w:eastAsia="宋体" w:hint="default"/>
                <w:sz w:val="18"/>
                <w:szCs w:val="18"/>
              </w:rPr>
            </w:pPr>
            <w:r>
              <w:rPr>
                <w:rFonts w:ascii="宋体" w:hAnsi="宋体" w:cs="宋体" w:eastAsia="宋体" w:hint="default"/>
                <w:sz w:val="18"/>
                <w:szCs w:val="18"/>
              </w:rPr>
              <w:t>折旧率（年）</w:t>
            </w:r>
          </w:p>
        </w:tc>
        <w:tc>
          <w:tcPr>
            <w:tcW w:w="2672" w:type="dxa"/>
            <w:tcBorders>
              <w:top w:val="single" w:sz="12" w:space="0" w:color="000000"/>
              <w:left w:val="single" w:sz="8" w:space="0" w:color="000000"/>
              <w:bottom w:val="single" w:sz="8" w:space="0" w:color="000000"/>
              <w:right w:val="nil" w:sz="6" w:space="0" w:color="auto"/>
            </w:tcBorders>
          </w:tcPr>
          <w:p>
            <w:pPr>
              <w:pStyle w:val="TableParagraph"/>
              <w:spacing w:line="227" w:lineRule="exact"/>
              <w:ind w:right="9"/>
              <w:jc w:val="center"/>
              <w:rPr>
                <w:rFonts w:ascii="宋体" w:hAnsi="宋体" w:cs="宋体" w:eastAsia="宋体" w:hint="default"/>
                <w:sz w:val="18"/>
                <w:szCs w:val="18"/>
              </w:rPr>
            </w:pPr>
            <w:r>
              <w:rPr>
                <w:rFonts w:ascii="宋体" w:hAnsi="宋体" w:cs="宋体" w:eastAsia="宋体" w:hint="default"/>
                <w:sz w:val="18"/>
                <w:szCs w:val="18"/>
              </w:rPr>
              <w:t>折旧方法</w:t>
            </w:r>
          </w:p>
        </w:tc>
      </w:tr>
      <w:tr>
        <w:trPr>
          <w:trHeight w:val="420" w:hRule="exact"/>
        </w:trPr>
        <w:tc>
          <w:tcPr>
            <w:tcW w:w="2686" w:type="dxa"/>
            <w:tcBorders>
              <w:top w:val="single" w:sz="8" w:space="0" w:color="000000"/>
              <w:left w:val="nil" w:sz="6" w:space="0" w:color="auto"/>
              <w:bottom w:val="single" w:sz="8" w:space="0" w:color="000000"/>
              <w:right w:val="single" w:sz="8" w:space="0" w:color="000000"/>
            </w:tcBorders>
          </w:tcPr>
          <w:p>
            <w:pPr>
              <w:pStyle w:val="TableParagraph"/>
              <w:spacing w:line="229" w:lineRule="exact"/>
              <w:ind w:left="22" w:right="0"/>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25</w:t>
            </w:r>
          </w:p>
        </w:tc>
        <w:tc>
          <w:tcPr>
            <w:tcW w:w="267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3.80%</w:t>
            </w:r>
          </w:p>
        </w:tc>
        <w:tc>
          <w:tcPr>
            <w:tcW w:w="2672" w:type="dxa"/>
            <w:tcBorders>
              <w:top w:val="single" w:sz="8" w:space="0" w:color="000000"/>
              <w:left w:val="single" w:sz="8" w:space="0" w:color="000000"/>
              <w:bottom w:val="single" w:sz="8" w:space="0" w:color="000000"/>
              <w:right w:val="nil" w:sz="6" w:space="0" w:color="auto"/>
            </w:tcBorders>
          </w:tcPr>
          <w:p>
            <w:pPr>
              <w:pStyle w:val="TableParagraph"/>
              <w:spacing w:line="229" w:lineRule="exact"/>
              <w:ind w:right="6"/>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420" w:hRule="exact"/>
        </w:trPr>
        <w:tc>
          <w:tcPr>
            <w:tcW w:w="2686" w:type="dxa"/>
            <w:tcBorders>
              <w:top w:val="single" w:sz="8" w:space="0" w:color="000000"/>
              <w:left w:val="nil" w:sz="6" w:space="0" w:color="auto"/>
              <w:bottom w:val="single" w:sz="8" w:space="0" w:color="000000"/>
              <w:right w:val="single" w:sz="8" w:space="0" w:color="000000"/>
            </w:tcBorders>
          </w:tcPr>
          <w:p>
            <w:pPr>
              <w:pStyle w:val="TableParagraph"/>
              <w:spacing w:line="229" w:lineRule="exact"/>
              <w:ind w:left="22"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10</w:t>
            </w:r>
          </w:p>
        </w:tc>
        <w:tc>
          <w:tcPr>
            <w:tcW w:w="267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9.50%</w:t>
            </w:r>
          </w:p>
        </w:tc>
        <w:tc>
          <w:tcPr>
            <w:tcW w:w="2672" w:type="dxa"/>
            <w:tcBorders>
              <w:top w:val="single" w:sz="8" w:space="0" w:color="000000"/>
              <w:left w:val="single" w:sz="8" w:space="0" w:color="000000"/>
              <w:bottom w:val="single" w:sz="8" w:space="0" w:color="000000"/>
              <w:right w:val="nil" w:sz="6" w:space="0" w:color="auto"/>
            </w:tcBorders>
          </w:tcPr>
          <w:p>
            <w:pPr>
              <w:pStyle w:val="TableParagraph"/>
              <w:spacing w:line="229" w:lineRule="exact"/>
              <w:ind w:right="6"/>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422" w:hRule="exact"/>
        </w:trPr>
        <w:tc>
          <w:tcPr>
            <w:tcW w:w="2686" w:type="dxa"/>
            <w:tcBorders>
              <w:top w:val="single" w:sz="8" w:space="0" w:color="000000"/>
              <w:left w:val="nil" w:sz="6" w:space="0" w:color="auto"/>
              <w:bottom w:val="single" w:sz="8" w:space="0" w:color="000000"/>
              <w:right w:val="single" w:sz="8" w:space="0" w:color="000000"/>
            </w:tcBorders>
          </w:tcPr>
          <w:p>
            <w:pPr>
              <w:pStyle w:val="TableParagraph"/>
              <w:spacing w:line="229" w:lineRule="exact"/>
              <w:ind w:left="22"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2669"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5</w:t>
            </w:r>
          </w:p>
        </w:tc>
        <w:tc>
          <w:tcPr>
            <w:tcW w:w="2672"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693"/>
              <w:jc w:val="right"/>
              <w:rPr>
                <w:rFonts w:ascii="宋体" w:hAnsi="宋体" w:cs="宋体" w:eastAsia="宋体" w:hint="default"/>
                <w:sz w:val="18"/>
                <w:szCs w:val="18"/>
              </w:rPr>
            </w:pPr>
            <w:r>
              <w:rPr>
                <w:rFonts w:ascii="宋体"/>
                <w:spacing w:val="-1"/>
                <w:sz w:val="18"/>
              </w:rPr>
              <w:t>19.00%</w:t>
            </w:r>
          </w:p>
        </w:tc>
        <w:tc>
          <w:tcPr>
            <w:tcW w:w="2672" w:type="dxa"/>
            <w:tcBorders>
              <w:top w:val="single" w:sz="8" w:space="0" w:color="000000"/>
              <w:left w:val="single" w:sz="8" w:space="0" w:color="000000"/>
              <w:bottom w:val="single" w:sz="8" w:space="0" w:color="000000"/>
              <w:right w:val="nil" w:sz="6" w:space="0" w:color="auto"/>
            </w:tcBorders>
          </w:tcPr>
          <w:p>
            <w:pPr>
              <w:pStyle w:val="TableParagraph"/>
              <w:spacing w:line="229" w:lineRule="exact"/>
              <w:ind w:right="6"/>
              <w:jc w:val="center"/>
              <w:rPr>
                <w:rFonts w:ascii="宋体" w:hAnsi="宋体" w:cs="宋体" w:eastAsia="宋体" w:hint="default"/>
                <w:sz w:val="18"/>
                <w:szCs w:val="18"/>
              </w:rPr>
            </w:pPr>
            <w:r>
              <w:rPr>
                <w:rFonts w:ascii="宋体" w:hAnsi="宋体" w:cs="宋体" w:eastAsia="宋体" w:hint="default"/>
                <w:sz w:val="18"/>
                <w:szCs w:val="18"/>
              </w:rPr>
              <w:t>直线法</w:t>
            </w:r>
          </w:p>
        </w:tc>
      </w:tr>
      <w:tr>
        <w:trPr>
          <w:trHeight w:val="427" w:hRule="exact"/>
        </w:trPr>
        <w:tc>
          <w:tcPr>
            <w:tcW w:w="2686" w:type="dxa"/>
            <w:tcBorders>
              <w:top w:val="single" w:sz="8" w:space="0" w:color="000000"/>
              <w:left w:val="nil" w:sz="6" w:space="0" w:color="auto"/>
              <w:bottom w:val="single" w:sz="12" w:space="0" w:color="000000"/>
              <w:right w:val="single" w:sz="8" w:space="0" w:color="000000"/>
            </w:tcBorders>
          </w:tcPr>
          <w:p>
            <w:pPr>
              <w:pStyle w:val="TableParagraph"/>
              <w:spacing w:line="229" w:lineRule="exact"/>
              <w:ind w:left="2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669" w:type="dxa"/>
            <w:tcBorders>
              <w:top w:val="single" w:sz="8" w:space="0" w:color="000000"/>
              <w:left w:val="single" w:sz="8" w:space="0" w:color="000000"/>
              <w:bottom w:val="single" w:sz="12" w:space="0" w:color="000000"/>
              <w:right w:val="single" w:sz="8" w:space="0" w:color="000000"/>
            </w:tcBorders>
          </w:tcPr>
          <w:p>
            <w:pPr>
              <w:pStyle w:val="TableParagraph"/>
              <w:spacing w:line="229" w:lineRule="exact"/>
              <w:ind w:right="0"/>
              <w:jc w:val="center"/>
              <w:rPr>
                <w:rFonts w:ascii="宋体" w:hAnsi="宋体" w:cs="宋体" w:eastAsia="宋体" w:hint="default"/>
                <w:sz w:val="18"/>
                <w:szCs w:val="18"/>
              </w:rPr>
            </w:pPr>
            <w:r>
              <w:rPr>
                <w:rFonts w:ascii="宋体"/>
                <w:sz w:val="18"/>
              </w:rPr>
              <w:t>5</w:t>
            </w:r>
          </w:p>
        </w:tc>
        <w:tc>
          <w:tcPr>
            <w:tcW w:w="2672" w:type="dxa"/>
            <w:tcBorders>
              <w:top w:val="single" w:sz="8" w:space="0" w:color="000000"/>
              <w:left w:val="single" w:sz="8" w:space="0" w:color="000000"/>
              <w:bottom w:val="single" w:sz="12" w:space="0" w:color="000000"/>
              <w:right w:val="single" w:sz="8" w:space="0" w:color="000000"/>
            </w:tcBorders>
          </w:tcPr>
          <w:p>
            <w:pPr>
              <w:pStyle w:val="TableParagraph"/>
              <w:spacing w:line="229" w:lineRule="exact"/>
              <w:ind w:right="693"/>
              <w:jc w:val="right"/>
              <w:rPr>
                <w:rFonts w:ascii="宋体" w:hAnsi="宋体" w:cs="宋体" w:eastAsia="宋体" w:hint="default"/>
                <w:sz w:val="18"/>
                <w:szCs w:val="18"/>
              </w:rPr>
            </w:pPr>
            <w:r>
              <w:rPr>
                <w:rFonts w:ascii="宋体"/>
                <w:spacing w:val="-1"/>
                <w:sz w:val="18"/>
              </w:rPr>
              <w:t>19.00%</w:t>
            </w:r>
          </w:p>
        </w:tc>
        <w:tc>
          <w:tcPr>
            <w:tcW w:w="2672" w:type="dxa"/>
            <w:tcBorders>
              <w:top w:val="single" w:sz="8" w:space="0" w:color="000000"/>
              <w:left w:val="single" w:sz="8" w:space="0" w:color="000000"/>
              <w:bottom w:val="single" w:sz="12" w:space="0" w:color="000000"/>
              <w:right w:val="nil" w:sz="6" w:space="0" w:color="auto"/>
            </w:tcBorders>
          </w:tcPr>
          <w:p>
            <w:pPr>
              <w:pStyle w:val="TableParagraph"/>
              <w:spacing w:line="229" w:lineRule="exact"/>
              <w:ind w:right="6"/>
              <w:jc w:val="center"/>
              <w:rPr>
                <w:rFonts w:ascii="宋体" w:hAnsi="宋体" w:cs="宋体" w:eastAsia="宋体" w:hint="default"/>
                <w:sz w:val="18"/>
                <w:szCs w:val="18"/>
              </w:rPr>
            </w:pPr>
            <w:r>
              <w:rPr>
                <w:rFonts w:ascii="宋体" w:hAnsi="宋体" w:cs="宋体" w:eastAsia="宋体" w:hint="default"/>
                <w:sz w:val="18"/>
                <w:szCs w:val="18"/>
              </w:rPr>
              <w:t>直线法</w:t>
            </w:r>
          </w:p>
        </w:tc>
      </w:tr>
    </w:tbl>
    <w:p>
      <w:pPr>
        <w:pStyle w:val="BodyText"/>
        <w:spacing w:line="355" w:lineRule="auto" w:before="86"/>
        <w:ind w:left="660" w:right="606"/>
        <w:jc w:val="left"/>
      </w:pPr>
      <w:r>
        <w:rPr>
          <w:rFonts w:ascii="宋体" w:hAnsi="宋体" w:cs="宋体" w:eastAsia="宋体" w:hint="default"/>
        </w:rPr>
        <w:t>3</w:t>
      </w:r>
      <w:r>
        <w:rPr/>
        <w:t>、固定资产的减值测试方法、减值准备计提方法</w:t>
      </w:r>
      <w:r>
        <w:rPr>
          <w:w w:val="100"/>
        </w:rPr>
        <w:t> </w:t>
      </w:r>
      <w:r>
        <w:rPr>
          <w:spacing w:val="-2"/>
        </w:rPr>
        <w:t>本公司于资产负债表日对存在减值迹象的固定资产进行减值测试，估计其可收回金额，若可收回金额低于账面</w:t>
      </w:r>
    </w:p>
    <w:p>
      <w:pPr>
        <w:pStyle w:val="BodyText"/>
        <w:spacing w:line="357" w:lineRule="auto"/>
        <w:ind w:left="240" w:right="694"/>
        <w:jc w:val="both"/>
      </w:pPr>
      <w:r>
        <w:rPr>
          <w:spacing w:val="-2"/>
        </w:rPr>
        <w:t>价值的，将资产的账面价值减记至可收回金额，减记的金额计入当期损益，同时计提相应的资产减值准备。可收回</w:t>
      </w:r>
      <w:r>
        <w:rPr>
          <w:spacing w:val="-31"/>
        </w:rPr>
        <w:t> </w:t>
      </w:r>
      <w:r>
        <w:rPr>
          <w:spacing w:val="-31"/>
        </w:rPr>
      </w:r>
      <w:r>
        <w:rPr>
          <w:spacing w:val="-2"/>
        </w:rPr>
        <w:t>金额按资产的公允价值减去处置费用后的净额与资产未来现金流量现值之间的较高者确定。本公司原则上按单项资</w:t>
      </w:r>
      <w:r>
        <w:rPr>
          <w:spacing w:val="-31"/>
        </w:rPr>
        <w:t> </w:t>
      </w:r>
      <w:r>
        <w:rPr>
          <w:spacing w:val="-31"/>
        </w:rPr>
      </w:r>
      <w:r>
        <w:rPr>
          <w:spacing w:val="-2"/>
        </w:rPr>
        <w:t>产为基础估计可收回金额，若难以对单项资产的可收回金额进行估计的，按该项资产所属的资产组为基础确定资产</w:t>
      </w:r>
      <w:r>
        <w:rPr>
          <w:spacing w:val="-31"/>
        </w:rPr>
        <w:t> </w:t>
      </w:r>
      <w:r>
        <w:rPr>
          <w:spacing w:val="-31"/>
        </w:rPr>
      </w:r>
      <w:r>
        <w:rPr/>
        <w:t>组可收回金额。减值准备一经计提，在以后会计期间不予转回。</w:t>
      </w:r>
    </w:p>
    <w:p>
      <w:pPr>
        <w:pStyle w:val="BodyText"/>
        <w:spacing w:line="355" w:lineRule="auto" w:before="30"/>
        <w:ind w:left="660" w:right="4341"/>
        <w:jc w:val="left"/>
      </w:pPr>
      <w:r>
        <w:rPr>
          <w:rFonts w:ascii="宋体" w:hAnsi="宋体" w:cs="宋体" w:eastAsia="宋体" w:hint="default"/>
        </w:rPr>
        <w:t>4</w:t>
      </w:r>
      <w:r>
        <w:rPr/>
        <w:t>、融资租入固定资产的认定依据、计价方法</w:t>
      </w:r>
      <w:r>
        <w:rPr>
          <w:w w:val="100"/>
        </w:rPr>
        <w:t> </w:t>
      </w:r>
      <w:r>
        <w:rPr>
          <w:spacing w:val="-2"/>
        </w:rPr>
        <w:t>计价依据：符合下列一项或数项标准的，认定为融资租赁：</w:t>
      </w:r>
    </w:p>
    <w:p>
      <w:pPr>
        <w:pStyle w:val="BodyText"/>
        <w:spacing w:line="240" w:lineRule="auto"/>
        <w:ind w:left="660" w:right="606"/>
        <w:jc w:val="left"/>
      </w:pPr>
      <w:r>
        <w:rPr/>
        <w:t>（</w:t>
      </w:r>
      <w:r>
        <w:rPr>
          <w:rFonts w:ascii="宋体" w:hAnsi="宋体" w:cs="宋体" w:eastAsia="宋体" w:hint="default"/>
        </w:rPr>
        <w:t>1</w:t>
      </w:r>
      <w:r>
        <w:rPr/>
        <w:t>）在租赁期届满时，租赁资产的所有权转移给承租人。</w:t>
      </w:r>
    </w:p>
    <w:p>
      <w:pPr>
        <w:pStyle w:val="BodyText"/>
        <w:spacing w:line="357" w:lineRule="auto" w:before="133"/>
        <w:ind w:left="240" w:right="606" w:firstLine="420"/>
        <w:jc w:val="left"/>
      </w:pPr>
      <w:r>
        <w:rPr>
          <w:spacing w:val="-3"/>
        </w:rPr>
        <w:t>（</w:t>
      </w:r>
      <w:r>
        <w:rPr>
          <w:rFonts w:ascii="宋体" w:hAnsi="宋体" w:cs="宋体" w:eastAsia="宋体" w:hint="default"/>
          <w:spacing w:val="-3"/>
        </w:rPr>
        <w:t>2</w:t>
      </w:r>
      <w:r>
        <w:rPr>
          <w:spacing w:val="-3"/>
        </w:rPr>
        <w:t>）承租人有购买租赁资产的选择权，所订立的购买价款预计将远远低于行使选择权时租赁资产的公允价值，</w:t>
      </w:r>
      <w:r>
        <w:rPr>
          <w:w w:val="100"/>
        </w:rPr>
        <w:t> </w:t>
      </w:r>
      <w:r>
        <w:rPr/>
        <w:t>因而在租赁开始日就可以合理确定承租人将会行使这种选择权。</w:t>
      </w:r>
    </w:p>
    <w:p>
      <w:pPr>
        <w:pStyle w:val="BodyText"/>
        <w:spacing w:line="240" w:lineRule="auto" w:before="30"/>
        <w:ind w:left="660" w:right="606"/>
        <w:jc w:val="left"/>
      </w:pPr>
      <w:r>
        <w:rPr/>
        <w:t>（</w:t>
      </w:r>
      <w:r>
        <w:rPr>
          <w:rFonts w:ascii="宋体" w:hAnsi="宋体" w:cs="宋体" w:eastAsia="宋体" w:hint="default"/>
        </w:rPr>
        <w:t>3</w:t>
      </w:r>
      <w:r>
        <w:rPr/>
        <w:t>）即使资产的所有权不转移，但租赁期占租赁资产使用寿命的大部分。</w:t>
      </w:r>
    </w:p>
    <w:p>
      <w:pPr>
        <w:pStyle w:val="BodyText"/>
        <w:spacing w:line="357" w:lineRule="auto" w:before="133"/>
        <w:ind w:left="240" w:right="606" w:firstLine="420"/>
        <w:jc w:val="left"/>
      </w:pPr>
      <w:r>
        <w:rPr/>
        <w:t>（</w:t>
      </w:r>
      <w:r>
        <w:rPr>
          <w:rFonts w:ascii="宋体" w:hAnsi="宋体" w:cs="宋体" w:eastAsia="宋体" w:hint="default"/>
        </w:rPr>
        <w:t>4</w:t>
      </w:r>
      <w:r>
        <w:rPr/>
        <w:t>）承租人在租赁开始日的最低租赁付款额现值，几乎相当于租赁开始日租赁资产公允价值；出租人在租赁</w:t>
      </w:r>
      <w:r>
        <w:rPr>
          <w:w w:val="100"/>
        </w:rPr>
        <w:t> </w:t>
      </w:r>
      <w:r>
        <w:rPr/>
        <w:t>开始日的最低租赁收款额现值，几乎相当于租赁开始日租赁资产公允价值。</w:t>
      </w:r>
    </w:p>
    <w:p>
      <w:pPr>
        <w:pStyle w:val="BodyText"/>
        <w:spacing w:line="355" w:lineRule="auto"/>
        <w:ind w:left="660" w:right="606"/>
        <w:jc w:val="left"/>
      </w:pPr>
      <w:r>
        <w:rPr/>
        <w:t>（</w:t>
      </w:r>
      <w:r>
        <w:rPr>
          <w:rFonts w:ascii="宋体" w:hAnsi="宋体" w:cs="宋体" w:eastAsia="宋体" w:hint="default"/>
        </w:rPr>
        <w:t>5</w:t>
      </w:r>
      <w:r>
        <w:rPr/>
        <w:t>）租赁资产性质特殊，如果不作较大改造，只有承租人才能使用。</w:t>
      </w:r>
      <w:r>
        <w:rPr>
          <w:w w:val="100"/>
        </w:rPr>
        <w:t> </w:t>
      </w:r>
      <w:r>
        <w:rPr>
          <w:spacing w:val="-2"/>
        </w:rPr>
        <w:t>计价方法：融资租赁方式租入的固定资产，能合理确定租赁期届满时将会取得租赁资产所有权的，在租赁资产</w:t>
      </w:r>
    </w:p>
    <w:p>
      <w:pPr>
        <w:pStyle w:val="BodyText"/>
        <w:spacing w:line="355" w:lineRule="auto"/>
        <w:ind w:left="240" w:right="0"/>
        <w:jc w:val="left"/>
      </w:pPr>
      <w:r>
        <w:rPr>
          <w:spacing w:val="-6"/>
          <w:w w:val="100"/>
        </w:rPr>
        <w:t>尚可使用年限内按上项“</w:t>
      </w:r>
      <w:r>
        <w:rPr>
          <w:rFonts w:ascii="宋体" w:hAnsi="宋体" w:cs="宋体" w:eastAsia="宋体" w:hint="default"/>
          <w:spacing w:val="-6"/>
          <w:w w:val="100"/>
        </w:rPr>
        <w:t>2</w:t>
      </w:r>
      <w:r>
        <w:rPr>
          <w:spacing w:val="-6"/>
          <w:w w:val="100"/>
        </w:rPr>
        <w:t>、固定资产折旧方法计提折旧”；无法合理确定租赁期届满时能够取得租赁资产所有权的，</w:t>
      </w:r>
      <w:r>
        <w:rPr>
          <w:spacing w:val="-95"/>
          <w:w w:val="100"/>
        </w:rPr>
        <w:t> </w:t>
      </w:r>
      <w:r>
        <w:rPr>
          <w:spacing w:val="-95"/>
          <w:w w:val="100"/>
        </w:rPr>
      </w:r>
      <w:r>
        <w:rPr/>
        <w:t>在租赁期与租赁资产尚可使用年限两者中较短的期间内按上项“</w:t>
      </w:r>
      <w:r>
        <w:rPr>
          <w:rFonts w:ascii="宋体" w:hAnsi="宋体" w:cs="宋体" w:eastAsia="宋体" w:hint="default"/>
        </w:rPr>
        <w:t>2</w:t>
      </w:r>
      <w:r>
        <w:rPr/>
        <w:t>、固定资产折旧方法”计提折旧。</w:t>
      </w:r>
    </w:p>
    <w:p>
      <w:pPr>
        <w:pStyle w:val="BodyText"/>
        <w:spacing w:line="357" w:lineRule="auto"/>
        <w:ind w:left="660" w:right="606"/>
        <w:jc w:val="left"/>
      </w:pPr>
      <w:r>
        <w:rPr>
          <w:rFonts w:ascii="宋体" w:hAnsi="宋体" w:cs="宋体" w:eastAsia="宋体" w:hint="default"/>
        </w:rPr>
        <w:t>5</w:t>
      </w:r>
      <w:r>
        <w:rPr/>
        <w:t>、其他说明</w:t>
      </w:r>
      <w:r>
        <w:rPr>
          <w:w w:val="100"/>
        </w:rPr>
        <w:t> </w:t>
      </w:r>
      <w:r>
        <w:rPr>
          <w:spacing w:val="-2"/>
        </w:rPr>
        <w:t>符合资本化条件的固定资产装修费用：在两次装修期间与固定资产尚可使用年限两者中较短的期间内，采用年</w:t>
      </w:r>
    </w:p>
    <w:p>
      <w:pPr>
        <w:spacing w:after="0" w:line="357" w:lineRule="auto"/>
        <w:jc w:val="left"/>
        <w:sectPr>
          <w:pgSz w:w="11910" w:h="16840"/>
          <w:pgMar w:header="720" w:footer="956" w:top="1300" w:bottom="1140" w:left="480" w:right="0"/>
        </w:sectPr>
      </w:pPr>
    </w:p>
    <w:p>
      <w:pPr>
        <w:pStyle w:val="BodyText"/>
        <w:spacing w:line="240" w:lineRule="auto" w:before="19"/>
        <w:ind w:left="140" w:right="0"/>
        <w:jc w:val="both"/>
      </w:pPr>
      <w:r>
        <w:rPr/>
        <w:pict>
          <v:group style="position:absolute;margin-left:34.560001pt;margin-top:2.293643pt;width:508.3pt;height:.1pt;mso-position-horizontal-relative:page;mso-position-vertical-relative:paragraph;z-index:-533536" coordorigin="691,46" coordsize="10166,2">
            <v:shape style="position:absolute;left:691;top:46;width:10166;height:2" coordorigin="691,46" coordsize="10166,0" path="m691,46l10857,46e" filled="false" stroked="true" strokeweight=".72pt" strokecolor="#000000">
              <v:path arrowok="t"/>
            </v:shape>
            <w10:wrap type="none"/>
          </v:group>
        </w:pict>
      </w:r>
      <w:r>
        <w:rPr/>
        <w:t>限平均法单独计提折旧。</w:t>
      </w:r>
    </w:p>
    <w:p>
      <w:pPr>
        <w:spacing w:line="355" w:lineRule="auto" w:before="133"/>
        <w:ind w:left="560" w:right="8037" w:firstLine="0"/>
        <w:jc w:val="left"/>
        <w:rPr>
          <w:rFonts w:ascii="宋体" w:hAnsi="宋体" w:cs="宋体" w:eastAsia="宋体" w:hint="default"/>
          <w:sz w:val="21"/>
          <w:szCs w:val="21"/>
        </w:rPr>
      </w:pPr>
      <w:r>
        <w:rPr>
          <w:rFonts w:ascii="宋体" w:hAnsi="宋体" w:cs="宋体" w:eastAsia="宋体" w:hint="default"/>
          <w:b/>
          <w:bCs/>
          <w:sz w:val="21"/>
          <w:szCs w:val="21"/>
        </w:rPr>
        <w:t>（十五）在建工程</w:t>
      </w:r>
      <w:r>
        <w:rPr>
          <w:rFonts w:ascii="宋体" w:hAnsi="宋体" w:cs="宋体" w:eastAsia="宋体" w:hint="default"/>
          <w:b/>
          <w:bCs/>
          <w:spacing w:val="-103"/>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、在建工程核算方法</w:t>
      </w:r>
    </w:p>
    <w:p>
      <w:pPr>
        <w:pStyle w:val="BodyText"/>
        <w:spacing w:line="357" w:lineRule="auto"/>
        <w:ind w:right="3357"/>
        <w:jc w:val="left"/>
      </w:pPr>
      <w:r>
        <w:rPr>
          <w:spacing w:val="-2"/>
        </w:rPr>
        <w:t>本公司在建工程按实际成本计量，按立项项目分类核算。</w:t>
      </w:r>
      <w:r>
        <w:rPr>
          <w:spacing w:val="-55"/>
        </w:rPr>
        <w:t> </w:t>
      </w:r>
      <w:r>
        <w:rPr>
          <w:spacing w:val="-55"/>
        </w:rPr>
      </w:r>
      <w:r>
        <w:rPr>
          <w:rFonts w:ascii="宋体" w:hAnsi="宋体" w:cs="宋体" w:eastAsia="宋体" w:hint="default"/>
        </w:rPr>
        <w:t>2</w:t>
      </w:r>
      <w:r>
        <w:rPr/>
        <w:t>、在建工程结转为固定资产的时点</w:t>
      </w:r>
    </w:p>
    <w:p>
      <w:pPr>
        <w:pStyle w:val="BodyText"/>
        <w:spacing w:line="355" w:lineRule="auto" w:before="30"/>
        <w:ind w:left="140" w:right="711" w:firstLine="420"/>
        <w:jc w:val="both"/>
      </w:pPr>
      <w:r>
        <w:rPr>
          <w:spacing w:val="-3"/>
        </w:rPr>
        <w:t>在建工程达到预定可使用状态时，按实际发生的全部支出转入固定资产核算。若在建工程已达到预定可使用状</w:t>
      </w:r>
      <w:r>
        <w:rPr>
          <w:w w:val="100"/>
        </w:rPr>
        <w:t> </w:t>
      </w:r>
      <w:r>
        <w:rPr>
          <w:spacing w:val="-3"/>
        </w:rPr>
        <w:t>态，但尚未办理竣工决算的，自达到预定可使用状态之日起，根据工程预算、造价或者工程实际成本等，按估计的</w:t>
      </w:r>
      <w:r>
        <w:rPr/>
        <w:t> </w:t>
      </w:r>
      <w:r>
        <w:rPr/>
      </w:r>
      <w:r>
        <w:rPr>
          <w:spacing w:val="-3"/>
        </w:rPr>
        <w:t>价值转入固定资产，并按本公司固定资产折旧政策计提固定资产折旧，待办理竣工决算后，再按实际成本调整原来</w:t>
      </w:r>
      <w:r>
        <w:rPr>
          <w:spacing w:val="3"/>
        </w:rPr>
        <w:t> </w:t>
      </w:r>
      <w:r>
        <w:rPr>
          <w:spacing w:val="3"/>
        </w:rPr>
      </w:r>
      <w:r>
        <w:rPr/>
        <w:t>的暂估价值，但不调整原已计提的折旧额。</w:t>
      </w:r>
    </w:p>
    <w:p>
      <w:pPr>
        <w:pStyle w:val="BodyText"/>
        <w:spacing w:line="357" w:lineRule="auto" w:before="34"/>
        <w:ind w:left="140" w:right="711" w:firstLine="420"/>
        <w:jc w:val="both"/>
      </w:pPr>
      <w:r>
        <w:rPr>
          <w:spacing w:val="-3"/>
        </w:rPr>
        <w:t>上述“达到预定可使用状态”，是指固定资产已达到本公司预定的可使用状态。当存在下列情况之一时，则认</w:t>
      </w:r>
      <w:r>
        <w:rPr>
          <w:w w:val="100"/>
        </w:rPr>
        <w:t> </w:t>
      </w:r>
      <w:r>
        <w:rPr/>
        <w:t>为所购建的固定资产已达到预定可使用状态：</w:t>
      </w:r>
    </w:p>
    <w:p>
      <w:pPr>
        <w:pStyle w:val="BodyText"/>
        <w:spacing w:line="240" w:lineRule="auto" w:before="30"/>
        <w:ind w:right="0"/>
        <w:jc w:val="left"/>
      </w:pPr>
      <w:r>
        <w:rPr/>
        <w:t>（</w:t>
      </w:r>
      <w:r>
        <w:rPr>
          <w:rFonts w:ascii="宋体" w:hAnsi="宋体" w:cs="宋体" w:eastAsia="宋体" w:hint="default"/>
        </w:rPr>
        <w:t>1</w:t>
      </w:r>
      <w:r>
        <w:rPr/>
        <w:t>）固定资产的实体建造</w:t>
      </w:r>
      <w:r>
        <w:rPr>
          <w:rFonts w:ascii="宋体" w:hAnsi="宋体" w:cs="宋体" w:eastAsia="宋体" w:hint="default"/>
        </w:rPr>
        <w:t>(</w:t>
      </w:r>
      <w:r>
        <w:rPr/>
        <w:t>包括安装</w:t>
      </w:r>
      <w:r>
        <w:rPr>
          <w:rFonts w:ascii="宋体" w:hAnsi="宋体" w:cs="宋体" w:eastAsia="宋体" w:hint="default"/>
        </w:rPr>
        <w:t>)</w:t>
      </w:r>
      <w:r>
        <w:rPr/>
        <w:t>工作已经全部完成或者实质上已经全部完成；</w:t>
      </w:r>
    </w:p>
    <w:p>
      <w:pPr>
        <w:pStyle w:val="BodyText"/>
        <w:spacing w:line="355" w:lineRule="auto" w:before="133"/>
        <w:ind w:left="140" w:right="716" w:firstLine="420"/>
        <w:jc w:val="both"/>
      </w:pPr>
      <w:r>
        <w:rPr/>
        <w:t>（</w:t>
      </w:r>
      <w:r>
        <w:rPr>
          <w:rFonts w:ascii="宋体" w:hAnsi="宋体" w:cs="宋体" w:eastAsia="宋体" w:hint="default"/>
        </w:rPr>
        <w:t>2</w:t>
      </w:r>
      <w:r>
        <w:rPr/>
        <w:t>）已经过试生产或试运行，并且其结果表明资产能够正常运行或者能够稳定地生产出合格产品时，或者试</w:t>
      </w:r>
      <w:r>
        <w:rPr>
          <w:w w:val="100"/>
        </w:rPr>
        <w:t> </w:t>
      </w:r>
      <w:r>
        <w:rPr/>
        <w:t>运行结果表明能够正常运转或营业时；</w:t>
      </w:r>
    </w:p>
    <w:p>
      <w:pPr>
        <w:pStyle w:val="BodyText"/>
        <w:spacing w:line="240" w:lineRule="auto" w:before="34"/>
        <w:ind w:right="0"/>
        <w:jc w:val="left"/>
      </w:pPr>
      <w:r>
        <w:rPr/>
        <w:t>（</w:t>
      </w:r>
      <w:r>
        <w:rPr>
          <w:rFonts w:ascii="宋体" w:hAnsi="宋体" w:cs="宋体" w:eastAsia="宋体" w:hint="default"/>
        </w:rPr>
        <w:t>3</w:t>
      </w:r>
      <w:r>
        <w:rPr/>
        <w:t>）该项建造的固定资产上的支出金额很少或者几乎不再发生；</w:t>
      </w:r>
    </w:p>
    <w:p>
      <w:pPr>
        <w:pStyle w:val="BodyText"/>
        <w:spacing w:line="355" w:lineRule="auto" w:before="133"/>
        <w:ind w:left="140" w:right="716" w:firstLine="420"/>
        <w:jc w:val="both"/>
      </w:pPr>
      <w:r>
        <w:rPr/>
        <w:t>（</w:t>
      </w:r>
      <w:r>
        <w:rPr>
          <w:rFonts w:ascii="宋体" w:hAnsi="宋体" w:cs="宋体" w:eastAsia="宋体" w:hint="default"/>
        </w:rPr>
        <w:t>4</w:t>
      </w:r>
      <w:r>
        <w:rPr/>
        <w:t>）所购建的固定资产已经达到设计或合同要求，或与设计或合同要求相符或基本相符，即使有极个别地方</w:t>
      </w:r>
      <w:r>
        <w:rPr>
          <w:w w:val="100"/>
        </w:rPr>
        <w:t> </w:t>
      </w:r>
      <w:r>
        <w:rPr/>
        <w:t>与设计或合同要求不相符，也不足以影响其正常使用。</w:t>
      </w:r>
    </w:p>
    <w:p>
      <w:pPr>
        <w:pStyle w:val="BodyText"/>
        <w:spacing w:line="357" w:lineRule="auto"/>
        <w:ind w:right="0"/>
        <w:jc w:val="left"/>
      </w:pPr>
      <w:r>
        <w:rPr>
          <w:rFonts w:ascii="宋体" w:hAnsi="宋体" w:cs="宋体" w:eastAsia="宋体" w:hint="default"/>
        </w:rPr>
        <w:t>3</w:t>
      </w:r>
      <w:r>
        <w:rPr/>
        <w:t>、在建工程减值准备</w:t>
      </w:r>
      <w:r>
        <w:rPr>
          <w:w w:val="100"/>
        </w:rPr>
        <w:t> </w:t>
      </w:r>
      <w:r>
        <w:rPr>
          <w:spacing w:val="-2"/>
        </w:rPr>
        <w:t>本公司于资产负债表日对存在减值迹象的在建工程按单项工程进行减值测试，估计其可收回金额，若可收回金</w:t>
      </w:r>
    </w:p>
    <w:p>
      <w:pPr>
        <w:pStyle w:val="BodyText"/>
        <w:spacing w:line="355" w:lineRule="auto" w:before="30"/>
        <w:ind w:left="140" w:right="694"/>
        <w:jc w:val="both"/>
      </w:pPr>
      <w:r>
        <w:rPr>
          <w:spacing w:val="-2"/>
        </w:rPr>
        <w:t>额低于账面价值的，将资产的账面价值减记至可收回金额，减记的金额计入当期损益，同时计提相应的资产减值准</w:t>
      </w:r>
      <w:r>
        <w:rPr>
          <w:spacing w:val="-35"/>
        </w:rPr>
        <w:t> </w:t>
      </w:r>
      <w:r>
        <w:rPr>
          <w:spacing w:val="-35"/>
        </w:rPr>
      </w:r>
      <w:r>
        <w:rPr>
          <w:spacing w:val="-2"/>
        </w:rPr>
        <w:t>备。可收回金额按资产的公允价值减去处置费用后的净额与资产未来现金流量现值之间的较高者确定。减值准备一</w:t>
      </w:r>
      <w:r>
        <w:rPr>
          <w:spacing w:val="-31"/>
        </w:rPr>
        <w:t> </w:t>
      </w:r>
      <w:r>
        <w:rPr>
          <w:spacing w:val="-31"/>
        </w:rPr>
      </w:r>
      <w:r>
        <w:rPr/>
        <w:t>经计提，在以后会计期间不予转回。</w:t>
      </w:r>
    </w:p>
    <w:p>
      <w:pPr>
        <w:spacing w:line="357" w:lineRule="auto" w:before="32"/>
        <w:ind w:left="560" w:right="6384" w:firstLine="0"/>
        <w:jc w:val="left"/>
        <w:rPr>
          <w:rFonts w:ascii="宋体" w:hAnsi="宋体" w:cs="宋体" w:eastAsia="宋体" w:hint="default"/>
          <w:sz w:val="21"/>
          <w:szCs w:val="21"/>
        </w:rPr>
      </w:pPr>
      <w:r>
        <w:rPr>
          <w:rFonts w:ascii="宋体" w:hAnsi="宋体" w:cs="宋体" w:eastAsia="宋体" w:hint="default"/>
          <w:b/>
          <w:bCs/>
          <w:sz w:val="21"/>
          <w:szCs w:val="21"/>
        </w:rPr>
        <w:t>（十六）借款费用</w:t>
      </w:r>
      <w:r>
        <w:rPr>
          <w:rFonts w:ascii="宋体" w:hAnsi="宋体" w:cs="宋体" w:eastAsia="宋体" w:hint="default"/>
          <w:b/>
          <w:bCs/>
          <w:spacing w:val="-103"/>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、借款费用资本化的确认原则</w:t>
      </w:r>
    </w:p>
    <w:p>
      <w:pPr>
        <w:pStyle w:val="BodyText"/>
        <w:spacing w:line="355" w:lineRule="auto" w:before="30"/>
        <w:ind w:left="140" w:right="711" w:firstLine="420"/>
        <w:jc w:val="both"/>
      </w:pPr>
      <w:r>
        <w:rPr>
          <w:spacing w:val="-3"/>
        </w:rPr>
        <w:t>符合资本化条件的资产，是指需要经过相当长时间的购建或者生产活动才能达到预定可使用或者可销售状态的</w:t>
      </w:r>
      <w:r>
        <w:rPr>
          <w:w w:val="100"/>
        </w:rPr>
        <w:t> </w:t>
      </w:r>
      <w:r>
        <w:rPr/>
        <w:t>固定资产、投资性房地产和存货等资产。</w:t>
      </w:r>
    </w:p>
    <w:p>
      <w:pPr>
        <w:pStyle w:val="BodyText"/>
        <w:spacing w:line="357" w:lineRule="auto"/>
        <w:ind w:left="140" w:right="711" w:firstLine="420"/>
        <w:jc w:val="both"/>
      </w:pPr>
      <w:r>
        <w:rPr>
          <w:spacing w:val="-3"/>
        </w:rPr>
        <w:t>借款费用包括借款利息、折价或者溢价的摊销、辅助费用以及因外币借款而发生的汇兑差额等。本公司发生的</w:t>
      </w:r>
      <w:r>
        <w:rPr>
          <w:w w:val="100"/>
        </w:rPr>
        <w:t> </w:t>
      </w:r>
      <w:r>
        <w:rPr>
          <w:spacing w:val="-3"/>
        </w:rPr>
        <w:t>借款费用，可直接归属于符合资本化条件的资产的购建或者生产的，予以资本化，计入相关资产成本；其他借款费</w:t>
      </w:r>
      <w:r>
        <w:rPr>
          <w:spacing w:val="2"/>
        </w:rPr>
        <w:t> </w:t>
      </w:r>
      <w:r>
        <w:rPr>
          <w:spacing w:val="2"/>
        </w:rPr>
      </w:r>
      <w:r>
        <w:rPr/>
        <w:t>用在发生时根据其发生额确认为费用，计入当期损益。</w:t>
      </w:r>
    </w:p>
    <w:p>
      <w:pPr>
        <w:pStyle w:val="BodyText"/>
        <w:spacing w:line="240" w:lineRule="auto" w:before="30"/>
        <w:ind w:right="0"/>
        <w:jc w:val="left"/>
      </w:pPr>
      <w:r>
        <w:rPr/>
        <w:t>借款费用同时满足下列条件时开始资本化：</w:t>
      </w:r>
    </w:p>
    <w:p>
      <w:pPr>
        <w:pStyle w:val="BodyText"/>
        <w:spacing w:line="355" w:lineRule="auto" w:before="133"/>
        <w:ind w:left="140" w:right="716" w:firstLine="420"/>
        <w:jc w:val="both"/>
      </w:pPr>
      <w:r>
        <w:rPr/>
        <w:t>（</w:t>
      </w:r>
      <w:r>
        <w:rPr>
          <w:rFonts w:ascii="宋体" w:hAnsi="宋体" w:cs="宋体" w:eastAsia="宋体" w:hint="default"/>
        </w:rPr>
        <w:t>1</w:t>
      </w:r>
      <w:r>
        <w:rPr/>
        <w:t>）资产支出已经发生，资产支出包括为购建或者生产符合资本化条件的资产而以支付现金、转移非现金资</w:t>
      </w:r>
      <w:r>
        <w:rPr>
          <w:w w:val="100"/>
        </w:rPr>
        <w:t> </w:t>
      </w:r>
      <w:r>
        <w:rPr/>
        <w:t>产或者承担带息债务形式发生的支出；</w:t>
      </w:r>
    </w:p>
    <w:p>
      <w:pPr>
        <w:pStyle w:val="BodyText"/>
        <w:spacing w:line="240" w:lineRule="auto" w:before="34"/>
        <w:ind w:right="0"/>
        <w:jc w:val="left"/>
      </w:pPr>
      <w:r>
        <w:rPr/>
        <w:t>（</w:t>
      </w:r>
      <w:r>
        <w:rPr>
          <w:rFonts w:ascii="宋体" w:hAnsi="宋体" w:cs="宋体" w:eastAsia="宋体" w:hint="default"/>
        </w:rPr>
        <w:t>2</w:t>
      </w:r>
      <w:r>
        <w:rPr/>
        <w:t>）借款费用已经发生；</w:t>
      </w:r>
    </w:p>
    <w:p>
      <w:pPr>
        <w:pStyle w:val="BodyText"/>
        <w:spacing w:line="355" w:lineRule="auto" w:before="133"/>
        <w:ind w:right="707"/>
        <w:jc w:val="left"/>
      </w:pPr>
      <w:r>
        <w:rPr/>
        <w:t>（</w:t>
      </w:r>
      <w:r>
        <w:rPr>
          <w:rFonts w:ascii="宋体" w:hAnsi="宋体" w:cs="宋体" w:eastAsia="宋体" w:hint="default"/>
        </w:rPr>
        <w:t>3</w:t>
      </w:r>
      <w:r>
        <w:rPr/>
        <w:t>）为使资产达到预定可使用或者可销售状态所必要的购建或者生产活动已经开始。</w:t>
      </w:r>
      <w:r>
        <w:rPr>
          <w:w w:val="100"/>
        </w:rPr>
        <w:t> </w:t>
      </w:r>
      <w:r>
        <w:rPr>
          <w:spacing w:val="-3"/>
        </w:rPr>
        <w:t>当符合资本化条件的资产在购建或者生产过程中发生非正常中断、且中断时间连续超过 </w:t>
      </w:r>
      <w:r>
        <w:rPr>
          <w:rFonts w:ascii="宋体" w:hAnsi="宋体" w:cs="宋体" w:eastAsia="宋体" w:hint="default"/>
        </w:rPr>
        <w:t>3</w:t>
      </w:r>
      <w:r>
        <w:rPr>
          <w:rFonts w:ascii="宋体" w:hAnsi="宋体" w:cs="宋体" w:eastAsia="宋体" w:hint="default"/>
          <w:spacing w:val="34"/>
        </w:rPr>
        <w:t> </w:t>
      </w:r>
      <w:r>
        <w:rPr>
          <w:spacing w:val="-7"/>
        </w:rPr>
        <w:t>个月的，借款费用暂</w:t>
      </w:r>
    </w:p>
    <w:p>
      <w:pPr>
        <w:spacing w:after="0" w:line="355" w:lineRule="auto"/>
        <w:jc w:val="left"/>
        <w:sectPr>
          <w:pgSz w:w="11910" w:h="16840"/>
          <w:pgMar w:header="720" w:footer="956" w:top="1300" w:bottom="1140" w:left="580" w:right="0"/>
        </w:sectPr>
      </w:pPr>
    </w:p>
    <w:p>
      <w:pPr>
        <w:pStyle w:val="BodyText"/>
        <w:spacing w:line="357" w:lineRule="auto" w:before="19"/>
        <w:ind w:right="0" w:hanging="420"/>
        <w:jc w:val="left"/>
      </w:pPr>
      <w:r>
        <w:rPr/>
        <w:pict>
          <v:group style="position:absolute;margin-left:34.560001pt;margin-top:2.293643pt;width:508.3pt;height:.1pt;mso-position-horizontal-relative:page;mso-position-vertical-relative:paragraph;z-index:-533512" coordorigin="691,46" coordsize="10166,2">
            <v:shape style="position:absolute;left:691;top:46;width:10166;height:2" coordorigin="691,46" coordsize="10166,0" path="m691,46l10857,46e" filled="false" stroked="true" strokeweight=".72pt" strokecolor="#000000">
              <v:path arrowok="t"/>
            </v:shape>
            <w10:wrap type="none"/>
          </v:group>
        </w:pict>
      </w:r>
      <w:r>
        <w:rPr/>
        <w:t>停资本化。当购建或者生产符合资本化条件的资产达到预定可使用或者可销售状态时，借款费用停止资本化。</w:t>
      </w:r>
      <w:r>
        <w:rPr>
          <w:w w:val="100"/>
        </w:rPr>
        <w:t> </w:t>
      </w:r>
      <w:r>
        <w:rPr>
          <w:rFonts w:ascii="宋体" w:hAnsi="宋体" w:cs="宋体" w:eastAsia="宋体" w:hint="default"/>
        </w:rPr>
        <w:t>2</w:t>
      </w:r>
      <w:r>
        <w:rPr/>
        <w:t>、借款费用资本化期间</w:t>
      </w:r>
      <w:r>
        <w:rPr>
          <w:w w:val="100"/>
        </w:rPr>
        <w:t> </w:t>
      </w:r>
      <w:r>
        <w:rPr>
          <w:spacing w:val="-2"/>
        </w:rPr>
        <w:t>为购建或者生产符合资本化条件的资产发生的借款费用，在该资产达到预定可使用或者可销售状态前发生的，</w:t>
      </w:r>
    </w:p>
    <w:p>
      <w:pPr>
        <w:pStyle w:val="BodyText"/>
        <w:spacing w:line="357" w:lineRule="auto" w:before="30"/>
        <w:ind w:left="140" w:right="710"/>
        <w:jc w:val="both"/>
      </w:pPr>
      <w:r>
        <w:rPr>
          <w:spacing w:val="-3"/>
        </w:rPr>
        <w:t>计入该资产的成本；在该资产达到预定可使用或者可销售状态后发生的，计入当期损益。符合资本化条件的资产在</w:t>
      </w:r>
      <w:r>
        <w:rPr>
          <w:spacing w:val="1"/>
        </w:rPr>
        <w:t> </w:t>
      </w:r>
      <w:r>
        <w:rPr>
          <w:spacing w:val="1"/>
        </w:rPr>
      </w:r>
      <w:r>
        <w:rPr>
          <w:spacing w:val="-3"/>
        </w:rPr>
        <w:t>购建或者生产过程中发生非正常中断、且中断时间连续超过 </w:t>
      </w:r>
      <w:r>
        <w:rPr>
          <w:rFonts w:ascii="宋体" w:hAnsi="宋体" w:cs="宋体" w:eastAsia="宋体" w:hint="default"/>
        </w:rPr>
        <w:t>3 </w:t>
      </w:r>
      <w:r>
        <w:rPr>
          <w:spacing w:val="-4"/>
        </w:rPr>
        <w:t>个月的，借款费用暂停资本化。当购建或者生产符合</w:t>
      </w:r>
      <w:r>
        <w:rPr>
          <w:spacing w:val="-81"/>
        </w:rPr>
        <w:t> </w:t>
      </w:r>
      <w:r>
        <w:rPr>
          <w:spacing w:val="-81"/>
        </w:rPr>
      </w:r>
      <w:r>
        <w:rPr/>
        <w:t>资本化条件的资产中部分项目分别完工且可单独使用时，该部分资产借款费用停止资本化。</w:t>
      </w:r>
    </w:p>
    <w:p>
      <w:pPr>
        <w:pStyle w:val="BodyText"/>
        <w:spacing w:line="355" w:lineRule="auto" w:before="30"/>
        <w:ind w:right="6134"/>
        <w:jc w:val="left"/>
      </w:pPr>
      <w:r>
        <w:rPr>
          <w:rFonts w:ascii="宋体" w:hAnsi="宋体" w:cs="宋体" w:eastAsia="宋体" w:hint="default"/>
        </w:rPr>
        <w:t>3</w:t>
      </w:r>
      <w:r>
        <w:rPr/>
        <w:t>、借款费用资本化金额的确定方法</w:t>
      </w:r>
      <w:r>
        <w:rPr>
          <w:w w:val="100"/>
        </w:rPr>
        <w:t> </w:t>
      </w:r>
      <w:r>
        <w:rPr>
          <w:spacing w:val="-2"/>
        </w:rPr>
        <w:t>本公司按年度计算借款费用资本化金额。</w:t>
      </w:r>
    </w:p>
    <w:p>
      <w:pPr>
        <w:pStyle w:val="BodyText"/>
        <w:spacing w:line="357" w:lineRule="auto"/>
        <w:ind w:left="140" w:right="0" w:firstLine="420"/>
        <w:jc w:val="left"/>
      </w:pPr>
      <w:r>
        <w:rPr>
          <w:spacing w:val="2"/>
        </w:rPr>
        <w:t>专门借款的利息费用（扣除尚未动用的借款资金存入银行取得的利息收入或者进行暂时性投资取得的投资收</w:t>
      </w:r>
      <w:r>
        <w:rPr>
          <w:w w:val="100"/>
        </w:rPr>
        <w:t> </w:t>
      </w:r>
      <w:r>
        <w:rPr/>
        <w:t>益）及其辅助费用在所购建或者生产的符合资本化条件的资产达到预定可使用或者可销售状态前，予以资本化。</w:t>
      </w:r>
    </w:p>
    <w:p>
      <w:pPr>
        <w:pStyle w:val="BodyText"/>
        <w:spacing w:line="355" w:lineRule="auto" w:before="31"/>
        <w:ind w:left="140" w:right="0" w:firstLine="420"/>
        <w:jc w:val="left"/>
      </w:pPr>
      <w:r>
        <w:rPr>
          <w:spacing w:val="-3"/>
        </w:rPr>
        <w:t>根据累计资产支出超过专门借款部分的资产支出加权平均数乘以所占用一般借款的资本化率，计算确定一般借</w:t>
      </w:r>
      <w:r>
        <w:rPr>
          <w:w w:val="100"/>
        </w:rPr>
        <w:t> </w:t>
      </w:r>
      <w:r>
        <w:rPr/>
        <w:t>款应予资本化的利息金额。资本化率根据一般借款加权平均利率计算确定。</w:t>
      </w:r>
    </w:p>
    <w:p>
      <w:pPr>
        <w:pStyle w:val="BodyText"/>
        <w:spacing w:line="355" w:lineRule="auto"/>
        <w:ind w:right="0"/>
        <w:jc w:val="left"/>
      </w:pPr>
      <w:r>
        <w:rPr>
          <w:spacing w:val="-5"/>
        </w:rPr>
        <w:t>借款存在折价或者溢价的，按照实际利率法确定每一会计期间应摊销的折价或者溢价金额，调整每期利息金额。</w:t>
      </w:r>
      <w:r>
        <w:rPr>
          <w:spacing w:val="-9"/>
        </w:rPr>
        <w:t> </w:t>
      </w:r>
      <w:r>
        <w:rPr>
          <w:spacing w:val="-9"/>
        </w:rPr>
      </w:r>
      <w:r>
        <w:rPr>
          <w:spacing w:val="-2"/>
        </w:rPr>
        <w:t>在资本化期间内，外币专门借款本金及利息的汇兑差额，应当予以资本化，计入符合资本化条件的资产成本。</w:t>
      </w:r>
    </w:p>
    <w:p>
      <w:pPr>
        <w:spacing w:line="355" w:lineRule="auto" w:before="34"/>
        <w:ind w:left="560" w:right="8037" w:firstLine="0"/>
        <w:jc w:val="left"/>
        <w:rPr>
          <w:rFonts w:ascii="宋体" w:hAnsi="宋体" w:cs="宋体" w:eastAsia="宋体" w:hint="default"/>
          <w:sz w:val="21"/>
          <w:szCs w:val="21"/>
        </w:rPr>
      </w:pPr>
      <w:r>
        <w:rPr>
          <w:rFonts w:ascii="宋体" w:hAnsi="宋体" w:cs="宋体" w:eastAsia="宋体" w:hint="default"/>
          <w:b/>
          <w:bCs/>
          <w:sz w:val="21"/>
          <w:szCs w:val="21"/>
        </w:rPr>
        <w:t>（十七）无形资产</w:t>
      </w:r>
      <w:r>
        <w:rPr>
          <w:rFonts w:ascii="宋体" w:hAnsi="宋体" w:cs="宋体" w:eastAsia="宋体" w:hint="default"/>
          <w:b/>
          <w:bCs/>
          <w:spacing w:val="-103"/>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、无形资产的初始计量</w:t>
      </w:r>
    </w:p>
    <w:p>
      <w:pPr>
        <w:pStyle w:val="BodyText"/>
        <w:spacing w:line="357" w:lineRule="auto"/>
        <w:ind w:right="0"/>
        <w:jc w:val="left"/>
      </w:pPr>
      <w:r>
        <w:rPr/>
        <w:t>本公司无形资产按照实际成本进行初始计量。</w:t>
      </w:r>
      <w:r>
        <w:rPr>
          <w:w w:val="100"/>
        </w:rPr>
        <w:t> </w:t>
      </w:r>
      <w:r>
        <w:rPr>
          <w:spacing w:val="-5"/>
        </w:rPr>
        <w:t>购买无形资产的价款超过正常信用条件延期支付，实质上具有融资性质的，无形资产的成本为购买价款的现值。</w:t>
      </w:r>
      <w:r>
        <w:rPr>
          <w:spacing w:val="-9"/>
        </w:rPr>
        <w:t> </w:t>
      </w:r>
      <w:r>
        <w:rPr>
          <w:spacing w:val="-9"/>
        </w:rPr>
      </w:r>
      <w:r>
        <w:rPr>
          <w:spacing w:val="-3"/>
        </w:rPr>
        <w:t>通过债务重组取得债务人用以抵债的无形资产，以该无形资产的公允价值为基础确定其入账价值，并将重组债</w:t>
      </w:r>
    </w:p>
    <w:p>
      <w:pPr>
        <w:pStyle w:val="BodyText"/>
        <w:spacing w:line="355" w:lineRule="auto" w:before="30"/>
        <w:ind w:left="140" w:right="711"/>
        <w:jc w:val="both"/>
      </w:pPr>
      <w:r>
        <w:rPr>
          <w:spacing w:val="-3"/>
        </w:rPr>
        <w:t>务的账面价值与该用以抵债的无形资产公允价值之间的差额，计入当期损益；在非货币性资产交换具备商业实质和</w:t>
      </w:r>
      <w:r>
        <w:rPr>
          <w:spacing w:val="-1"/>
        </w:rPr>
        <w:t> </w:t>
      </w:r>
      <w:r>
        <w:rPr>
          <w:spacing w:val="-1"/>
        </w:rPr>
      </w:r>
      <w:r>
        <w:rPr>
          <w:spacing w:val="-3"/>
        </w:rPr>
        <w:t>换入资产或换出资产的公允价值能够可靠计量的前提下，非货币性资产交换换入的无形资产通常以换出资产的公允</w:t>
      </w:r>
      <w:r>
        <w:rPr>
          <w:spacing w:val="3"/>
        </w:rPr>
        <w:t> </w:t>
      </w:r>
      <w:r>
        <w:rPr>
          <w:spacing w:val="3"/>
        </w:rPr>
      </w:r>
      <w:r>
        <w:rPr>
          <w:spacing w:val="-3"/>
        </w:rPr>
        <w:t>价值为基础确定其入账价值，除非有确凿证据表明换入资产的公允价值更加可靠；不满足上述前提的非货币性资产</w:t>
      </w:r>
      <w:r>
        <w:rPr>
          <w:spacing w:val="-1"/>
        </w:rPr>
        <w:t> </w:t>
      </w:r>
      <w:r>
        <w:rPr>
          <w:spacing w:val="-1"/>
        </w:rPr>
      </w:r>
      <w:r>
        <w:rPr/>
        <w:t>交换，以换出资产的账面价值和应支付的相关税费作为换入无形资产的成本，不确认损益。</w:t>
      </w:r>
    </w:p>
    <w:p>
      <w:pPr>
        <w:pStyle w:val="BodyText"/>
        <w:spacing w:line="240" w:lineRule="auto" w:before="34"/>
        <w:ind w:right="0"/>
        <w:jc w:val="left"/>
      </w:pPr>
      <w:r>
        <w:rPr>
          <w:rFonts w:ascii="宋体" w:hAnsi="宋体" w:cs="宋体" w:eastAsia="宋体" w:hint="default"/>
        </w:rPr>
        <w:t>2</w:t>
      </w:r>
      <w:r>
        <w:rPr/>
        <w:t>、无形资产的后续计量</w:t>
      </w:r>
    </w:p>
    <w:p>
      <w:pPr>
        <w:pStyle w:val="BodyText"/>
        <w:spacing w:line="355" w:lineRule="auto" w:before="133"/>
        <w:ind w:right="0"/>
        <w:jc w:val="left"/>
      </w:pPr>
      <w:r>
        <w:rPr/>
        <w:t>（</w:t>
      </w:r>
      <w:r>
        <w:rPr>
          <w:rFonts w:ascii="宋体" w:hAnsi="宋体" w:cs="宋体" w:eastAsia="宋体" w:hint="default"/>
        </w:rPr>
        <w:t>1</w:t>
      </w:r>
      <w:r>
        <w:rPr/>
        <w:t>）无形资产的使用寿命</w:t>
      </w:r>
      <w:r>
        <w:rPr>
          <w:w w:val="100"/>
        </w:rPr>
        <w:t> </w:t>
      </w:r>
      <w:r>
        <w:rPr>
          <w:spacing w:val="-3"/>
        </w:rPr>
        <w:t>估计无形资产使用寿命时，对使用寿命确定的无形资产，如果来源于合同性权利或其他法定权利，其使用寿命</w:t>
      </w:r>
    </w:p>
    <w:p>
      <w:pPr>
        <w:pStyle w:val="BodyText"/>
        <w:spacing w:line="357" w:lineRule="auto"/>
        <w:ind w:left="140" w:right="711"/>
        <w:jc w:val="both"/>
      </w:pPr>
      <w:r>
        <w:rPr>
          <w:spacing w:val="-3"/>
        </w:rPr>
        <w:t>不应超过合同性权利或其他法定权利的期限；如果合同性权利或其他法定权利能够在到期时因续约等延续，且有证</w:t>
      </w:r>
      <w:r>
        <w:rPr>
          <w:spacing w:val="2"/>
        </w:rPr>
        <w:t> </w:t>
      </w:r>
      <w:r>
        <w:rPr>
          <w:spacing w:val="2"/>
        </w:rPr>
      </w:r>
      <w:r>
        <w:rPr>
          <w:spacing w:val="-3"/>
        </w:rPr>
        <w:t>据表明公司续约不需要付出大额成本，续约期计入使用寿命。合同或法律没有规定使用寿命的，公司综合各方面情</w:t>
      </w:r>
      <w:r>
        <w:rPr>
          <w:spacing w:val="2"/>
        </w:rPr>
        <w:t> </w:t>
      </w:r>
      <w:r>
        <w:rPr>
          <w:spacing w:val="2"/>
        </w:rPr>
      </w:r>
      <w:r>
        <w:rPr/>
        <w:t>况判断，以确定无形资产能为企业带来未来经济利益的期限。</w:t>
      </w:r>
    </w:p>
    <w:p>
      <w:pPr>
        <w:pStyle w:val="BodyText"/>
        <w:spacing w:line="355" w:lineRule="auto" w:before="30"/>
        <w:ind w:left="140" w:right="705" w:firstLine="420"/>
        <w:jc w:val="left"/>
      </w:pPr>
      <w:r>
        <w:rPr>
          <w:spacing w:val="-3"/>
        </w:rPr>
        <w:t>按照上述方法仍无法合理确定无形资产为企业带来经济利益期限的，该项无形资产作为使用寿命不确定的无形</w:t>
      </w:r>
      <w:r>
        <w:rPr>
          <w:w w:val="100"/>
        </w:rPr>
        <w:t> </w:t>
      </w:r>
      <w:r>
        <w:rPr/>
        <w:t>资产。</w:t>
      </w:r>
    </w:p>
    <w:p>
      <w:pPr>
        <w:pStyle w:val="BodyText"/>
        <w:spacing w:line="240" w:lineRule="auto"/>
        <w:ind w:right="0"/>
        <w:jc w:val="left"/>
      </w:pPr>
      <w:r>
        <w:rPr/>
        <w:t>企业确定无形资产的使用寿命通常考虑的因素：</w:t>
      </w:r>
    </w:p>
    <w:p>
      <w:pPr>
        <w:pStyle w:val="BodyText"/>
        <w:spacing w:line="240" w:lineRule="auto" w:before="135"/>
        <w:ind w:right="0"/>
        <w:jc w:val="left"/>
      </w:pPr>
      <w:r>
        <w:rPr/>
        <w:t>①该资产通常的产品寿命周期、可获得的类似资产使用寿命的信息；</w:t>
      </w:r>
    </w:p>
    <w:p>
      <w:pPr>
        <w:pStyle w:val="BodyText"/>
        <w:spacing w:line="240" w:lineRule="auto" w:before="133"/>
        <w:ind w:right="0"/>
        <w:jc w:val="left"/>
      </w:pPr>
      <w:r>
        <w:rPr/>
        <w:t>②技术、工艺等方面的现阶段情况及对未来发展趋势的估计；</w:t>
      </w:r>
    </w:p>
    <w:p>
      <w:pPr>
        <w:pStyle w:val="BodyText"/>
        <w:spacing w:line="240" w:lineRule="auto" w:before="133"/>
        <w:ind w:right="0"/>
        <w:jc w:val="left"/>
      </w:pPr>
      <w:r>
        <w:rPr/>
        <w:t>③该资产生产的产品（或服务）的市场需求情况；</w:t>
      </w:r>
    </w:p>
    <w:p>
      <w:pPr>
        <w:spacing w:after="0" w:line="240" w:lineRule="auto"/>
        <w:jc w:val="left"/>
        <w:sectPr>
          <w:pgSz w:w="11910" w:h="16840"/>
          <w:pgMar w:header="720" w:footer="956" w:top="1300" w:bottom="1140" w:left="580" w:right="0"/>
        </w:sectPr>
      </w:pPr>
    </w:p>
    <w:p>
      <w:pPr>
        <w:pStyle w:val="BodyText"/>
        <w:spacing w:line="240" w:lineRule="auto" w:before="19"/>
        <w:ind w:right="0"/>
        <w:jc w:val="left"/>
      </w:pPr>
      <w:r>
        <w:rPr/>
        <w:pict>
          <v:group style="position:absolute;margin-left:34.560001pt;margin-top:2.293643pt;width:508.3pt;height:.1pt;mso-position-horizontal-relative:page;mso-position-vertical-relative:paragraph;z-index:-533488" coordorigin="691,46" coordsize="10166,2">
            <v:shape style="position:absolute;left:691;top:46;width:10166;height:2" coordorigin="691,46" coordsize="10166,0" path="m691,46l10857,46e" filled="false" stroked="true" strokeweight=".72pt" strokecolor="#000000">
              <v:path arrowok="t"/>
            </v:shape>
            <w10:wrap type="none"/>
          </v:group>
        </w:pict>
      </w:r>
      <w:r>
        <w:rPr/>
        <w:t>④现在或潜在的竞争者预期采取的行动；</w:t>
      </w:r>
    </w:p>
    <w:p>
      <w:pPr>
        <w:pStyle w:val="BodyText"/>
        <w:spacing w:line="240" w:lineRule="auto" w:before="133"/>
        <w:ind w:right="0"/>
        <w:jc w:val="left"/>
      </w:pPr>
      <w:r>
        <w:rPr/>
        <w:t>⑤为维持该资产产生未来经济利益能力的预期维护支出，以及公司预计支付有关支出的能力；</w:t>
      </w:r>
    </w:p>
    <w:p>
      <w:pPr>
        <w:pStyle w:val="BodyText"/>
        <w:spacing w:line="240" w:lineRule="auto" w:before="133"/>
        <w:ind w:right="0"/>
        <w:jc w:val="left"/>
      </w:pPr>
      <w:r>
        <w:rPr/>
        <w:t>⑥对该资产的控制期限，使用的法律或类似限制，如特许使用期间、租赁期间等；</w:t>
      </w:r>
    </w:p>
    <w:p>
      <w:pPr>
        <w:pStyle w:val="BodyText"/>
        <w:spacing w:line="240" w:lineRule="auto" w:before="133"/>
        <w:ind w:right="0"/>
        <w:jc w:val="left"/>
      </w:pPr>
      <w:r>
        <w:rPr/>
        <w:t>⑦与公司持有的其他资产使用寿命的关联性等。</w:t>
      </w:r>
    </w:p>
    <w:p>
      <w:pPr>
        <w:pStyle w:val="BodyText"/>
        <w:spacing w:line="355" w:lineRule="auto" w:before="135"/>
        <w:ind w:right="0"/>
        <w:jc w:val="left"/>
      </w:pPr>
      <w:r>
        <w:rPr/>
        <w:t>（</w:t>
      </w:r>
      <w:r>
        <w:rPr>
          <w:rFonts w:ascii="宋体" w:hAnsi="宋体" w:cs="宋体" w:eastAsia="宋体" w:hint="default"/>
        </w:rPr>
        <w:t>2</w:t>
      </w:r>
      <w:r>
        <w:rPr/>
        <w:t>）无形资产的摊销</w:t>
      </w:r>
      <w:r>
        <w:rPr>
          <w:w w:val="100"/>
        </w:rPr>
        <w:t> </w:t>
      </w:r>
      <w:r>
        <w:rPr>
          <w:spacing w:val="-3"/>
        </w:rPr>
        <w:t>使用寿命有限的无形资产，自取得当月起在预计使用寿命内采用直线法摊销，使用寿命不确定的无形资产不予</w:t>
      </w:r>
    </w:p>
    <w:p>
      <w:pPr>
        <w:pStyle w:val="BodyText"/>
        <w:spacing w:line="355" w:lineRule="auto"/>
        <w:ind w:right="0" w:hanging="420"/>
        <w:jc w:val="left"/>
      </w:pPr>
      <w:r>
        <w:rPr/>
        <w:t>摊销，期末进行减值测试。</w:t>
      </w:r>
      <w:r>
        <w:rPr>
          <w:w w:val="100"/>
        </w:rPr>
        <w:t> </w:t>
      </w:r>
      <w:r>
        <w:rPr>
          <w:spacing w:val="-2"/>
        </w:rPr>
        <w:t>本公司至少于每年年度终了时，对无形资产的使用寿命及摊销方法进行复核，必要时进行调整。</w:t>
      </w:r>
    </w:p>
    <w:p>
      <w:pPr>
        <w:pStyle w:val="BodyText"/>
        <w:spacing w:line="357" w:lineRule="auto"/>
        <w:ind w:right="0"/>
        <w:jc w:val="left"/>
      </w:pPr>
      <w:r>
        <w:rPr/>
        <w:t>（</w:t>
      </w:r>
      <w:r>
        <w:rPr>
          <w:rFonts w:ascii="宋体" w:hAnsi="宋体" w:cs="宋体" w:eastAsia="宋体" w:hint="default"/>
        </w:rPr>
        <w:t>3</w:t>
      </w:r>
      <w:r>
        <w:rPr/>
        <w:t>）无形资产的减值</w:t>
      </w:r>
      <w:r>
        <w:rPr>
          <w:w w:val="100"/>
        </w:rPr>
        <w:t> </w:t>
      </w:r>
      <w:r>
        <w:rPr>
          <w:spacing w:val="-3"/>
        </w:rPr>
        <w:t>有确凿证据表明无形资产存在减值迹象的，本公司在资产负债表日进行减值测试，估计其可收回金额，若可收</w:t>
      </w:r>
    </w:p>
    <w:p>
      <w:pPr>
        <w:pStyle w:val="BodyText"/>
        <w:spacing w:line="355" w:lineRule="auto" w:before="31"/>
        <w:ind w:left="140" w:right="0"/>
        <w:jc w:val="left"/>
      </w:pPr>
      <w:r>
        <w:rPr>
          <w:spacing w:val="-3"/>
        </w:rPr>
        <w:t>回金额低于其账面价值的，将无形资产的账面价值减记至可收回金额，减记的金额计入当期损益，同时计提相应的</w:t>
      </w:r>
      <w:r>
        <w:rPr>
          <w:spacing w:val="1"/>
        </w:rPr>
        <w:t> </w:t>
      </w:r>
      <w:r>
        <w:rPr>
          <w:spacing w:val="1"/>
        </w:rPr>
      </w:r>
      <w:r>
        <w:rPr/>
        <w:t>无形资产减值准备。对于使用寿命不确定的无形资产，无论是否存在减值迹象，每年均进行减值测试。</w:t>
      </w:r>
    </w:p>
    <w:p>
      <w:pPr>
        <w:pStyle w:val="BodyText"/>
        <w:spacing w:line="357" w:lineRule="auto"/>
        <w:ind w:right="3357"/>
        <w:jc w:val="left"/>
      </w:pPr>
      <w:r>
        <w:rPr>
          <w:rFonts w:ascii="宋体" w:hAnsi="宋体" w:cs="宋体" w:eastAsia="宋体" w:hint="default"/>
        </w:rPr>
        <w:t>3</w:t>
      </w:r>
      <w:r>
        <w:rPr/>
        <w:t>、研究开发费用</w:t>
      </w:r>
      <w:r>
        <w:rPr>
          <w:w w:val="100"/>
        </w:rPr>
        <w:t> </w:t>
      </w:r>
      <w:r>
        <w:rPr/>
        <w:t>本公司内部研究开发项目的支出，区分为研究阶段支出与开发阶段支出。</w:t>
      </w:r>
      <w:r>
        <w:rPr>
          <w:w w:val="100"/>
        </w:rPr>
        <w:t> </w:t>
      </w:r>
      <w:r>
        <w:rPr>
          <w:spacing w:val="-2"/>
        </w:rPr>
        <w:t>划分本公司内部研究开发项目研究阶段支出和开发阶段支出的具体标准为：</w:t>
      </w:r>
    </w:p>
    <w:p>
      <w:pPr>
        <w:pStyle w:val="BodyText"/>
        <w:spacing w:line="355" w:lineRule="auto" w:before="30"/>
        <w:ind w:left="140" w:right="711" w:firstLine="420"/>
        <w:jc w:val="both"/>
      </w:pPr>
      <w:r>
        <w:rPr>
          <w:spacing w:val="-3"/>
        </w:rPr>
        <w:t>研究阶段支出是指为获取并理解新的科学或技术知识而进行的独创性的有计划调查所发生的支出，是为进一步</w:t>
      </w:r>
      <w:r>
        <w:rPr>
          <w:w w:val="100"/>
        </w:rPr>
        <w:t> </w:t>
      </w:r>
      <w:r>
        <w:rPr>
          <w:spacing w:val="-3"/>
        </w:rPr>
        <w:t>开发活动进行资料及相关方面的准备，已进行的研究活动将来是否会转入开发、开发后是否会形成无形资产等均具</w:t>
      </w:r>
      <w:r>
        <w:rPr/>
        <w:t> </w:t>
      </w:r>
      <w:r>
        <w:rPr/>
        <w:t>有较大的不确定性，因此，本公司对研究阶段的支出全部予以费用化，计入当期损益。</w:t>
      </w:r>
    </w:p>
    <w:p>
      <w:pPr>
        <w:pStyle w:val="BodyText"/>
        <w:spacing w:line="355" w:lineRule="auto" w:before="35"/>
        <w:ind w:left="140" w:right="0" w:firstLine="420"/>
        <w:jc w:val="left"/>
      </w:pPr>
      <w:r>
        <w:rPr>
          <w:spacing w:val="-3"/>
        </w:rPr>
        <w:t>开发阶段支出是指在进行商业性生产或使用前，将研究成果或其他知识应用于某项计划或设计，以生产出新的</w:t>
      </w:r>
      <w:r>
        <w:rPr>
          <w:w w:val="100"/>
        </w:rPr>
        <w:t> </w:t>
      </w:r>
      <w:r>
        <w:rPr>
          <w:spacing w:val="-5"/>
        </w:rPr>
        <w:t>或具有实质性改进的材料、装置、产品等所发生的支出。内部研究开发项目开发阶段的支出，同时满足下列条件的，</w:t>
      </w:r>
      <w:r>
        <w:rPr>
          <w:spacing w:val="-2"/>
        </w:rPr>
        <w:t> </w:t>
      </w:r>
      <w:r>
        <w:rPr>
          <w:spacing w:val="-2"/>
        </w:rPr>
      </w:r>
      <w:r>
        <w:rPr/>
        <w:t>才能确认为无形资产：</w:t>
      </w:r>
    </w:p>
    <w:p>
      <w:pPr>
        <w:pStyle w:val="BodyText"/>
        <w:spacing w:line="240" w:lineRule="auto"/>
        <w:ind w:right="0"/>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33"/>
        <w:ind w:right="0"/>
        <w:jc w:val="left"/>
      </w:pPr>
      <w:r>
        <w:rPr/>
        <w:t>（</w:t>
      </w:r>
      <w:r>
        <w:rPr>
          <w:rFonts w:ascii="宋体" w:hAnsi="宋体" w:cs="宋体" w:eastAsia="宋体" w:hint="default"/>
        </w:rPr>
        <w:t>2</w:t>
      </w:r>
      <w:r>
        <w:rPr/>
        <w:t>）具有完成该无形资产并使用或出售的意图；</w:t>
      </w:r>
    </w:p>
    <w:p>
      <w:pPr>
        <w:pStyle w:val="BodyText"/>
        <w:spacing w:line="355" w:lineRule="auto" w:before="135"/>
        <w:ind w:left="140" w:right="0" w:firstLine="420"/>
        <w:jc w:val="left"/>
      </w:pPr>
      <w:r>
        <w:rPr/>
        <w:t>（</w:t>
      </w:r>
      <w:r>
        <w:rPr>
          <w:rFonts w:ascii="宋体" w:hAnsi="宋体" w:cs="宋体" w:eastAsia="宋体" w:hint="default"/>
        </w:rPr>
        <w:t>3</w:t>
      </w:r>
      <w:r>
        <w:rPr/>
        <w:t>）无形资产产生经济利益的方式，包括能够证明运用该无形资产生产的产品存在市场或无形资产自身存在</w:t>
      </w:r>
      <w:r>
        <w:rPr>
          <w:w w:val="100"/>
        </w:rPr>
        <w:t> </w:t>
      </w:r>
      <w:r>
        <w:rPr/>
        <w:t>市场，无形资产将在内部使用的，应当证明其有用性；</w:t>
      </w:r>
    </w:p>
    <w:p>
      <w:pPr>
        <w:pStyle w:val="BodyText"/>
        <w:spacing w:line="240" w:lineRule="auto"/>
        <w:ind w:right="0"/>
        <w:jc w:val="left"/>
      </w:pPr>
      <w:r>
        <w:rPr>
          <w:spacing w:val="-3"/>
        </w:rPr>
        <w:t>（</w:t>
      </w:r>
      <w:r>
        <w:rPr>
          <w:rFonts w:ascii="宋体" w:hAnsi="宋体" w:cs="宋体" w:eastAsia="宋体" w:hint="default"/>
          <w:spacing w:val="-3"/>
        </w:rPr>
        <w:t>4</w:t>
      </w:r>
      <w:r>
        <w:rPr>
          <w:spacing w:val="-3"/>
        </w:rPr>
        <w:t>）有足够的技术、财务资源和其他资源支持，以完成该无形资产的开发，并有能力使用或出售该无形资产；</w:t>
      </w:r>
    </w:p>
    <w:p>
      <w:pPr>
        <w:pStyle w:val="BodyText"/>
        <w:spacing w:line="357" w:lineRule="auto" w:before="133"/>
        <w:ind w:right="0"/>
        <w:jc w:val="left"/>
      </w:pPr>
      <w:r>
        <w:rPr/>
        <w:t>（</w:t>
      </w:r>
      <w:r>
        <w:rPr>
          <w:rFonts w:ascii="宋体" w:hAnsi="宋体" w:cs="宋体" w:eastAsia="宋体" w:hint="default"/>
        </w:rPr>
        <w:t>5</w:t>
      </w:r>
      <w:r>
        <w:rPr/>
        <w:t>）归属于该无形资产开发阶段的支出能够可靠地计量。</w:t>
      </w:r>
      <w:r>
        <w:rPr>
          <w:w w:val="100"/>
        </w:rPr>
        <w:t> </w:t>
      </w:r>
      <w:r>
        <w:rPr>
          <w:spacing w:val="-2"/>
        </w:rPr>
        <w:t>公司取得的已作为无形资产确认的正在进行中的研究开发项目，在取得后发生的支出应当按照上述规定处理。</w:t>
      </w:r>
    </w:p>
    <w:p>
      <w:pPr>
        <w:pStyle w:val="BodyText"/>
        <w:spacing w:line="355" w:lineRule="auto"/>
        <w:ind w:left="552" w:right="0" w:firstLine="7"/>
        <w:jc w:val="left"/>
      </w:pPr>
      <w:r>
        <w:rPr>
          <w:rFonts w:ascii="宋体" w:hAnsi="宋体" w:cs="宋体" w:eastAsia="宋体" w:hint="default"/>
          <w:b/>
          <w:bCs/>
        </w:rPr>
        <w:t>（十八）长期待摊费用</w:t>
      </w:r>
      <w:r>
        <w:rPr>
          <w:rFonts w:ascii="宋体" w:hAnsi="宋体" w:cs="宋体" w:eastAsia="宋体" w:hint="default"/>
          <w:b/>
          <w:bCs/>
          <w:w w:val="100"/>
        </w:rPr>
        <w:t> </w:t>
      </w:r>
      <w:r>
        <w:rPr>
          <w:spacing w:val="-2"/>
        </w:rPr>
        <w:t>长期待摊费用是指本公司已经发生但应由本期和以后各期负担的期限在一年以上的各项费用。长期待摊费用在</w:t>
      </w:r>
    </w:p>
    <w:p>
      <w:pPr>
        <w:pStyle w:val="BodyText"/>
        <w:spacing w:line="355" w:lineRule="auto"/>
        <w:ind w:left="552" w:right="3357" w:hanging="413"/>
        <w:jc w:val="left"/>
      </w:pPr>
      <w:r>
        <w:rPr/>
        <w:t>受益期内平均摊销，其中：</w:t>
      </w:r>
      <w:r>
        <w:rPr>
          <w:w w:val="100"/>
        </w:rPr>
        <w:t> </w:t>
      </w:r>
      <w:r>
        <w:rPr>
          <w:spacing w:val="-2"/>
        </w:rPr>
        <w:t>预付经营租入固定资产的租金，按租赁合同规定的期限平均摊销。</w:t>
      </w:r>
    </w:p>
    <w:p>
      <w:pPr>
        <w:pStyle w:val="BodyText"/>
        <w:spacing w:line="355" w:lineRule="auto" w:before="34"/>
        <w:ind w:right="0" w:hanging="8"/>
        <w:jc w:val="left"/>
      </w:pPr>
      <w:r>
        <w:rPr>
          <w:spacing w:val="-2"/>
        </w:rPr>
        <w:t>经营租赁方式租入的固定资产改良支出，按剩余租赁期与租赁资产尚可使用年限两者中较短的期限平均摊销。</w:t>
      </w:r>
      <w:r>
        <w:rPr>
          <w:spacing w:val="-21"/>
        </w:rPr>
        <w:t> </w:t>
      </w:r>
      <w:r>
        <w:rPr>
          <w:spacing w:val="-21"/>
        </w:rPr>
      </w:r>
      <w:r>
        <w:rPr>
          <w:spacing w:val="-2"/>
        </w:rPr>
        <w:t>融资租赁方式租入的固定资产，其符合资本化条件的装修费用，在两次装修间隔期间、剩余租赁期和固定资产</w:t>
      </w:r>
    </w:p>
    <w:p>
      <w:pPr>
        <w:pStyle w:val="BodyText"/>
        <w:spacing w:line="240" w:lineRule="auto"/>
        <w:ind w:left="140" w:right="0"/>
        <w:jc w:val="left"/>
      </w:pPr>
      <w:r>
        <w:rPr/>
        <w:t>尚可使用年限三者中较短的期限平均摊销。</w:t>
      </w:r>
    </w:p>
    <w:p>
      <w:pPr>
        <w:spacing w:after="0" w:line="240" w:lineRule="auto"/>
        <w:jc w:val="left"/>
        <w:sectPr>
          <w:pgSz w:w="11910" w:h="16840"/>
          <w:pgMar w:header="720" w:footer="956" w:top="1300" w:bottom="1140" w:left="580" w:right="0"/>
        </w:sectPr>
      </w:pPr>
    </w:p>
    <w:p>
      <w:pPr>
        <w:pStyle w:val="BodyText"/>
        <w:spacing w:line="357" w:lineRule="auto" w:before="19"/>
        <w:ind w:right="2286" w:hanging="8"/>
        <w:jc w:val="left"/>
      </w:pPr>
      <w:r>
        <w:rPr/>
        <w:pict>
          <v:group style="position:absolute;margin-left:34.560001pt;margin-top:2.293643pt;width:508.3pt;height:.1pt;mso-position-horizontal-relative:page;mso-position-vertical-relative:paragraph;z-index:-533464"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b/>
          <w:bCs/>
        </w:rPr>
        <w:t>（十九）预计负债</w:t>
      </w:r>
      <w:r>
        <w:rPr>
          <w:rFonts w:ascii="宋体" w:hAnsi="宋体" w:cs="宋体" w:eastAsia="宋体" w:hint="default"/>
          <w:b/>
          <w:bCs/>
          <w:spacing w:val="-103"/>
        </w:rPr>
        <w:t> </w:t>
      </w:r>
      <w:r>
        <w:rPr>
          <w:rFonts w:ascii="宋体" w:hAnsi="宋体" w:cs="宋体" w:eastAsia="宋体" w:hint="default"/>
          <w:spacing w:val="-2"/>
        </w:rPr>
        <w:t>1</w:t>
      </w:r>
      <w:r>
        <w:rPr>
          <w:spacing w:val="-2"/>
        </w:rPr>
        <w:t>、如果与或有事项相关的义务同时符合以下条件，本公司将其确认为预计负债：</w:t>
      </w:r>
    </w:p>
    <w:p>
      <w:pPr>
        <w:pStyle w:val="BodyText"/>
        <w:spacing w:line="240" w:lineRule="auto" w:before="30"/>
        <w:ind w:right="0"/>
        <w:jc w:val="left"/>
      </w:pPr>
      <w:r>
        <w:rPr/>
        <w:t>（</w:t>
      </w:r>
      <w:r>
        <w:rPr>
          <w:rFonts w:ascii="宋体" w:hAnsi="宋体" w:cs="宋体" w:eastAsia="宋体" w:hint="default"/>
        </w:rPr>
        <w:t>1</w:t>
      </w:r>
      <w:r>
        <w:rPr/>
        <w:t>）该义务是企业承担的现时义务；</w:t>
      </w:r>
    </w:p>
    <w:p>
      <w:pPr>
        <w:pStyle w:val="BodyText"/>
        <w:spacing w:line="240" w:lineRule="auto" w:before="133"/>
        <w:ind w:right="0"/>
        <w:jc w:val="left"/>
      </w:pPr>
      <w:r>
        <w:rPr/>
        <w:t>（</w:t>
      </w:r>
      <w:r>
        <w:rPr>
          <w:rFonts w:ascii="宋体" w:hAnsi="宋体" w:cs="宋体" w:eastAsia="宋体" w:hint="default"/>
        </w:rPr>
        <w:t>2</w:t>
      </w:r>
      <w:r>
        <w:rPr/>
        <w:t>）该义务的履行很可能导致经济利益流出企业；</w:t>
      </w:r>
    </w:p>
    <w:p>
      <w:pPr>
        <w:pStyle w:val="BodyText"/>
        <w:spacing w:line="355" w:lineRule="auto" w:before="135"/>
        <w:ind w:right="0"/>
        <w:jc w:val="left"/>
      </w:pPr>
      <w:r>
        <w:rPr/>
        <w:t>（</w:t>
      </w:r>
      <w:r>
        <w:rPr>
          <w:rFonts w:ascii="宋体" w:hAnsi="宋体" w:cs="宋体" w:eastAsia="宋体" w:hint="default"/>
        </w:rPr>
        <w:t>3</w:t>
      </w:r>
      <w:r>
        <w:rPr/>
        <w:t>）该义务的金额能够可靠地计量。</w:t>
      </w:r>
      <w:r>
        <w:rPr>
          <w:w w:val="100"/>
        </w:rPr>
        <w:t> </w:t>
      </w:r>
      <w:r>
        <w:rPr>
          <w:rFonts w:ascii="宋体" w:hAnsi="宋体" w:cs="宋体" w:eastAsia="宋体" w:hint="default"/>
        </w:rPr>
        <w:t>2</w:t>
      </w:r>
      <w:r>
        <w:rPr/>
        <w:t>、预计负债金额的确认方法：金额是清偿该预计负债所需支出的最佳估计数。如果所需支出存在一个金额范</w:t>
      </w:r>
    </w:p>
    <w:p>
      <w:pPr>
        <w:pStyle w:val="BodyText"/>
        <w:spacing w:line="355" w:lineRule="auto"/>
        <w:ind w:left="140" w:right="0"/>
        <w:jc w:val="left"/>
      </w:pPr>
      <w:r>
        <w:rPr>
          <w:spacing w:val="-3"/>
        </w:rPr>
        <w:t>围，则最佳估计数按该范围的上、下限金额的平均数确定；如果所需支出不存在一个金额范围，则最佳估计数按如</w:t>
      </w:r>
      <w:r>
        <w:rPr>
          <w:spacing w:val="-1"/>
        </w:rPr>
        <w:t> </w:t>
      </w:r>
      <w:r>
        <w:rPr>
          <w:spacing w:val="-1"/>
        </w:rPr>
      </w:r>
      <w:r>
        <w:rPr/>
        <w:t>下方法确定：</w:t>
      </w:r>
    </w:p>
    <w:p>
      <w:pPr>
        <w:pStyle w:val="BodyText"/>
        <w:spacing w:line="240" w:lineRule="auto"/>
        <w:ind w:right="0"/>
        <w:jc w:val="left"/>
      </w:pPr>
      <w:r>
        <w:rPr/>
        <w:t>（</w:t>
      </w:r>
      <w:r>
        <w:rPr>
          <w:rFonts w:ascii="宋体" w:hAnsi="宋体" w:cs="宋体" w:eastAsia="宋体" w:hint="default"/>
        </w:rPr>
        <w:t>1</w:t>
      </w:r>
      <w:r>
        <w:rPr/>
        <w:t>）或有事项涉及单个项目时，最佳估计数按最可能发生金额确定；</w:t>
      </w:r>
    </w:p>
    <w:p>
      <w:pPr>
        <w:pStyle w:val="BodyText"/>
        <w:spacing w:line="357" w:lineRule="auto" w:before="135"/>
        <w:ind w:right="0"/>
        <w:jc w:val="left"/>
      </w:pPr>
      <w:r>
        <w:rPr/>
        <w:t>（</w:t>
      </w:r>
      <w:r>
        <w:rPr>
          <w:rFonts w:ascii="宋体" w:hAnsi="宋体" w:cs="宋体" w:eastAsia="宋体" w:hint="default"/>
        </w:rPr>
        <w:t>2</w:t>
      </w:r>
      <w:r>
        <w:rPr/>
        <w:t>）或有事项涉及多个项目时，最佳估计数按各种可能发生额及其发生概率计算确定。</w:t>
      </w:r>
      <w:r>
        <w:rPr>
          <w:w w:val="100"/>
        </w:rPr>
        <w:t> </w:t>
      </w:r>
      <w:r>
        <w:rPr>
          <w:rFonts w:ascii="宋体" w:hAnsi="宋体" w:cs="宋体" w:eastAsia="宋体" w:hint="default"/>
        </w:rPr>
        <w:t>3</w:t>
      </w:r>
      <w:r>
        <w:rPr/>
        <w:t>、如果清偿已确认预计负债所需支出全部或部分预期由第三方或其他方补偿，则补偿金额只能在基本确定能</w:t>
      </w:r>
    </w:p>
    <w:p>
      <w:pPr>
        <w:pStyle w:val="BodyText"/>
        <w:spacing w:line="240" w:lineRule="auto" w:before="30"/>
        <w:ind w:left="140" w:right="0"/>
        <w:jc w:val="left"/>
      </w:pPr>
      <w:r>
        <w:rPr/>
        <w:t>收到时，作为资产单独确认。确认的补偿金额不超过所确认负债账面价值。</w:t>
      </w:r>
    </w:p>
    <w:p>
      <w:pPr>
        <w:spacing w:line="355" w:lineRule="auto" w:before="133"/>
        <w:ind w:left="560" w:right="9489" w:hanging="8"/>
        <w:jc w:val="left"/>
        <w:rPr>
          <w:rFonts w:ascii="宋体" w:hAnsi="宋体" w:cs="宋体" w:eastAsia="宋体" w:hint="default"/>
          <w:sz w:val="21"/>
          <w:szCs w:val="21"/>
        </w:rPr>
      </w:pPr>
      <w:r>
        <w:rPr>
          <w:rFonts w:ascii="宋体" w:hAnsi="宋体" w:cs="宋体" w:eastAsia="宋体" w:hint="default"/>
          <w:b/>
          <w:bCs/>
          <w:sz w:val="21"/>
          <w:szCs w:val="21"/>
        </w:rPr>
        <w:t>（二十）收入</w:t>
      </w:r>
      <w:r>
        <w:rPr>
          <w:rFonts w:ascii="宋体" w:hAnsi="宋体" w:cs="宋体" w:eastAsia="宋体" w:hint="default"/>
          <w:b/>
          <w:bCs/>
          <w:spacing w:val="-104"/>
          <w:sz w:val="21"/>
          <w:szCs w:val="21"/>
        </w:rPr>
        <w:t> </w:t>
      </w:r>
      <w:r>
        <w:rPr>
          <w:rFonts w:ascii="宋体" w:hAnsi="宋体" w:cs="宋体" w:eastAsia="宋体" w:hint="default"/>
          <w:sz w:val="21"/>
          <w:szCs w:val="21"/>
        </w:rPr>
        <w:t>1</w:t>
      </w:r>
      <w:r>
        <w:rPr>
          <w:rFonts w:ascii="宋体" w:hAnsi="宋体" w:cs="宋体" w:eastAsia="宋体" w:hint="default"/>
          <w:sz w:val="21"/>
          <w:szCs w:val="21"/>
        </w:rPr>
        <w:t>、销售商品</w:t>
      </w:r>
    </w:p>
    <w:p>
      <w:pPr>
        <w:pStyle w:val="BodyText"/>
        <w:spacing w:line="240" w:lineRule="auto" w:before="34"/>
        <w:ind w:right="0"/>
        <w:jc w:val="left"/>
      </w:pPr>
      <w:r>
        <w:rPr/>
        <w:t>销售商品收入同时满足下列条件的，予以确认：</w:t>
      </w:r>
    </w:p>
    <w:p>
      <w:pPr>
        <w:pStyle w:val="BodyText"/>
        <w:spacing w:line="240" w:lineRule="auto" w:before="133"/>
        <w:ind w:right="0"/>
        <w:jc w:val="left"/>
      </w:pPr>
      <w:r>
        <w:rPr/>
        <w:t>（</w:t>
      </w:r>
      <w:r>
        <w:rPr>
          <w:rFonts w:ascii="宋体" w:hAnsi="宋体" w:cs="宋体" w:eastAsia="宋体" w:hint="default"/>
        </w:rPr>
        <w:t>1</w:t>
      </w:r>
      <w:r>
        <w:rPr/>
        <w:t>）本公司己将商品所有权上的主要风险和报酬转移给购货方。</w:t>
      </w:r>
    </w:p>
    <w:p>
      <w:pPr>
        <w:pStyle w:val="BodyText"/>
        <w:spacing w:line="240" w:lineRule="auto" w:before="133"/>
        <w:ind w:right="0"/>
        <w:jc w:val="left"/>
      </w:pPr>
      <w:r>
        <w:rPr/>
        <w:t>（</w:t>
      </w:r>
      <w:r>
        <w:rPr>
          <w:rFonts w:ascii="宋体" w:hAnsi="宋体" w:cs="宋体" w:eastAsia="宋体" w:hint="default"/>
        </w:rPr>
        <w:t>2</w:t>
      </w:r>
      <w:r>
        <w:rPr/>
        <w:t>）本公司既没有保留通常与所有权相联系的继续管理权，也没有对己售出的商品实施有效控制。</w:t>
      </w:r>
    </w:p>
    <w:p>
      <w:pPr>
        <w:pStyle w:val="BodyText"/>
        <w:spacing w:line="240" w:lineRule="auto" w:before="133"/>
        <w:ind w:right="0"/>
        <w:jc w:val="left"/>
      </w:pPr>
      <w:r>
        <w:rPr/>
        <w:t>（</w:t>
      </w:r>
      <w:r>
        <w:rPr>
          <w:rFonts w:ascii="宋体" w:hAnsi="宋体" w:cs="宋体" w:eastAsia="宋体" w:hint="default"/>
        </w:rPr>
        <w:t>3</w:t>
      </w:r>
      <w:r>
        <w:rPr/>
        <w:t>）收入的金额能够可靠计量。</w:t>
      </w:r>
    </w:p>
    <w:p>
      <w:pPr>
        <w:pStyle w:val="BodyText"/>
        <w:spacing w:line="240" w:lineRule="auto" w:before="136"/>
        <w:ind w:right="0"/>
        <w:jc w:val="left"/>
      </w:pPr>
      <w:r>
        <w:rPr/>
        <w:t>（</w:t>
      </w:r>
      <w:r>
        <w:rPr>
          <w:rFonts w:ascii="宋体" w:hAnsi="宋体" w:cs="宋体" w:eastAsia="宋体" w:hint="default"/>
        </w:rPr>
        <w:t>4</w:t>
      </w:r>
      <w:r>
        <w:rPr/>
        <w:t>）相关经济利益很可能流入本公司。</w:t>
      </w:r>
    </w:p>
    <w:p>
      <w:pPr>
        <w:pStyle w:val="BodyText"/>
        <w:spacing w:line="355" w:lineRule="auto" w:before="133"/>
        <w:ind w:right="5406"/>
        <w:jc w:val="left"/>
      </w:pPr>
      <w:r>
        <w:rPr>
          <w:spacing w:val="-2"/>
        </w:rPr>
        <w:t>（</w:t>
      </w:r>
      <w:r>
        <w:rPr>
          <w:rFonts w:ascii="宋体" w:hAnsi="宋体" w:cs="宋体" w:eastAsia="宋体" w:hint="default"/>
          <w:spacing w:val="-2"/>
        </w:rPr>
        <w:t>5</w:t>
      </w:r>
      <w:r>
        <w:rPr>
          <w:spacing w:val="-2"/>
        </w:rPr>
        <w:t>）相关的、已发生的或将发生的成本能够可靠计量。</w:t>
      </w:r>
      <w:r>
        <w:rPr>
          <w:spacing w:val="-59"/>
        </w:rPr>
        <w:t> </w:t>
      </w:r>
      <w:r>
        <w:rPr>
          <w:spacing w:val="-59"/>
        </w:rPr>
      </w:r>
      <w:r>
        <w:rPr>
          <w:rFonts w:ascii="宋体" w:hAnsi="宋体" w:cs="宋体" w:eastAsia="宋体" w:hint="default"/>
        </w:rPr>
        <w:t>2</w:t>
      </w:r>
      <w:r>
        <w:rPr/>
        <w:t>、提供劳务</w:t>
      </w:r>
    </w:p>
    <w:p>
      <w:pPr>
        <w:pStyle w:val="BodyText"/>
        <w:spacing w:line="240" w:lineRule="auto"/>
        <w:ind w:right="0"/>
        <w:jc w:val="left"/>
      </w:pPr>
      <w:r>
        <w:rPr/>
        <w:t>（</w:t>
      </w:r>
      <w:r>
        <w:rPr>
          <w:rFonts w:ascii="宋体" w:hAnsi="宋体" w:cs="宋体" w:eastAsia="宋体" w:hint="default"/>
        </w:rPr>
        <w:t>1</w:t>
      </w:r>
      <w:r>
        <w:rPr/>
        <w:t>）在同一会计年度内开始并完成的劳务，在劳务完成时确认收入，确认的金额为合同或协议总金额。</w:t>
      </w:r>
    </w:p>
    <w:p>
      <w:pPr>
        <w:pStyle w:val="BodyText"/>
        <w:spacing w:line="357" w:lineRule="auto" w:before="133"/>
        <w:ind w:left="140" w:right="0" w:firstLine="420"/>
        <w:jc w:val="left"/>
      </w:pPr>
      <w:r>
        <w:rPr/>
        <w:t>（</w:t>
      </w:r>
      <w:r>
        <w:rPr>
          <w:rFonts w:ascii="宋体" w:hAnsi="宋体" w:cs="宋体" w:eastAsia="宋体" w:hint="default"/>
        </w:rPr>
        <w:t>2</w:t>
      </w:r>
      <w:r>
        <w:rPr/>
        <w:t>）如果劳务的开始和完成分属不同的会计年度，在提供劳务交易的结果能够可靠估计的情况下，本公司在</w:t>
      </w:r>
      <w:r>
        <w:rPr>
          <w:w w:val="100"/>
        </w:rPr>
        <w:t> </w:t>
      </w:r>
      <w:r>
        <w:rPr/>
        <w:t>资产负债表日按完工百分比法确认收入。</w:t>
      </w:r>
    </w:p>
    <w:p>
      <w:pPr>
        <w:pStyle w:val="BodyText"/>
        <w:spacing w:line="357" w:lineRule="auto" w:before="30"/>
        <w:ind w:left="140" w:right="711" w:firstLine="420"/>
        <w:jc w:val="both"/>
      </w:pPr>
      <w:r>
        <w:rPr>
          <w:spacing w:val="-3"/>
        </w:rPr>
        <w:t>（</w:t>
      </w:r>
      <w:r>
        <w:rPr>
          <w:rFonts w:ascii="宋体" w:hAnsi="宋体" w:cs="宋体" w:eastAsia="宋体" w:hint="default"/>
          <w:spacing w:val="-3"/>
        </w:rPr>
        <w:t>3</w:t>
      </w:r>
      <w:r>
        <w:rPr>
          <w:spacing w:val="-3"/>
        </w:rPr>
        <w:t>）在提供劳务交易的结果不能可靠估计的情况下</w:t>
      </w:r>
      <w:r>
        <w:rPr>
          <w:rFonts w:ascii="宋体" w:hAnsi="宋体" w:cs="宋体" w:eastAsia="宋体" w:hint="default"/>
          <w:spacing w:val="-3"/>
        </w:rPr>
        <w:t>,</w:t>
      </w:r>
      <w:r>
        <w:rPr>
          <w:spacing w:val="-3"/>
        </w:rPr>
        <w:t>本公司在资产负债表日按已经发生并预计能够补偿的劳务</w:t>
      </w:r>
      <w:r>
        <w:rPr>
          <w:w w:val="100"/>
        </w:rPr>
        <w:t> </w:t>
      </w:r>
      <w:r>
        <w:rPr>
          <w:spacing w:val="-3"/>
        </w:rPr>
        <w:t>成本金额确认收入</w:t>
      </w:r>
      <w:r>
        <w:rPr>
          <w:rFonts w:ascii="宋体" w:hAnsi="宋体" w:cs="宋体" w:eastAsia="宋体" w:hint="default"/>
          <w:spacing w:val="-3"/>
        </w:rPr>
        <w:t>,</w:t>
      </w:r>
      <w:r>
        <w:rPr>
          <w:spacing w:val="-3"/>
        </w:rPr>
        <w:t>并按相同金额结转成本；如果已经发生的劳务成本预计只能部分地得到补偿</w:t>
      </w:r>
      <w:r>
        <w:rPr>
          <w:rFonts w:ascii="宋体" w:hAnsi="宋体" w:cs="宋体" w:eastAsia="宋体" w:hint="default"/>
          <w:spacing w:val="-3"/>
        </w:rPr>
        <w:t>,</w:t>
      </w:r>
      <w:r>
        <w:rPr>
          <w:spacing w:val="-3"/>
        </w:rPr>
        <w:t>应按能够得到补偿</w:t>
      </w:r>
      <w:r>
        <w:rPr>
          <w:spacing w:val="3"/>
        </w:rPr>
        <w:t> </w:t>
      </w:r>
      <w:r>
        <w:rPr>
          <w:spacing w:val="3"/>
        </w:rPr>
      </w:r>
      <w:r>
        <w:rPr>
          <w:spacing w:val="-3"/>
        </w:rPr>
        <w:t>的劳务成本金额确认收入</w:t>
      </w:r>
      <w:r>
        <w:rPr>
          <w:rFonts w:ascii="宋体" w:hAnsi="宋体" w:cs="宋体" w:eastAsia="宋体" w:hint="default"/>
          <w:spacing w:val="-3"/>
        </w:rPr>
        <w:t>,</w:t>
      </w:r>
      <w:r>
        <w:rPr>
          <w:spacing w:val="-3"/>
        </w:rPr>
        <w:t>并按已经发生的劳务成本结转成本；如果已经发生的劳务成本预计不能得到补偿</w:t>
      </w:r>
      <w:r>
        <w:rPr>
          <w:rFonts w:ascii="宋体" w:hAnsi="宋体" w:cs="宋体" w:eastAsia="宋体" w:hint="default"/>
          <w:spacing w:val="-3"/>
        </w:rPr>
        <w:t>,</w:t>
      </w:r>
      <w:r>
        <w:rPr>
          <w:spacing w:val="-3"/>
        </w:rPr>
        <w:t>则不确</w:t>
      </w:r>
      <w:r>
        <w:rPr>
          <w:spacing w:val="2"/>
        </w:rPr>
        <w:t> </w:t>
      </w:r>
      <w:r>
        <w:rPr>
          <w:spacing w:val="2"/>
        </w:rPr>
      </w:r>
      <w:r>
        <w:rPr/>
        <w:t>认收入</w:t>
      </w:r>
      <w:r>
        <w:rPr>
          <w:rFonts w:ascii="宋体" w:hAnsi="宋体" w:cs="宋体" w:eastAsia="宋体" w:hint="default"/>
        </w:rPr>
        <w:t>,</w:t>
      </w:r>
      <w:r>
        <w:rPr/>
        <w:t>并将已经发生的劳务成本确认为当期费用。</w:t>
      </w:r>
    </w:p>
    <w:p>
      <w:pPr>
        <w:pStyle w:val="BodyText"/>
        <w:spacing w:line="355" w:lineRule="auto"/>
        <w:ind w:right="0"/>
        <w:jc w:val="left"/>
      </w:pPr>
      <w:r>
        <w:rPr>
          <w:rFonts w:ascii="宋体" w:hAnsi="宋体" w:cs="宋体" w:eastAsia="宋体" w:hint="default"/>
        </w:rPr>
        <w:t>3</w:t>
      </w:r>
      <w:r>
        <w:rPr/>
        <w:t>、让渡资产使用权</w:t>
      </w:r>
      <w:r>
        <w:rPr>
          <w:w w:val="100"/>
        </w:rPr>
        <w:t> </w:t>
      </w:r>
      <w:r>
        <w:rPr>
          <w:spacing w:val="-3"/>
        </w:rPr>
        <w:t>让渡资产使用权而产生的使用费收入按照有关合同或协议规定的收费时间和收费方法计算确定，并应同时满足</w:t>
      </w:r>
    </w:p>
    <w:p>
      <w:pPr>
        <w:pStyle w:val="BodyText"/>
        <w:spacing w:line="240" w:lineRule="auto"/>
        <w:ind w:left="140" w:right="0"/>
        <w:jc w:val="left"/>
      </w:pPr>
      <w:r>
        <w:rPr/>
        <w:t>以下条件：</w:t>
      </w:r>
    </w:p>
    <w:p>
      <w:pPr>
        <w:pStyle w:val="BodyText"/>
        <w:spacing w:line="240" w:lineRule="auto" w:before="133"/>
        <w:ind w:right="0"/>
        <w:jc w:val="left"/>
      </w:pPr>
      <w:r>
        <w:rPr/>
        <w:t>（</w:t>
      </w:r>
      <w:r>
        <w:rPr>
          <w:rFonts w:ascii="宋体" w:hAnsi="宋体" w:cs="宋体" w:eastAsia="宋体" w:hint="default"/>
        </w:rPr>
        <w:t>1</w:t>
      </w:r>
      <w:r>
        <w:rPr/>
        <w:t>）与交易相关的经济利益能够流入公司。</w:t>
      </w:r>
    </w:p>
    <w:p>
      <w:pPr>
        <w:pStyle w:val="BodyText"/>
        <w:spacing w:line="240" w:lineRule="auto" w:before="135"/>
        <w:ind w:right="0"/>
        <w:jc w:val="left"/>
      </w:pPr>
      <w:r>
        <w:rPr/>
        <w:t>（</w:t>
      </w:r>
      <w:r>
        <w:rPr>
          <w:rFonts w:ascii="宋体" w:hAnsi="宋体" w:cs="宋体" w:eastAsia="宋体" w:hint="default"/>
        </w:rPr>
        <w:t>2</w:t>
      </w:r>
      <w:r>
        <w:rPr/>
        <w:t>）收入的金额能够可靠地计量。</w:t>
      </w:r>
    </w:p>
    <w:p>
      <w:pPr>
        <w:pStyle w:val="BodyText"/>
        <w:spacing w:line="355" w:lineRule="auto" w:before="133"/>
        <w:ind w:right="0" w:hanging="8"/>
        <w:jc w:val="left"/>
      </w:pPr>
      <w:r>
        <w:rPr>
          <w:rFonts w:ascii="宋体" w:hAnsi="宋体" w:cs="宋体" w:eastAsia="宋体" w:hint="default"/>
          <w:b/>
          <w:bCs/>
        </w:rPr>
        <w:t>（二十一）政府补助</w:t>
      </w:r>
      <w:r>
        <w:rPr>
          <w:rFonts w:ascii="宋体" w:hAnsi="宋体" w:cs="宋体" w:eastAsia="宋体" w:hint="default"/>
          <w:b/>
          <w:bCs/>
          <w:spacing w:val="-103"/>
        </w:rPr>
        <w:t> </w:t>
      </w:r>
      <w:r>
        <w:rPr>
          <w:spacing w:val="-3"/>
        </w:rPr>
        <w:t>政府补助为货币性资产的，按照收到或应收的金额计量。政府补助为非货币性资产的，按照公允价值计量；公</w:t>
      </w:r>
    </w:p>
    <w:p>
      <w:pPr>
        <w:spacing w:after="0" w:line="355" w:lineRule="auto"/>
        <w:jc w:val="left"/>
        <w:sectPr>
          <w:pgSz w:w="11910" w:h="16840"/>
          <w:pgMar w:header="720" w:footer="956" w:top="1300" w:bottom="1140" w:left="580" w:right="0"/>
        </w:sectPr>
      </w:pPr>
    </w:p>
    <w:p>
      <w:pPr>
        <w:pStyle w:val="BodyText"/>
        <w:spacing w:line="357" w:lineRule="auto" w:before="19"/>
        <w:ind w:right="0" w:hanging="420"/>
        <w:jc w:val="left"/>
      </w:pPr>
      <w:r>
        <w:rPr/>
        <w:pict>
          <v:group style="position:absolute;margin-left:34.560001pt;margin-top:2.293643pt;width:508.3pt;height:.1pt;mso-position-horizontal-relative:page;mso-position-vertical-relative:paragraph;z-index:-533440" coordorigin="691,46" coordsize="10166,2">
            <v:shape style="position:absolute;left:691;top:46;width:10166;height:2" coordorigin="691,46" coordsize="10166,0" path="m691,46l10857,46e" filled="false" stroked="true" strokeweight=".72pt" strokecolor="#000000">
              <v:path arrowok="t"/>
            </v:shape>
            <w10:wrap type="none"/>
          </v:group>
        </w:pict>
      </w:r>
      <w:r>
        <w:rPr/>
        <w:t>允价值不能可靠取得的，按照名义金额（</w:t>
      </w:r>
      <w:r>
        <w:rPr>
          <w:rFonts w:ascii="宋体" w:hAnsi="宋体" w:cs="宋体" w:eastAsia="宋体" w:hint="default"/>
        </w:rPr>
        <w:t>1</w:t>
      </w:r>
      <w:r>
        <w:rPr/>
        <w:t>元）计量。</w:t>
      </w:r>
      <w:r>
        <w:rPr>
          <w:w w:val="100"/>
        </w:rPr>
        <w:t> </w:t>
      </w:r>
      <w:r>
        <w:rPr>
          <w:spacing w:val="-3"/>
        </w:rPr>
        <w:t>与资产相关的政府补助，确认为递延收益，并在相关资产使用寿命内平均分配，计入当期损益。但是，按照名</w:t>
      </w:r>
    </w:p>
    <w:p>
      <w:pPr>
        <w:pStyle w:val="BodyText"/>
        <w:spacing w:line="357" w:lineRule="auto" w:before="30"/>
        <w:ind w:left="140" w:right="713"/>
        <w:jc w:val="both"/>
      </w:pPr>
      <w:r>
        <w:rPr>
          <w:spacing w:val="-3"/>
        </w:rPr>
        <w:t>义金额计量的政府补助，直接计入当期损益。与收益相关的政府补助，分别下列情况处理：用于补偿本公司以后期</w:t>
      </w:r>
      <w:r>
        <w:rPr>
          <w:spacing w:val="-1"/>
        </w:rPr>
        <w:t> </w:t>
      </w:r>
      <w:r>
        <w:rPr>
          <w:spacing w:val="-1"/>
        </w:rPr>
      </w:r>
      <w:r>
        <w:rPr>
          <w:spacing w:val="-3"/>
        </w:rPr>
        <w:t>间的相关费用或损失的，确认为递延收益，并在确认相关费用的期间，计入当期损益。用于补偿本公司已发生的相</w:t>
      </w:r>
      <w:r>
        <w:rPr>
          <w:spacing w:val="-1"/>
        </w:rPr>
        <w:t> </w:t>
      </w:r>
      <w:r>
        <w:rPr>
          <w:spacing w:val="-1"/>
        </w:rPr>
      </w:r>
      <w:r>
        <w:rPr/>
        <w:t>关费用或损失的，直接计入当期损益。</w:t>
      </w:r>
    </w:p>
    <w:p>
      <w:pPr>
        <w:pStyle w:val="BodyText"/>
        <w:spacing w:line="355" w:lineRule="auto" w:before="30"/>
        <w:ind w:left="140" w:right="0" w:firstLine="420"/>
        <w:jc w:val="left"/>
      </w:pPr>
      <w:r>
        <w:rPr>
          <w:spacing w:val="-3"/>
        </w:rPr>
        <w:t>已确认的政府补助需要返还的，分别下列情况处理：存在相关递延收益的，冲减相关递延收益账面余额，超出</w:t>
      </w:r>
      <w:r>
        <w:rPr>
          <w:w w:val="100"/>
        </w:rPr>
        <w:t> </w:t>
      </w:r>
      <w:r>
        <w:rPr/>
        <w:t>部分计入当期损益。不存在相关递延收益的，直接计入当期损益。</w:t>
      </w:r>
    </w:p>
    <w:p>
      <w:pPr>
        <w:spacing w:line="355" w:lineRule="auto" w:before="152"/>
        <w:ind w:left="560" w:right="6643" w:hanging="8"/>
        <w:jc w:val="left"/>
        <w:rPr>
          <w:rFonts w:ascii="宋体" w:hAnsi="宋体" w:cs="宋体" w:eastAsia="宋体" w:hint="default"/>
          <w:sz w:val="21"/>
          <w:szCs w:val="21"/>
        </w:rPr>
      </w:pPr>
      <w:r>
        <w:rPr>
          <w:rFonts w:ascii="宋体" w:hAnsi="宋体" w:cs="宋体" w:eastAsia="宋体" w:hint="default"/>
          <w:b/>
          <w:bCs/>
          <w:sz w:val="21"/>
          <w:szCs w:val="21"/>
        </w:rPr>
        <w:t>（二十二）递延所得税资产</w:t>
      </w:r>
      <w:r>
        <w:rPr>
          <w:rFonts w:ascii="宋体" w:hAnsi="宋体" w:cs="宋体" w:eastAsia="宋体"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、递延所得税资产的确认</w:t>
      </w:r>
    </w:p>
    <w:p>
      <w:pPr>
        <w:pStyle w:val="BodyText"/>
        <w:spacing w:line="355" w:lineRule="auto" w:before="35"/>
        <w:ind w:left="140" w:right="711" w:firstLine="420"/>
        <w:jc w:val="both"/>
      </w:pPr>
      <w:r>
        <w:rPr/>
        <w:t>（</w:t>
      </w:r>
      <w:r>
        <w:rPr>
          <w:rFonts w:ascii="宋体" w:hAnsi="宋体" w:cs="宋体" w:eastAsia="宋体" w:hint="default"/>
        </w:rPr>
        <w:t>1</w:t>
      </w:r>
      <w:r>
        <w:rPr/>
        <w:t>）本公司以未来期间很可能取得用来抵扣可抵扣暂时性差异的应纳税所得额为限，确认由可抵扣暂时性差</w:t>
      </w:r>
      <w:r>
        <w:rPr>
          <w:w w:val="100"/>
        </w:rPr>
        <w:t> </w:t>
      </w:r>
      <w:r>
        <w:rPr>
          <w:spacing w:val="-3"/>
        </w:rPr>
        <w:t>异产生的递延所得税资产。但是同时具有下列特征的交易中因资产或负债的初始确认所产生的递延所得税资产不予</w:t>
      </w:r>
      <w:r>
        <w:rPr>
          <w:spacing w:val="2"/>
        </w:rPr>
        <w:t> </w:t>
      </w:r>
      <w:r>
        <w:rPr>
          <w:spacing w:val="2"/>
        </w:rPr>
      </w:r>
      <w:r>
        <w:rPr/>
        <w:t>确认：</w:t>
      </w:r>
    </w:p>
    <w:p>
      <w:pPr>
        <w:pStyle w:val="BodyText"/>
        <w:spacing w:line="240" w:lineRule="auto"/>
        <w:ind w:right="0"/>
        <w:jc w:val="left"/>
      </w:pPr>
      <w:r>
        <w:rPr/>
        <w:t>①该项交易或事项不属于企业合并；</w:t>
      </w:r>
    </w:p>
    <w:p>
      <w:pPr>
        <w:pStyle w:val="BodyText"/>
        <w:spacing w:line="240" w:lineRule="auto" w:before="133"/>
        <w:ind w:right="0"/>
        <w:jc w:val="left"/>
      </w:pPr>
      <w:r>
        <w:rPr/>
        <w:t>②交易发生时既不影响会计利润也不影响应纳税所得额</w:t>
      </w:r>
      <w:r>
        <w:rPr>
          <w:rFonts w:ascii="宋体" w:hAnsi="宋体" w:cs="宋体" w:eastAsia="宋体" w:hint="default"/>
        </w:rPr>
        <w:t>(</w:t>
      </w:r>
      <w:r>
        <w:rPr/>
        <w:t>或可抵扣亏损</w:t>
      </w:r>
      <w:r>
        <w:rPr>
          <w:rFonts w:ascii="宋体" w:hAnsi="宋体" w:cs="宋体" w:eastAsia="宋体" w:hint="default"/>
        </w:rPr>
        <w:t>)</w:t>
      </w:r>
      <w:r>
        <w:rPr/>
        <w:t>。</w:t>
      </w:r>
    </w:p>
    <w:p>
      <w:pPr>
        <w:pStyle w:val="BodyText"/>
        <w:spacing w:line="355" w:lineRule="auto" w:before="135"/>
        <w:ind w:left="140" w:right="0" w:firstLine="420"/>
        <w:jc w:val="left"/>
      </w:pPr>
      <w:r>
        <w:rPr/>
        <w:t>（</w:t>
      </w:r>
      <w:r>
        <w:rPr>
          <w:rFonts w:ascii="宋体" w:hAnsi="宋体" w:cs="宋体" w:eastAsia="宋体" w:hint="default"/>
        </w:rPr>
        <w:t>2</w:t>
      </w:r>
      <w:r>
        <w:rPr/>
        <w:t>）本公司对与子公司、联营公司及合营企业投资相关的可抵扣暂时性差异，同时满足下列条件的，确认相</w:t>
      </w:r>
      <w:r>
        <w:rPr>
          <w:w w:val="100"/>
        </w:rPr>
        <w:t> </w:t>
      </w:r>
      <w:r>
        <w:rPr/>
        <w:t>应的递延所得税资产：</w:t>
      </w:r>
    </w:p>
    <w:p>
      <w:pPr>
        <w:pStyle w:val="BodyText"/>
        <w:spacing w:line="240" w:lineRule="auto"/>
        <w:ind w:right="0"/>
        <w:jc w:val="left"/>
      </w:pPr>
      <w:r>
        <w:rPr/>
        <w:t>①暂时性差异在可预见的未来可能转回；</w:t>
      </w:r>
    </w:p>
    <w:p>
      <w:pPr>
        <w:pStyle w:val="BodyText"/>
        <w:spacing w:line="240" w:lineRule="auto" w:before="133"/>
        <w:ind w:right="0"/>
        <w:jc w:val="left"/>
      </w:pPr>
      <w:r>
        <w:rPr/>
        <w:t>②未来很可能获得用来抵扣暂时性差异的应纳税所得额。</w:t>
      </w:r>
    </w:p>
    <w:p>
      <w:pPr>
        <w:pStyle w:val="BodyText"/>
        <w:spacing w:line="355" w:lineRule="auto" w:before="136"/>
        <w:ind w:left="140" w:right="0" w:firstLine="420"/>
        <w:jc w:val="left"/>
      </w:pPr>
      <w:r>
        <w:rPr/>
        <w:t>（</w:t>
      </w:r>
      <w:r>
        <w:rPr>
          <w:rFonts w:ascii="宋体" w:hAnsi="宋体" w:cs="宋体" w:eastAsia="宋体" w:hint="default"/>
        </w:rPr>
        <w:t>3</w:t>
      </w:r>
      <w:r>
        <w:rPr/>
        <w:t>）本公司对于能够结转以后年度的可抵扣亏损和税款抵减，以很可能获得用来抵扣可抵扣亏损和税款抵减</w:t>
      </w:r>
      <w:r>
        <w:rPr>
          <w:w w:val="100"/>
        </w:rPr>
        <w:t> </w:t>
      </w:r>
      <w:r>
        <w:rPr/>
        <w:t>的未来应纳税所得额为限，确认相应的递延所得税资产。</w:t>
      </w:r>
    </w:p>
    <w:p>
      <w:pPr>
        <w:pStyle w:val="BodyText"/>
        <w:spacing w:line="355" w:lineRule="auto"/>
        <w:ind w:right="0"/>
        <w:jc w:val="left"/>
      </w:pPr>
      <w:r>
        <w:rPr>
          <w:rFonts w:ascii="宋体" w:hAnsi="宋体" w:cs="宋体" w:eastAsia="宋体" w:hint="default"/>
        </w:rPr>
        <w:t>2</w:t>
      </w:r>
      <w:r>
        <w:rPr/>
        <w:t>、递延所得税负债的确认</w:t>
      </w:r>
      <w:r>
        <w:rPr>
          <w:w w:val="100"/>
        </w:rPr>
        <w:t> </w:t>
      </w:r>
      <w:r>
        <w:rPr>
          <w:spacing w:val="-2"/>
        </w:rPr>
        <w:t>除下列情况产生的递延所得税负债以外，本公司确认所有应纳税暂时性差异产生的递延所得税负债：</w:t>
      </w:r>
    </w:p>
    <w:p>
      <w:pPr>
        <w:pStyle w:val="BodyText"/>
        <w:spacing w:line="240" w:lineRule="auto"/>
        <w:ind w:right="0"/>
        <w:jc w:val="left"/>
      </w:pPr>
      <w:r>
        <w:rPr/>
        <w:t>（</w:t>
      </w:r>
      <w:r>
        <w:rPr>
          <w:rFonts w:ascii="宋体" w:hAnsi="宋体" w:cs="宋体" w:eastAsia="宋体" w:hint="default"/>
        </w:rPr>
        <w:t>1</w:t>
      </w:r>
      <w:r>
        <w:rPr/>
        <w:t>）商誉的初始确认；</w:t>
      </w:r>
    </w:p>
    <w:p>
      <w:pPr>
        <w:pStyle w:val="BodyText"/>
        <w:spacing w:line="240" w:lineRule="auto" w:before="135"/>
        <w:ind w:right="0"/>
        <w:jc w:val="left"/>
      </w:pPr>
      <w:r>
        <w:rPr/>
        <w:t>（</w:t>
      </w:r>
      <w:r>
        <w:rPr>
          <w:rFonts w:ascii="宋体" w:hAnsi="宋体" w:cs="宋体" w:eastAsia="宋体" w:hint="default"/>
        </w:rPr>
        <w:t>2</w:t>
      </w:r>
      <w:r>
        <w:rPr/>
        <w:t>）同时满足具有下列特征的交易中产生的资产或负债的初始确认：</w:t>
      </w:r>
    </w:p>
    <w:p>
      <w:pPr>
        <w:pStyle w:val="BodyText"/>
        <w:spacing w:line="240" w:lineRule="auto" w:before="133"/>
        <w:ind w:right="0"/>
        <w:jc w:val="left"/>
      </w:pPr>
      <w:r>
        <w:rPr/>
        <w:t>①该项交易不是企业合并；</w:t>
      </w:r>
    </w:p>
    <w:p>
      <w:pPr>
        <w:pStyle w:val="BodyText"/>
        <w:spacing w:line="240" w:lineRule="auto" w:before="133"/>
        <w:ind w:right="0"/>
        <w:jc w:val="left"/>
      </w:pPr>
      <w:r>
        <w:rPr>
          <w:w w:val="100"/>
        </w:rPr>
        <w:t>②交</w:t>
      </w:r>
      <w:r>
        <w:rPr>
          <w:spacing w:val="-3"/>
          <w:w w:val="100"/>
        </w:rPr>
        <w:t>易</w:t>
      </w:r>
      <w:r>
        <w:rPr>
          <w:w w:val="100"/>
        </w:rPr>
        <w:t>或</w:t>
      </w:r>
      <w:r>
        <w:rPr>
          <w:spacing w:val="-3"/>
          <w:w w:val="100"/>
        </w:rPr>
        <w:t>事</w:t>
      </w:r>
      <w:r>
        <w:rPr>
          <w:w w:val="100"/>
        </w:rPr>
        <w:t>项</w:t>
      </w:r>
      <w:r>
        <w:rPr>
          <w:spacing w:val="-3"/>
          <w:w w:val="100"/>
        </w:rPr>
        <w:t>发</w:t>
      </w:r>
      <w:r>
        <w:rPr>
          <w:w w:val="100"/>
        </w:rPr>
        <w:t>生</w:t>
      </w:r>
      <w:r>
        <w:rPr>
          <w:spacing w:val="-3"/>
          <w:w w:val="100"/>
        </w:rPr>
        <w:t>时</w:t>
      </w:r>
      <w:r>
        <w:rPr>
          <w:w w:val="100"/>
        </w:rPr>
        <w:t>既</w:t>
      </w:r>
      <w:r>
        <w:rPr>
          <w:spacing w:val="-3"/>
          <w:w w:val="100"/>
        </w:rPr>
        <w:t>不</w:t>
      </w:r>
      <w:r>
        <w:rPr>
          <w:w w:val="100"/>
        </w:rPr>
        <w:t>影响</w:t>
      </w:r>
      <w:r>
        <w:rPr>
          <w:spacing w:val="-3"/>
          <w:w w:val="100"/>
        </w:rPr>
        <w:t>会</w:t>
      </w:r>
      <w:r>
        <w:rPr>
          <w:w w:val="100"/>
        </w:rPr>
        <w:t>计</w:t>
      </w:r>
      <w:r>
        <w:rPr>
          <w:spacing w:val="-3"/>
          <w:w w:val="100"/>
        </w:rPr>
        <w:t>利</w:t>
      </w:r>
      <w:r>
        <w:rPr>
          <w:w w:val="100"/>
        </w:rPr>
        <w:t>润</w:t>
      </w:r>
      <w:r>
        <w:rPr>
          <w:spacing w:val="-3"/>
          <w:w w:val="100"/>
        </w:rPr>
        <w:t>也</w:t>
      </w:r>
      <w:r>
        <w:rPr>
          <w:w w:val="100"/>
        </w:rPr>
        <w:t>不</w:t>
      </w:r>
      <w:r>
        <w:rPr>
          <w:spacing w:val="-3"/>
          <w:w w:val="100"/>
        </w:rPr>
        <w:t>影</w:t>
      </w:r>
      <w:r>
        <w:rPr>
          <w:w w:val="100"/>
        </w:rPr>
        <w:t>响</w:t>
      </w:r>
      <w:r>
        <w:rPr>
          <w:spacing w:val="-3"/>
          <w:w w:val="100"/>
        </w:rPr>
        <w:t>应</w:t>
      </w:r>
      <w:r>
        <w:rPr>
          <w:w w:val="100"/>
        </w:rPr>
        <w:t>纳税</w:t>
      </w:r>
      <w:r>
        <w:rPr>
          <w:spacing w:val="-3"/>
          <w:w w:val="100"/>
        </w:rPr>
        <w:t>所</w:t>
      </w:r>
      <w:r>
        <w:rPr>
          <w:w w:val="100"/>
        </w:rPr>
        <w:t>得</w:t>
      </w:r>
      <w:r>
        <w:rPr>
          <w:spacing w:val="-3"/>
          <w:w w:val="100"/>
        </w:rPr>
        <w:t>额</w:t>
      </w:r>
      <w:r>
        <w:rPr>
          <w:w w:val="100"/>
        </w:rPr>
        <w:t>（</w:t>
      </w:r>
      <w:r>
        <w:rPr>
          <w:spacing w:val="-3"/>
          <w:w w:val="100"/>
        </w:rPr>
        <w:t>或</w:t>
      </w:r>
      <w:r>
        <w:rPr>
          <w:w w:val="100"/>
        </w:rPr>
        <w:t>可</w:t>
      </w:r>
      <w:r>
        <w:rPr>
          <w:spacing w:val="-3"/>
          <w:w w:val="100"/>
        </w:rPr>
        <w:t>抵</w:t>
      </w:r>
      <w:r>
        <w:rPr>
          <w:w w:val="100"/>
        </w:rPr>
        <w:t>扣</w:t>
      </w:r>
      <w:r>
        <w:rPr>
          <w:spacing w:val="-3"/>
          <w:w w:val="100"/>
        </w:rPr>
        <w:t>亏</w:t>
      </w:r>
      <w:r>
        <w:rPr>
          <w:w w:val="100"/>
        </w:rPr>
        <w:t>损</w:t>
      </w:r>
      <w:r>
        <w:rPr>
          <w:spacing w:val="-106"/>
          <w:w w:val="100"/>
        </w:rPr>
        <w:t>）</w:t>
      </w:r>
      <w:r>
        <w:rPr>
          <w:w w:val="100"/>
        </w:rPr>
        <w:t>。</w:t>
      </w:r>
    </w:p>
    <w:p>
      <w:pPr>
        <w:pStyle w:val="BodyText"/>
        <w:spacing w:line="240" w:lineRule="auto" w:before="133"/>
        <w:ind w:right="0"/>
        <w:jc w:val="left"/>
      </w:pPr>
      <w:r>
        <w:rPr/>
        <w:t>（</w:t>
      </w:r>
      <w:r>
        <w:rPr>
          <w:rFonts w:ascii="宋体" w:hAnsi="宋体" w:cs="宋体" w:eastAsia="宋体" w:hint="default"/>
        </w:rPr>
        <w:t>3</w:t>
      </w:r>
      <w:r>
        <w:rPr/>
        <w:t>）本公司对与子公司、联营公司及合营企业投资产生相关的应纳税暂时性差异，同时满足下列条件的：</w:t>
      </w:r>
    </w:p>
    <w:p>
      <w:pPr>
        <w:pStyle w:val="BodyText"/>
        <w:spacing w:line="240" w:lineRule="auto" w:before="133"/>
        <w:ind w:right="0"/>
        <w:jc w:val="left"/>
      </w:pPr>
      <w:r>
        <w:rPr/>
        <w:t>①投资企业能够控制暂时性差异的转回的时间；</w:t>
      </w:r>
    </w:p>
    <w:p>
      <w:pPr>
        <w:pStyle w:val="BodyText"/>
        <w:spacing w:line="355" w:lineRule="auto" w:before="135"/>
        <w:ind w:right="6134"/>
        <w:jc w:val="left"/>
      </w:pPr>
      <w:r>
        <w:rPr>
          <w:spacing w:val="-2"/>
        </w:rPr>
        <w:t>②该暂时性差异在可预见的未来很可能不会转回。</w:t>
      </w:r>
      <w:r>
        <w:rPr>
          <w:spacing w:val="-62"/>
        </w:rPr>
        <w:t> </w:t>
      </w:r>
      <w:r>
        <w:rPr>
          <w:spacing w:val="-62"/>
        </w:rPr>
      </w:r>
      <w:r>
        <w:rPr>
          <w:rFonts w:ascii="宋体" w:hAnsi="宋体" w:cs="宋体" w:eastAsia="宋体" w:hint="default"/>
        </w:rPr>
        <w:t>3</w:t>
      </w:r>
      <w:r>
        <w:rPr/>
        <w:t>、所得税费用计量</w:t>
      </w:r>
    </w:p>
    <w:p>
      <w:pPr>
        <w:pStyle w:val="BodyText"/>
        <w:spacing w:line="240" w:lineRule="auto"/>
        <w:ind w:right="0"/>
        <w:jc w:val="left"/>
      </w:pPr>
      <w:r>
        <w:rPr>
          <w:w w:val="100"/>
        </w:rPr>
        <w:t>（</w:t>
      </w:r>
      <w:r>
        <w:rPr>
          <w:rFonts w:ascii="宋体" w:hAnsi="宋体" w:cs="宋体" w:eastAsia="宋体" w:hint="default"/>
          <w:w w:val="100"/>
        </w:rPr>
        <w:t>1</w:t>
      </w:r>
      <w:r>
        <w:rPr>
          <w:spacing w:val="-10"/>
          <w:w w:val="100"/>
        </w:rPr>
        <w:t>）</w:t>
      </w:r>
      <w:r>
        <w:rPr>
          <w:spacing w:val="-3"/>
          <w:w w:val="100"/>
        </w:rPr>
        <w:t>资</w:t>
      </w:r>
      <w:r>
        <w:rPr>
          <w:w w:val="100"/>
        </w:rPr>
        <w:t>产</w:t>
      </w:r>
      <w:r>
        <w:rPr>
          <w:spacing w:val="-3"/>
          <w:w w:val="100"/>
        </w:rPr>
        <w:t>负</w:t>
      </w:r>
      <w:r>
        <w:rPr>
          <w:w w:val="100"/>
        </w:rPr>
        <w:t>债</w:t>
      </w:r>
      <w:r>
        <w:rPr>
          <w:spacing w:val="-3"/>
          <w:w w:val="100"/>
        </w:rPr>
        <w:t>表</w:t>
      </w:r>
      <w:r>
        <w:rPr>
          <w:w w:val="100"/>
        </w:rPr>
        <w:t>日</w:t>
      </w:r>
      <w:r>
        <w:rPr>
          <w:spacing w:val="-10"/>
          <w:w w:val="100"/>
        </w:rPr>
        <w:t>，</w:t>
      </w:r>
      <w:r>
        <w:rPr>
          <w:spacing w:val="-3"/>
          <w:w w:val="100"/>
        </w:rPr>
        <w:t>对于</w:t>
      </w:r>
      <w:r>
        <w:rPr>
          <w:w w:val="100"/>
        </w:rPr>
        <w:t>当期</w:t>
      </w:r>
      <w:r>
        <w:rPr>
          <w:spacing w:val="-3"/>
          <w:w w:val="100"/>
        </w:rPr>
        <w:t>和</w:t>
      </w:r>
      <w:r>
        <w:rPr>
          <w:w w:val="100"/>
        </w:rPr>
        <w:t>以</w:t>
      </w:r>
      <w:r>
        <w:rPr>
          <w:spacing w:val="-3"/>
          <w:w w:val="100"/>
        </w:rPr>
        <w:t>前</w:t>
      </w:r>
      <w:r>
        <w:rPr>
          <w:w w:val="100"/>
        </w:rPr>
        <w:t>期</w:t>
      </w:r>
      <w:r>
        <w:rPr>
          <w:spacing w:val="-3"/>
          <w:w w:val="100"/>
        </w:rPr>
        <w:t>间</w:t>
      </w:r>
      <w:r>
        <w:rPr>
          <w:w w:val="100"/>
        </w:rPr>
        <w:t>形</w:t>
      </w:r>
      <w:r>
        <w:rPr>
          <w:spacing w:val="-3"/>
          <w:w w:val="100"/>
        </w:rPr>
        <w:t>成</w:t>
      </w:r>
      <w:r>
        <w:rPr>
          <w:w w:val="100"/>
        </w:rPr>
        <w:t>的</w:t>
      </w:r>
      <w:r>
        <w:rPr>
          <w:spacing w:val="-3"/>
          <w:w w:val="100"/>
        </w:rPr>
        <w:t>当</w:t>
      </w:r>
      <w:r>
        <w:rPr>
          <w:w w:val="100"/>
        </w:rPr>
        <w:t>期所</w:t>
      </w:r>
      <w:r>
        <w:rPr>
          <w:spacing w:val="-3"/>
          <w:w w:val="100"/>
        </w:rPr>
        <w:t>得</w:t>
      </w:r>
      <w:r>
        <w:rPr>
          <w:w w:val="100"/>
        </w:rPr>
        <w:t>税</w:t>
      </w:r>
      <w:r>
        <w:rPr>
          <w:spacing w:val="-3"/>
          <w:w w:val="100"/>
        </w:rPr>
        <w:t>负</w:t>
      </w:r>
      <w:r>
        <w:rPr>
          <w:spacing w:val="-10"/>
          <w:w w:val="100"/>
        </w:rPr>
        <w:t>债</w:t>
      </w:r>
      <w:r>
        <w:rPr>
          <w:w w:val="100"/>
        </w:rPr>
        <w:t>（</w:t>
      </w:r>
      <w:r>
        <w:rPr>
          <w:spacing w:val="-3"/>
          <w:w w:val="100"/>
        </w:rPr>
        <w:t>或</w:t>
      </w:r>
      <w:r>
        <w:rPr>
          <w:spacing w:val="-1"/>
          <w:w w:val="100"/>
        </w:rPr>
        <w:t>资</w:t>
      </w:r>
      <w:r>
        <w:rPr>
          <w:spacing w:val="-3"/>
          <w:w w:val="100"/>
        </w:rPr>
        <w:t>产</w:t>
      </w:r>
      <w:r>
        <w:rPr>
          <w:spacing w:val="-106"/>
          <w:w w:val="100"/>
        </w:rPr>
        <w:t>）</w:t>
      </w:r>
      <w:r>
        <w:rPr>
          <w:spacing w:val="-13"/>
          <w:w w:val="100"/>
        </w:rPr>
        <w:t>，</w:t>
      </w:r>
      <w:r>
        <w:rPr>
          <w:w w:val="100"/>
        </w:rPr>
        <w:t>按照</w:t>
      </w:r>
      <w:r>
        <w:rPr>
          <w:spacing w:val="-3"/>
          <w:w w:val="100"/>
        </w:rPr>
        <w:t>税</w:t>
      </w:r>
      <w:r>
        <w:rPr>
          <w:w w:val="100"/>
        </w:rPr>
        <w:t>法</w:t>
      </w:r>
      <w:r>
        <w:rPr>
          <w:spacing w:val="-3"/>
          <w:w w:val="100"/>
        </w:rPr>
        <w:t>规</w:t>
      </w:r>
      <w:r>
        <w:rPr>
          <w:w w:val="100"/>
        </w:rPr>
        <w:t>定</w:t>
      </w:r>
      <w:r>
        <w:rPr>
          <w:spacing w:val="-3"/>
          <w:w w:val="100"/>
        </w:rPr>
        <w:t>计</w:t>
      </w:r>
      <w:r>
        <w:rPr>
          <w:w w:val="100"/>
        </w:rPr>
        <w:t>算</w:t>
      </w:r>
      <w:r>
        <w:rPr>
          <w:spacing w:val="-3"/>
          <w:w w:val="100"/>
        </w:rPr>
        <w:t>的</w:t>
      </w:r>
      <w:r>
        <w:rPr>
          <w:w w:val="100"/>
        </w:rPr>
        <w:t>预</w:t>
      </w:r>
      <w:r>
        <w:rPr>
          <w:spacing w:val="-3"/>
          <w:w w:val="100"/>
        </w:rPr>
        <w:t>期</w:t>
      </w:r>
      <w:r>
        <w:rPr>
          <w:w w:val="100"/>
        </w:rPr>
        <w:t>应交纳</w:t>
      </w:r>
    </w:p>
    <w:p>
      <w:pPr>
        <w:pStyle w:val="BodyText"/>
        <w:spacing w:line="357" w:lineRule="auto" w:before="133"/>
        <w:ind w:left="140" w:right="713"/>
        <w:jc w:val="both"/>
      </w:pPr>
      <w:r>
        <w:rPr>
          <w:spacing w:val="-3"/>
        </w:rPr>
        <w:t>（或返还）的所得税金额计量；对于递延所得税资产和递延所得税负债，根据税法规定，按照预期收回该资产或清</w:t>
      </w:r>
      <w:r>
        <w:rPr>
          <w:spacing w:val="-1"/>
        </w:rPr>
        <w:t> </w:t>
      </w:r>
      <w:r>
        <w:rPr>
          <w:spacing w:val="-1"/>
        </w:rPr>
      </w:r>
      <w:r>
        <w:rPr>
          <w:spacing w:val="-3"/>
        </w:rPr>
        <w:t>偿该负债期间的适用税率计量。适用税率发生变化的，应对已确认的递延所得税资产和递延所得税负债进行重新计</w:t>
      </w:r>
      <w:r>
        <w:rPr>
          <w:spacing w:val="-1"/>
        </w:rPr>
        <w:t> </w:t>
      </w:r>
      <w:r>
        <w:rPr>
          <w:spacing w:val="-1"/>
        </w:rPr>
      </w:r>
      <w:r>
        <w:rPr>
          <w:spacing w:val="-3"/>
        </w:rPr>
        <w:t>量，除直接在所有者权益中确认的交易或者事项产生的递延所得税资产和递延所得税负债以外，将其影响数计入变</w:t>
      </w:r>
    </w:p>
    <w:p>
      <w:pPr>
        <w:pStyle w:val="BodyText"/>
        <w:spacing w:line="240" w:lineRule="auto" w:before="30"/>
        <w:ind w:left="140" w:right="0"/>
        <w:jc w:val="both"/>
      </w:pPr>
      <w:r>
        <w:rPr/>
        <w:t>化当期的所得税费用。</w:t>
      </w:r>
    </w:p>
    <w:p>
      <w:pPr>
        <w:spacing w:after="0" w:line="240" w:lineRule="auto"/>
        <w:jc w:val="both"/>
        <w:sectPr>
          <w:pgSz w:w="11910" w:h="16840"/>
          <w:pgMar w:header="720" w:footer="956" w:top="1300" w:bottom="1140" w:left="580" w:right="0"/>
        </w:sectPr>
      </w:pPr>
    </w:p>
    <w:p>
      <w:pPr>
        <w:pStyle w:val="BodyText"/>
        <w:spacing w:line="357" w:lineRule="auto" w:before="19"/>
        <w:ind w:left="140" w:right="713" w:firstLine="420"/>
        <w:jc w:val="both"/>
      </w:pPr>
      <w:r>
        <w:rPr/>
        <w:pict>
          <v:group style="position:absolute;margin-left:34.560001pt;margin-top:2.293643pt;width:508.3pt;height:.1pt;mso-position-horizontal-relative:page;mso-position-vertical-relative:paragraph;z-index:-533416" coordorigin="691,46" coordsize="10166,2">
            <v:shape style="position:absolute;left:691;top:46;width:10166;height:2" coordorigin="691,46" coordsize="10166,0" path="m691,46l10857,46e" filled="false" stroked="true" strokeweight=".72pt" strokecolor="#000000">
              <v:path arrowok="t"/>
            </v:shape>
            <w10:wrap type="none"/>
          </v:group>
        </w:pict>
      </w:r>
      <w:r>
        <w:rPr/>
        <w:t>（</w:t>
      </w:r>
      <w:r>
        <w:rPr>
          <w:rFonts w:ascii="宋体" w:hAnsi="宋体" w:cs="宋体" w:eastAsia="宋体" w:hint="default"/>
        </w:rPr>
        <w:t>2</w:t>
      </w:r>
      <w:r>
        <w:rPr/>
        <w:t>）资产负债表日，本公司对递延所得税资产的账面价值进行复核。如果未来期间很可能无法获得足够的应</w:t>
      </w:r>
      <w:r>
        <w:rPr>
          <w:w w:val="100"/>
        </w:rPr>
        <w:t> </w:t>
      </w:r>
      <w:r>
        <w:rPr>
          <w:spacing w:val="-3"/>
        </w:rPr>
        <w:t>纳税所得额用以抵扣递延所得税资产的利益，减记递延所得税资产的账面价值。在很可能获得足够的应纳税所得额</w:t>
      </w:r>
      <w:r>
        <w:rPr>
          <w:spacing w:val="-1"/>
        </w:rPr>
        <w:t> </w:t>
      </w:r>
      <w:r>
        <w:rPr>
          <w:spacing w:val="-1"/>
        </w:rPr>
      </w:r>
      <w:r>
        <w:rPr/>
        <w:t>时，减记的金额转回。</w:t>
      </w:r>
    </w:p>
    <w:p>
      <w:pPr>
        <w:pStyle w:val="Heading4"/>
        <w:spacing w:line="357" w:lineRule="auto" w:before="150"/>
        <w:ind w:left="560" w:right="6134"/>
        <w:jc w:val="left"/>
        <w:rPr>
          <w:b w:val="0"/>
          <w:bCs w:val="0"/>
        </w:rPr>
      </w:pPr>
      <w:r>
        <w:rPr>
          <w:spacing w:val="-1"/>
        </w:rPr>
        <w:t>（二十三）主要会计政策、会计估计的变更</w:t>
      </w:r>
      <w:r>
        <w:rPr>
          <w:spacing w:val="-86"/>
        </w:rPr>
        <w:t> </w:t>
      </w:r>
      <w:r>
        <w:rPr>
          <w:spacing w:val="-86"/>
        </w:rPr>
      </w:r>
      <w:r>
        <w:rPr>
          <w:rFonts w:ascii="宋体" w:hAnsi="宋体" w:cs="宋体" w:eastAsia="宋体" w:hint="default"/>
        </w:rPr>
        <w:t>1</w:t>
      </w:r>
      <w:r>
        <w:rPr/>
        <w:t>、会计政策变更：</w:t>
      </w:r>
      <w:r>
        <w:rPr>
          <w:b w:val="0"/>
          <w:bCs w:val="0"/>
        </w:rPr>
      </w:r>
    </w:p>
    <w:p>
      <w:pPr>
        <w:spacing w:line="355" w:lineRule="auto" w:before="30"/>
        <w:ind w:left="560" w:right="8954"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103"/>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03"/>
          <w:sz w:val="21"/>
          <w:szCs w:val="21"/>
        </w:rPr>
        <w:t> </w:t>
      </w:r>
      <w:r>
        <w:rPr>
          <w:rFonts w:ascii="宋体" w:hAnsi="宋体" w:cs="宋体" w:eastAsia="宋体" w:hint="default"/>
          <w:sz w:val="21"/>
          <w:szCs w:val="21"/>
        </w:rPr>
        <w:t>无。</w:t>
      </w:r>
    </w:p>
    <w:p>
      <w:pPr>
        <w:pStyle w:val="Heading4"/>
        <w:spacing w:line="360" w:lineRule="auto" w:before="152"/>
        <w:ind w:left="560" w:right="8018"/>
        <w:jc w:val="left"/>
        <w:rPr>
          <w:rFonts w:ascii="宋体" w:hAnsi="宋体" w:cs="宋体" w:eastAsia="宋体" w:hint="default"/>
          <w:b w:val="0"/>
          <w:bCs w:val="0"/>
        </w:rPr>
      </w:pPr>
      <w:r>
        <w:rPr>
          <w:spacing w:val="-1"/>
        </w:rPr>
        <w:t>（二十四）前期会计差错更正</w:t>
      </w:r>
      <w:r>
        <w:rPr>
          <w:spacing w:val="-94"/>
        </w:rPr>
        <w:t> </w:t>
      </w:r>
      <w:r>
        <w:rPr>
          <w:spacing w:val="-94"/>
        </w:rPr>
      </w:r>
      <w:r>
        <w:rPr>
          <w:rFonts w:ascii="宋体" w:hAnsi="宋体" w:cs="宋体" w:eastAsia="宋体" w:hint="default"/>
          <w:b w:val="0"/>
          <w:bCs w:val="0"/>
        </w:rPr>
        <w:t>无。</w:t>
      </w:r>
    </w:p>
    <w:p>
      <w:pPr>
        <w:spacing w:line="360" w:lineRule="auto" w:before="22"/>
        <w:ind w:left="560" w:right="4801" w:firstLine="0"/>
        <w:jc w:val="left"/>
        <w:rPr>
          <w:rFonts w:ascii="宋体" w:hAnsi="宋体" w:cs="宋体" w:eastAsia="宋体" w:hint="default"/>
          <w:sz w:val="21"/>
          <w:szCs w:val="21"/>
        </w:rPr>
      </w:pPr>
      <w:r>
        <w:rPr>
          <w:rFonts w:ascii="宋体" w:hAnsi="宋体" w:cs="宋体" w:eastAsia="宋体" w:hint="default"/>
          <w:b/>
          <w:bCs/>
          <w:sz w:val="24"/>
          <w:szCs w:val="24"/>
        </w:rPr>
        <w:t>三、税项</w:t>
      </w:r>
      <w:r>
        <w:rPr>
          <w:rFonts w:ascii="宋体" w:hAnsi="宋体" w:cs="宋体" w:eastAsia="宋体" w:hint="default"/>
          <w:b/>
          <w:bCs/>
          <w:w w:val="99"/>
          <w:sz w:val="24"/>
          <w:szCs w:val="24"/>
        </w:rPr>
        <w:t> </w:t>
      </w:r>
      <w:r>
        <w:rPr>
          <w:rFonts w:ascii="宋体" w:hAnsi="宋体" w:cs="宋体" w:eastAsia="宋体" w:hint="default"/>
          <w:spacing w:val="-2"/>
          <w:sz w:val="21"/>
          <w:szCs w:val="21"/>
        </w:rPr>
        <w:t>本公司及下属子公司主要应纳税税种及法定税率列示如下：</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、增值税</w:t>
      </w:r>
      <w:r>
        <w:rPr>
          <w:rFonts w:ascii="宋体" w:hAnsi="宋体" w:cs="宋体" w:eastAsia="宋体" w:hint="default"/>
          <w:sz w:val="21"/>
          <w:szCs w:val="21"/>
        </w:rPr>
      </w:r>
    </w:p>
    <w:p>
      <w:pPr>
        <w:pStyle w:val="BodyText"/>
        <w:spacing w:line="357" w:lineRule="auto" w:before="28"/>
        <w:ind w:left="140" w:right="711" w:firstLine="420"/>
        <w:jc w:val="both"/>
      </w:pPr>
      <w:r>
        <w:rPr>
          <w:spacing w:val="-3"/>
        </w:rPr>
        <w:t>本公司及子公司吉林紫鑫敦化医药药材有限公司、吉林草还丹药业有限公司、吉林紫鑫初元药业有限公司、吉</w:t>
      </w:r>
      <w:r>
        <w:rPr>
          <w:w w:val="100"/>
        </w:rPr>
        <w:t> </w:t>
      </w:r>
      <w:r>
        <w:rPr>
          <w:spacing w:val="-3"/>
        </w:rPr>
        <w:t>林紫鑫般若药业有限公司、吉林紫鑫药物研究有限公司、吉林紫鑫人参研发有限公司均为增值税一般纳税人，增值</w:t>
      </w:r>
      <w:r>
        <w:rPr>
          <w:spacing w:val="1"/>
        </w:rPr>
        <w:t> </w:t>
      </w:r>
      <w:r>
        <w:rPr>
          <w:spacing w:val="1"/>
        </w:rPr>
      </w:r>
      <w:r>
        <w:rPr/>
        <w:t>税应纳税额为当期销项税额抵减可以抵扣的进项税额后的余额，增值税的销项税率为</w:t>
      </w:r>
      <w:r>
        <w:rPr>
          <w:rFonts w:ascii="宋体" w:hAnsi="宋体" w:cs="宋体" w:eastAsia="宋体" w:hint="default"/>
        </w:rPr>
        <w:t>17%</w:t>
      </w:r>
      <w:r>
        <w:rPr/>
        <w:t>。根据国务院令【</w:t>
      </w:r>
      <w:r>
        <w:rPr>
          <w:rFonts w:ascii="宋体" w:hAnsi="宋体" w:cs="宋体" w:eastAsia="宋体" w:hint="default"/>
        </w:rPr>
        <w:t>1993</w:t>
      </w:r>
      <w:r>
        <w:rPr/>
        <w:t>】</w:t>
      </w:r>
      <w:r>
        <w:rPr>
          <w:spacing w:val="-35"/>
        </w:rPr>
        <w:t> </w:t>
      </w:r>
      <w:r>
        <w:rPr/>
        <w:t>第</w:t>
      </w:r>
      <w:r>
        <w:rPr>
          <w:rFonts w:ascii="宋体" w:hAnsi="宋体" w:cs="宋体" w:eastAsia="宋体" w:hint="default"/>
        </w:rPr>
        <w:t>134</w:t>
      </w:r>
      <w:r>
        <w:rPr/>
        <w:t>号《中华人民共和国增值税暂行条例》第十六条的规定，子公司吉林紫鑫红石种养殖有限公司享受增值税免</w:t>
      </w:r>
      <w:r>
        <w:rPr>
          <w:spacing w:val="-38"/>
        </w:rPr>
        <w:t> </w:t>
      </w:r>
      <w:r>
        <w:rPr>
          <w:spacing w:val="-38"/>
        </w:rPr>
      </w:r>
      <w:r>
        <w:rPr/>
        <w:t>税政策。</w:t>
      </w:r>
    </w:p>
    <w:p>
      <w:pPr>
        <w:spacing w:line="355" w:lineRule="auto" w:before="30"/>
        <w:ind w:left="560"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、城市维护建设税、教育费附加</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3"/>
          <w:sz w:val="21"/>
          <w:szCs w:val="21"/>
        </w:rPr>
        <w:t>本公司及子公司吉林紫鑫初元药业有限公司城市维护建设税按应缴纳流转税额的</w:t>
      </w:r>
      <w:r>
        <w:rPr>
          <w:rFonts w:ascii="宋体" w:hAnsi="宋体" w:cs="宋体" w:eastAsia="宋体" w:hint="default"/>
          <w:spacing w:val="-3"/>
          <w:sz w:val="21"/>
          <w:szCs w:val="21"/>
        </w:rPr>
        <w:t>5%</w:t>
      </w:r>
      <w:r>
        <w:rPr>
          <w:rFonts w:ascii="宋体" w:hAnsi="宋体" w:cs="宋体" w:eastAsia="宋体" w:hint="default"/>
          <w:spacing w:val="-3"/>
          <w:sz w:val="21"/>
          <w:szCs w:val="21"/>
        </w:rPr>
        <w:t>计缴；教育费附加按应缴纳</w:t>
      </w:r>
    </w:p>
    <w:p>
      <w:pPr>
        <w:pStyle w:val="BodyText"/>
        <w:spacing w:line="357" w:lineRule="auto"/>
        <w:ind w:left="140" w:right="711"/>
        <w:jc w:val="both"/>
      </w:pPr>
      <w:r>
        <w:rPr>
          <w:spacing w:val="-2"/>
        </w:rPr>
        <w:t>流转税额的</w:t>
      </w:r>
      <w:r>
        <w:rPr>
          <w:rFonts w:ascii="宋体" w:hAnsi="宋体" w:cs="宋体" w:eastAsia="宋体" w:hint="default"/>
          <w:spacing w:val="-2"/>
        </w:rPr>
        <w:t>3%</w:t>
      </w:r>
      <w:r>
        <w:rPr>
          <w:spacing w:val="-2"/>
        </w:rPr>
        <w:t>计缴。子公司吉林紫鑫敦化医药药材有限公司、吉林草还丹药业有限公司、吉林紫鑫般若药业有限公</w:t>
      </w:r>
      <w:r>
        <w:rPr>
          <w:spacing w:val="-45"/>
        </w:rPr>
        <w:t> </w:t>
      </w:r>
      <w:r>
        <w:rPr>
          <w:spacing w:val="-45"/>
        </w:rPr>
      </w:r>
      <w:r>
        <w:rPr>
          <w:spacing w:val="-3"/>
        </w:rPr>
        <w:t>司、吉林紫鑫药物研究有限公司、吉林紫鑫人参研发有限公司城市维护建设税按应缴纳流转税额的</w:t>
      </w:r>
      <w:r>
        <w:rPr>
          <w:rFonts w:ascii="宋体" w:hAnsi="宋体" w:cs="宋体" w:eastAsia="宋体" w:hint="default"/>
          <w:spacing w:val="-3"/>
        </w:rPr>
        <w:t>7%</w:t>
      </w:r>
      <w:r>
        <w:rPr>
          <w:spacing w:val="-3"/>
        </w:rPr>
        <w:t>计缴；教育费</w:t>
      </w:r>
      <w:r>
        <w:rPr>
          <w:spacing w:val="4"/>
        </w:rPr>
        <w:t> </w:t>
      </w:r>
      <w:r>
        <w:rPr>
          <w:spacing w:val="4"/>
        </w:rPr>
      </w:r>
      <w:r>
        <w:rPr/>
        <w:t>附加按应缴纳流转税额的</w:t>
      </w:r>
      <w:r>
        <w:rPr>
          <w:rFonts w:ascii="宋体" w:hAnsi="宋体" w:cs="宋体" w:eastAsia="宋体" w:hint="default"/>
        </w:rPr>
        <w:t>3%</w:t>
      </w:r>
      <w:r>
        <w:rPr/>
        <w:t>计缴。</w:t>
      </w:r>
    </w:p>
    <w:p>
      <w:pPr>
        <w:pStyle w:val="BodyText"/>
        <w:spacing w:line="355" w:lineRule="auto" w:before="30"/>
        <w:ind w:right="0" w:firstLine="26"/>
        <w:jc w:val="left"/>
      </w:pPr>
      <w:r>
        <w:rPr>
          <w:rFonts w:ascii="宋体" w:hAnsi="宋体" w:cs="宋体" w:eastAsia="宋体" w:hint="default"/>
          <w:b/>
          <w:bCs/>
        </w:rPr>
        <w:t>3</w:t>
      </w:r>
      <w:r>
        <w:rPr>
          <w:rFonts w:ascii="宋体" w:hAnsi="宋体" w:cs="宋体" w:eastAsia="宋体" w:hint="default"/>
          <w:b/>
          <w:bCs/>
        </w:rPr>
        <w:t>、企业所得税</w:t>
      </w:r>
      <w:r>
        <w:rPr>
          <w:rFonts w:ascii="宋体" w:hAnsi="宋体" w:cs="宋体" w:eastAsia="宋体" w:hint="default"/>
          <w:b/>
          <w:bCs/>
          <w:w w:val="100"/>
        </w:rPr>
        <w:t> </w:t>
      </w:r>
      <w:r>
        <w:rPr/>
        <w:t>本公司为吉林省高新技术企业执行的所得税税率为</w:t>
      </w:r>
      <w:r>
        <w:rPr>
          <w:rFonts w:ascii="宋体" w:hAnsi="宋体" w:cs="宋体" w:eastAsia="宋体" w:hint="default"/>
        </w:rPr>
        <w:t>15%</w:t>
      </w:r>
      <w:r>
        <w:rPr/>
        <w:t>。子公司吉林草还丹药业有限公司坐落在吉林省延边朝</w:t>
      </w:r>
    </w:p>
    <w:p>
      <w:pPr>
        <w:pStyle w:val="BodyText"/>
        <w:spacing w:line="360" w:lineRule="auto"/>
        <w:ind w:right="0" w:hanging="420"/>
        <w:jc w:val="left"/>
      </w:pPr>
      <w:r>
        <w:rPr/>
        <w:t>鲜族自治州敦化市，根据国家有关规定享受国家西部大开发政策，执行的所得税税率为</w:t>
      </w:r>
      <w:r>
        <w:rPr>
          <w:rFonts w:ascii="宋体" w:hAnsi="宋体" w:cs="宋体" w:eastAsia="宋体" w:hint="default"/>
        </w:rPr>
        <w:t>15%</w:t>
      </w:r>
      <w:r>
        <w:rPr/>
        <w:t>。</w:t>
      </w:r>
      <w:r>
        <w:rPr>
          <w:w w:val="100"/>
        </w:rPr>
        <w:t> </w:t>
      </w:r>
      <w:r>
        <w:rPr/>
        <w:t>根据国税函</w:t>
      </w:r>
      <w:r>
        <w:rPr>
          <w:rFonts w:ascii="宋体" w:hAnsi="宋体" w:cs="宋体" w:eastAsia="宋体" w:hint="default"/>
        </w:rPr>
        <w:t>[2008]</w:t>
      </w:r>
      <w:r>
        <w:rPr/>
        <w:t>第</w:t>
      </w:r>
      <w:r>
        <w:rPr>
          <w:rFonts w:ascii="宋体" w:hAnsi="宋体" w:cs="宋体" w:eastAsia="宋体" w:hint="default"/>
        </w:rPr>
        <w:t>850</w:t>
      </w:r>
      <w:r>
        <w:rPr/>
        <w:t>号《国家税务总局关于贯彻落实从事农、林、牧、渔业项目企业所得税优惠政策有关</w:t>
      </w:r>
    </w:p>
    <w:p>
      <w:pPr>
        <w:pStyle w:val="BodyText"/>
        <w:spacing w:line="355" w:lineRule="auto" w:before="28"/>
        <w:ind w:left="140" w:right="711"/>
        <w:jc w:val="both"/>
      </w:pPr>
      <w:r>
        <w:rPr>
          <w:spacing w:val="-3"/>
        </w:rPr>
        <w:t>事项的通知》及《中华人民共和国企业所得税法实施条例》第八十六条的规定，子公司吉林紫鑫红石种养殖有限公</w:t>
      </w:r>
      <w:r>
        <w:rPr>
          <w:spacing w:val="-1"/>
        </w:rPr>
        <w:t> </w:t>
      </w:r>
      <w:r>
        <w:rPr>
          <w:spacing w:val="-1"/>
        </w:rPr>
      </w:r>
      <w:r>
        <w:rPr>
          <w:spacing w:val="-3"/>
        </w:rPr>
        <w:t>司享受所得税免征政策。子公司吉林草还丹药业有限公司人参初加工产品享受所得税免征政策。子公司吉林紫鑫敦</w:t>
      </w:r>
      <w:r>
        <w:rPr>
          <w:spacing w:val="-1"/>
        </w:rPr>
        <w:t> </w:t>
      </w:r>
      <w:r>
        <w:rPr>
          <w:spacing w:val="-1"/>
        </w:rPr>
      </w:r>
      <w:r>
        <w:rPr>
          <w:spacing w:val="-3"/>
        </w:rPr>
        <w:t>化医药药材有限公司、吉林紫鑫初元药业有限公司、吉林紫鑫般若药业有限公司、吉林紫鑫药物研究有限公司、吉</w:t>
      </w:r>
      <w:r>
        <w:rPr>
          <w:spacing w:val="2"/>
        </w:rPr>
        <w:t> </w:t>
      </w:r>
      <w:r>
        <w:rPr>
          <w:spacing w:val="2"/>
        </w:rPr>
      </w:r>
      <w:r>
        <w:rPr/>
        <w:t>林紫鑫人参研发有限公司执行的企业所得税税率为</w:t>
      </w:r>
      <w:r>
        <w:rPr>
          <w:rFonts w:ascii="宋体" w:hAnsi="宋体" w:cs="宋体" w:eastAsia="宋体" w:hint="default"/>
        </w:rPr>
        <w:t>25%</w:t>
      </w:r>
      <w:r>
        <w:rPr/>
        <w:t>。</w:t>
      </w:r>
    </w:p>
    <w:p>
      <w:pPr>
        <w:pStyle w:val="Heading2"/>
        <w:spacing w:line="240" w:lineRule="auto" w:before="28"/>
        <w:ind w:left="560" w:right="0"/>
        <w:jc w:val="left"/>
        <w:rPr>
          <w:b w:val="0"/>
          <w:bCs w:val="0"/>
        </w:rPr>
      </w:pPr>
      <w:r>
        <w:rPr/>
        <w:t>四、企业合并及合并财务报表</w:t>
      </w:r>
      <w:r>
        <w:rPr>
          <w:b w:val="0"/>
          <w:bCs w:val="0"/>
        </w:rPr>
      </w:r>
    </w:p>
    <w:p>
      <w:pPr>
        <w:pStyle w:val="Heading4"/>
        <w:spacing w:line="240" w:lineRule="auto" w:before="157"/>
        <w:ind w:left="552" w:right="0"/>
        <w:jc w:val="left"/>
        <w:rPr>
          <w:b w:val="0"/>
          <w:bCs w:val="0"/>
        </w:rPr>
      </w:pPr>
      <w:r>
        <w:rPr>
          <w:rFonts w:ascii="宋体" w:hAnsi="宋体" w:cs="宋体" w:eastAsia="宋体" w:hint="default"/>
        </w:rPr>
        <w:t>1</w:t>
      </w:r>
      <w:r>
        <w:rPr/>
        <w:t>、子公司情况</w:t>
      </w:r>
      <w:r>
        <w:rPr>
          <w:b w:val="0"/>
          <w:bCs w:val="0"/>
        </w:rPr>
      </w:r>
    </w:p>
    <w:p>
      <w:pPr>
        <w:pStyle w:val="BodyText"/>
        <w:spacing w:line="240" w:lineRule="auto" w:before="133"/>
        <w:ind w:left="552" w:right="0"/>
        <w:jc w:val="left"/>
      </w:pPr>
      <w:r>
        <w:rPr/>
        <w:t>（</w:t>
      </w:r>
      <w:r>
        <w:rPr>
          <w:rFonts w:ascii="宋体" w:hAnsi="宋体" w:cs="宋体" w:eastAsia="宋体" w:hint="default"/>
        </w:rPr>
        <w:t>1</w:t>
      </w:r>
      <w:r>
        <w:rPr/>
        <w:t>）通过设立方式取得的子公司</w:t>
      </w:r>
    </w:p>
    <w:p>
      <w:pPr>
        <w:spacing w:after="0" w:line="240" w:lineRule="auto"/>
        <w:jc w:val="left"/>
        <w:sectPr>
          <w:pgSz w:w="11910" w:h="16840"/>
          <w:pgMar w:header="720" w:footer="956" w:top="1300" w:bottom="1140" w:left="580" w:right="0"/>
        </w:sectPr>
      </w:pPr>
    </w:p>
    <w:tbl>
      <w:tblPr>
        <w:tblW w:w="0" w:type="auto"/>
        <w:jc w:val="left"/>
        <w:tblInd w:w="103" w:type="dxa"/>
        <w:tblLayout w:type="fixed"/>
        <w:tblCellMar>
          <w:top w:w="0" w:type="dxa"/>
          <w:left w:w="0" w:type="dxa"/>
          <w:bottom w:w="0" w:type="dxa"/>
          <w:right w:w="0" w:type="dxa"/>
        </w:tblCellMar>
        <w:tblLook w:val="01E0"/>
      </w:tblPr>
      <w:tblGrid>
        <w:gridCol w:w="2782"/>
        <w:gridCol w:w="997"/>
        <w:gridCol w:w="588"/>
        <w:gridCol w:w="996"/>
        <w:gridCol w:w="2369"/>
        <w:gridCol w:w="992"/>
        <w:gridCol w:w="593"/>
        <w:gridCol w:w="790"/>
        <w:gridCol w:w="593"/>
      </w:tblGrid>
      <w:tr>
        <w:trPr>
          <w:trHeight w:val="1080" w:hRule="exact"/>
        </w:trPr>
        <w:tc>
          <w:tcPr>
            <w:tcW w:w="2782"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97"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588" w:type="dxa"/>
            <w:tcBorders>
              <w:top w:val="single" w:sz="12" w:space="0" w:color="000000"/>
              <w:left w:val="single" w:sz="4" w:space="0" w:color="000000"/>
              <w:bottom w:val="single" w:sz="6" w:space="0" w:color="000000"/>
              <w:right w:val="single" w:sz="6" w:space="0" w:color="000000"/>
            </w:tcBorders>
          </w:tcPr>
          <w:p>
            <w:pPr>
              <w:pStyle w:val="TableParagraph"/>
              <w:spacing w:line="357" w:lineRule="auto" w:before="149"/>
              <w:ind w:left="107" w:right="107"/>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96"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49"/>
              <w:ind w:left="129"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15"/>
              <w:ind w:left="12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369"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92" w:type="dxa"/>
            <w:tcBorders>
              <w:top w:val="single" w:sz="12" w:space="0" w:color="000000"/>
              <w:left w:val="single" w:sz="6" w:space="0" w:color="000000"/>
              <w:bottom w:val="single" w:sz="6" w:space="0" w:color="000000"/>
              <w:right w:val="single" w:sz="4"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本公司实</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357" w:lineRule="auto" w:before="115"/>
              <w:ind w:left="100" w:right="14"/>
              <w:jc w:val="left"/>
              <w:rPr>
                <w:rFonts w:ascii="宋体" w:hAnsi="宋体" w:cs="宋体" w:eastAsia="宋体" w:hint="default"/>
                <w:sz w:val="18"/>
                <w:szCs w:val="18"/>
              </w:rPr>
            </w:pPr>
            <w:r>
              <w:rPr>
                <w:rFonts w:ascii="宋体" w:hAnsi="宋体" w:cs="宋体" w:eastAsia="宋体" w:hint="default"/>
                <w:spacing w:val="12"/>
                <w:sz w:val="18"/>
                <w:szCs w:val="18"/>
              </w:rPr>
              <w:t>际投资金</w:t>
            </w:r>
            <w:r>
              <w:rPr>
                <w:rFonts w:ascii="宋体" w:hAnsi="宋体" w:cs="宋体" w:eastAsia="宋体" w:hint="default"/>
                <w:spacing w:val="-74"/>
                <w:sz w:val="18"/>
                <w:szCs w:val="18"/>
              </w:rPr>
              <w:t> </w:t>
            </w:r>
            <w:r>
              <w:rPr>
                <w:rFonts w:ascii="宋体" w:hAnsi="宋体" w:cs="宋体" w:eastAsia="宋体" w:hint="default"/>
                <w:spacing w:val="-8"/>
                <w:sz w:val="18"/>
                <w:szCs w:val="18"/>
              </w:rPr>
              <w:t>额（万元）</w:t>
            </w:r>
          </w:p>
        </w:tc>
        <w:tc>
          <w:tcPr>
            <w:tcW w:w="593" w:type="dxa"/>
            <w:tcBorders>
              <w:top w:val="single" w:sz="12" w:space="0" w:color="000000"/>
              <w:left w:val="single" w:sz="4" w:space="0" w:color="000000"/>
              <w:bottom w:val="single" w:sz="6" w:space="0" w:color="000000"/>
              <w:right w:val="single" w:sz="4" w:space="0" w:color="000000"/>
            </w:tcBorders>
          </w:tcPr>
          <w:p>
            <w:pPr>
              <w:pStyle w:val="TableParagraph"/>
              <w:spacing w:line="357" w:lineRule="auto" w:before="149"/>
              <w:ind w:left="108" w:right="113"/>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90" w:type="dxa"/>
            <w:tcBorders>
              <w:top w:val="single" w:sz="12" w:space="0" w:color="000000"/>
              <w:left w:val="single" w:sz="4" w:space="0" w:color="000000"/>
              <w:bottom w:val="single" w:sz="6" w:space="0" w:color="000000"/>
              <w:right w:val="single" w:sz="4" w:space="0" w:color="000000"/>
            </w:tcBorders>
          </w:tcPr>
          <w:p>
            <w:pPr>
              <w:pStyle w:val="TableParagraph"/>
              <w:spacing w:line="357" w:lineRule="auto" w:before="149"/>
              <w:ind w:left="208" w:right="119"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593" w:type="dxa"/>
            <w:tcBorders>
              <w:top w:val="single" w:sz="12" w:space="0" w:color="000000"/>
              <w:left w:val="single" w:sz="4" w:space="0" w:color="000000"/>
              <w:bottom w:val="single" w:sz="6" w:space="0" w:color="000000"/>
              <w:right w:val="nil" w:sz="6" w:space="0" w:color="auto"/>
            </w:tcBorders>
          </w:tcPr>
          <w:p>
            <w:pPr>
              <w:pStyle w:val="TableParagraph"/>
              <w:spacing w:line="357" w:lineRule="auto" w:before="149"/>
              <w:ind w:left="110" w:right="115"/>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1066" w:hRule="exact"/>
        </w:trPr>
        <w:tc>
          <w:tcPr>
            <w:tcW w:w="2782" w:type="dxa"/>
            <w:tcBorders>
              <w:top w:val="single" w:sz="6" w:space="0" w:color="000000"/>
              <w:left w:val="nil" w:sz="6" w:space="0" w:color="auto"/>
              <w:bottom w:val="single" w:sz="6" w:space="0" w:color="000000"/>
              <w:right w:val="single" w:sz="4" w:space="0" w:color="000000"/>
            </w:tcBorders>
          </w:tcPr>
          <w:p>
            <w:pPr>
              <w:pStyle w:val="TableParagraph"/>
              <w:spacing w:line="357" w:lineRule="auto" w:before="142"/>
              <w:ind w:left="122" w:right="142"/>
              <w:jc w:val="left"/>
              <w:rPr>
                <w:rFonts w:ascii="宋体" w:hAnsi="宋体" w:cs="宋体" w:eastAsia="宋体" w:hint="default"/>
                <w:sz w:val="18"/>
                <w:szCs w:val="18"/>
              </w:rPr>
            </w:pPr>
            <w:r>
              <w:rPr>
                <w:rFonts w:ascii="宋体" w:hAnsi="宋体" w:cs="宋体" w:eastAsia="宋体" w:hint="default"/>
                <w:spacing w:val="12"/>
                <w:sz w:val="18"/>
                <w:szCs w:val="18"/>
              </w:rPr>
              <w:t>吉林紫鑫敦化医药药材有限公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997"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吉林省敦</w:t>
            </w:r>
          </w:p>
          <w:p>
            <w:pPr>
              <w:pStyle w:val="TableParagraph"/>
              <w:spacing w:line="357" w:lineRule="auto" w:before="115"/>
              <w:ind w:left="103" w:right="143"/>
              <w:jc w:val="left"/>
              <w:rPr>
                <w:rFonts w:ascii="宋体" w:hAnsi="宋体" w:cs="宋体" w:eastAsia="宋体" w:hint="default"/>
                <w:sz w:val="18"/>
                <w:szCs w:val="18"/>
              </w:rPr>
            </w:pPr>
            <w:r>
              <w:rPr>
                <w:rFonts w:ascii="宋体" w:hAnsi="宋体" w:cs="宋体" w:eastAsia="宋体" w:hint="default"/>
                <w:spacing w:val="4"/>
                <w:sz w:val="18"/>
                <w:szCs w:val="18"/>
              </w:rPr>
              <w:t>化经济开</w:t>
            </w:r>
            <w:r>
              <w:rPr>
                <w:rFonts w:ascii="宋体" w:hAnsi="宋体" w:cs="宋体" w:eastAsia="宋体" w:hint="default"/>
                <w:sz w:val="18"/>
                <w:szCs w:val="18"/>
              </w:rPr>
              <w:t> 发区</w:t>
            </w:r>
          </w:p>
        </w:tc>
        <w:tc>
          <w:tcPr>
            <w:tcW w:w="5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医药</w:t>
            </w:r>
          </w:p>
        </w:tc>
        <w:tc>
          <w:tcPr>
            <w:tcW w:w="99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2369"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批发、零售中成药、化学药</w:t>
            </w:r>
          </w:p>
          <w:p>
            <w:pPr>
              <w:pStyle w:val="TableParagraph"/>
              <w:spacing w:line="357" w:lineRule="auto" w:before="115"/>
              <w:ind w:left="103" w:right="139"/>
              <w:jc w:val="left"/>
              <w:rPr>
                <w:rFonts w:ascii="宋体" w:hAnsi="宋体" w:cs="宋体" w:eastAsia="宋体" w:hint="default"/>
                <w:sz w:val="18"/>
                <w:szCs w:val="18"/>
              </w:rPr>
            </w:pPr>
            <w:r>
              <w:rPr>
                <w:rFonts w:ascii="宋体" w:hAnsi="宋体" w:cs="宋体" w:eastAsia="宋体" w:hint="default"/>
                <w:spacing w:val="-4"/>
                <w:sz w:val="18"/>
                <w:szCs w:val="18"/>
              </w:rPr>
              <w:t>制剂、保健食品、药材原料</w:t>
            </w:r>
            <w:r>
              <w:rPr>
                <w:rFonts w:ascii="宋体" w:hAnsi="宋体" w:cs="宋体" w:eastAsia="宋体" w:hint="default"/>
                <w:sz w:val="18"/>
                <w:szCs w:val="18"/>
              </w:rPr>
              <w:t> 等。</w:t>
            </w:r>
          </w:p>
        </w:tc>
        <w:tc>
          <w:tcPr>
            <w:tcW w:w="99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99.00</w:t>
            </w:r>
          </w:p>
        </w:tc>
        <w:tc>
          <w:tcPr>
            <w:tcW w:w="59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53" w:right="0"/>
              <w:jc w:val="left"/>
              <w:rPr>
                <w:rFonts w:ascii="宋体" w:hAnsi="宋体" w:cs="宋体" w:eastAsia="宋体" w:hint="default"/>
                <w:sz w:val="18"/>
                <w:szCs w:val="18"/>
              </w:rPr>
            </w:pPr>
            <w:r>
              <w:rPr>
                <w:rFonts w:ascii="宋体"/>
                <w:sz w:val="18"/>
              </w:rPr>
              <w:t>99%</w:t>
            </w:r>
          </w:p>
        </w:tc>
        <w:tc>
          <w:tcPr>
            <w:tcW w:w="79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sz w:val="18"/>
              </w:rPr>
              <w:t>99%</w:t>
            </w:r>
          </w:p>
        </w:tc>
        <w:tc>
          <w:tcPr>
            <w:tcW w:w="59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416" w:hRule="exact"/>
        </w:trPr>
        <w:tc>
          <w:tcPr>
            <w:tcW w:w="2782" w:type="dxa"/>
            <w:tcBorders>
              <w:top w:val="single" w:sz="6" w:space="0" w:color="000000"/>
              <w:left w:val="nil" w:sz="6" w:space="0" w:color="auto"/>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吉林融安科工贸有限公司</w:t>
            </w:r>
          </w:p>
        </w:tc>
        <w:tc>
          <w:tcPr>
            <w:tcW w:w="99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103" w:right="143"/>
              <w:jc w:val="left"/>
              <w:rPr>
                <w:rFonts w:ascii="宋体" w:hAnsi="宋体" w:cs="宋体" w:eastAsia="宋体" w:hint="default"/>
                <w:sz w:val="18"/>
                <w:szCs w:val="18"/>
              </w:rPr>
            </w:pPr>
            <w:r>
              <w:rPr>
                <w:rFonts w:ascii="宋体" w:hAnsi="宋体" w:cs="宋体" w:eastAsia="宋体" w:hint="default"/>
                <w:spacing w:val="4"/>
                <w:sz w:val="18"/>
                <w:szCs w:val="18"/>
              </w:rPr>
              <w:t>安图县明</w:t>
            </w:r>
            <w:r>
              <w:rPr>
                <w:rFonts w:ascii="宋体" w:hAnsi="宋体" w:cs="宋体" w:eastAsia="宋体" w:hint="default"/>
                <w:sz w:val="18"/>
                <w:szCs w:val="18"/>
              </w:rPr>
              <w:t> 月镇</w:t>
            </w:r>
          </w:p>
        </w:tc>
        <w:tc>
          <w:tcPr>
            <w:tcW w:w="5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医药</w:t>
            </w:r>
          </w:p>
        </w:tc>
        <w:tc>
          <w:tcPr>
            <w:tcW w:w="99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2369"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both"/>
              <w:rPr>
                <w:rFonts w:ascii="宋体" w:hAnsi="宋体" w:cs="宋体" w:eastAsia="宋体" w:hint="default"/>
                <w:sz w:val="18"/>
                <w:szCs w:val="18"/>
              </w:rPr>
            </w:pPr>
            <w:r>
              <w:rPr>
                <w:rFonts w:ascii="宋体" w:hAnsi="宋体" w:cs="宋体" w:eastAsia="宋体" w:hint="default"/>
                <w:sz w:val="18"/>
                <w:szCs w:val="18"/>
              </w:rPr>
              <w:t>从事纺织品、纺织品加工，</w:t>
            </w:r>
          </w:p>
          <w:p>
            <w:pPr>
              <w:pStyle w:val="TableParagraph"/>
              <w:spacing w:line="357" w:lineRule="auto" w:before="115"/>
              <w:ind w:left="103" w:right="93"/>
              <w:jc w:val="both"/>
              <w:rPr>
                <w:rFonts w:ascii="宋体" w:hAnsi="宋体" w:cs="宋体" w:eastAsia="宋体" w:hint="default"/>
                <w:sz w:val="18"/>
                <w:szCs w:val="18"/>
              </w:rPr>
            </w:pPr>
            <w:r>
              <w:rPr>
                <w:rFonts w:ascii="宋体" w:hAnsi="宋体" w:cs="宋体" w:eastAsia="宋体" w:hint="default"/>
                <w:spacing w:val="-4"/>
                <w:sz w:val="18"/>
                <w:szCs w:val="18"/>
              </w:rPr>
              <w:t>农副产品、土特产品、医疗</w:t>
            </w:r>
            <w:r>
              <w:rPr>
                <w:rFonts w:ascii="宋体" w:hAnsi="宋体" w:cs="宋体" w:eastAsia="宋体" w:hint="default"/>
                <w:sz w:val="18"/>
                <w:szCs w:val="18"/>
              </w:rPr>
              <w:t> 器械、保健品、日用产品、 中药材经销等。</w:t>
            </w:r>
          </w:p>
        </w:tc>
        <w:tc>
          <w:tcPr>
            <w:tcW w:w="99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4"/>
              <w:jc w:val="center"/>
              <w:rPr>
                <w:rFonts w:ascii="宋体" w:hAnsi="宋体" w:cs="宋体" w:eastAsia="宋体" w:hint="default"/>
                <w:sz w:val="18"/>
                <w:szCs w:val="18"/>
              </w:rPr>
            </w:pPr>
            <w:r>
              <w:rPr>
                <w:rFonts w:ascii="宋体"/>
                <w:sz w:val="18"/>
              </w:rPr>
              <w:t>100.00</w:t>
            </w:r>
          </w:p>
        </w:tc>
        <w:tc>
          <w:tcPr>
            <w:tcW w:w="59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sz w:val="18"/>
              </w:rPr>
              <w:t>100%</w:t>
            </w:r>
          </w:p>
        </w:tc>
        <w:tc>
          <w:tcPr>
            <w:tcW w:w="79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93"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27" w:hRule="exact"/>
        </w:trPr>
        <w:tc>
          <w:tcPr>
            <w:tcW w:w="2782" w:type="dxa"/>
            <w:tcBorders>
              <w:top w:val="single" w:sz="6" w:space="0" w:color="000000"/>
              <w:left w:val="nil" w:sz="6" w:space="0" w:color="auto"/>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吉林紫鑫红石种养殖有限公司</w:t>
            </w:r>
          </w:p>
        </w:tc>
        <w:tc>
          <w:tcPr>
            <w:tcW w:w="997" w:type="dxa"/>
            <w:tcBorders>
              <w:top w:val="single" w:sz="6" w:space="0" w:color="000000"/>
              <w:left w:val="single" w:sz="4" w:space="0" w:color="000000"/>
              <w:bottom w:val="single" w:sz="6" w:space="0" w:color="000000"/>
              <w:right w:val="single" w:sz="4" w:space="0" w:color="000000"/>
            </w:tcBorders>
          </w:tcPr>
          <w:p>
            <w:pPr>
              <w:pStyle w:val="TableParagraph"/>
              <w:spacing w:line="357" w:lineRule="auto" w:before="73"/>
              <w:ind w:left="103" w:right="143"/>
              <w:jc w:val="left"/>
              <w:rPr>
                <w:rFonts w:ascii="宋体" w:hAnsi="宋体" w:cs="宋体" w:eastAsia="宋体" w:hint="default"/>
                <w:sz w:val="18"/>
                <w:szCs w:val="18"/>
              </w:rPr>
            </w:pPr>
            <w:r>
              <w:rPr>
                <w:rFonts w:ascii="宋体" w:hAnsi="宋体" w:cs="宋体" w:eastAsia="宋体" w:hint="default"/>
                <w:spacing w:val="4"/>
                <w:sz w:val="18"/>
                <w:szCs w:val="18"/>
              </w:rPr>
              <w:t>柳河县柳</w:t>
            </w:r>
            <w:r>
              <w:rPr>
                <w:rFonts w:ascii="宋体" w:hAnsi="宋体" w:cs="宋体" w:eastAsia="宋体" w:hint="default"/>
                <w:sz w:val="18"/>
                <w:szCs w:val="18"/>
              </w:rPr>
              <w:t> 河镇</w:t>
            </w:r>
          </w:p>
        </w:tc>
        <w:tc>
          <w:tcPr>
            <w:tcW w:w="5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农业</w:t>
            </w:r>
          </w:p>
        </w:tc>
        <w:tc>
          <w:tcPr>
            <w:tcW w:w="99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sz w:val="18"/>
              </w:rPr>
              <w:t>1,000.00</w:t>
            </w:r>
          </w:p>
        </w:tc>
        <w:tc>
          <w:tcPr>
            <w:tcW w:w="2369" w:type="dxa"/>
            <w:tcBorders>
              <w:top w:val="single" w:sz="6" w:space="0" w:color="000000"/>
              <w:left w:val="single" w:sz="4" w:space="0" w:color="000000"/>
              <w:bottom w:val="single" w:sz="6" w:space="0" w:color="000000"/>
              <w:right w:val="single" w:sz="6" w:space="0" w:color="000000"/>
            </w:tcBorders>
          </w:tcPr>
          <w:p>
            <w:pPr>
              <w:pStyle w:val="TableParagraph"/>
              <w:spacing w:line="357" w:lineRule="auto" w:before="73"/>
              <w:ind w:left="103" w:right="143"/>
              <w:jc w:val="left"/>
              <w:rPr>
                <w:rFonts w:ascii="宋体" w:hAnsi="宋体" w:cs="宋体" w:eastAsia="宋体" w:hint="default"/>
                <w:sz w:val="18"/>
                <w:szCs w:val="18"/>
              </w:rPr>
            </w:pPr>
            <w:r>
              <w:rPr>
                <w:rFonts w:ascii="宋体" w:hAnsi="宋体" w:cs="宋体" w:eastAsia="宋体" w:hint="default"/>
                <w:spacing w:val="11"/>
                <w:sz w:val="18"/>
                <w:szCs w:val="18"/>
              </w:rPr>
              <w:t>中药材种植销售、动物养</w:t>
            </w:r>
            <w:r>
              <w:rPr>
                <w:rFonts w:ascii="宋体" w:hAnsi="宋体" w:cs="宋体" w:eastAsia="宋体" w:hint="default"/>
                <w:sz w:val="18"/>
                <w:szCs w:val="18"/>
              </w:rPr>
              <w:t> 殖、农副产品收购等。</w:t>
            </w:r>
          </w:p>
        </w:tc>
        <w:tc>
          <w:tcPr>
            <w:tcW w:w="99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sz w:val="18"/>
              </w:rPr>
              <w:t>1,000.00</w:t>
            </w:r>
          </w:p>
        </w:tc>
        <w:tc>
          <w:tcPr>
            <w:tcW w:w="59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sz w:val="18"/>
              </w:rPr>
              <w:t>100%</w:t>
            </w:r>
          </w:p>
        </w:tc>
        <w:tc>
          <w:tcPr>
            <w:tcW w:w="79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93"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66" w:hRule="exact"/>
        </w:trPr>
        <w:tc>
          <w:tcPr>
            <w:tcW w:w="2782"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吉林紫鑫初元药业有限公司</w:t>
            </w:r>
          </w:p>
        </w:tc>
        <w:tc>
          <w:tcPr>
            <w:tcW w:w="99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延边州新</w:t>
            </w:r>
          </w:p>
          <w:p>
            <w:pPr>
              <w:pStyle w:val="TableParagraph"/>
              <w:spacing w:line="357" w:lineRule="auto" w:before="112"/>
              <w:ind w:left="103" w:right="143"/>
              <w:jc w:val="left"/>
              <w:rPr>
                <w:rFonts w:ascii="宋体" w:hAnsi="宋体" w:cs="宋体" w:eastAsia="宋体" w:hint="default"/>
                <w:sz w:val="18"/>
                <w:szCs w:val="18"/>
              </w:rPr>
            </w:pPr>
            <w:r>
              <w:rPr>
                <w:rFonts w:ascii="宋体" w:hAnsi="宋体" w:cs="宋体" w:eastAsia="宋体" w:hint="default"/>
                <w:spacing w:val="4"/>
                <w:sz w:val="18"/>
                <w:szCs w:val="18"/>
              </w:rPr>
              <w:t>兴工业集</w:t>
            </w:r>
            <w:r>
              <w:rPr>
                <w:rFonts w:ascii="宋体" w:hAnsi="宋体" w:cs="宋体" w:eastAsia="宋体" w:hint="default"/>
                <w:sz w:val="18"/>
                <w:szCs w:val="18"/>
              </w:rPr>
              <w:t> 中区</w:t>
            </w:r>
          </w:p>
        </w:tc>
        <w:tc>
          <w:tcPr>
            <w:tcW w:w="5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医药</w:t>
            </w:r>
          </w:p>
        </w:tc>
        <w:tc>
          <w:tcPr>
            <w:tcW w:w="99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2,000.00</w:t>
            </w:r>
          </w:p>
        </w:tc>
        <w:tc>
          <w:tcPr>
            <w:tcW w:w="236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加工、销售中成药、化学药</w:t>
            </w:r>
          </w:p>
          <w:p>
            <w:pPr>
              <w:pStyle w:val="TableParagraph"/>
              <w:spacing w:line="357" w:lineRule="auto" w:before="112"/>
              <w:ind w:left="103" w:right="139"/>
              <w:jc w:val="left"/>
              <w:rPr>
                <w:rFonts w:ascii="宋体" w:hAnsi="宋体" w:cs="宋体" w:eastAsia="宋体" w:hint="default"/>
                <w:sz w:val="18"/>
                <w:szCs w:val="18"/>
              </w:rPr>
            </w:pPr>
            <w:r>
              <w:rPr>
                <w:rFonts w:ascii="宋体" w:hAnsi="宋体" w:cs="宋体" w:eastAsia="宋体" w:hint="default"/>
                <w:spacing w:val="-5"/>
                <w:sz w:val="18"/>
                <w:szCs w:val="18"/>
              </w:rPr>
              <w:t>制剂（仅限于筹建）；人参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收购、销售、粗加工。</w:t>
            </w:r>
          </w:p>
        </w:tc>
        <w:tc>
          <w:tcPr>
            <w:tcW w:w="99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sz w:val="18"/>
              </w:rPr>
              <w:t>2,000.00</w:t>
            </w:r>
          </w:p>
        </w:tc>
        <w:tc>
          <w:tcPr>
            <w:tcW w:w="59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sz w:val="18"/>
              </w:rPr>
              <w:t>100%</w:t>
            </w:r>
          </w:p>
        </w:tc>
        <w:tc>
          <w:tcPr>
            <w:tcW w:w="79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9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416" w:hRule="exact"/>
        </w:trPr>
        <w:tc>
          <w:tcPr>
            <w:tcW w:w="2782" w:type="dxa"/>
            <w:tcBorders>
              <w:top w:val="single" w:sz="6" w:space="0" w:color="000000"/>
              <w:left w:val="nil" w:sz="6" w:space="0" w:color="auto"/>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吉林紫鑫般若药业有限公司</w:t>
            </w:r>
          </w:p>
        </w:tc>
        <w:tc>
          <w:tcPr>
            <w:tcW w:w="997" w:type="dxa"/>
            <w:tcBorders>
              <w:top w:val="single" w:sz="6" w:space="0" w:color="000000"/>
              <w:left w:val="single" w:sz="4" w:space="0" w:color="000000"/>
              <w:bottom w:val="single" w:sz="6" w:space="0" w:color="000000"/>
              <w:right w:val="single" w:sz="4" w:space="0" w:color="000000"/>
            </w:tcBorders>
          </w:tcPr>
          <w:p>
            <w:pPr>
              <w:pStyle w:val="TableParagraph"/>
              <w:spacing w:line="357" w:lineRule="auto" w:before="142"/>
              <w:ind w:left="103" w:right="143"/>
              <w:jc w:val="both"/>
              <w:rPr>
                <w:rFonts w:ascii="宋体" w:hAnsi="宋体" w:cs="宋体" w:eastAsia="宋体" w:hint="default"/>
                <w:sz w:val="18"/>
                <w:szCs w:val="18"/>
              </w:rPr>
            </w:pPr>
            <w:r>
              <w:rPr>
                <w:rFonts w:ascii="宋体" w:hAnsi="宋体" w:cs="宋体" w:eastAsia="宋体" w:hint="default"/>
                <w:spacing w:val="4"/>
                <w:sz w:val="18"/>
                <w:szCs w:val="18"/>
              </w:rPr>
              <w:t>磐石经济</w:t>
            </w:r>
            <w:r>
              <w:rPr>
                <w:rFonts w:ascii="宋体" w:hAnsi="宋体" w:cs="宋体" w:eastAsia="宋体" w:hint="default"/>
                <w:sz w:val="18"/>
                <w:szCs w:val="18"/>
              </w:rPr>
              <w:t> </w:t>
            </w:r>
            <w:r>
              <w:rPr>
                <w:rFonts w:ascii="宋体" w:hAnsi="宋体" w:cs="宋体" w:eastAsia="宋体" w:hint="default"/>
                <w:spacing w:val="4"/>
                <w:sz w:val="18"/>
                <w:szCs w:val="18"/>
              </w:rPr>
              <w:t>开发区西</w:t>
            </w:r>
            <w:r>
              <w:rPr>
                <w:rFonts w:ascii="宋体" w:hAnsi="宋体" w:cs="宋体" w:eastAsia="宋体" w:hint="default"/>
                <w:sz w:val="18"/>
                <w:szCs w:val="18"/>
              </w:rPr>
              <w:t> 点大街</w:t>
            </w:r>
          </w:p>
        </w:tc>
        <w:tc>
          <w:tcPr>
            <w:tcW w:w="5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医药</w:t>
            </w:r>
          </w:p>
        </w:tc>
        <w:tc>
          <w:tcPr>
            <w:tcW w:w="99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sz w:val="18"/>
              </w:rPr>
              <w:t>2,000.00</w:t>
            </w:r>
          </w:p>
        </w:tc>
        <w:tc>
          <w:tcPr>
            <w:tcW w:w="2369"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11"/>
                <w:sz w:val="18"/>
                <w:szCs w:val="18"/>
              </w:rPr>
              <w:t>用于中成药制造项目建设</w:t>
            </w:r>
          </w:p>
          <w:p>
            <w:pPr>
              <w:pStyle w:val="TableParagraph"/>
              <w:spacing w:line="357" w:lineRule="auto" w:before="112"/>
              <w:ind w:left="103" w:right="139"/>
              <w:jc w:val="both"/>
              <w:rPr>
                <w:rFonts w:ascii="宋体" w:hAnsi="宋体" w:cs="宋体" w:eastAsia="宋体" w:hint="default"/>
                <w:sz w:val="18"/>
                <w:szCs w:val="18"/>
              </w:rPr>
            </w:pPr>
            <w:r>
              <w:rPr>
                <w:rFonts w:ascii="宋体" w:hAnsi="宋体" w:cs="宋体" w:eastAsia="宋体" w:hint="default"/>
                <w:spacing w:val="-5"/>
                <w:sz w:val="18"/>
                <w:szCs w:val="18"/>
              </w:rPr>
              <w:t>（不得从事生产活动）；农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副土特产品、人参收购及深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加工、销售。</w:t>
            </w:r>
          </w:p>
        </w:tc>
        <w:tc>
          <w:tcPr>
            <w:tcW w:w="99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sz w:val="18"/>
              </w:rPr>
              <w:t>2,000.00</w:t>
            </w:r>
          </w:p>
        </w:tc>
        <w:tc>
          <w:tcPr>
            <w:tcW w:w="59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sz w:val="18"/>
              </w:rPr>
              <w:t>100%</w:t>
            </w:r>
          </w:p>
        </w:tc>
        <w:tc>
          <w:tcPr>
            <w:tcW w:w="79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93" w:type="dxa"/>
            <w:tcBorders>
              <w:top w:val="single" w:sz="6"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66" w:hRule="exact"/>
        </w:trPr>
        <w:tc>
          <w:tcPr>
            <w:tcW w:w="2782"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吉林紫鑫药物研究有限公司</w:t>
            </w:r>
          </w:p>
        </w:tc>
        <w:tc>
          <w:tcPr>
            <w:tcW w:w="997" w:type="dxa"/>
            <w:tcBorders>
              <w:top w:val="single" w:sz="6" w:space="0" w:color="000000"/>
              <w:left w:val="single" w:sz="4" w:space="0" w:color="000000"/>
              <w:bottom w:val="single" w:sz="6"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长春市南</w:t>
            </w:r>
          </w:p>
          <w:p>
            <w:pPr>
              <w:pStyle w:val="TableParagraph"/>
              <w:spacing w:line="357" w:lineRule="auto" w:before="115"/>
              <w:ind w:left="103" w:right="143"/>
              <w:jc w:val="left"/>
              <w:rPr>
                <w:rFonts w:ascii="宋体" w:hAnsi="宋体" w:cs="宋体" w:eastAsia="宋体" w:hint="default"/>
                <w:sz w:val="18"/>
                <w:szCs w:val="18"/>
              </w:rPr>
            </w:pPr>
            <w:r>
              <w:rPr>
                <w:rFonts w:ascii="宋体" w:hAnsi="宋体" w:cs="宋体" w:eastAsia="宋体" w:hint="default"/>
                <w:spacing w:val="4"/>
                <w:sz w:val="18"/>
                <w:szCs w:val="18"/>
              </w:rPr>
              <w:t>关区东头</w:t>
            </w:r>
            <w:r>
              <w:rPr>
                <w:rFonts w:ascii="宋体" w:hAnsi="宋体" w:cs="宋体" w:eastAsia="宋体" w:hint="default"/>
                <w:sz w:val="18"/>
                <w:szCs w:val="18"/>
              </w:rPr>
              <w:t> 道街</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588"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研发</w:t>
            </w:r>
          </w:p>
        </w:tc>
        <w:tc>
          <w:tcPr>
            <w:tcW w:w="99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200.00</w:t>
            </w:r>
          </w:p>
        </w:tc>
        <w:tc>
          <w:tcPr>
            <w:tcW w:w="2369"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新药、保健食品、化学原料</w:t>
            </w:r>
          </w:p>
          <w:p>
            <w:pPr>
              <w:pStyle w:val="TableParagraph"/>
              <w:spacing w:line="357" w:lineRule="auto" w:before="115"/>
              <w:ind w:left="103" w:right="139"/>
              <w:jc w:val="left"/>
              <w:rPr>
                <w:rFonts w:ascii="宋体" w:hAnsi="宋体" w:cs="宋体" w:eastAsia="宋体" w:hint="default"/>
                <w:sz w:val="18"/>
                <w:szCs w:val="18"/>
              </w:rPr>
            </w:pPr>
            <w:r>
              <w:rPr>
                <w:rFonts w:ascii="宋体" w:hAnsi="宋体" w:cs="宋体" w:eastAsia="宋体" w:hint="default"/>
                <w:spacing w:val="-4"/>
                <w:sz w:val="18"/>
                <w:szCs w:val="18"/>
              </w:rPr>
              <w:t>药的研发；技术转让、技术</w:t>
            </w:r>
            <w:r>
              <w:rPr>
                <w:rFonts w:ascii="宋体" w:hAnsi="宋体" w:cs="宋体" w:eastAsia="宋体" w:hint="default"/>
                <w:sz w:val="18"/>
                <w:szCs w:val="18"/>
              </w:rPr>
              <w:t> 咨询、成果转让。</w:t>
            </w:r>
          </w:p>
        </w:tc>
        <w:tc>
          <w:tcPr>
            <w:tcW w:w="99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sz w:val="18"/>
              </w:rPr>
              <w:t>200.00</w:t>
            </w:r>
          </w:p>
        </w:tc>
        <w:tc>
          <w:tcPr>
            <w:tcW w:w="593"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sz w:val="18"/>
              </w:rPr>
              <w:t>100%</w:t>
            </w:r>
          </w:p>
        </w:tc>
        <w:tc>
          <w:tcPr>
            <w:tcW w:w="79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93"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75" w:hRule="exact"/>
        </w:trPr>
        <w:tc>
          <w:tcPr>
            <w:tcW w:w="2782"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吉林紫鑫人参研发有限公司</w:t>
            </w:r>
          </w:p>
        </w:tc>
        <w:tc>
          <w:tcPr>
            <w:tcW w:w="997" w:type="dxa"/>
            <w:tcBorders>
              <w:top w:val="single" w:sz="6" w:space="0" w:color="000000"/>
              <w:left w:val="single" w:sz="4" w:space="0" w:color="000000"/>
              <w:bottom w:val="single" w:sz="12"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长春市南</w:t>
            </w:r>
          </w:p>
          <w:p>
            <w:pPr>
              <w:pStyle w:val="TableParagraph"/>
              <w:spacing w:line="357" w:lineRule="auto" w:before="115"/>
              <w:ind w:left="103" w:right="143"/>
              <w:jc w:val="left"/>
              <w:rPr>
                <w:rFonts w:ascii="宋体" w:hAnsi="宋体" w:cs="宋体" w:eastAsia="宋体" w:hint="default"/>
                <w:sz w:val="18"/>
                <w:szCs w:val="18"/>
              </w:rPr>
            </w:pPr>
            <w:r>
              <w:rPr>
                <w:rFonts w:ascii="宋体" w:hAnsi="宋体" w:cs="宋体" w:eastAsia="宋体" w:hint="default"/>
                <w:spacing w:val="4"/>
                <w:sz w:val="18"/>
                <w:szCs w:val="18"/>
              </w:rPr>
              <w:t>关区东头</w:t>
            </w:r>
            <w:r>
              <w:rPr>
                <w:rFonts w:ascii="宋体" w:hAnsi="宋体" w:cs="宋体" w:eastAsia="宋体" w:hint="default"/>
                <w:sz w:val="18"/>
                <w:szCs w:val="18"/>
              </w:rPr>
              <w:t> 道街</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588"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研发</w:t>
            </w:r>
          </w:p>
        </w:tc>
        <w:tc>
          <w:tcPr>
            <w:tcW w:w="99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200.00</w:t>
            </w:r>
          </w:p>
        </w:tc>
        <w:tc>
          <w:tcPr>
            <w:tcW w:w="2369" w:type="dxa"/>
            <w:tcBorders>
              <w:top w:val="single" w:sz="6" w:space="0" w:color="000000"/>
              <w:left w:val="single" w:sz="4" w:space="0" w:color="000000"/>
              <w:bottom w:val="single" w:sz="12" w:space="0" w:color="000000"/>
              <w:right w:val="single" w:sz="6"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人参及相关产品的研发、保</w:t>
            </w:r>
          </w:p>
          <w:p>
            <w:pPr>
              <w:pStyle w:val="TableParagraph"/>
              <w:spacing w:line="357" w:lineRule="auto" w:before="115"/>
              <w:ind w:left="103" w:right="139"/>
              <w:jc w:val="left"/>
              <w:rPr>
                <w:rFonts w:ascii="宋体" w:hAnsi="宋体" w:cs="宋体" w:eastAsia="宋体" w:hint="default"/>
                <w:sz w:val="18"/>
                <w:szCs w:val="18"/>
              </w:rPr>
            </w:pPr>
            <w:r>
              <w:rPr>
                <w:rFonts w:ascii="宋体" w:hAnsi="宋体" w:cs="宋体" w:eastAsia="宋体" w:hint="default"/>
                <w:spacing w:val="-4"/>
                <w:sz w:val="18"/>
                <w:szCs w:val="18"/>
              </w:rPr>
              <w:t>健食品研发；技术转让、技</w:t>
            </w:r>
            <w:r>
              <w:rPr>
                <w:rFonts w:ascii="宋体" w:hAnsi="宋体" w:cs="宋体" w:eastAsia="宋体" w:hint="default"/>
                <w:sz w:val="18"/>
                <w:szCs w:val="18"/>
              </w:rPr>
              <w:t> 术咨询、成果转让。</w:t>
            </w:r>
          </w:p>
        </w:tc>
        <w:tc>
          <w:tcPr>
            <w:tcW w:w="99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5"/>
              <w:jc w:val="center"/>
              <w:rPr>
                <w:rFonts w:ascii="宋体" w:hAnsi="宋体" w:cs="宋体" w:eastAsia="宋体" w:hint="default"/>
                <w:sz w:val="18"/>
                <w:szCs w:val="18"/>
              </w:rPr>
            </w:pPr>
            <w:r>
              <w:rPr>
                <w:rFonts w:ascii="宋体"/>
                <w:sz w:val="18"/>
              </w:rPr>
              <w:t>200.00</w:t>
            </w:r>
          </w:p>
        </w:tc>
        <w:tc>
          <w:tcPr>
            <w:tcW w:w="593"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8" w:right="0"/>
              <w:jc w:val="left"/>
              <w:rPr>
                <w:rFonts w:ascii="宋体" w:hAnsi="宋体" w:cs="宋体" w:eastAsia="宋体" w:hint="default"/>
                <w:sz w:val="18"/>
                <w:szCs w:val="18"/>
              </w:rPr>
            </w:pPr>
            <w:r>
              <w:rPr>
                <w:rFonts w:ascii="宋体"/>
                <w:sz w:val="18"/>
              </w:rPr>
              <w:t>100%</w:t>
            </w:r>
          </w:p>
        </w:tc>
        <w:tc>
          <w:tcPr>
            <w:tcW w:w="790"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sz w:val="18"/>
              </w:rPr>
              <w:t>100%</w:t>
            </w:r>
          </w:p>
        </w:tc>
        <w:tc>
          <w:tcPr>
            <w:tcW w:w="593"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93"/>
        <w:ind w:left="652" w:right="606"/>
        <w:jc w:val="left"/>
      </w:pPr>
      <w:r>
        <w:rPr/>
        <w:t>（</w:t>
      </w:r>
      <w:r>
        <w:rPr>
          <w:rFonts w:ascii="宋体" w:hAnsi="宋体" w:cs="宋体" w:eastAsia="宋体" w:hint="default"/>
        </w:rPr>
        <w:t>2</w:t>
      </w:r>
      <w:r>
        <w:rPr/>
        <w:t>）非同一控制下企业合并取得的子公司</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784"/>
        <w:gridCol w:w="989"/>
        <w:gridCol w:w="593"/>
        <w:gridCol w:w="989"/>
        <w:gridCol w:w="2376"/>
        <w:gridCol w:w="989"/>
        <w:gridCol w:w="593"/>
        <w:gridCol w:w="790"/>
        <w:gridCol w:w="595"/>
      </w:tblGrid>
      <w:tr>
        <w:trPr>
          <w:trHeight w:val="1123" w:hRule="exact"/>
        </w:trPr>
        <w:tc>
          <w:tcPr>
            <w:tcW w:w="2784"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989"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593"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57" w:lineRule="auto"/>
              <w:ind w:left="110" w:right="108"/>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989"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15"/>
              <w:ind w:left="12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376"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989" w:type="dxa"/>
            <w:tcBorders>
              <w:top w:val="single" w:sz="12" w:space="0" w:color="000000"/>
              <w:left w:val="single" w:sz="6" w:space="0" w:color="000000"/>
              <w:bottom w:val="single" w:sz="6" w:space="0" w:color="000000"/>
              <w:right w:val="single" w:sz="4" w:space="0" w:color="000000"/>
            </w:tcBorders>
          </w:tcPr>
          <w:p>
            <w:pPr>
              <w:pStyle w:val="TableParagraph"/>
              <w:spacing w:line="357" w:lineRule="auto"/>
              <w:ind w:left="100" w:right="87"/>
              <w:jc w:val="left"/>
              <w:rPr>
                <w:rFonts w:ascii="宋体" w:hAnsi="宋体" w:cs="宋体" w:eastAsia="宋体" w:hint="default"/>
                <w:sz w:val="18"/>
                <w:szCs w:val="18"/>
              </w:rPr>
            </w:pPr>
            <w:r>
              <w:rPr>
                <w:rFonts w:ascii="宋体" w:hAnsi="宋体" w:cs="宋体" w:eastAsia="宋体" w:hint="default"/>
                <w:spacing w:val="12"/>
                <w:sz w:val="18"/>
                <w:szCs w:val="18"/>
              </w:rPr>
              <w:t>本公司实</w:t>
            </w:r>
            <w:r>
              <w:rPr>
                <w:rFonts w:ascii="宋体" w:hAnsi="宋体" w:cs="宋体" w:eastAsia="宋体" w:hint="default"/>
                <w:spacing w:val="-74"/>
                <w:sz w:val="18"/>
                <w:szCs w:val="18"/>
              </w:rPr>
              <w:t> </w:t>
            </w:r>
            <w:r>
              <w:rPr>
                <w:rFonts w:ascii="宋体" w:hAnsi="宋体" w:cs="宋体" w:eastAsia="宋体" w:hint="default"/>
                <w:spacing w:val="12"/>
                <w:sz w:val="18"/>
                <w:szCs w:val="18"/>
              </w:rPr>
              <w:t>际投资金</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before="26"/>
              <w:ind w:left="100" w:right="0"/>
              <w:jc w:val="left"/>
              <w:rPr>
                <w:rFonts w:ascii="宋体" w:hAnsi="宋体" w:cs="宋体" w:eastAsia="宋体" w:hint="default"/>
                <w:sz w:val="18"/>
                <w:szCs w:val="18"/>
              </w:rPr>
            </w:pPr>
            <w:r>
              <w:rPr>
                <w:rFonts w:ascii="宋体" w:hAnsi="宋体" w:cs="宋体" w:eastAsia="宋体" w:hint="default"/>
                <w:spacing w:val="-8"/>
                <w:sz w:val="18"/>
                <w:szCs w:val="18"/>
              </w:rPr>
              <w:t>额（万元）</w:t>
            </w:r>
          </w:p>
        </w:tc>
        <w:tc>
          <w:tcPr>
            <w:tcW w:w="593"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57" w:lineRule="auto"/>
              <w:ind w:left="110" w:right="11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9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57" w:lineRule="auto"/>
              <w:ind w:left="208" w:right="119" w:hanging="89"/>
              <w:jc w:val="left"/>
              <w:rPr>
                <w:rFonts w:ascii="宋体" w:hAnsi="宋体" w:cs="宋体" w:eastAsia="宋体" w:hint="default"/>
                <w:sz w:val="18"/>
                <w:szCs w:val="18"/>
              </w:rPr>
            </w:pPr>
            <w:r>
              <w:rPr>
                <w:rFonts w:ascii="宋体" w:hAnsi="宋体" w:cs="宋体" w:eastAsia="宋体" w:hint="default"/>
                <w:sz w:val="18"/>
                <w:szCs w:val="18"/>
              </w:rPr>
              <w:t>表决权 比例</w:t>
            </w:r>
          </w:p>
        </w:tc>
        <w:tc>
          <w:tcPr>
            <w:tcW w:w="595"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57" w:lineRule="auto"/>
              <w:ind w:left="110" w:right="119"/>
              <w:jc w:val="left"/>
              <w:rPr>
                <w:rFonts w:ascii="宋体" w:hAnsi="宋体" w:cs="宋体" w:eastAsia="宋体" w:hint="default"/>
                <w:sz w:val="18"/>
                <w:szCs w:val="18"/>
              </w:rPr>
            </w:pPr>
            <w:r>
              <w:rPr>
                <w:rFonts w:ascii="宋体" w:hAnsi="宋体" w:cs="宋体" w:eastAsia="宋体" w:hint="default"/>
                <w:sz w:val="18"/>
                <w:szCs w:val="18"/>
              </w:rPr>
              <w:t>是否 合并</w:t>
            </w:r>
          </w:p>
        </w:tc>
      </w:tr>
      <w:tr>
        <w:trPr>
          <w:trHeight w:val="1777" w:hRule="exact"/>
        </w:trPr>
        <w:tc>
          <w:tcPr>
            <w:tcW w:w="2784" w:type="dxa"/>
            <w:tcBorders>
              <w:top w:val="single" w:sz="6" w:space="0" w:color="000000"/>
              <w:left w:val="nil" w:sz="6" w:space="0" w:color="auto"/>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c>
          <w:tcPr>
            <w:tcW w:w="989" w:type="dxa"/>
            <w:tcBorders>
              <w:top w:val="single" w:sz="6" w:space="0" w:color="000000"/>
              <w:left w:val="single" w:sz="4" w:space="0" w:color="000000"/>
              <w:bottom w:val="single" w:sz="12" w:space="0" w:color="000000"/>
              <w:right w:val="single" w:sz="4" w:space="0" w:color="000000"/>
            </w:tcBorders>
          </w:tcPr>
          <w:p>
            <w:pPr>
              <w:pStyle w:val="TableParagraph"/>
              <w:spacing w:line="355" w:lineRule="auto" w:before="145"/>
              <w:ind w:left="103" w:right="135"/>
              <w:jc w:val="both"/>
              <w:rPr>
                <w:rFonts w:ascii="宋体" w:hAnsi="宋体" w:cs="宋体" w:eastAsia="宋体" w:hint="default"/>
                <w:sz w:val="18"/>
                <w:szCs w:val="18"/>
              </w:rPr>
            </w:pPr>
            <w:r>
              <w:rPr>
                <w:rFonts w:ascii="宋体" w:hAnsi="宋体" w:cs="宋体" w:eastAsia="宋体" w:hint="default"/>
                <w:spacing w:val="4"/>
                <w:sz w:val="18"/>
                <w:szCs w:val="18"/>
              </w:rPr>
              <w:t>敦化市经 济开发区 工业区九 </w:t>
            </w:r>
            <w:r>
              <w:rPr>
                <w:rFonts w:ascii="宋体" w:hAnsi="宋体" w:cs="宋体" w:eastAsia="宋体" w:hint="default"/>
                <w:sz w:val="18"/>
                <w:szCs w:val="18"/>
              </w:rPr>
              <w:t>号</w:t>
            </w:r>
          </w:p>
        </w:tc>
        <w:tc>
          <w:tcPr>
            <w:tcW w:w="593"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医药</w:t>
            </w:r>
          </w:p>
        </w:tc>
        <w:tc>
          <w:tcPr>
            <w:tcW w:w="98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sz w:val="18"/>
              </w:rPr>
              <w:t>5,000.00</w:t>
            </w:r>
          </w:p>
        </w:tc>
        <w:tc>
          <w:tcPr>
            <w:tcW w:w="2376" w:type="dxa"/>
            <w:tcBorders>
              <w:top w:val="single" w:sz="6" w:space="0" w:color="000000"/>
              <w:left w:val="single" w:sz="4" w:space="0" w:color="000000"/>
              <w:bottom w:val="single" w:sz="12" w:space="0" w:color="000000"/>
              <w:right w:val="single" w:sz="6"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中成药、中药材、化学药品</w:t>
            </w:r>
          </w:p>
          <w:p>
            <w:pPr>
              <w:pStyle w:val="TableParagraph"/>
              <w:spacing w:line="355" w:lineRule="auto" w:before="115"/>
              <w:ind w:left="103" w:right="99"/>
              <w:jc w:val="both"/>
              <w:rPr>
                <w:rFonts w:ascii="宋体" w:hAnsi="宋体" w:cs="宋体" w:eastAsia="宋体" w:hint="default"/>
                <w:sz w:val="18"/>
                <w:szCs w:val="18"/>
              </w:rPr>
            </w:pPr>
            <w:r>
              <w:rPr>
                <w:rFonts w:ascii="宋体" w:hAnsi="宋体" w:cs="宋体" w:eastAsia="宋体" w:hint="default"/>
                <w:spacing w:val="-4"/>
                <w:sz w:val="18"/>
                <w:szCs w:val="18"/>
              </w:rPr>
              <w:t>制剂加工销售、食品加工销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售、酒精、白酒及饮料酒制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造、针织品加工、广告业、 种养殖业等。</w:t>
            </w:r>
          </w:p>
        </w:tc>
        <w:tc>
          <w:tcPr>
            <w:tcW w:w="98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sz w:val="18"/>
              </w:rPr>
              <w:t>4,624.76</w:t>
            </w:r>
          </w:p>
        </w:tc>
        <w:tc>
          <w:tcPr>
            <w:tcW w:w="593"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sz w:val="18"/>
              </w:rPr>
              <w:t>100%</w:t>
            </w:r>
          </w:p>
        </w:tc>
        <w:tc>
          <w:tcPr>
            <w:tcW w:w="790"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sz w:val="18"/>
              </w:rPr>
              <w:t>100%</w:t>
            </w:r>
          </w:p>
        </w:tc>
        <w:tc>
          <w:tcPr>
            <w:tcW w:w="595" w:type="dxa"/>
            <w:tcBorders>
              <w:top w:val="single" w:sz="6"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Heading4"/>
        <w:spacing w:line="240" w:lineRule="auto"/>
        <w:ind w:right="606"/>
        <w:jc w:val="left"/>
        <w:rPr>
          <w:b w:val="0"/>
          <w:bCs w:val="0"/>
        </w:rPr>
      </w:pPr>
      <w:r>
        <w:rPr>
          <w:rFonts w:ascii="宋体" w:hAnsi="宋体" w:cs="宋体" w:eastAsia="宋体" w:hint="default"/>
        </w:rPr>
        <w:t>2</w:t>
      </w:r>
      <w:r>
        <w:rPr/>
        <w:t>、合并范围发生变更的说明</w:t>
      </w:r>
      <w:r>
        <w:rPr>
          <w:b w:val="0"/>
          <w:bCs w:val="0"/>
        </w:rPr>
      </w:r>
    </w:p>
    <w:p>
      <w:pPr>
        <w:pStyle w:val="BodyText"/>
        <w:spacing w:line="355" w:lineRule="auto" w:before="133"/>
        <w:ind w:left="240" w:right="692" w:firstLine="420"/>
        <w:jc w:val="left"/>
      </w:pPr>
      <w:r>
        <w:rPr/>
        <w:t>根据</w:t>
      </w:r>
      <w:r>
        <w:rPr>
          <w:spacing w:val="-42"/>
        </w:rPr>
        <w:t> </w:t>
      </w:r>
      <w:r>
        <w:rPr>
          <w:rFonts w:ascii="宋体" w:hAnsi="宋体" w:cs="宋体" w:eastAsia="宋体" w:hint="default"/>
        </w:rPr>
        <w:t>2010</w:t>
      </w:r>
      <w:r>
        <w:rPr>
          <w:rFonts w:ascii="宋体" w:hAnsi="宋体" w:cs="宋体" w:eastAsia="宋体" w:hint="default"/>
          <w:spacing w:val="-42"/>
        </w:rPr>
        <w:t> </w:t>
      </w:r>
      <w:r>
        <w:rPr/>
        <w:t>年</w:t>
      </w:r>
      <w:r>
        <w:rPr>
          <w:spacing w:val="-42"/>
        </w:rPr>
        <w:t> </w:t>
      </w:r>
      <w:r>
        <w:rPr>
          <w:rFonts w:ascii="宋体" w:hAnsi="宋体" w:cs="宋体" w:eastAsia="宋体" w:hint="default"/>
        </w:rPr>
        <w:t>3</w:t>
      </w:r>
      <w:r>
        <w:rPr>
          <w:rFonts w:ascii="宋体" w:hAnsi="宋体" w:cs="宋体" w:eastAsia="宋体" w:hint="default"/>
          <w:spacing w:val="-42"/>
        </w:rPr>
        <w:t> </w:t>
      </w:r>
      <w:r>
        <w:rPr/>
        <w:t>月</w:t>
      </w:r>
      <w:r>
        <w:rPr>
          <w:spacing w:val="-42"/>
        </w:rPr>
        <w:t> </w:t>
      </w:r>
      <w:r>
        <w:rPr>
          <w:rFonts w:ascii="宋体" w:hAnsi="宋体" w:cs="宋体" w:eastAsia="宋体" w:hint="default"/>
        </w:rPr>
        <w:t>11</w:t>
      </w:r>
      <w:r>
        <w:rPr>
          <w:rFonts w:ascii="宋体" w:hAnsi="宋体" w:cs="宋体" w:eastAsia="宋体" w:hint="default"/>
          <w:spacing w:val="-42"/>
        </w:rPr>
        <w:t> </w:t>
      </w:r>
      <w:r>
        <w:rPr/>
        <w:t>日安图县工商行政管理局下发的核准号为“安图核注通内字</w:t>
      </w:r>
      <w:r>
        <w:rPr>
          <w:rFonts w:ascii="宋体" w:hAnsi="宋体" w:cs="宋体" w:eastAsia="宋体" w:hint="default"/>
        </w:rPr>
        <w:t>[2010]</w:t>
      </w:r>
      <w:r>
        <w:rPr/>
        <w:t>第</w:t>
      </w:r>
      <w:r>
        <w:rPr>
          <w:spacing w:val="-44"/>
        </w:rPr>
        <w:t> </w:t>
      </w:r>
      <w:r>
        <w:rPr>
          <w:rFonts w:ascii="宋体" w:hAnsi="宋体" w:cs="宋体" w:eastAsia="宋体" w:hint="default"/>
        </w:rPr>
        <w:t>1000614783</w:t>
      </w:r>
      <w:r>
        <w:rPr>
          <w:rFonts w:ascii="宋体" w:hAnsi="宋体" w:cs="宋体" w:eastAsia="宋体" w:hint="default"/>
          <w:spacing w:val="-45"/>
        </w:rPr>
        <w:t> </w:t>
      </w:r>
      <w:r>
        <w:rPr/>
        <w:t>号”注</w:t>
      </w:r>
      <w:r>
        <w:rPr>
          <w:w w:val="100"/>
        </w:rPr>
        <w:t> </w:t>
      </w:r>
      <w:r>
        <w:rPr/>
        <w:t>销登记通知书，子公司吉林融安科工贸有限公司予以注销。</w:t>
      </w:r>
    </w:p>
    <w:p>
      <w:pPr>
        <w:pStyle w:val="Heading4"/>
        <w:spacing w:line="240" w:lineRule="auto" w:before="32"/>
        <w:ind w:right="606"/>
        <w:jc w:val="left"/>
        <w:rPr>
          <w:b w:val="0"/>
          <w:bCs w:val="0"/>
        </w:rPr>
      </w:pPr>
      <w:r>
        <w:rPr>
          <w:rFonts w:ascii="宋体" w:hAnsi="宋体" w:cs="宋体" w:eastAsia="宋体" w:hint="default"/>
        </w:rPr>
        <w:t>3</w:t>
      </w:r>
      <w:r>
        <w:rPr/>
        <w:t>、本期新纳入合并范围的主体</w:t>
      </w:r>
      <w:r>
        <w:rPr>
          <w:b w:val="0"/>
          <w:bCs w:val="0"/>
        </w:rPr>
      </w:r>
    </w:p>
    <w:p>
      <w:pPr>
        <w:spacing w:after="0" w:line="240" w:lineRule="auto"/>
        <w:jc w:val="left"/>
        <w:sectPr>
          <w:footerReference w:type="default" r:id="rId29"/>
          <w:pgSz w:w="11910" w:h="16840"/>
          <w:pgMar w:footer="956" w:header="720" w:top="1340" w:bottom="1140" w:left="480" w:right="0"/>
          <w:pgNumType w:start="77"/>
        </w:sectPr>
      </w:pPr>
    </w:p>
    <w:p>
      <w:pPr>
        <w:pStyle w:val="BodyText"/>
        <w:spacing w:line="240" w:lineRule="auto" w:before="19"/>
        <w:ind w:left="451" w:right="606"/>
        <w:jc w:val="left"/>
      </w:pPr>
      <w:r>
        <w:rPr/>
        <w:pict>
          <v:group style="position:absolute;margin-left:34.560001pt;margin-top:2.293643pt;width:508.3pt;height:.1pt;mso-position-horizontal-relative:page;mso-position-vertical-relative:paragraph;z-index:-533392" coordorigin="691,46" coordsize="10166,2">
            <v:shape style="position:absolute;left:691;top:46;width:10166;height:2" coordorigin="691,46" coordsize="10166,0" path="m691,46l10857,46e" filled="false" stroked="true" strokeweight=".72pt" strokecolor="#000000">
              <v:path arrowok="t"/>
            </v:shape>
            <w10:wrap type="none"/>
          </v:group>
        </w:pict>
      </w:r>
      <w:r>
        <w:rPr/>
        <w:t>（</w:t>
      </w:r>
      <w:r>
        <w:rPr>
          <w:rFonts w:ascii="宋体" w:hAnsi="宋体" w:cs="宋体" w:eastAsia="宋体" w:hint="default"/>
        </w:rPr>
        <w:t>1</w:t>
      </w:r>
      <w:r>
        <w:rPr/>
        <w:t>）本期新纳入合并范围的子公司</w:t>
      </w:r>
    </w:p>
    <w:p>
      <w:pPr>
        <w:spacing w:line="240" w:lineRule="auto" w:before="10"/>
        <w:rPr>
          <w:rFonts w:ascii="宋体" w:hAnsi="宋体" w:cs="宋体" w:eastAsia="宋体" w:hint="default"/>
          <w:sz w:val="12"/>
          <w:szCs w:val="12"/>
        </w:rPr>
      </w:pPr>
    </w:p>
    <w:tbl>
      <w:tblPr>
        <w:tblW w:w="0" w:type="auto"/>
        <w:jc w:val="left"/>
        <w:tblInd w:w="102" w:type="dxa"/>
        <w:tblLayout w:type="fixed"/>
        <w:tblCellMar>
          <w:top w:w="0" w:type="dxa"/>
          <w:left w:w="0" w:type="dxa"/>
          <w:bottom w:w="0" w:type="dxa"/>
          <w:right w:w="0" w:type="dxa"/>
        </w:tblCellMar>
        <w:tblLook w:val="01E0"/>
      </w:tblPr>
      <w:tblGrid>
        <w:gridCol w:w="3577"/>
        <w:gridCol w:w="3562"/>
        <w:gridCol w:w="3560"/>
      </w:tblGrid>
      <w:tr>
        <w:trPr>
          <w:trHeight w:val="473" w:hRule="exact"/>
        </w:trPr>
        <w:tc>
          <w:tcPr>
            <w:tcW w:w="357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7"/>
              <w:ind w:right="1323"/>
              <w:jc w:val="right"/>
              <w:rPr>
                <w:rFonts w:ascii="宋体" w:hAnsi="宋体" w:cs="宋体" w:eastAsia="宋体" w:hint="default"/>
                <w:sz w:val="18"/>
                <w:szCs w:val="18"/>
              </w:rPr>
            </w:pPr>
            <w:r>
              <w:rPr>
                <w:rFonts w:ascii="宋体" w:hAnsi="宋体" w:cs="宋体" w:eastAsia="宋体" w:hint="default"/>
                <w:sz w:val="18"/>
                <w:szCs w:val="18"/>
              </w:rPr>
              <w:t>子公司名称</w:t>
            </w:r>
          </w:p>
        </w:tc>
        <w:tc>
          <w:tcPr>
            <w:tcW w:w="356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356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66" w:hRule="exact"/>
        </w:trPr>
        <w:tc>
          <w:tcPr>
            <w:tcW w:w="35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1285"/>
              <w:jc w:val="right"/>
              <w:rPr>
                <w:rFonts w:ascii="宋体" w:hAnsi="宋体" w:cs="宋体" w:eastAsia="宋体" w:hint="default"/>
                <w:sz w:val="18"/>
                <w:szCs w:val="18"/>
              </w:rPr>
            </w:pPr>
            <w:r>
              <w:rPr>
                <w:rFonts w:ascii="宋体" w:hAnsi="宋体" w:cs="宋体" w:eastAsia="宋体" w:hint="default"/>
                <w:sz w:val="18"/>
                <w:szCs w:val="18"/>
              </w:rPr>
              <w:t>吉林紫鑫初元药业有限公司</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21,104,024.52</w:t>
            </w:r>
          </w:p>
        </w:tc>
        <w:tc>
          <w:tcPr>
            <w:tcW w:w="35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1,104,024.52</w:t>
            </w:r>
          </w:p>
        </w:tc>
      </w:tr>
      <w:tr>
        <w:trPr>
          <w:trHeight w:val="466" w:hRule="exact"/>
        </w:trPr>
        <w:tc>
          <w:tcPr>
            <w:tcW w:w="35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1285"/>
              <w:jc w:val="right"/>
              <w:rPr>
                <w:rFonts w:ascii="宋体" w:hAnsi="宋体" w:cs="宋体" w:eastAsia="宋体" w:hint="default"/>
                <w:sz w:val="18"/>
                <w:szCs w:val="18"/>
              </w:rPr>
            </w:pPr>
            <w:r>
              <w:rPr>
                <w:rFonts w:ascii="宋体" w:hAnsi="宋体" w:cs="宋体" w:eastAsia="宋体" w:hint="default"/>
                <w:sz w:val="18"/>
                <w:szCs w:val="18"/>
              </w:rPr>
              <w:t>吉林紫鑫般若药业有限公司</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19,205,449.24</w:t>
            </w:r>
          </w:p>
        </w:tc>
        <w:tc>
          <w:tcPr>
            <w:tcW w:w="35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-794,550.76</w:t>
            </w:r>
          </w:p>
        </w:tc>
      </w:tr>
      <w:tr>
        <w:trPr>
          <w:trHeight w:val="466" w:hRule="exact"/>
        </w:trPr>
        <w:tc>
          <w:tcPr>
            <w:tcW w:w="35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right="1285"/>
              <w:jc w:val="right"/>
              <w:rPr>
                <w:rFonts w:ascii="宋体" w:hAnsi="宋体" w:cs="宋体" w:eastAsia="宋体" w:hint="default"/>
                <w:sz w:val="18"/>
                <w:szCs w:val="18"/>
              </w:rPr>
            </w:pPr>
            <w:r>
              <w:rPr>
                <w:rFonts w:ascii="宋体" w:hAnsi="宋体" w:cs="宋体" w:eastAsia="宋体" w:hint="default"/>
                <w:sz w:val="18"/>
                <w:szCs w:val="18"/>
              </w:rPr>
              <w:t>吉林紫鑫药物研究有限公司</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1,994,427.56</w:t>
            </w:r>
          </w:p>
        </w:tc>
        <w:tc>
          <w:tcPr>
            <w:tcW w:w="35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-5,572.44</w:t>
            </w:r>
          </w:p>
        </w:tc>
      </w:tr>
      <w:tr>
        <w:trPr>
          <w:trHeight w:val="468" w:hRule="exact"/>
        </w:trPr>
        <w:tc>
          <w:tcPr>
            <w:tcW w:w="35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0"/>
              <w:ind w:right="1286"/>
              <w:jc w:val="right"/>
              <w:rPr>
                <w:rFonts w:ascii="宋体" w:hAnsi="宋体" w:cs="宋体" w:eastAsia="宋体" w:hint="default"/>
                <w:sz w:val="18"/>
                <w:szCs w:val="18"/>
              </w:rPr>
            </w:pPr>
            <w:r>
              <w:rPr>
                <w:rFonts w:ascii="宋体" w:hAnsi="宋体" w:cs="宋体" w:eastAsia="宋体" w:hint="default"/>
                <w:sz w:val="18"/>
                <w:szCs w:val="18"/>
              </w:rPr>
              <w:t>吉林紫鑫人参研发有限公司</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right="101"/>
              <w:jc w:val="right"/>
              <w:rPr>
                <w:rFonts w:ascii="宋体" w:hAnsi="宋体" w:cs="宋体" w:eastAsia="宋体" w:hint="default"/>
                <w:sz w:val="18"/>
                <w:szCs w:val="18"/>
              </w:rPr>
            </w:pPr>
            <w:r>
              <w:rPr>
                <w:rFonts w:ascii="宋体"/>
                <w:spacing w:val="-1"/>
                <w:sz w:val="18"/>
              </w:rPr>
              <w:t>1,996,098.09</w:t>
            </w:r>
          </w:p>
        </w:tc>
        <w:tc>
          <w:tcPr>
            <w:tcW w:w="35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0"/>
              <w:ind w:right="105"/>
              <w:jc w:val="right"/>
              <w:rPr>
                <w:rFonts w:ascii="宋体" w:hAnsi="宋体" w:cs="宋体" w:eastAsia="宋体" w:hint="default"/>
                <w:sz w:val="18"/>
                <w:szCs w:val="18"/>
              </w:rPr>
            </w:pPr>
            <w:r>
              <w:rPr>
                <w:rFonts w:ascii="宋体"/>
                <w:spacing w:val="-1"/>
                <w:sz w:val="18"/>
              </w:rPr>
              <w:t>-3,901.91</w:t>
            </w:r>
          </w:p>
        </w:tc>
      </w:tr>
      <w:tr>
        <w:trPr>
          <w:trHeight w:val="473" w:hRule="exact"/>
        </w:trPr>
        <w:tc>
          <w:tcPr>
            <w:tcW w:w="3577" w:type="dxa"/>
            <w:tcBorders>
              <w:top w:val="single" w:sz="6" w:space="0" w:color="000000"/>
              <w:left w:val="nil" w:sz="6" w:space="0" w:color="auto"/>
              <w:bottom w:val="single" w:sz="12" w:space="0" w:color="000000"/>
              <w:right w:val="single" w:sz="6" w:space="0" w:color="000000"/>
            </w:tcBorders>
          </w:tcPr>
          <w:p>
            <w:pPr>
              <w:pStyle w:val="TableParagraph"/>
              <w:tabs>
                <w:tab w:pos="566" w:val="left" w:leader="none"/>
              </w:tabs>
              <w:spacing w:line="240" w:lineRule="auto" w:before="17"/>
              <w:ind w:left="2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6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44,299,999.41</w:t>
            </w:r>
          </w:p>
        </w:tc>
        <w:tc>
          <w:tcPr>
            <w:tcW w:w="356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299,999.41</w:t>
            </w:r>
          </w:p>
        </w:tc>
      </w:tr>
    </w:tbl>
    <w:p>
      <w:pPr>
        <w:pStyle w:val="BodyText"/>
        <w:spacing w:line="240" w:lineRule="auto" w:before="86"/>
        <w:ind w:left="549" w:right="606"/>
        <w:jc w:val="left"/>
      </w:pPr>
      <w:r>
        <w:rPr/>
        <w:t>上述新设子公司情况详见“母公司财务报表主要项目注释</w:t>
      </w:r>
      <w:r>
        <w:rPr>
          <w:rFonts w:ascii="宋体" w:hAnsi="宋体" w:cs="宋体" w:eastAsia="宋体" w:hint="default"/>
        </w:rPr>
        <w:t>3</w:t>
      </w:r>
      <w:r>
        <w:rPr/>
        <w:t>、长期股权投资”的披露。</w:t>
      </w:r>
    </w:p>
    <w:p>
      <w:pPr>
        <w:pStyle w:val="Heading2"/>
        <w:spacing w:line="240" w:lineRule="auto" w:before="127"/>
        <w:ind w:left="592" w:right="606"/>
        <w:jc w:val="left"/>
        <w:rPr>
          <w:b w:val="0"/>
          <w:bCs w:val="0"/>
        </w:rPr>
      </w:pPr>
      <w:r>
        <w:rPr/>
        <w:t>五、合并财务报表项目注释</w:t>
      </w:r>
      <w:r>
        <w:rPr>
          <w:b w:val="0"/>
          <w:bCs w:val="0"/>
        </w:rPr>
      </w:r>
    </w:p>
    <w:p>
      <w:pPr>
        <w:pStyle w:val="Heading4"/>
        <w:spacing w:line="240" w:lineRule="auto" w:before="160"/>
        <w:ind w:left="660" w:right="606"/>
        <w:jc w:val="left"/>
        <w:rPr>
          <w:b w:val="0"/>
          <w:bCs w:val="0"/>
        </w:rPr>
      </w:pPr>
      <w:r>
        <w:rPr>
          <w:rFonts w:ascii="宋体" w:hAnsi="宋体" w:cs="宋体" w:eastAsia="宋体" w:hint="default"/>
        </w:rPr>
        <w:t>1</w:t>
      </w:r>
      <w:r>
        <w:rPr/>
        <w:t>、货币资金</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577"/>
        <w:gridCol w:w="3562"/>
        <w:gridCol w:w="3560"/>
      </w:tblGrid>
      <w:tr>
        <w:trPr>
          <w:trHeight w:val="487" w:hRule="exact"/>
        </w:trPr>
        <w:tc>
          <w:tcPr>
            <w:tcW w:w="3577"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25"/>
              <w:ind w:right="1409"/>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356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78" w:hRule="exact"/>
        </w:trPr>
        <w:tc>
          <w:tcPr>
            <w:tcW w:w="35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2"/>
              <w:ind w:right="100"/>
              <w:jc w:val="right"/>
              <w:rPr>
                <w:rFonts w:ascii="宋体" w:hAnsi="宋体" w:cs="宋体" w:eastAsia="宋体" w:hint="default"/>
                <w:sz w:val="18"/>
                <w:szCs w:val="18"/>
              </w:rPr>
            </w:pPr>
            <w:r>
              <w:rPr>
                <w:rFonts w:ascii="宋体"/>
                <w:spacing w:val="-1"/>
                <w:sz w:val="18"/>
              </w:rPr>
              <w:t>41,861.47</w:t>
            </w:r>
          </w:p>
        </w:tc>
        <w:tc>
          <w:tcPr>
            <w:tcW w:w="35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2"/>
              <w:ind w:right="105"/>
              <w:jc w:val="right"/>
              <w:rPr>
                <w:rFonts w:ascii="宋体" w:hAnsi="宋体" w:cs="宋体" w:eastAsia="宋体" w:hint="default"/>
                <w:sz w:val="18"/>
                <w:szCs w:val="18"/>
              </w:rPr>
            </w:pPr>
            <w:r>
              <w:rPr>
                <w:rFonts w:ascii="宋体"/>
                <w:spacing w:val="-1"/>
                <w:sz w:val="18"/>
              </w:rPr>
              <w:t>562,253.91</w:t>
            </w:r>
          </w:p>
        </w:tc>
      </w:tr>
      <w:tr>
        <w:trPr>
          <w:trHeight w:val="478" w:hRule="exact"/>
        </w:trPr>
        <w:tc>
          <w:tcPr>
            <w:tcW w:w="35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5"/>
              <w:ind w:right="100"/>
              <w:jc w:val="right"/>
              <w:rPr>
                <w:rFonts w:ascii="宋体" w:hAnsi="宋体" w:cs="宋体" w:eastAsia="宋体" w:hint="default"/>
                <w:sz w:val="18"/>
                <w:szCs w:val="18"/>
              </w:rPr>
            </w:pPr>
            <w:r>
              <w:rPr>
                <w:rFonts w:ascii="宋体"/>
                <w:spacing w:val="-1"/>
                <w:sz w:val="18"/>
              </w:rPr>
              <w:t>1,408,452,618.29</w:t>
            </w:r>
          </w:p>
        </w:tc>
        <w:tc>
          <w:tcPr>
            <w:tcW w:w="35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95,837,202.51</w:t>
            </w:r>
          </w:p>
        </w:tc>
      </w:tr>
      <w:tr>
        <w:trPr>
          <w:trHeight w:val="487" w:hRule="exact"/>
        </w:trPr>
        <w:tc>
          <w:tcPr>
            <w:tcW w:w="3577"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25"/>
              <w:ind w:right="1409"/>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356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pacing w:val="-1"/>
                <w:sz w:val="18"/>
              </w:rPr>
              <w:t>1,408,494,479.76</w:t>
            </w:r>
          </w:p>
        </w:tc>
        <w:tc>
          <w:tcPr>
            <w:tcW w:w="356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96,399,456.42</w:t>
            </w:r>
          </w:p>
        </w:tc>
      </w:tr>
    </w:tbl>
    <w:p>
      <w:pPr>
        <w:pStyle w:val="BodyText"/>
        <w:spacing w:line="355" w:lineRule="auto" w:before="86"/>
        <w:ind w:left="240" w:right="606" w:firstLine="420"/>
        <w:jc w:val="left"/>
      </w:pPr>
      <w:r>
        <w:rPr/>
        <w:t>（</w:t>
      </w:r>
      <w:r>
        <w:rPr>
          <w:rFonts w:ascii="宋体" w:hAnsi="宋体" w:cs="宋体" w:eastAsia="宋体" w:hint="default"/>
        </w:rPr>
        <w:t>1</w:t>
      </w:r>
      <w:r>
        <w:rPr/>
        <w:t>）货币资金期末数较期初数增加</w:t>
      </w:r>
      <w:r>
        <w:rPr>
          <w:spacing w:val="-46"/>
        </w:rPr>
        <w:t> </w:t>
      </w:r>
      <w:r>
        <w:rPr>
          <w:rFonts w:ascii="宋体" w:hAnsi="宋体" w:cs="宋体" w:eastAsia="宋体" w:hint="default"/>
        </w:rPr>
        <w:t>131,209.50</w:t>
      </w:r>
      <w:r>
        <w:rPr>
          <w:rFonts w:ascii="宋体" w:hAnsi="宋体" w:cs="宋体" w:eastAsia="宋体" w:hint="default"/>
          <w:spacing w:val="-47"/>
        </w:rPr>
        <w:t> </w:t>
      </w:r>
      <w:r>
        <w:rPr>
          <w:spacing w:val="-3"/>
        </w:rPr>
        <w:t>万元，主要原因是本公司本期非公开发行</w:t>
      </w:r>
      <w:r>
        <w:rPr>
          <w:spacing w:val="-46"/>
        </w:rPr>
        <w:t> </w:t>
      </w:r>
      <w:r>
        <w:rPr>
          <w:rFonts w:ascii="宋体" w:hAnsi="宋体" w:cs="宋体" w:eastAsia="宋体" w:hint="default"/>
        </w:rPr>
        <w:t>A</w:t>
      </w:r>
      <w:r>
        <w:rPr>
          <w:rFonts w:ascii="宋体" w:hAnsi="宋体" w:cs="宋体" w:eastAsia="宋体" w:hint="default"/>
          <w:spacing w:val="-47"/>
        </w:rPr>
        <w:t> </w:t>
      </w:r>
      <w:r>
        <w:rPr/>
        <w:t>股普通股募集资金</w:t>
      </w:r>
      <w:r>
        <w:rPr>
          <w:w w:val="100"/>
        </w:rPr>
        <w:t> </w:t>
      </w:r>
      <w:r>
        <w:rPr>
          <w:rFonts w:ascii="宋体" w:hAnsi="宋体" w:cs="宋体" w:eastAsia="宋体" w:hint="default"/>
        </w:rPr>
        <w:t>98,799.99</w:t>
      </w:r>
      <w:r>
        <w:rPr>
          <w:rFonts w:ascii="宋体" w:hAnsi="宋体" w:cs="宋体" w:eastAsia="宋体" w:hint="default"/>
          <w:spacing w:val="-53"/>
        </w:rPr>
        <w:t> </w:t>
      </w:r>
      <w:r>
        <w:rPr/>
        <w:t>万元所致。</w:t>
      </w:r>
    </w:p>
    <w:p>
      <w:pPr>
        <w:pStyle w:val="BodyText"/>
        <w:spacing w:line="357" w:lineRule="auto"/>
        <w:ind w:left="652" w:right="606" w:firstLine="7"/>
        <w:jc w:val="left"/>
        <w:rPr>
          <w:rFonts w:ascii="宋体" w:hAnsi="宋体" w:cs="宋体" w:eastAsia="宋体" w:hint="default"/>
        </w:rPr>
      </w:pPr>
      <w:r>
        <w:rPr>
          <w:spacing w:val="-2"/>
        </w:rPr>
        <w:t>（</w:t>
      </w:r>
      <w:r>
        <w:rPr>
          <w:rFonts w:ascii="宋体" w:hAnsi="宋体" w:cs="宋体" w:eastAsia="宋体" w:hint="default"/>
          <w:spacing w:val="-2"/>
        </w:rPr>
        <w:t>2</w:t>
      </w:r>
      <w:r>
        <w:rPr>
          <w:spacing w:val="-2"/>
        </w:rPr>
        <w:t>）货币资金期末数中不存在抵押、冻结等对变现有限制或存放在境外、或有潜在回收风险的资金。</w:t>
      </w:r>
      <w:r>
        <w:rPr>
          <w:spacing w:val="-29"/>
        </w:rPr>
        <w:t> </w:t>
      </w:r>
      <w:r>
        <w:rPr>
          <w:spacing w:val="-29"/>
        </w:rPr>
      </w:r>
      <w:r>
        <w:rPr>
          <w:rFonts w:ascii="宋体" w:hAnsi="宋体" w:cs="宋体" w:eastAsia="宋体" w:hint="default"/>
          <w:b/>
          <w:bCs/>
        </w:rPr>
        <w:t>2</w:t>
      </w:r>
      <w:r>
        <w:rPr>
          <w:rFonts w:ascii="宋体" w:hAnsi="宋体" w:cs="宋体" w:eastAsia="宋体" w:hint="default"/>
          <w:b/>
          <w:bCs/>
        </w:rPr>
        <w:t>、应收票据</w:t>
      </w:r>
      <w:r>
        <w:rPr>
          <w:rFonts w:ascii="宋体" w:hAnsi="宋体" w:cs="宋体" w:eastAsia="宋体" w:hint="default"/>
        </w:rPr>
      </w:r>
    </w:p>
    <w:p>
      <w:pPr>
        <w:pStyle w:val="BodyText"/>
        <w:spacing w:line="240" w:lineRule="auto" w:before="30"/>
        <w:ind w:left="660" w:right="606"/>
        <w:jc w:val="left"/>
      </w:pPr>
      <w:r>
        <w:rPr/>
        <w:t>（</w:t>
      </w:r>
      <w:r>
        <w:rPr>
          <w:rFonts w:ascii="宋体" w:hAnsi="宋体" w:cs="宋体" w:eastAsia="宋体" w:hint="default"/>
        </w:rPr>
        <w:t>1</w:t>
      </w:r>
      <w:r>
        <w:rPr/>
        <w:t>）应收票据分类：</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575"/>
        <w:gridCol w:w="3562"/>
        <w:gridCol w:w="3562"/>
      </w:tblGrid>
      <w:tr>
        <w:trPr>
          <w:trHeight w:val="511" w:hRule="exact"/>
        </w:trPr>
        <w:tc>
          <w:tcPr>
            <w:tcW w:w="3575"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37"/>
              <w:ind w:right="1409"/>
              <w:jc w:val="right"/>
              <w:rPr>
                <w:rFonts w:ascii="宋体" w:hAnsi="宋体" w:cs="宋体" w:eastAsia="宋体" w:hint="default"/>
                <w:sz w:val="18"/>
                <w:szCs w:val="18"/>
              </w:rPr>
            </w:pPr>
            <w:r>
              <w:rPr>
                <w:rFonts w:ascii="宋体" w:hAnsi="宋体" w:cs="宋体" w:eastAsia="宋体" w:hint="default"/>
                <w:sz w:val="18"/>
                <w:szCs w:val="18"/>
              </w:rPr>
              <w:t>类</w:t>
              <w:tab/>
            </w:r>
            <w:r>
              <w:rPr>
                <w:rFonts w:ascii="宋体" w:hAnsi="宋体" w:cs="宋体" w:eastAsia="宋体" w:hint="default"/>
                <w:w w:val="95"/>
                <w:sz w:val="18"/>
                <w:szCs w:val="18"/>
              </w:rPr>
              <w:t>别</w:t>
            </w:r>
          </w:p>
        </w:tc>
        <w:tc>
          <w:tcPr>
            <w:tcW w:w="356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04"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2,982,623.49</w:t>
            </w:r>
          </w:p>
        </w:tc>
        <w:tc>
          <w:tcPr>
            <w:tcW w:w="3562" w:type="dxa"/>
            <w:tcBorders>
              <w:top w:val="single" w:sz="6" w:space="0" w:color="000000"/>
              <w:left w:val="single" w:sz="4" w:space="0" w:color="000000"/>
              <w:bottom w:val="single" w:sz="6" w:space="0" w:color="000000"/>
              <w:right w:val="nil" w:sz="6" w:space="0" w:color="auto"/>
            </w:tcBorders>
          </w:tcPr>
          <w:p>
            <w:pPr/>
          </w:p>
        </w:tc>
      </w:tr>
      <w:tr>
        <w:trPr>
          <w:trHeight w:val="502"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4"/>
              <w:ind w:left="12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4"/>
              <w:ind w:right="100"/>
              <w:jc w:val="right"/>
              <w:rPr>
                <w:rFonts w:ascii="宋体" w:hAnsi="宋体" w:cs="宋体" w:eastAsia="宋体" w:hint="default"/>
                <w:sz w:val="18"/>
                <w:szCs w:val="18"/>
              </w:rPr>
            </w:pPr>
            <w:r>
              <w:rPr>
                <w:rFonts w:ascii="宋体"/>
                <w:spacing w:val="-1"/>
                <w:sz w:val="18"/>
              </w:rPr>
              <w:t>2,003,028.12</w:t>
            </w:r>
          </w:p>
        </w:tc>
        <w:tc>
          <w:tcPr>
            <w:tcW w:w="3562" w:type="dxa"/>
            <w:tcBorders>
              <w:top w:val="single" w:sz="6" w:space="0" w:color="000000"/>
              <w:left w:val="single" w:sz="4" w:space="0" w:color="000000"/>
              <w:bottom w:val="single" w:sz="6" w:space="0" w:color="000000"/>
              <w:right w:val="nil" w:sz="6" w:space="0" w:color="auto"/>
            </w:tcBorders>
          </w:tcPr>
          <w:p>
            <w:pPr/>
          </w:p>
        </w:tc>
      </w:tr>
      <w:tr>
        <w:trPr>
          <w:trHeight w:val="514" w:hRule="exact"/>
        </w:trPr>
        <w:tc>
          <w:tcPr>
            <w:tcW w:w="3575"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37"/>
              <w:ind w:right="1409"/>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356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4,985,651.61</w:t>
            </w:r>
          </w:p>
        </w:tc>
        <w:tc>
          <w:tcPr>
            <w:tcW w:w="3562" w:type="dxa"/>
            <w:tcBorders>
              <w:top w:val="single" w:sz="6" w:space="0" w:color="000000"/>
              <w:left w:val="single" w:sz="4" w:space="0" w:color="000000"/>
              <w:bottom w:val="single" w:sz="12" w:space="0" w:color="000000"/>
              <w:right w:val="nil" w:sz="6" w:space="0" w:color="auto"/>
            </w:tcBorders>
          </w:tcPr>
          <w:p>
            <w:pPr/>
          </w:p>
        </w:tc>
      </w:tr>
    </w:tbl>
    <w:p>
      <w:pPr>
        <w:pStyle w:val="BodyText"/>
        <w:spacing w:line="355" w:lineRule="auto" w:before="86"/>
        <w:ind w:left="240" w:right="691" w:firstLine="412"/>
        <w:jc w:val="left"/>
      </w:pPr>
      <w:r>
        <w:rPr/>
        <w:t>（</w:t>
      </w:r>
      <w:r>
        <w:rPr>
          <w:rFonts w:ascii="宋体" w:hAnsi="宋体" w:cs="宋体" w:eastAsia="宋体" w:hint="default"/>
        </w:rPr>
        <w:t>2</w:t>
      </w:r>
      <w:r>
        <w:rPr/>
        <w:t>）应收票据期末数</w:t>
      </w:r>
      <w:r>
        <w:rPr>
          <w:spacing w:val="-60"/>
        </w:rPr>
        <w:t> </w:t>
      </w:r>
      <w:r>
        <w:rPr>
          <w:rFonts w:ascii="宋体" w:hAnsi="宋体" w:cs="宋体" w:eastAsia="宋体" w:hint="default"/>
        </w:rPr>
        <w:t>4,985,651.61</w:t>
      </w:r>
      <w:r>
        <w:rPr>
          <w:rFonts w:ascii="宋体" w:hAnsi="宋体" w:cs="宋体" w:eastAsia="宋体" w:hint="default"/>
          <w:spacing w:val="-62"/>
        </w:rPr>
        <w:t> </w:t>
      </w:r>
      <w:r>
        <w:rPr/>
        <w:t>元，为本公司销售货款所收到的承兑汇票尚未到承兑期而未进行承兑的票</w:t>
      </w:r>
      <w:r>
        <w:rPr>
          <w:w w:val="100"/>
        </w:rPr>
        <w:t> </w:t>
      </w:r>
      <w:r>
        <w:rPr/>
        <w:t>据。</w:t>
      </w:r>
    </w:p>
    <w:p>
      <w:pPr>
        <w:pStyle w:val="BodyText"/>
        <w:spacing w:line="355" w:lineRule="auto"/>
        <w:ind w:left="652" w:right="4341"/>
        <w:jc w:val="left"/>
        <w:rPr>
          <w:rFonts w:ascii="宋体" w:hAnsi="宋体" w:cs="宋体" w:eastAsia="宋体" w:hint="default"/>
        </w:rPr>
      </w:pPr>
      <w:r>
        <w:rPr>
          <w:spacing w:val="-2"/>
        </w:rPr>
        <w:t>（</w:t>
      </w:r>
      <w:r>
        <w:rPr>
          <w:rFonts w:ascii="宋体" w:hAnsi="宋体" w:cs="宋体" w:eastAsia="宋体" w:hint="default"/>
          <w:spacing w:val="-2"/>
        </w:rPr>
        <w:t>3</w:t>
      </w:r>
      <w:r>
        <w:rPr>
          <w:spacing w:val="-2"/>
        </w:rPr>
        <w:t>）应收票据期末数中不存在抵押、质押的应收票据情况。</w:t>
      </w:r>
      <w:r>
        <w:rPr>
          <w:spacing w:val="-56"/>
        </w:rPr>
        <w:t> </w:t>
      </w:r>
      <w:r>
        <w:rPr>
          <w:spacing w:val="-56"/>
        </w:rPr>
      </w:r>
      <w:r>
        <w:rPr>
          <w:rFonts w:ascii="宋体" w:hAnsi="宋体" w:cs="宋体" w:eastAsia="宋体" w:hint="default"/>
          <w:b/>
          <w:bCs/>
        </w:rPr>
        <w:t>3</w:t>
      </w:r>
      <w:r>
        <w:rPr>
          <w:rFonts w:ascii="宋体" w:hAnsi="宋体" w:cs="宋体" w:eastAsia="宋体" w:hint="default"/>
          <w:b/>
          <w:bCs/>
        </w:rPr>
        <w:t>、应收账款</w:t>
      </w:r>
      <w:r>
        <w:rPr>
          <w:rFonts w:ascii="宋体" w:hAnsi="宋体" w:cs="宋体" w:eastAsia="宋体" w:hint="default"/>
        </w:rPr>
      </w:r>
    </w:p>
    <w:p>
      <w:pPr>
        <w:pStyle w:val="BodyText"/>
        <w:spacing w:line="240" w:lineRule="auto"/>
        <w:ind w:left="660" w:right="606"/>
        <w:jc w:val="left"/>
        <w:rPr>
          <w:rFonts w:ascii="宋体" w:hAnsi="宋体" w:cs="宋体" w:eastAsia="宋体" w:hint="default"/>
        </w:rPr>
      </w:pPr>
      <w:r>
        <w:rPr/>
        <w:t>（</w:t>
      </w:r>
      <w:r>
        <w:rPr>
          <w:rFonts w:ascii="宋体" w:hAnsi="宋体" w:cs="宋体" w:eastAsia="宋体" w:hint="default"/>
        </w:rPr>
        <w:t>1</w:t>
      </w:r>
      <w:r>
        <w:rPr/>
        <w:t>）应收账款按种类分类</w:t>
      </w:r>
      <w:r>
        <w:rPr>
          <w:rFonts w:ascii="宋体" w:hAnsi="宋体" w:cs="宋体" w:eastAsia="宋体" w:hint="default"/>
        </w:rPr>
        <w:t>:</w:t>
      </w:r>
    </w:p>
    <w:p>
      <w:pPr>
        <w:spacing w:line="240" w:lineRule="auto" w:before="13"/>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1755"/>
        <w:gridCol w:w="2321"/>
        <w:gridCol w:w="2144"/>
        <w:gridCol w:w="2321"/>
        <w:gridCol w:w="2143"/>
      </w:tblGrid>
      <w:tr>
        <w:trPr>
          <w:trHeight w:val="427" w:hRule="exact"/>
        </w:trPr>
        <w:tc>
          <w:tcPr>
            <w:tcW w:w="1755" w:type="dxa"/>
            <w:vMerge w:val="restart"/>
            <w:tcBorders>
              <w:top w:val="single" w:sz="12" w:space="0" w:color="000000"/>
              <w:left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tabs>
                <w:tab w:pos="1058" w:val="left" w:leader="none"/>
              </w:tabs>
              <w:spacing w:line="240" w:lineRule="auto"/>
              <w:ind w:left="515"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465" w:type="dxa"/>
            <w:gridSpan w:val="2"/>
            <w:tcBorders>
              <w:top w:val="single" w:sz="12" w:space="0" w:color="000000"/>
              <w:left w:val="single" w:sz="6" w:space="0" w:color="000000"/>
              <w:bottom w:val="single" w:sz="6" w:space="0" w:color="000000"/>
              <w:right w:val="single" w:sz="6"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65" w:type="dxa"/>
            <w:gridSpan w:val="2"/>
            <w:tcBorders>
              <w:top w:val="single" w:sz="12" w:space="0" w:color="000000"/>
              <w:left w:val="single" w:sz="6" w:space="0" w:color="000000"/>
              <w:bottom w:val="single" w:sz="6" w:space="0" w:color="000000"/>
              <w:right w:val="nil" w:sz="6" w:space="0" w:color="auto"/>
            </w:tcBorders>
          </w:tcPr>
          <w:p>
            <w:pPr>
              <w:pStyle w:val="TableParagraph"/>
              <w:spacing w:line="232" w:lineRule="exact"/>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3" w:hRule="exact"/>
        </w:trPr>
        <w:tc>
          <w:tcPr>
            <w:tcW w:w="1755" w:type="dxa"/>
            <w:vMerge/>
            <w:tcBorders>
              <w:left w:val="nil" w:sz="6" w:space="0" w:color="auto"/>
              <w:bottom w:val="single" w:sz="12" w:space="0" w:color="000000"/>
              <w:right w:val="single" w:sz="6" w:space="0" w:color="000000"/>
            </w:tcBorders>
          </w:tcPr>
          <w:p>
            <w:pPr/>
          </w:p>
        </w:tc>
        <w:tc>
          <w:tcPr>
            <w:tcW w:w="2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7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3"/>
              <w:ind w:left="703"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20" w:footer="956" w:top="1300" w:bottom="1140" w:left="480" w:right="0"/>
        </w:sectPr>
      </w:pPr>
    </w:p>
    <w:p>
      <w:pPr>
        <w:spacing w:line="240" w:lineRule="auto" w:before="7"/>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769"/>
        <w:gridCol w:w="1477"/>
        <w:gridCol w:w="845"/>
        <w:gridCol w:w="1296"/>
        <w:gridCol w:w="848"/>
        <w:gridCol w:w="1476"/>
        <w:gridCol w:w="845"/>
        <w:gridCol w:w="1296"/>
        <w:gridCol w:w="847"/>
      </w:tblGrid>
      <w:tr>
        <w:trPr>
          <w:trHeight w:val="490" w:hRule="exact"/>
        </w:trPr>
        <w:tc>
          <w:tcPr>
            <w:tcW w:w="1769" w:type="dxa"/>
            <w:tcBorders>
              <w:top w:val="single" w:sz="12" w:space="0" w:color="000000"/>
              <w:left w:val="nil" w:sz="6" w:space="0" w:color="auto"/>
              <w:bottom w:val="single" w:sz="6" w:space="0" w:color="000000"/>
              <w:right w:val="single" w:sz="6" w:space="0" w:color="000000"/>
            </w:tcBorders>
          </w:tcPr>
          <w:p>
            <w:pPr/>
          </w:p>
        </w:tc>
        <w:tc>
          <w:tcPr>
            <w:tcW w:w="14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29"/>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5"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单项金额重大的应</w:t>
            </w:r>
            <w:r>
              <w:rPr>
                <w:rFonts w:ascii="宋体" w:hAnsi="宋体" w:cs="宋体" w:eastAsia="宋体" w:hint="default"/>
                <w:sz w:val="18"/>
                <w:szCs w:val="18"/>
              </w:rPr>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收账款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90" w:right="0"/>
              <w:jc w:val="center"/>
              <w:rPr>
                <w:rFonts w:ascii="宋体" w:hAnsi="宋体" w:cs="宋体" w:eastAsia="宋体" w:hint="default"/>
                <w:sz w:val="18"/>
                <w:szCs w:val="18"/>
              </w:rPr>
            </w:pPr>
            <w:r>
              <w:rPr>
                <w:rFonts w:ascii="宋体"/>
                <w:sz w:val="18"/>
              </w:rPr>
              <w:t>33,271,990.13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5"/>
              <w:jc w:val="right"/>
              <w:rPr>
                <w:rFonts w:ascii="宋体" w:hAnsi="宋体" w:cs="宋体" w:eastAsia="宋体" w:hint="default"/>
                <w:sz w:val="18"/>
                <w:szCs w:val="18"/>
              </w:rPr>
            </w:pPr>
            <w:r>
              <w:rPr>
                <w:rFonts w:ascii="宋体"/>
                <w:spacing w:val="-1"/>
                <w:sz w:val="18"/>
              </w:rPr>
              <w:t>22.45%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1,996,319.41</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91" w:right="0"/>
              <w:jc w:val="center"/>
              <w:rPr>
                <w:rFonts w:ascii="宋体" w:hAnsi="宋体" w:cs="宋体" w:eastAsia="宋体" w:hint="default"/>
                <w:sz w:val="18"/>
                <w:szCs w:val="18"/>
              </w:rPr>
            </w:pPr>
            <w:r>
              <w:rPr>
                <w:rFonts w:ascii="宋体"/>
                <w:sz w:val="18"/>
              </w:rPr>
              <w:t>21.85%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pacing w:val="-1"/>
                <w:sz w:val="18"/>
              </w:rPr>
              <w:t>3,290,512.98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z w:val="18"/>
              </w:rPr>
              <w:t>2.45%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pacing w:val="-1"/>
                <w:sz w:val="18"/>
              </w:rPr>
              <w:t>197,430.78</w:t>
            </w:r>
          </w:p>
        </w:tc>
        <w:tc>
          <w:tcPr>
            <w:tcW w:w="8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z w:val="18"/>
              </w:rPr>
              <w:t>2.40%</w:t>
            </w:r>
          </w:p>
        </w:tc>
      </w:tr>
      <w:tr>
        <w:trPr>
          <w:trHeight w:val="1416"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both"/>
              <w:rPr>
                <w:rFonts w:ascii="宋体" w:hAnsi="宋体" w:cs="宋体" w:eastAsia="宋体" w:hint="default"/>
                <w:sz w:val="18"/>
                <w:szCs w:val="18"/>
              </w:rPr>
            </w:pPr>
            <w:r>
              <w:rPr>
                <w:rFonts w:ascii="宋体" w:hAnsi="宋体" w:cs="宋体" w:eastAsia="宋体" w:hint="default"/>
                <w:spacing w:val="14"/>
                <w:sz w:val="18"/>
                <w:szCs w:val="18"/>
              </w:rPr>
              <w:t>单项金额不重大但</w:t>
            </w:r>
            <w:r>
              <w:rPr>
                <w:rFonts w:ascii="宋体" w:hAnsi="宋体" w:cs="宋体" w:eastAsia="宋体" w:hint="default"/>
                <w:sz w:val="18"/>
                <w:szCs w:val="18"/>
              </w:rPr>
            </w:r>
          </w:p>
          <w:p>
            <w:pPr>
              <w:pStyle w:val="TableParagraph"/>
              <w:spacing w:line="357" w:lineRule="auto" w:before="115"/>
              <w:ind w:left="122" w:right="82"/>
              <w:jc w:val="both"/>
              <w:rPr>
                <w:rFonts w:ascii="宋体" w:hAnsi="宋体" w:cs="宋体" w:eastAsia="宋体" w:hint="default"/>
                <w:sz w:val="18"/>
                <w:szCs w:val="18"/>
              </w:rPr>
            </w:pPr>
            <w:r>
              <w:rPr>
                <w:rFonts w:ascii="宋体" w:hAnsi="宋体" w:cs="宋体" w:eastAsia="宋体" w:hint="default"/>
                <w:spacing w:val="14"/>
                <w:sz w:val="18"/>
                <w:szCs w:val="18"/>
              </w:rPr>
              <w:t>按信用风险特征组 合后该组合的风险 </w:t>
            </w:r>
            <w:r>
              <w:rPr>
                <w:rFonts w:ascii="宋体" w:hAnsi="宋体" w:cs="宋体" w:eastAsia="宋体" w:hint="default"/>
                <w:sz w:val="18"/>
                <w:szCs w:val="18"/>
              </w:rPr>
              <w:t>较大的应收账款</w:t>
            </w:r>
          </w:p>
        </w:tc>
        <w:tc>
          <w:tcPr>
            <w:tcW w:w="1477"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848" w:type="dxa"/>
            <w:tcBorders>
              <w:top w:val="single" w:sz="6" w:space="0" w:color="000000"/>
              <w:left w:val="single" w:sz="6" w:space="0" w:color="000000"/>
              <w:bottom w:val="single" w:sz="6" w:space="0" w:color="000000"/>
              <w:right w:val="single" w:sz="6" w:space="0" w:color="000000"/>
            </w:tcBorders>
          </w:tcPr>
          <w:p>
            <w:pPr/>
          </w:p>
        </w:tc>
        <w:tc>
          <w:tcPr>
            <w:tcW w:w="147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nil" w:sz="6" w:space="0" w:color="auto"/>
            </w:tcBorders>
          </w:tcPr>
          <w:p>
            <w:pPr/>
          </w:p>
        </w:tc>
      </w:tr>
      <w:tr>
        <w:trPr>
          <w:trHeight w:val="715" w:hRule="exact"/>
        </w:trPr>
        <w:tc>
          <w:tcPr>
            <w:tcW w:w="1769"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14"/>
                <w:sz w:val="18"/>
                <w:szCs w:val="18"/>
              </w:rPr>
              <w:t>其他不重大应收账</w:t>
            </w:r>
            <w:r>
              <w:rPr>
                <w:rFonts w:ascii="宋体" w:hAnsi="宋体" w:cs="宋体" w:eastAsia="宋体" w:hint="default"/>
                <w:sz w:val="18"/>
                <w:szCs w:val="18"/>
              </w:rPr>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114,961,547.13</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5"/>
              <w:jc w:val="right"/>
              <w:rPr>
                <w:rFonts w:ascii="宋体" w:hAnsi="宋体" w:cs="宋体" w:eastAsia="宋体" w:hint="default"/>
                <w:sz w:val="18"/>
                <w:szCs w:val="18"/>
              </w:rPr>
            </w:pPr>
            <w:r>
              <w:rPr>
                <w:rFonts w:ascii="宋体"/>
                <w:spacing w:val="-1"/>
                <w:sz w:val="18"/>
              </w:rPr>
              <w:t>77.55%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7,139,989.97</w:t>
            </w:r>
          </w:p>
        </w:tc>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91" w:right="0"/>
              <w:jc w:val="center"/>
              <w:rPr>
                <w:rFonts w:ascii="宋体" w:hAnsi="宋体" w:cs="宋体" w:eastAsia="宋体" w:hint="default"/>
                <w:sz w:val="18"/>
                <w:szCs w:val="18"/>
              </w:rPr>
            </w:pPr>
            <w:r>
              <w:rPr>
                <w:rFonts w:ascii="宋体"/>
                <w:sz w:val="18"/>
              </w:rPr>
              <w:t>78.15%</w:t>
            </w:r>
          </w:p>
        </w:tc>
        <w:tc>
          <w:tcPr>
            <w:tcW w:w="1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pacing w:val="-1"/>
                <w:sz w:val="18"/>
              </w:rPr>
              <w:t>131,141,997.61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97.55%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pacing w:val="-1"/>
                <w:sz w:val="18"/>
              </w:rPr>
              <w:t>8,018,295.30</w:t>
            </w:r>
          </w:p>
        </w:tc>
        <w:tc>
          <w:tcPr>
            <w:tcW w:w="84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97.60%</w:t>
            </w:r>
          </w:p>
        </w:tc>
      </w:tr>
      <w:tr>
        <w:trPr>
          <w:trHeight w:val="468" w:hRule="exact"/>
        </w:trPr>
        <w:tc>
          <w:tcPr>
            <w:tcW w:w="1769" w:type="dxa"/>
            <w:tcBorders>
              <w:top w:val="single" w:sz="6" w:space="0" w:color="000000"/>
              <w:left w:val="nil" w:sz="6" w:space="0" w:color="auto"/>
              <w:bottom w:val="single" w:sz="12" w:space="0" w:color="000000"/>
              <w:right w:val="single" w:sz="6" w:space="0" w:color="000000"/>
            </w:tcBorders>
          </w:tcPr>
          <w:p>
            <w:pPr>
              <w:pStyle w:val="TableParagraph"/>
              <w:tabs>
                <w:tab w:pos="1073" w:val="left" w:leader="none"/>
              </w:tabs>
              <w:spacing w:line="240" w:lineRule="auto" w:before="15"/>
              <w:ind w:left="53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4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148,233,537.26</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5"/>
              <w:jc w:val="right"/>
              <w:rPr>
                <w:rFonts w:ascii="宋体" w:hAnsi="宋体" w:cs="宋体" w:eastAsia="宋体" w:hint="default"/>
                <w:sz w:val="18"/>
                <w:szCs w:val="18"/>
              </w:rPr>
            </w:pPr>
            <w:r>
              <w:rPr>
                <w:rFonts w:ascii="宋体"/>
                <w:sz w:val="18"/>
              </w:rPr>
              <w:t>100.00%</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9,136,309.38</w:t>
            </w:r>
          </w:p>
        </w:tc>
        <w:tc>
          <w:tcPr>
            <w:tcW w:w="84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sz w:val="18"/>
              </w:rPr>
              <w:t>100.00%</w:t>
            </w:r>
          </w:p>
        </w:tc>
        <w:tc>
          <w:tcPr>
            <w:tcW w:w="14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134,432,510.59</w:t>
            </w:r>
          </w:p>
        </w:tc>
        <w:tc>
          <w:tcPr>
            <w:tcW w:w="8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6"/>
              <w:jc w:val="right"/>
              <w:rPr>
                <w:rFonts w:ascii="宋体" w:hAnsi="宋体" w:cs="宋体" w:eastAsia="宋体" w:hint="default"/>
                <w:sz w:val="18"/>
                <w:szCs w:val="18"/>
              </w:rPr>
            </w:pPr>
            <w:r>
              <w:rPr>
                <w:rFonts w:ascii="宋体"/>
                <w:sz w:val="18"/>
              </w:rPr>
              <w:t>100.00%</w:t>
            </w:r>
          </w:p>
        </w:tc>
        <w:tc>
          <w:tcPr>
            <w:tcW w:w="12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pacing w:val="-1"/>
                <w:sz w:val="18"/>
              </w:rPr>
              <w:t>8,215,726.08</w:t>
            </w:r>
          </w:p>
        </w:tc>
        <w:tc>
          <w:tcPr>
            <w:tcW w:w="84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5"/>
              <w:ind w:right="105"/>
              <w:jc w:val="right"/>
              <w:rPr>
                <w:rFonts w:ascii="宋体" w:hAnsi="宋体" w:cs="宋体" w:eastAsia="宋体" w:hint="default"/>
                <w:sz w:val="18"/>
                <w:szCs w:val="18"/>
              </w:rPr>
            </w:pPr>
            <w:r>
              <w:rPr>
                <w:rFonts w:ascii="宋体"/>
                <w:sz w:val="18"/>
              </w:rPr>
              <w:t>100.00%</w:t>
            </w:r>
          </w:p>
        </w:tc>
      </w:tr>
    </w:tbl>
    <w:p>
      <w:pPr>
        <w:pStyle w:val="BodyText"/>
        <w:spacing w:line="240" w:lineRule="auto" w:before="86"/>
        <w:ind w:left="660" w:right="606"/>
        <w:jc w:val="left"/>
        <w:rPr>
          <w:rFonts w:ascii="宋体" w:hAnsi="宋体" w:cs="宋体" w:eastAsia="宋体" w:hint="default"/>
        </w:rPr>
      </w:pPr>
      <w:r>
        <w:rPr/>
        <w:t>（</w:t>
      </w:r>
      <w:r>
        <w:rPr>
          <w:rFonts w:ascii="宋体" w:hAnsi="宋体" w:cs="宋体" w:eastAsia="宋体" w:hint="default"/>
        </w:rPr>
        <w:t>2</w:t>
      </w:r>
      <w:r>
        <w:rPr/>
        <w:t>）单项金额重大与其他不重大的应收账款按账龄分类</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486"/>
        <w:gridCol w:w="1685"/>
        <w:gridCol w:w="1371"/>
        <w:gridCol w:w="1479"/>
        <w:gridCol w:w="1682"/>
        <w:gridCol w:w="1373"/>
        <w:gridCol w:w="1622"/>
      </w:tblGrid>
      <w:tr>
        <w:trPr>
          <w:trHeight w:val="420" w:hRule="exact"/>
        </w:trPr>
        <w:tc>
          <w:tcPr>
            <w:tcW w:w="148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tabs>
                <w:tab w:pos="888" w:val="left" w:leader="none"/>
              </w:tabs>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535" w:type="dxa"/>
            <w:gridSpan w:val="3"/>
            <w:tcBorders>
              <w:top w:val="single" w:sz="12"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678" w:type="dxa"/>
            <w:gridSpan w:val="3"/>
            <w:tcBorders>
              <w:top w:val="single" w:sz="12" w:space="0" w:color="000000"/>
              <w:left w:val="single" w:sz="4" w:space="0" w:color="000000"/>
              <w:bottom w:val="single" w:sz="4" w:space="0" w:color="000000"/>
              <w:right w:val="nil" w:sz="6" w:space="0" w:color="auto"/>
            </w:tcBorders>
          </w:tcPr>
          <w:p>
            <w:pPr>
              <w:pStyle w:val="TableParagraph"/>
              <w:spacing w:line="229" w:lineRule="exact"/>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10" w:hRule="exact"/>
        </w:trPr>
        <w:tc>
          <w:tcPr>
            <w:tcW w:w="1486" w:type="dxa"/>
            <w:vMerge/>
            <w:tcBorders>
              <w:left w:val="nil" w:sz="6" w:space="0" w:color="auto"/>
              <w:right w:val="single" w:sz="4" w:space="0" w:color="000000"/>
            </w:tcBorders>
          </w:tcPr>
          <w:p>
            <w:pPr/>
          </w:p>
        </w:tc>
        <w:tc>
          <w:tcPr>
            <w:tcW w:w="3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22"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10" w:hRule="exact"/>
        </w:trPr>
        <w:tc>
          <w:tcPr>
            <w:tcW w:w="1486" w:type="dxa"/>
            <w:vMerge/>
            <w:tcBorders>
              <w:left w:val="nil" w:sz="6" w:space="0" w:color="auto"/>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79" w:type="dxa"/>
            <w:vMerge/>
            <w:tcBorders>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622" w:type="dxa"/>
            <w:vMerge/>
            <w:tcBorders>
              <w:left w:val="single" w:sz="4" w:space="0" w:color="000000"/>
              <w:bottom w:val="single" w:sz="4" w:space="0" w:color="000000"/>
              <w:right w:val="nil" w:sz="6" w:space="0" w:color="auto"/>
            </w:tcBorders>
          </w:tcPr>
          <w:p>
            <w:pPr/>
          </w:p>
        </w:tc>
      </w:tr>
      <w:tr>
        <w:trPr>
          <w:trHeight w:val="410"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140,291,418.64</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18"/>
                <w:szCs w:val="18"/>
              </w:rPr>
            </w:pPr>
            <w:r>
              <w:rPr>
                <w:rFonts w:ascii="宋体"/>
                <w:spacing w:val="-1"/>
                <w:sz w:val="18"/>
              </w:rPr>
              <w:t>94.64%</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8,417,485.12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128,060,214.56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95.26%</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7,683,612.87</w:t>
            </w:r>
          </w:p>
        </w:tc>
      </w:tr>
      <w:tr>
        <w:trPr>
          <w:trHeight w:val="410"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5,686,669.81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3.84%</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454,801.69</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5,648,375.32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4.20%</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451,870.03</w:t>
            </w:r>
          </w:p>
        </w:tc>
      </w:tr>
      <w:tr>
        <w:trPr>
          <w:trHeight w:val="413"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1,884,488.81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1.27%</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188,448.88</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pacing w:val="-1"/>
                <w:sz w:val="18"/>
              </w:rPr>
              <w:t>649,235.61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0.48%</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64,923.56</w:t>
            </w:r>
          </w:p>
        </w:tc>
      </w:tr>
      <w:tr>
        <w:trPr>
          <w:trHeight w:val="410"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357,143.15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98"/>
              <w:jc w:val="right"/>
              <w:rPr>
                <w:rFonts w:ascii="宋体" w:hAnsi="宋体" w:cs="宋体" w:eastAsia="宋体" w:hint="default"/>
                <w:sz w:val="18"/>
                <w:szCs w:val="18"/>
              </w:rPr>
            </w:pPr>
            <w:r>
              <w:rPr>
                <w:rFonts w:ascii="宋体"/>
                <w:sz w:val="18"/>
              </w:rPr>
              <w:t>0.24%</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71,428.63</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70,859.10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0.05%</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pacing w:val="-1"/>
                <w:sz w:val="18"/>
              </w:rPr>
              <w:t>14,171.82</w:t>
            </w:r>
          </w:p>
        </w:tc>
      </w:tr>
      <w:tr>
        <w:trPr>
          <w:trHeight w:val="411"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22"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13,816.85</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98"/>
              <w:jc w:val="right"/>
              <w:rPr>
                <w:rFonts w:ascii="宋体" w:hAnsi="宋体" w:cs="宋体" w:eastAsia="宋体" w:hint="default"/>
                <w:sz w:val="18"/>
                <w:szCs w:val="18"/>
              </w:rPr>
            </w:pPr>
            <w:r>
              <w:rPr>
                <w:rFonts w:ascii="宋体"/>
                <w:sz w:val="18"/>
              </w:rPr>
              <w:t>0.01%</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4,145.06</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pacing w:val="-1"/>
                <w:sz w:val="18"/>
              </w:rPr>
              <w:t>3,826.00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宋体" w:hAnsi="宋体" w:cs="宋体" w:eastAsia="宋体" w:hint="default"/>
                <w:sz w:val="18"/>
                <w:szCs w:val="18"/>
              </w:rPr>
            </w:pPr>
            <w:r>
              <w:rPr>
                <w:rFonts w:ascii="宋体"/>
                <w:sz w:val="18"/>
              </w:rPr>
              <w:t>0.01%</w:t>
            </w:r>
          </w:p>
        </w:tc>
        <w:tc>
          <w:tcPr>
            <w:tcW w:w="1622" w:type="dxa"/>
            <w:tcBorders>
              <w:top w:val="single" w:sz="4" w:space="0" w:color="000000"/>
              <w:left w:val="single" w:sz="4" w:space="0" w:color="000000"/>
              <w:bottom w:val="single" w:sz="4" w:space="0" w:color="000000"/>
              <w:right w:val="nil" w:sz="6" w:space="0" w:color="auto"/>
            </w:tcBorders>
          </w:tcPr>
          <w:p>
            <w:pPr>
              <w:pStyle w:val="TableParagraph"/>
              <w:spacing w:line="227" w:lineRule="exact"/>
              <w:ind w:right="105"/>
              <w:jc w:val="right"/>
              <w:rPr>
                <w:rFonts w:ascii="宋体" w:hAnsi="宋体" w:cs="宋体" w:eastAsia="宋体" w:hint="default"/>
                <w:sz w:val="18"/>
                <w:szCs w:val="18"/>
              </w:rPr>
            </w:pPr>
            <w:r>
              <w:rPr>
                <w:rFonts w:ascii="宋体"/>
                <w:spacing w:val="-1"/>
                <w:sz w:val="18"/>
              </w:rPr>
              <w:t>1,147.80</w:t>
            </w:r>
          </w:p>
        </w:tc>
      </w:tr>
      <w:tr>
        <w:trPr>
          <w:trHeight w:val="410" w:hRule="exact"/>
        </w:trPr>
        <w:tc>
          <w:tcPr>
            <w:tcW w:w="1486"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122"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685"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nil" w:sz="6" w:space="0" w:color="auto"/>
            </w:tcBorders>
          </w:tcPr>
          <w:p>
            <w:pPr/>
          </w:p>
        </w:tc>
      </w:tr>
      <w:tr>
        <w:trPr>
          <w:trHeight w:val="422" w:hRule="exact"/>
        </w:trPr>
        <w:tc>
          <w:tcPr>
            <w:tcW w:w="1486" w:type="dxa"/>
            <w:tcBorders>
              <w:top w:val="single" w:sz="4" w:space="0" w:color="000000"/>
              <w:left w:val="nil" w:sz="6" w:space="0" w:color="auto"/>
              <w:bottom w:val="single" w:sz="12" w:space="0" w:color="000000"/>
              <w:right w:val="single" w:sz="4" w:space="0" w:color="000000"/>
            </w:tcBorders>
          </w:tcPr>
          <w:p>
            <w:pPr>
              <w:pStyle w:val="TableParagraph"/>
              <w:tabs>
                <w:tab w:pos="888" w:val="left" w:leader="none"/>
              </w:tabs>
              <w:spacing w:line="229" w:lineRule="exact"/>
              <w:ind w:left="43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85"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103"/>
              <w:jc w:val="right"/>
              <w:rPr>
                <w:rFonts w:ascii="宋体" w:hAnsi="宋体" w:cs="宋体" w:eastAsia="宋体" w:hint="default"/>
                <w:sz w:val="18"/>
                <w:szCs w:val="18"/>
              </w:rPr>
            </w:pPr>
            <w:r>
              <w:rPr>
                <w:rFonts w:ascii="宋体"/>
                <w:spacing w:val="-1"/>
                <w:sz w:val="18"/>
              </w:rPr>
              <w:t>148,233,537.26</w:t>
            </w:r>
          </w:p>
        </w:tc>
        <w:tc>
          <w:tcPr>
            <w:tcW w:w="1371"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98"/>
              <w:jc w:val="right"/>
              <w:rPr>
                <w:rFonts w:ascii="宋体" w:hAnsi="宋体" w:cs="宋体" w:eastAsia="宋体" w:hint="default"/>
                <w:sz w:val="18"/>
                <w:szCs w:val="18"/>
              </w:rPr>
            </w:pPr>
            <w:r>
              <w:rPr>
                <w:rFonts w:ascii="宋体"/>
                <w:sz w:val="18"/>
              </w:rPr>
              <w:t>100.00%</w:t>
            </w:r>
          </w:p>
        </w:tc>
        <w:tc>
          <w:tcPr>
            <w:tcW w:w="1479"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9,136,309.38</w:t>
            </w:r>
          </w:p>
        </w:tc>
        <w:tc>
          <w:tcPr>
            <w:tcW w:w="1682"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134,432,510.59</w:t>
            </w:r>
          </w:p>
        </w:tc>
        <w:tc>
          <w:tcPr>
            <w:tcW w:w="1373" w:type="dxa"/>
            <w:tcBorders>
              <w:top w:val="single" w:sz="4" w:space="0" w:color="000000"/>
              <w:left w:val="single" w:sz="4" w:space="0" w:color="000000"/>
              <w:bottom w:val="single" w:sz="12" w:space="0" w:color="000000"/>
              <w:right w:val="single" w:sz="4" w:space="0" w:color="000000"/>
            </w:tcBorders>
          </w:tcPr>
          <w:p>
            <w:pPr>
              <w:pStyle w:val="TableParagraph"/>
              <w:spacing w:line="229" w:lineRule="exact"/>
              <w:ind w:right="100"/>
              <w:jc w:val="right"/>
              <w:rPr>
                <w:rFonts w:ascii="宋体" w:hAnsi="宋体" w:cs="宋体" w:eastAsia="宋体" w:hint="default"/>
                <w:sz w:val="18"/>
                <w:szCs w:val="18"/>
              </w:rPr>
            </w:pPr>
            <w:r>
              <w:rPr>
                <w:rFonts w:ascii="宋体"/>
                <w:sz w:val="18"/>
              </w:rPr>
              <w:t>100.00%</w:t>
            </w:r>
          </w:p>
        </w:tc>
        <w:tc>
          <w:tcPr>
            <w:tcW w:w="1622" w:type="dxa"/>
            <w:tcBorders>
              <w:top w:val="single" w:sz="4" w:space="0" w:color="000000"/>
              <w:left w:val="single" w:sz="4" w:space="0" w:color="000000"/>
              <w:bottom w:val="single" w:sz="12" w:space="0" w:color="000000"/>
              <w:right w:val="nil" w:sz="6" w:space="0" w:color="auto"/>
            </w:tcBorders>
          </w:tcPr>
          <w:p>
            <w:pPr>
              <w:pStyle w:val="TableParagraph"/>
              <w:spacing w:line="229" w:lineRule="exact"/>
              <w:ind w:right="105"/>
              <w:jc w:val="right"/>
              <w:rPr>
                <w:rFonts w:ascii="宋体" w:hAnsi="宋体" w:cs="宋体" w:eastAsia="宋体" w:hint="default"/>
                <w:sz w:val="18"/>
                <w:szCs w:val="18"/>
              </w:rPr>
            </w:pPr>
            <w:r>
              <w:rPr>
                <w:rFonts w:ascii="宋体"/>
                <w:spacing w:val="-1"/>
                <w:sz w:val="18"/>
              </w:rPr>
              <w:t>8,215,726.08</w:t>
            </w:r>
          </w:p>
        </w:tc>
      </w:tr>
    </w:tbl>
    <w:p>
      <w:pPr>
        <w:pStyle w:val="BodyText"/>
        <w:spacing w:line="240" w:lineRule="auto" w:before="86"/>
        <w:ind w:left="660" w:right="606"/>
        <w:jc w:val="left"/>
      </w:pPr>
      <w:r>
        <w:rPr/>
        <w:t>（</w:t>
      </w:r>
      <w:r>
        <w:rPr>
          <w:rFonts w:ascii="宋体" w:hAnsi="宋体" w:cs="宋体" w:eastAsia="宋体" w:hint="default"/>
        </w:rPr>
        <w:t>3</w:t>
      </w:r>
      <w:r>
        <w:rPr/>
        <w:t>）应收账款期末余额位列前五名的单位：</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443"/>
        <w:gridCol w:w="1608"/>
        <w:gridCol w:w="1610"/>
        <w:gridCol w:w="1330"/>
        <w:gridCol w:w="1706"/>
      </w:tblGrid>
      <w:tr>
        <w:trPr>
          <w:trHeight w:val="490" w:hRule="exact"/>
        </w:trPr>
        <w:tc>
          <w:tcPr>
            <w:tcW w:w="444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87"/>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3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欠款年限</w:t>
            </w:r>
          </w:p>
        </w:tc>
        <w:tc>
          <w:tcPr>
            <w:tcW w:w="1706" w:type="dxa"/>
            <w:tcBorders>
              <w:top w:val="single" w:sz="12" w:space="0" w:color="000000"/>
              <w:left w:val="single" w:sz="6" w:space="0" w:color="000000"/>
              <w:bottom w:val="single" w:sz="6" w:space="0" w:color="000000"/>
              <w:right w:val="nil" w:sz="6" w:space="0" w:color="auto"/>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占应收账款总额的</w:t>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550" w:hRule="exact"/>
        </w:trPr>
        <w:tc>
          <w:tcPr>
            <w:tcW w:w="4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1"/>
              <w:ind w:left="19" w:right="0"/>
              <w:jc w:val="center"/>
              <w:rPr>
                <w:rFonts w:ascii="宋体" w:hAnsi="宋体" w:cs="宋体" w:eastAsia="宋体" w:hint="default"/>
                <w:sz w:val="18"/>
                <w:szCs w:val="18"/>
              </w:rPr>
            </w:pPr>
            <w:r>
              <w:rPr>
                <w:rFonts w:ascii="宋体" w:hAnsi="宋体" w:cs="宋体" w:eastAsia="宋体" w:hint="default"/>
                <w:sz w:val="18"/>
                <w:szCs w:val="18"/>
              </w:rPr>
              <w:t>通化致远人参贸易有限公司</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1"/>
              <w:jc w:val="center"/>
              <w:rPr>
                <w:rFonts w:ascii="宋体" w:hAnsi="宋体" w:cs="宋体" w:eastAsia="宋体" w:hint="default"/>
                <w:sz w:val="18"/>
                <w:szCs w:val="18"/>
              </w:rPr>
            </w:pPr>
            <w:r>
              <w:rPr>
                <w:rFonts w:ascii="宋体"/>
                <w:sz w:val="18"/>
              </w:rPr>
              <w:t>7,688,691.19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1"/>
              <w:ind w:left="619" w:right="0"/>
              <w:jc w:val="left"/>
              <w:rPr>
                <w:rFonts w:ascii="宋体" w:hAnsi="宋体" w:cs="宋体" w:eastAsia="宋体" w:hint="default"/>
                <w:sz w:val="18"/>
                <w:szCs w:val="18"/>
              </w:rPr>
            </w:pPr>
            <w:r>
              <w:rPr>
                <w:rFonts w:ascii="宋体"/>
                <w:sz w:val="18"/>
              </w:rPr>
              <w:t>5.19%</w:t>
            </w:r>
          </w:p>
        </w:tc>
      </w:tr>
      <w:tr>
        <w:trPr>
          <w:trHeight w:val="458" w:hRule="exact"/>
        </w:trPr>
        <w:tc>
          <w:tcPr>
            <w:tcW w:w="4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5"/>
              <w:ind w:left="19" w:right="0"/>
              <w:jc w:val="center"/>
              <w:rPr>
                <w:rFonts w:ascii="宋体" w:hAnsi="宋体" w:cs="宋体" w:eastAsia="宋体" w:hint="default"/>
                <w:sz w:val="18"/>
                <w:szCs w:val="18"/>
              </w:rPr>
            </w:pPr>
            <w:r>
              <w:rPr>
                <w:rFonts w:ascii="宋体" w:hAnsi="宋体" w:cs="宋体" w:eastAsia="宋体" w:hint="default"/>
                <w:sz w:val="18"/>
                <w:szCs w:val="18"/>
              </w:rPr>
              <w:t>通化宏雅人参贸易有限公司</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sz w:val="18"/>
              </w:rPr>
              <w:t>7,313,680.00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left="619" w:right="0"/>
              <w:jc w:val="left"/>
              <w:rPr>
                <w:rFonts w:ascii="宋体" w:hAnsi="宋体" w:cs="宋体" w:eastAsia="宋体" w:hint="default"/>
                <w:sz w:val="18"/>
                <w:szCs w:val="18"/>
              </w:rPr>
            </w:pPr>
            <w:r>
              <w:rPr>
                <w:rFonts w:ascii="宋体"/>
                <w:sz w:val="18"/>
              </w:rPr>
              <w:t>4.93%</w:t>
            </w:r>
          </w:p>
        </w:tc>
      </w:tr>
      <w:tr>
        <w:trPr>
          <w:trHeight w:val="466" w:hRule="exact"/>
        </w:trPr>
        <w:tc>
          <w:tcPr>
            <w:tcW w:w="4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8" w:right="0"/>
              <w:jc w:val="center"/>
              <w:rPr>
                <w:rFonts w:ascii="宋体" w:hAnsi="宋体" w:cs="宋体" w:eastAsia="宋体" w:hint="default"/>
                <w:sz w:val="18"/>
                <w:szCs w:val="18"/>
              </w:rPr>
            </w:pPr>
            <w:r>
              <w:rPr>
                <w:rFonts w:ascii="宋体" w:hAnsi="宋体" w:cs="宋体" w:eastAsia="宋体" w:hint="default"/>
                <w:sz w:val="18"/>
                <w:szCs w:val="18"/>
              </w:rPr>
              <w:t>天津中新药业集团股份有限公司医药公司</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2,203,434.20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left="619" w:right="0"/>
              <w:jc w:val="left"/>
              <w:rPr>
                <w:rFonts w:ascii="宋体" w:hAnsi="宋体" w:cs="宋体" w:eastAsia="宋体" w:hint="default"/>
                <w:sz w:val="18"/>
                <w:szCs w:val="18"/>
              </w:rPr>
            </w:pPr>
            <w:r>
              <w:rPr>
                <w:rFonts w:ascii="宋体"/>
                <w:sz w:val="18"/>
              </w:rPr>
              <w:t>1.49%</w:t>
            </w:r>
          </w:p>
        </w:tc>
      </w:tr>
      <w:tr>
        <w:trPr>
          <w:trHeight w:val="471" w:hRule="exact"/>
        </w:trPr>
        <w:tc>
          <w:tcPr>
            <w:tcW w:w="4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0"/>
              <w:ind w:left="19" w:right="0"/>
              <w:jc w:val="center"/>
              <w:rPr>
                <w:rFonts w:ascii="宋体" w:hAnsi="宋体" w:cs="宋体" w:eastAsia="宋体" w:hint="default"/>
                <w:sz w:val="18"/>
                <w:szCs w:val="18"/>
              </w:rPr>
            </w:pPr>
            <w:r>
              <w:rPr>
                <w:rFonts w:ascii="宋体" w:hAnsi="宋体" w:cs="宋体" w:eastAsia="宋体" w:hint="default"/>
                <w:sz w:val="18"/>
                <w:szCs w:val="18"/>
              </w:rPr>
              <w:t>成都体育学院附属医院</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1,129,111.07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left="619" w:right="0"/>
              <w:jc w:val="left"/>
              <w:rPr>
                <w:rFonts w:ascii="宋体" w:hAnsi="宋体" w:cs="宋体" w:eastAsia="宋体" w:hint="default"/>
                <w:sz w:val="18"/>
                <w:szCs w:val="18"/>
              </w:rPr>
            </w:pPr>
            <w:r>
              <w:rPr>
                <w:rFonts w:ascii="宋体"/>
                <w:sz w:val="18"/>
              </w:rPr>
              <w:t>0.76%</w:t>
            </w:r>
          </w:p>
        </w:tc>
      </w:tr>
      <w:tr>
        <w:trPr>
          <w:trHeight w:val="463" w:hRule="exact"/>
        </w:trPr>
        <w:tc>
          <w:tcPr>
            <w:tcW w:w="444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7"/>
              <w:ind w:left="18" w:right="0"/>
              <w:jc w:val="center"/>
              <w:rPr>
                <w:rFonts w:ascii="宋体" w:hAnsi="宋体" w:cs="宋体" w:eastAsia="宋体" w:hint="default"/>
                <w:sz w:val="18"/>
                <w:szCs w:val="18"/>
              </w:rPr>
            </w:pPr>
            <w:r>
              <w:rPr>
                <w:rFonts w:ascii="宋体" w:hAnsi="宋体" w:cs="宋体" w:eastAsia="宋体" w:hint="default"/>
                <w:sz w:val="18"/>
                <w:szCs w:val="18"/>
              </w:rPr>
              <w:t>北京金象复星医药股份有限公司地安门分公司</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1,190,844.74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7"/>
              <w:ind w:left="619" w:right="0"/>
              <w:jc w:val="left"/>
              <w:rPr>
                <w:rFonts w:ascii="宋体" w:hAnsi="宋体" w:cs="宋体" w:eastAsia="宋体" w:hint="default"/>
                <w:sz w:val="18"/>
                <w:szCs w:val="18"/>
              </w:rPr>
            </w:pPr>
            <w:r>
              <w:rPr>
                <w:rFonts w:ascii="宋体"/>
                <w:sz w:val="18"/>
              </w:rPr>
              <w:t>0.80%</w:t>
            </w:r>
          </w:p>
        </w:tc>
      </w:tr>
      <w:tr>
        <w:trPr>
          <w:trHeight w:val="475" w:hRule="exact"/>
        </w:trPr>
        <w:tc>
          <w:tcPr>
            <w:tcW w:w="4443" w:type="dxa"/>
            <w:tcBorders>
              <w:top w:val="single" w:sz="6" w:space="0" w:color="000000"/>
              <w:left w:val="nil" w:sz="6" w:space="0" w:color="auto"/>
              <w:bottom w:val="single" w:sz="12" w:space="0" w:color="000000"/>
              <w:right w:val="single" w:sz="6" w:space="0" w:color="000000"/>
            </w:tcBorders>
          </w:tcPr>
          <w:p>
            <w:pPr>
              <w:pStyle w:val="TableParagraph"/>
              <w:tabs>
                <w:tab w:pos="563" w:val="left" w:leader="none"/>
              </w:tabs>
              <w:spacing w:line="240" w:lineRule="auto" w:before="80"/>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08" w:type="dxa"/>
            <w:tcBorders>
              <w:top w:val="single" w:sz="6" w:space="0" w:color="000000"/>
              <w:left w:val="single" w:sz="6" w:space="0" w:color="000000"/>
              <w:bottom w:val="single" w:sz="12" w:space="0" w:color="000000"/>
              <w:right w:val="single" w:sz="6" w:space="0" w:color="000000"/>
            </w:tcBorders>
          </w:tcPr>
          <w:p>
            <w:pPr/>
          </w:p>
        </w:tc>
        <w:tc>
          <w:tcPr>
            <w:tcW w:w="16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sz w:val="18"/>
              </w:rPr>
              <w:t>19,525,761.20</w:t>
            </w:r>
          </w:p>
        </w:tc>
        <w:tc>
          <w:tcPr>
            <w:tcW w:w="1330" w:type="dxa"/>
            <w:tcBorders>
              <w:top w:val="single" w:sz="6" w:space="0" w:color="000000"/>
              <w:left w:val="single" w:sz="6" w:space="0" w:color="000000"/>
              <w:bottom w:val="single" w:sz="12" w:space="0" w:color="000000"/>
              <w:right w:val="single" w:sz="6" w:space="0" w:color="000000"/>
            </w:tcBorders>
          </w:tcPr>
          <w:p>
            <w:pPr/>
          </w:p>
        </w:tc>
        <w:tc>
          <w:tcPr>
            <w:tcW w:w="170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80"/>
              <w:ind w:left="576" w:right="0"/>
              <w:jc w:val="left"/>
              <w:rPr>
                <w:rFonts w:ascii="宋体" w:hAnsi="宋体" w:cs="宋体" w:eastAsia="宋体" w:hint="default"/>
                <w:sz w:val="18"/>
                <w:szCs w:val="18"/>
              </w:rPr>
            </w:pPr>
            <w:r>
              <w:rPr>
                <w:rFonts w:ascii="宋体"/>
                <w:sz w:val="18"/>
              </w:rPr>
              <w:t>13.17%</w:t>
            </w:r>
          </w:p>
        </w:tc>
      </w:tr>
    </w:tbl>
    <w:p>
      <w:pPr>
        <w:pStyle w:val="BodyText"/>
        <w:spacing w:line="240" w:lineRule="auto" w:before="86"/>
        <w:ind w:left="660" w:right="606"/>
        <w:jc w:val="left"/>
      </w:pPr>
      <w:r>
        <w:rPr/>
        <w:t>（</w:t>
      </w:r>
      <w:r>
        <w:rPr>
          <w:rFonts w:ascii="宋体" w:hAnsi="宋体" w:cs="宋体" w:eastAsia="宋体" w:hint="default"/>
        </w:rPr>
        <w:t>4</w:t>
      </w:r>
      <w:r>
        <w:rPr/>
        <w:t>）应收账款期末余额中无持有本公司</w:t>
      </w:r>
      <w:r>
        <w:rPr>
          <w:rFonts w:ascii="宋体" w:hAnsi="宋体" w:cs="宋体" w:eastAsia="宋体" w:hint="default"/>
        </w:rPr>
        <w:t>5%(</w:t>
      </w:r>
      <w:r>
        <w:rPr/>
        <w:t>含</w:t>
      </w:r>
      <w:r>
        <w:rPr>
          <w:rFonts w:ascii="宋体" w:hAnsi="宋体" w:cs="宋体" w:eastAsia="宋体" w:hint="default"/>
        </w:rPr>
        <w:t>5%)</w:t>
      </w:r>
      <w:r>
        <w:rPr/>
        <w:t>以上表决权股份的股东单位及关联方单位的款项。</w:t>
      </w:r>
    </w:p>
    <w:p>
      <w:pPr>
        <w:pStyle w:val="BodyText"/>
        <w:spacing w:line="355" w:lineRule="auto" w:before="135"/>
        <w:ind w:left="652" w:right="5634" w:firstLine="7"/>
        <w:jc w:val="left"/>
        <w:rPr>
          <w:rFonts w:ascii="宋体" w:hAnsi="宋体" w:cs="宋体" w:eastAsia="宋体" w:hint="default"/>
        </w:rPr>
      </w:pPr>
      <w:r>
        <w:rPr>
          <w:spacing w:val="-2"/>
        </w:rPr>
        <w:t>（</w:t>
      </w:r>
      <w:r>
        <w:rPr>
          <w:rFonts w:ascii="宋体" w:hAnsi="宋体" w:cs="宋体" w:eastAsia="宋体" w:hint="default"/>
          <w:spacing w:val="-2"/>
        </w:rPr>
        <w:t>5</w:t>
      </w:r>
      <w:r>
        <w:rPr>
          <w:spacing w:val="-2"/>
        </w:rPr>
        <w:t>）本公司本期不存在核销与终止确认的应收账款。</w:t>
      </w:r>
      <w:r>
        <w:rPr>
          <w:spacing w:val="-69"/>
        </w:rPr>
        <w:t> </w:t>
      </w:r>
      <w:r>
        <w:rPr>
          <w:spacing w:val="-69"/>
        </w:rPr>
      </w:r>
      <w:r>
        <w:rPr>
          <w:rFonts w:ascii="宋体" w:hAnsi="宋体" w:cs="宋体" w:eastAsia="宋体" w:hint="default"/>
          <w:b/>
          <w:bCs/>
        </w:rPr>
        <w:t>4</w:t>
      </w:r>
      <w:r>
        <w:rPr>
          <w:rFonts w:ascii="宋体" w:hAnsi="宋体" w:cs="宋体" w:eastAsia="宋体" w:hint="default"/>
          <w:b/>
          <w:bCs/>
        </w:rPr>
        <w:t>、预付款项</w:t>
      </w:r>
      <w:r>
        <w:rPr>
          <w:rFonts w:ascii="宋体" w:hAnsi="宋体" w:cs="宋体" w:eastAsia="宋体" w:hint="default"/>
        </w:rPr>
      </w:r>
    </w:p>
    <w:p>
      <w:pPr>
        <w:pStyle w:val="BodyText"/>
        <w:spacing w:line="240" w:lineRule="auto"/>
        <w:ind w:left="660" w:right="606"/>
        <w:jc w:val="left"/>
        <w:rPr>
          <w:rFonts w:ascii="宋体" w:hAnsi="宋体" w:cs="宋体" w:eastAsia="宋体" w:hint="default"/>
        </w:rPr>
      </w:pPr>
      <w:r>
        <w:rPr/>
        <w:t>（</w:t>
      </w:r>
      <w:r>
        <w:rPr>
          <w:rFonts w:ascii="宋体" w:hAnsi="宋体" w:cs="宋体" w:eastAsia="宋体" w:hint="default"/>
        </w:rPr>
        <w:t>1</w:t>
      </w:r>
      <w:r>
        <w:rPr/>
        <w:t>）预付款项按账龄分类</w:t>
      </w:r>
      <w:r>
        <w:rPr>
          <w:rFonts w:ascii="宋体" w:hAnsi="宋体" w:cs="宋体" w:eastAsia="宋体" w:hint="default"/>
        </w:rPr>
        <w:t>:</w:t>
      </w:r>
    </w:p>
    <w:p>
      <w:pPr>
        <w:spacing w:after="0" w:line="240" w:lineRule="auto"/>
        <w:jc w:val="left"/>
        <w:rPr>
          <w:rFonts w:ascii="宋体" w:hAnsi="宋体" w:cs="宋体" w:eastAsia="宋体" w:hint="default"/>
        </w:rPr>
        <w:sectPr>
          <w:pgSz w:w="11910" w:h="16840"/>
          <w:pgMar w:header="720" w:footer="956" w:top="1300" w:bottom="1140" w:left="480" w:right="0"/>
        </w:sectPr>
      </w:pPr>
    </w:p>
    <w:p>
      <w:pPr>
        <w:spacing w:line="240" w:lineRule="auto" w:before="7"/>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36"/>
        <w:gridCol w:w="1858"/>
        <w:gridCol w:w="1858"/>
        <w:gridCol w:w="1856"/>
        <w:gridCol w:w="2090"/>
      </w:tblGrid>
      <w:tr>
        <w:trPr>
          <w:trHeight w:val="567" w:hRule="exact"/>
        </w:trPr>
        <w:tc>
          <w:tcPr>
            <w:tcW w:w="3036" w:type="dxa"/>
            <w:vMerge w:val="restart"/>
            <w:tcBorders>
              <w:top w:val="single" w:sz="12" w:space="0" w:color="000000"/>
              <w:left w:val="nil" w:sz="6" w:space="0" w:color="auto"/>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tabs>
                <w:tab w:pos="1385" w:val="left" w:leader="none"/>
              </w:tabs>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371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46" w:type="dxa"/>
            <w:gridSpan w:val="2"/>
            <w:tcBorders>
              <w:top w:val="single" w:sz="12" w:space="0" w:color="000000"/>
              <w:left w:val="single" w:sz="6" w:space="0" w:color="000000"/>
              <w:bottom w:val="single" w:sz="6" w:space="0" w:color="000000"/>
              <w:right w:val="nil" w:sz="6" w:space="0" w:color="auto"/>
            </w:tcBorders>
          </w:tcPr>
          <w:p>
            <w:pPr>
              <w:pStyle w:val="TableParagraph"/>
              <w:spacing w:line="240" w:lineRule="auto" w:before="68"/>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4" w:hRule="exact"/>
        </w:trPr>
        <w:tc>
          <w:tcPr>
            <w:tcW w:w="3036" w:type="dxa"/>
            <w:vMerge/>
            <w:tcBorders>
              <w:left w:val="nil" w:sz="6" w:space="0" w:color="auto"/>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z w:val="18"/>
                <w:szCs w:val="18"/>
              </w:rPr>
              <w:t>例</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2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7"/>
              <w:jc w:val="center"/>
              <w:rPr>
                <w:rFonts w:ascii="宋体" w:hAnsi="宋体" w:cs="宋体" w:eastAsia="宋体" w:hint="default"/>
                <w:sz w:val="18"/>
                <w:szCs w:val="18"/>
              </w:rPr>
            </w:pPr>
            <w:r>
              <w:rPr>
                <w:rFonts w:ascii="宋体" w:hAnsi="宋体" w:cs="宋体" w:eastAsia="宋体" w:hint="default"/>
                <w:sz w:val="18"/>
                <w:szCs w:val="18"/>
              </w:rPr>
              <w:t>比 </w:t>
            </w:r>
            <w:r>
              <w:rPr>
                <w:rFonts w:ascii="宋体" w:hAnsi="宋体" w:cs="宋体" w:eastAsia="宋体" w:hint="default"/>
                <w:spacing w:val="2"/>
                <w:sz w:val="18"/>
                <w:szCs w:val="18"/>
              </w:rPr>
              <w:t> </w:t>
            </w:r>
            <w:r>
              <w:rPr>
                <w:rFonts w:ascii="宋体" w:hAnsi="宋体" w:cs="宋体" w:eastAsia="宋体" w:hint="default"/>
                <w:sz w:val="18"/>
                <w:szCs w:val="18"/>
              </w:rPr>
              <w:t>例</w:t>
            </w:r>
          </w:p>
        </w:tc>
      </w:tr>
      <w:tr>
        <w:trPr>
          <w:trHeight w:val="554" w:hRule="exact"/>
        </w:trPr>
        <w:tc>
          <w:tcPr>
            <w:tcW w:w="30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宋体" w:hAnsi="宋体" w:cs="宋体" w:eastAsia="宋体" w:hint="default"/>
                <w:sz w:val="18"/>
                <w:szCs w:val="18"/>
              </w:rPr>
            </w:pPr>
            <w:r>
              <w:rPr>
                <w:rFonts w:ascii="宋体"/>
                <w:spacing w:val="-1"/>
                <w:sz w:val="18"/>
              </w:rPr>
              <w:t>343,525,430.90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宋体" w:hAnsi="宋体" w:cs="宋体" w:eastAsia="宋体" w:hint="default"/>
                <w:sz w:val="18"/>
                <w:szCs w:val="18"/>
              </w:rPr>
            </w:pPr>
            <w:r>
              <w:rPr>
                <w:rFonts w:ascii="宋体"/>
                <w:spacing w:val="-1"/>
                <w:sz w:val="18"/>
              </w:rPr>
              <w:t>94.94%</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6"/>
              <w:jc w:val="right"/>
              <w:rPr>
                <w:rFonts w:ascii="宋体" w:hAnsi="宋体" w:cs="宋体" w:eastAsia="宋体" w:hint="default"/>
                <w:sz w:val="18"/>
                <w:szCs w:val="18"/>
              </w:rPr>
            </w:pPr>
            <w:r>
              <w:rPr>
                <w:rFonts w:ascii="宋体"/>
                <w:spacing w:val="-1"/>
                <w:sz w:val="18"/>
              </w:rPr>
              <w:t>26,064,251.67</w:t>
            </w:r>
          </w:p>
        </w:tc>
        <w:tc>
          <w:tcPr>
            <w:tcW w:w="2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pacing w:val="-1"/>
                <w:sz w:val="18"/>
              </w:rPr>
              <w:t>63.49%</w:t>
            </w:r>
          </w:p>
        </w:tc>
      </w:tr>
      <w:tr>
        <w:trPr>
          <w:trHeight w:val="552" w:hRule="exact"/>
        </w:trPr>
        <w:tc>
          <w:tcPr>
            <w:tcW w:w="30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宋体" w:hAnsi="宋体" w:cs="宋体" w:eastAsia="宋体" w:hint="default"/>
                <w:sz w:val="18"/>
                <w:szCs w:val="18"/>
              </w:rPr>
            </w:pPr>
            <w:r>
              <w:rPr>
                <w:rFonts w:ascii="宋体"/>
                <w:spacing w:val="-1"/>
                <w:sz w:val="18"/>
              </w:rPr>
              <w:t>6,453,023.74</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宋体" w:hAnsi="宋体" w:cs="宋体" w:eastAsia="宋体" w:hint="default"/>
                <w:sz w:val="18"/>
                <w:szCs w:val="18"/>
              </w:rPr>
            </w:pPr>
            <w:r>
              <w:rPr>
                <w:rFonts w:ascii="宋体"/>
                <w:sz w:val="18"/>
              </w:rPr>
              <w:t>1.79%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6"/>
              <w:jc w:val="right"/>
              <w:rPr>
                <w:rFonts w:ascii="宋体" w:hAnsi="宋体" w:cs="宋体" w:eastAsia="宋体" w:hint="default"/>
                <w:sz w:val="18"/>
                <w:szCs w:val="18"/>
              </w:rPr>
            </w:pPr>
            <w:r>
              <w:rPr>
                <w:rFonts w:ascii="宋体"/>
                <w:spacing w:val="-1"/>
                <w:sz w:val="18"/>
              </w:rPr>
              <w:t>13,702,334.00</w:t>
            </w:r>
          </w:p>
        </w:tc>
        <w:tc>
          <w:tcPr>
            <w:tcW w:w="2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pacing w:val="-1"/>
                <w:sz w:val="18"/>
              </w:rPr>
              <w:t>33.38%</w:t>
            </w:r>
          </w:p>
        </w:tc>
      </w:tr>
      <w:tr>
        <w:trPr>
          <w:trHeight w:val="554" w:hRule="exact"/>
        </w:trPr>
        <w:tc>
          <w:tcPr>
            <w:tcW w:w="30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3"/>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11,255,065.00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3.11%</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9"/>
              <w:jc w:val="right"/>
              <w:rPr>
                <w:rFonts w:ascii="宋体" w:hAnsi="宋体" w:cs="宋体" w:eastAsia="宋体" w:hint="default"/>
                <w:sz w:val="18"/>
                <w:szCs w:val="18"/>
              </w:rPr>
            </w:pPr>
            <w:r>
              <w:rPr>
                <w:rFonts w:ascii="宋体"/>
                <w:spacing w:val="-1"/>
                <w:sz w:val="18"/>
              </w:rPr>
              <w:t>1,190,361.50</w:t>
            </w:r>
          </w:p>
        </w:tc>
        <w:tc>
          <w:tcPr>
            <w:tcW w:w="2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z w:val="18"/>
              </w:rPr>
              <w:t>2.90%</w:t>
            </w:r>
          </w:p>
        </w:tc>
      </w:tr>
      <w:tr>
        <w:trPr>
          <w:trHeight w:val="552" w:hRule="exact"/>
        </w:trPr>
        <w:tc>
          <w:tcPr>
            <w:tcW w:w="303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1"/>
              <w:ind w:left="1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宋体" w:hAnsi="宋体" w:cs="宋体" w:eastAsia="宋体" w:hint="default"/>
                <w:sz w:val="18"/>
                <w:szCs w:val="18"/>
              </w:rPr>
            </w:pPr>
            <w:r>
              <w:rPr>
                <w:rFonts w:ascii="宋体"/>
                <w:spacing w:val="-1"/>
                <w:sz w:val="18"/>
              </w:rPr>
              <w:t>589,998.50</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8"/>
              <w:jc w:val="right"/>
              <w:rPr>
                <w:rFonts w:ascii="宋体" w:hAnsi="宋体" w:cs="宋体" w:eastAsia="宋体" w:hint="default"/>
                <w:sz w:val="18"/>
                <w:szCs w:val="18"/>
              </w:rPr>
            </w:pPr>
            <w:r>
              <w:rPr>
                <w:rFonts w:ascii="宋体"/>
                <w:sz w:val="18"/>
              </w:rPr>
              <w:t>0.16%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6"/>
              <w:jc w:val="right"/>
              <w:rPr>
                <w:rFonts w:ascii="宋体" w:hAnsi="宋体" w:cs="宋体" w:eastAsia="宋体" w:hint="default"/>
                <w:sz w:val="18"/>
                <w:szCs w:val="18"/>
              </w:rPr>
            </w:pPr>
            <w:r>
              <w:rPr>
                <w:rFonts w:ascii="宋体"/>
                <w:spacing w:val="-1"/>
                <w:sz w:val="18"/>
              </w:rPr>
              <w:t>95,418.00</w:t>
            </w:r>
          </w:p>
        </w:tc>
        <w:tc>
          <w:tcPr>
            <w:tcW w:w="20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107"/>
              <w:jc w:val="right"/>
              <w:rPr>
                <w:rFonts w:ascii="宋体" w:hAnsi="宋体" w:cs="宋体" w:eastAsia="宋体" w:hint="default"/>
                <w:sz w:val="18"/>
                <w:szCs w:val="18"/>
              </w:rPr>
            </w:pPr>
            <w:r>
              <w:rPr>
                <w:rFonts w:ascii="宋体"/>
                <w:sz w:val="18"/>
              </w:rPr>
              <w:t>0.23%</w:t>
            </w:r>
          </w:p>
        </w:tc>
      </w:tr>
      <w:tr>
        <w:trPr>
          <w:trHeight w:val="564" w:hRule="exact"/>
        </w:trPr>
        <w:tc>
          <w:tcPr>
            <w:tcW w:w="3036" w:type="dxa"/>
            <w:tcBorders>
              <w:top w:val="single" w:sz="6" w:space="0" w:color="000000"/>
              <w:left w:val="nil" w:sz="6" w:space="0" w:color="auto"/>
              <w:bottom w:val="single" w:sz="12" w:space="0" w:color="000000"/>
              <w:right w:val="single" w:sz="6" w:space="0" w:color="000000"/>
            </w:tcBorders>
          </w:tcPr>
          <w:p>
            <w:pPr>
              <w:pStyle w:val="TableParagraph"/>
              <w:tabs>
                <w:tab w:pos="564" w:val="left" w:leader="none"/>
              </w:tabs>
              <w:spacing w:line="240" w:lineRule="auto" w:before="63"/>
              <w:ind w:left="2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pacing w:val="-1"/>
                <w:sz w:val="18"/>
              </w:rPr>
              <w:t>361,823,518.14</w:t>
            </w:r>
          </w:p>
        </w:tc>
        <w:tc>
          <w:tcPr>
            <w:tcW w:w="18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98"/>
              <w:jc w:val="right"/>
              <w:rPr>
                <w:rFonts w:ascii="宋体" w:hAnsi="宋体" w:cs="宋体" w:eastAsia="宋体" w:hint="default"/>
                <w:sz w:val="18"/>
                <w:szCs w:val="18"/>
              </w:rPr>
            </w:pPr>
            <w:r>
              <w:rPr>
                <w:rFonts w:ascii="宋体"/>
                <w:sz w:val="18"/>
              </w:rPr>
              <w:t>100.00%</w:t>
            </w:r>
          </w:p>
        </w:tc>
        <w:tc>
          <w:tcPr>
            <w:tcW w:w="18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3"/>
              <w:ind w:right="96"/>
              <w:jc w:val="right"/>
              <w:rPr>
                <w:rFonts w:ascii="宋体" w:hAnsi="宋体" w:cs="宋体" w:eastAsia="宋体" w:hint="default"/>
                <w:sz w:val="18"/>
                <w:szCs w:val="18"/>
              </w:rPr>
            </w:pPr>
            <w:r>
              <w:rPr>
                <w:rFonts w:ascii="宋体"/>
                <w:spacing w:val="-1"/>
                <w:sz w:val="18"/>
              </w:rPr>
              <w:t>41,052,365.17</w:t>
            </w:r>
          </w:p>
        </w:tc>
        <w:tc>
          <w:tcPr>
            <w:tcW w:w="209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3"/>
              <w:ind w:right="107"/>
              <w:jc w:val="right"/>
              <w:rPr>
                <w:rFonts w:ascii="宋体" w:hAnsi="宋体" w:cs="宋体" w:eastAsia="宋体" w:hint="default"/>
                <w:sz w:val="18"/>
                <w:szCs w:val="18"/>
              </w:rPr>
            </w:pPr>
            <w:r>
              <w:rPr>
                <w:rFonts w:ascii="宋体"/>
                <w:sz w:val="18"/>
              </w:rPr>
              <w:t>100.00%</w:t>
            </w:r>
          </w:p>
        </w:tc>
      </w:tr>
    </w:tbl>
    <w:p>
      <w:pPr>
        <w:pStyle w:val="BodyText"/>
        <w:spacing w:line="240" w:lineRule="auto" w:before="86"/>
        <w:ind w:left="660" w:right="606"/>
        <w:jc w:val="left"/>
      </w:pPr>
      <w:r>
        <w:rPr/>
        <w:t>（</w:t>
      </w:r>
      <w:r>
        <w:rPr>
          <w:rFonts w:ascii="宋体" w:hAnsi="宋体" w:cs="宋体" w:eastAsia="宋体" w:hint="default"/>
        </w:rPr>
        <w:t>2</w:t>
      </w:r>
      <w:r>
        <w:rPr/>
        <w:t>）预付款项期末余额位列前五名的单位：</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012"/>
        <w:gridCol w:w="1695"/>
        <w:gridCol w:w="1901"/>
        <w:gridCol w:w="1433"/>
        <w:gridCol w:w="1376"/>
        <w:gridCol w:w="1282"/>
      </w:tblGrid>
      <w:tr>
        <w:trPr>
          <w:trHeight w:val="725" w:hRule="exact"/>
        </w:trPr>
        <w:tc>
          <w:tcPr>
            <w:tcW w:w="3012"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42"/>
              <w:ind w:left="2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0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433" w:type="dxa"/>
            <w:tcBorders>
              <w:top w:val="single" w:sz="12"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占预付款项余</w:t>
            </w:r>
          </w:p>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额比例</w:t>
            </w:r>
          </w:p>
        </w:tc>
        <w:tc>
          <w:tcPr>
            <w:tcW w:w="13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欠款年限</w:t>
            </w:r>
          </w:p>
        </w:tc>
        <w:tc>
          <w:tcPr>
            <w:tcW w:w="128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42"/>
              <w:ind w:right="7"/>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610" w:hRule="exact"/>
        </w:trPr>
        <w:tc>
          <w:tcPr>
            <w:tcW w:w="30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延边嘉益人参贸易有限公司</w:t>
            </w:r>
          </w:p>
        </w:tc>
        <w:tc>
          <w:tcPr>
            <w:tcW w:w="16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客户关系</w:t>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71,400,000.00</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19.73%</w:t>
            </w:r>
          </w:p>
        </w:tc>
        <w:tc>
          <w:tcPr>
            <w:tcW w:w="1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1"/>
              <w:jc w:val="center"/>
              <w:rPr>
                <w:rFonts w:ascii="宋体" w:hAnsi="宋体" w:cs="宋体" w:eastAsia="宋体" w:hint="default"/>
                <w:sz w:val="18"/>
                <w:szCs w:val="18"/>
              </w:rPr>
            </w:pPr>
            <w:r>
              <w:rPr>
                <w:rFonts w:ascii="宋体" w:hAnsi="宋体" w:cs="宋体" w:eastAsia="宋体" w:hint="default"/>
                <w:sz w:val="18"/>
                <w:szCs w:val="18"/>
              </w:rPr>
              <w:t>采购人参款</w:t>
            </w:r>
          </w:p>
        </w:tc>
      </w:tr>
      <w:tr>
        <w:trPr>
          <w:trHeight w:val="607" w:hRule="exact"/>
        </w:trPr>
        <w:tc>
          <w:tcPr>
            <w:tcW w:w="30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延边耀宇人参贸易有限公司</w:t>
            </w:r>
          </w:p>
        </w:tc>
        <w:tc>
          <w:tcPr>
            <w:tcW w:w="16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客户关系</w:t>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60,000,000.00</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16.58%</w:t>
            </w:r>
          </w:p>
        </w:tc>
        <w:tc>
          <w:tcPr>
            <w:tcW w:w="1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1"/>
              <w:jc w:val="center"/>
              <w:rPr>
                <w:rFonts w:ascii="宋体" w:hAnsi="宋体" w:cs="宋体" w:eastAsia="宋体" w:hint="default"/>
                <w:sz w:val="18"/>
                <w:szCs w:val="18"/>
              </w:rPr>
            </w:pPr>
            <w:r>
              <w:rPr>
                <w:rFonts w:ascii="宋体" w:hAnsi="宋体" w:cs="宋体" w:eastAsia="宋体" w:hint="default"/>
                <w:sz w:val="18"/>
                <w:szCs w:val="18"/>
              </w:rPr>
              <w:t>采购人参款</w:t>
            </w:r>
          </w:p>
        </w:tc>
      </w:tr>
      <w:tr>
        <w:trPr>
          <w:trHeight w:val="610" w:hRule="exact"/>
        </w:trPr>
        <w:tc>
          <w:tcPr>
            <w:tcW w:w="30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延边欣鑫人参贸易有限公司</w:t>
            </w:r>
          </w:p>
        </w:tc>
        <w:tc>
          <w:tcPr>
            <w:tcW w:w="16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客户关系</w:t>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40,500,000.00</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11.19%</w:t>
            </w:r>
          </w:p>
        </w:tc>
        <w:tc>
          <w:tcPr>
            <w:tcW w:w="1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1"/>
              <w:jc w:val="center"/>
              <w:rPr>
                <w:rFonts w:ascii="宋体" w:hAnsi="宋体" w:cs="宋体" w:eastAsia="宋体" w:hint="default"/>
                <w:sz w:val="18"/>
                <w:szCs w:val="18"/>
              </w:rPr>
            </w:pPr>
            <w:r>
              <w:rPr>
                <w:rFonts w:ascii="宋体" w:hAnsi="宋体" w:cs="宋体" w:eastAsia="宋体" w:hint="default"/>
                <w:sz w:val="18"/>
                <w:szCs w:val="18"/>
              </w:rPr>
              <w:t>采购人参款</w:t>
            </w:r>
          </w:p>
        </w:tc>
      </w:tr>
      <w:tr>
        <w:trPr>
          <w:trHeight w:val="608" w:hRule="exact"/>
        </w:trPr>
        <w:tc>
          <w:tcPr>
            <w:tcW w:w="30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延边劲辉人参贸易有限公司</w:t>
            </w:r>
          </w:p>
        </w:tc>
        <w:tc>
          <w:tcPr>
            <w:tcW w:w="16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客户关系</w:t>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25,000,000.00</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6.91%</w:t>
            </w:r>
          </w:p>
        </w:tc>
        <w:tc>
          <w:tcPr>
            <w:tcW w:w="1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1"/>
              <w:jc w:val="center"/>
              <w:rPr>
                <w:rFonts w:ascii="宋体" w:hAnsi="宋体" w:cs="宋体" w:eastAsia="宋体" w:hint="default"/>
                <w:sz w:val="18"/>
                <w:szCs w:val="18"/>
              </w:rPr>
            </w:pPr>
            <w:r>
              <w:rPr>
                <w:rFonts w:ascii="宋体" w:hAnsi="宋体" w:cs="宋体" w:eastAsia="宋体" w:hint="default"/>
                <w:sz w:val="18"/>
                <w:szCs w:val="18"/>
              </w:rPr>
              <w:t>采购人参款</w:t>
            </w:r>
          </w:p>
        </w:tc>
      </w:tr>
      <w:tr>
        <w:trPr>
          <w:trHeight w:val="610" w:hRule="exact"/>
        </w:trPr>
        <w:tc>
          <w:tcPr>
            <w:tcW w:w="3012"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北京瑞诚广告有限公司</w:t>
            </w:r>
          </w:p>
        </w:tc>
        <w:tc>
          <w:tcPr>
            <w:tcW w:w="16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广告商</w:t>
            </w:r>
          </w:p>
        </w:tc>
        <w:tc>
          <w:tcPr>
            <w:tcW w:w="19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13,510,867.08</w:t>
            </w:r>
          </w:p>
        </w:tc>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3.74%</w:t>
            </w:r>
          </w:p>
        </w:tc>
        <w:tc>
          <w:tcPr>
            <w:tcW w:w="1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8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87"/>
              <w:ind w:right="11"/>
              <w:jc w:val="center"/>
              <w:rPr>
                <w:rFonts w:ascii="宋体" w:hAnsi="宋体" w:cs="宋体" w:eastAsia="宋体" w:hint="default"/>
                <w:sz w:val="18"/>
                <w:szCs w:val="18"/>
              </w:rPr>
            </w:pPr>
            <w:r>
              <w:rPr>
                <w:rFonts w:ascii="宋体" w:hAnsi="宋体" w:cs="宋体" w:eastAsia="宋体" w:hint="default"/>
                <w:sz w:val="18"/>
                <w:szCs w:val="18"/>
              </w:rPr>
              <w:t>保证金</w:t>
            </w:r>
          </w:p>
        </w:tc>
      </w:tr>
      <w:tr>
        <w:trPr>
          <w:trHeight w:val="614" w:hRule="exact"/>
        </w:trPr>
        <w:tc>
          <w:tcPr>
            <w:tcW w:w="3012" w:type="dxa"/>
            <w:tcBorders>
              <w:top w:val="single" w:sz="8" w:space="0" w:color="000000"/>
              <w:left w:val="nil" w:sz="6" w:space="0" w:color="auto"/>
              <w:bottom w:val="single" w:sz="12" w:space="0" w:color="000000"/>
              <w:right w:val="single" w:sz="8" w:space="0" w:color="000000"/>
            </w:tcBorders>
          </w:tcPr>
          <w:p>
            <w:pPr>
              <w:pStyle w:val="TableParagraph"/>
              <w:tabs>
                <w:tab w:pos="657" w:val="left" w:leader="none"/>
              </w:tabs>
              <w:spacing w:line="240" w:lineRule="auto" w:before="87"/>
              <w:ind w:left="2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95" w:type="dxa"/>
            <w:tcBorders>
              <w:top w:val="single" w:sz="8" w:space="0" w:color="000000"/>
              <w:left w:val="single" w:sz="8" w:space="0" w:color="000000"/>
              <w:bottom w:val="single" w:sz="12" w:space="0" w:color="000000"/>
              <w:right w:val="single" w:sz="8" w:space="0" w:color="000000"/>
            </w:tcBorders>
          </w:tcPr>
          <w:p>
            <w:pPr/>
          </w:p>
        </w:tc>
        <w:tc>
          <w:tcPr>
            <w:tcW w:w="190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pacing w:val="-1"/>
                <w:sz w:val="18"/>
              </w:rPr>
              <w:t>210,410,867.08</w:t>
            </w:r>
          </w:p>
        </w:tc>
        <w:tc>
          <w:tcPr>
            <w:tcW w:w="143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pacing w:val="-1"/>
                <w:sz w:val="18"/>
              </w:rPr>
              <w:t>58.15%</w:t>
            </w:r>
          </w:p>
        </w:tc>
        <w:tc>
          <w:tcPr>
            <w:tcW w:w="1376" w:type="dxa"/>
            <w:tcBorders>
              <w:top w:val="single" w:sz="8" w:space="0" w:color="000000"/>
              <w:left w:val="single" w:sz="8" w:space="0" w:color="000000"/>
              <w:bottom w:val="single" w:sz="12" w:space="0" w:color="000000"/>
              <w:right w:val="single" w:sz="8" w:space="0" w:color="000000"/>
            </w:tcBorders>
          </w:tcPr>
          <w:p>
            <w:pPr/>
          </w:p>
        </w:tc>
        <w:tc>
          <w:tcPr>
            <w:tcW w:w="1282" w:type="dxa"/>
            <w:tcBorders>
              <w:top w:val="single" w:sz="8" w:space="0" w:color="000000"/>
              <w:left w:val="single" w:sz="8" w:space="0" w:color="000000"/>
              <w:bottom w:val="single" w:sz="12" w:space="0" w:color="000000"/>
              <w:right w:val="nil" w:sz="6" w:space="0" w:color="auto"/>
            </w:tcBorders>
          </w:tcPr>
          <w:p>
            <w:pPr/>
          </w:p>
        </w:tc>
      </w:tr>
    </w:tbl>
    <w:p>
      <w:pPr>
        <w:pStyle w:val="BodyText"/>
        <w:spacing w:line="355" w:lineRule="auto" w:before="86"/>
        <w:ind w:left="660" w:right="606"/>
        <w:jc w:val="left"/>
      </w:pPr>
      <w:r>
        <w:rPr/>
        <w:t>预付款项主要单位的说明：</w:t>
      </w:r>
      <w:r>
        <w:rPr>
          <w:w w:val="100"/>
        </w:rPr>
        <w:t> </w:t>
      </w:r>
      <w:r>
        <w:rPr>
          <w:spacing w:val="-2"/>
        </w:rPr>
        <w:t>上述预付款项余额前四名的单位均为本公司预付采购在地参的单位。原因为本公司作为吉林省医药上市公司，</w:t>
      </w:r>
    </w:p>
    <w:p>
      <w:pPr>
        <w:pStyle w:val="BodyText"/>
        <w:spacing w:line="357" w:lineRule="auto" w:before="34"/>
        <w:ind w:left="240" w:right="711"/>
        <w:jc w:val="both"/>
      </w:pPr>
      <w:r>
        <w:rPr>
          <w:spacing w:val="-3"/>
        </w:rPr>
        <w:t>在主营业务稳步增长，核心竞争力不断提高的基础上，进入人参深加工产业具有地域和资源上的优势性。对人参深</w:t>
      </w:r>
      <w:r>
        <w:rPr>
          <w:spacing w:val="-1"/>
        </w:rPr>
        <w:t> </w:t>
      </w:r>
      <w:r>
        <w:rPr>
          <w:spacing w:val="-1"/>
        </w:rPr>
      </w:r>
      <w:r>
        <w:rPr>
          <w:spacing w:val="-3"/>
        </w:rPr>
        <w:t>加工精加工产品潜在市场的开发将成为本公司新的盈利增长点，为此本公司本期非公开发行人参产品系列项目（包</w:t>
      </w:r>
      <w:r>
        <w:rPr>
          <w:spacing w:val="2"/>
        </w:rPr>
        <w:t> </w:t>
      </w:r>
      <w:r>
        <w:rPr>
          <w:spacing w:val="2"/>
        </w:rPr>
      </w:r>
      <w:r>
        <w:rPr>
          <w:spacing w:val="-3"/>
        </w:rPr>
        <w:t>括通化、延吉、磐石、敦化四厂区）并经中国证券监督管理委员会《关于核准吉林紫鑫药业股份有限公司非公开发</w:t>
      </w:r>
      <w:r>
        <w:rPr>
          <w:spacing w:val="3"/>
        </w:rPr>
        <w:t> </w:t>
      </w:r>
      <w:r>
        <w:rPr>
          <w:spacing w:val="3"/>
        </w:rPr>
      </w:r>
      <w:r>
        <w:rPr>
          <w:spacing w:val="-3"/>
        </w:rPr>
        <w:t>行股票的批复》。为保证募集资金项目能够按照预期投入产出、保证原材料的供应，公司提前预付部分在地参采购</w:t>
      </w:r>
      <w:r>
        <w:rPr>
          <w:spacing w:val="-1"/>
        </w:rPr>
        <w:t> </w:t>
      </w:r>
      <w:r>
        <w:rPr>
          <w:spacing w:val="-1"/>
        </w:rPr>
      </w:r>
      <w:r>
        <w:rPr/>
        <w:t>款，预计</w:t>
      </w:r>
      <w:r>
        <w:rPr>
          <w:spacing w:val="-50"/>
        </w:rPr>
        <w:t> </w:t>
      </w:r>
      <w:r>
        <w:rPr>
          <w:rFonts w:ascii="宋体" w:hAnsi="宋体" w:cs="宋体" w:eastAsia="宋体" w:hint="default"/>
        </w:rPr>
        <w:t>2011</w:t>
      </w:r>
      <w:r>
        <w:rPr>
          <w:rFonts w:ascii="宋体" w:hAnsi="宋体" w:cs="宋体" w:eastAsia="宋体" w:hint="default"/>
          <w:spacing w:val="-54"/>
        </w:rPr>
        <w:t> </w:t>
      </w:r>
      <w:r>
        <w:rPr/>
        <w:t>年至</w:t>
      </w:r>
      <w:r>
        <w:rPr>
          <w:spacing w:val="-54"/>
        </w:rPr>
        <w:t> </w:t>
      </w:r>
      <w:r>
        <w:rPr>
          <w:rFonts w:ascii="宋体" w:hAnsi="宋体" w:cs="宋体" w:eastAsia="宋体" w:hint="default"/>
        </w:rPr>
        <w:t>2013</w:t>
      </w:r>
      <w:r>
        <w:rPr>
          <w:rFonts w:ascii="宋体" w:hAnsi="宋体" w:cs="宋体" w:eastAsia="宋体" w:hint="default"/>
          <w:spacing w:val="-54"/>
        </w:rPr>
        <w:t> </w:t>
      </w:r>
      <w:r>
        <w:rPr/>
        <w:t>年起参。</w:t>
      </w:r>
    </w:p>
    <w:p>
      <w:pPr>
        <w:pStyle w:val="BodyText"/>
        <w:spacing w:line="355" w:lineRule="auto" w:before="30"/>
        <w:ind w:left="240" w:right="606" w:firstLine="420"/>
        <w:jc w:val="left"/>
      </w:pPr>
      <w:r>
        <w:rPr>
          <w:spacing w:val="-2"/>
        </w:rPr>
        <w:t>根据本公司与北京瑞诚广告有限公司签订的广告代理补充合同，本公司</w:t>
      </w:r>
      <w:r>
        <w:rPr>
          <w:rFonts w:ascii="宋体" w:hAnsi="宋体" w:cs="宋体" w:eastAsia="宋体" w:hint="default"/>
          <w:spacing w:val="-2"/>
        </w:rPr>
        <w:t>2010</w:t>
      </w:r>
      <w:r>
        <w:rPr>
          <w:spacing w:val="-2"/>
        </w:rPr>
        <w:t>年年末需预付北京瑞诚广告有限公</w:t>
      </w:r>
      <w:r>
        <w:rPr>
          <w:w w:val="100"/>
        </w:rPr>
        <w:t> </w:t>
      </w:r>
      <w:r>
        <w:rPr/>
        <w:t>司广告款</w:t>
      </w:r>
      <w:r>
        <w:rPr>
          <w:rFonts w:ascii="宋体" w:hAnsi="宋体" w:cs="宋体" w:eastAsia="宋体" w:hint="default"/>
        </w:rPr>
        <w:t>1,500</w:t>
      </w:r>
      <w:r>
        <w:rPr/>
        <w:t>万元，作为本公司</w:t>
      </w:r>
      <w:r>
        <w:rPr>
          <w:rFonts w:ascii="宋体" w:hAnsi="宋体" w:cs="宋体" w:eastAsia="宋体" w:hint="default"/>
        </w:rPr>
        <w:t>2011</w:t>
      </w:r>
      <w:r>
        <w:rPr/>
        <w:t>年广告播放的保证金。</w:t>
      </w:r>
    </w:p>
    <w:p>
      <w:pPr>
        <w:pStyle w:val="BodyText"/>
        <w:spacing w:line="355" w:lineRule="auto"/>
        <w:ind w:left="652" w:right="2551" w:firstLine="7"/>
        <w:jc w:val="left"/>
        <w:rPr>
          <w:rFonts w:ascii="宋体" w:hAnsi="宋体" w:cs="宋体" w:eastAsia="宋体" w:hint="default"/>
        </w:rPr>
      </w:pPr>
      <w:r>
        <w:rPr>
          <w:spacing w:val="-2"/>
        </w:rPr>
        <w:t>（</w:t>
      </w:r>
      <w:r>
        <w:rPr>
          <w:rFonts w:ascii="宋体" w:hAnsi="宋体" w:cs="宋体" w:eastAsia="宋体" w:hint="default"/>
          <w:spacing w:val="-2"/>
        </w:rPr>
        <w:t>3</w:t>
      </w:r>
      <w:r>
        <w:rPr>
          <w:spacing w:val="-2"/>
        </w:rPr>
        <w:t>）预付款项期末余额中无持有本公司</w:t>
      </w:r>
      <w:r>
        <w:rPr>
          <w:rFonts w:ascii="宋体" w:hAnsi="宋体" w:cs="宋体" w:eastAsia="宋体" w:hint="default"/>
          <w:spacing w:val="-2"/>
        </w:rPr>
        <w:t>5%(</w:t>
      </w:r>
      <w:r>
        <w:rPr>
          <w:spacing w:val="-2"/>
        </w:rPr>
        <w:t>含</w:t>
      </w:r>
      <w:r>
        <w:rPr>
          <w:rFonts w:ascii="宋体" w:hAnsi="宋体" w:cs="宋体" w:eastAsia="宋体" w:hint="default"/>
          <w:spacing w:val="-2"/>
        </w:rPr>
        <w:t>5%)</w:t>
      </w:r>
      <w:r>
        <w:rPr>
          <w:spacing w:val="-2"/>
        </w:rPr>
        <w:t>以上表决权股份的股东单位的款项。</w:t>
      </w:r>
      <w:r>
        <w:rPr>
          <w:spacing w:val="-39"/>
        </w:rPr>
        <w:t> </w:t>
      </w:r>
      <w:r>
        <w:rPr>
          <w:spacing w:val="-39"/>
        </w:rPr>
      </w:r>
      <w:r>
        <w:rPr>
          <w:rFonts w:ascii="宋体" w:hAnsi="宋体" w:cs="宋体" w:eastAsia="宋体" w:hint="default"/>
          <w:b/>
          <w:bCs/>
        </w:rPr>
        <w:t>5</w:t>
      </w:r>
      <w:r>
        <w:rPr>
          <w:rFonts w:ascii="宋体" w:hAnsi="宋体" w:cs="宋体" w:eastAsia="宋体" w:hint="default"/>
          <w:b/>
          <w:bCs/>
        </w:rPr>
        <w:t>、其他应收款</w:t>
      </w:r>
      <w:r>
        <w:rPr>
          <w:rFonts w:ascii="宋体" w:hAnsi="宋体" w:cs="宋体" w:eastAsia="宋体" w:hint="default"/>
        </w:rPr>
      </w:r>
    </w:p>
    <w:p>
      <w:pPr>
        <w:pStyle w:val="BodyText"/>
        <w:spacing w:line="240" w:lineRule="auto" w:before="34"/>
        <w:ind w:left="660" w:right="606"/>
        <w:jc w:val="left"/>
        <w:rPr>
          <w:rFonts w:ascii="宋体" w:hAnsi="宋体" w:cs="宋体" w:eastAsia="宋体" w:hint="default"/>
        </w:rPr>
      </w:pPr>
      <w:r>
        <w:rPr/>
        <w:t>（</w:t>
      </w:r>
      <w:r>
        <w:rPr>
          <w:rFonts w:ascii="宋体" w:hAnsi="宋体" w:cs="宋体" w:eastAsia="宋体" w:hint="default"/>
        </w:rPr>
        <w:t>1</w:t>
      </w:r>
      <w:r>
        <w:rPr/>
        <w:t>）其他应收款按种类分类</w:t>
      </w:r>
      <w:r>
        <w:rPr>
          <w:rFonts w:ascii="宋体" w:hAnsi="宋体" w:cs="宋体" w:eastAsia="宋体" w:hint="default"/>
        </w:rPr>
        <w:t>:</w:t>
      </w:r>
    </w:p>
    <w:p>
      <w:pPr>
        <w:spacing w:after="0" w:line="240" w:lineRule="auto"/>
        <w:jc w:val="left"/>
        <w:rPr>
          <w:rFonts w:ascii="宋体" w:hAnsi="宋体" w:cs="宋体" w:eastAsia="宋体" w:hint="default"/>
        </w:rPr>
        <w:sectPr>
          <w:pgSz w:w="11910" w:h="16840"/>
          <w:pgMar w:header="720" w:footer="956" w:top="1300" w:bottom="1140" w:left="480" w:right="0"/>
        </w:sectPr>
      </w:pPr>
    </w:p>
    <w:p>
      <w:pPr>
        <w:spacing w:line="240" w:lineRule="auto" w:before="7"/>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695"/>
        <w:gridCol w:w="1585"/>
        <w:gridCol w:w="670"/>
        <w:gridCol w:w="1481"/>
        <w:gridCol w:w="658"/>
        <w:gridCol w:w="1584"/>
        <w:gridCol w:w="757"/>
        <w:gridCol w:w="1481"/>
        <w:gridCol w:w="790"/>
      </w:tblGrid>
      <w:tr>
        <w:trPr>
          <w:trHeight w:val="456" w:hRule="exact"/>
        </w:trPr>
        <w:tc>
          <w:tcPr>
            <w:tcW w:w="1695"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tabs>
                <w:tab w:pos="1037" w:val="left" w:leader="none"/>
              </w:tabs>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393" w:type="dxa"/>
            <w:gridSpan w:val="4"/>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611"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3"/>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49" w:hRule="exact"/>
        </w:trPr>
        <w:tc>
          <w:tcPr>
            <w:tcW w:w="1695" w:type="dxa"/>
            <w:vMerge/>
            <w:tcBorders>
              <w:left w:val="nil" w:sz="6" w:space="0" w:color="auto"/>
              <w:right w:val="single" w:sz="8" w:space="0" w:color="000000"/>
            </w:tcBorders>
          </w:tcPr>
          <w:p>
            <w:pPr/>
          </w:p>
        </w:tc>
        <w:tc>
          <w:tcPr>
            <w:tcW w:w="225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3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70" w:type="dxa"/>
            <w:gridSpan w:val="2"/>
            <w:tcBorders>
              <w:top w:val="single" w:sz="8" w:space="0" w:color="000000"/>
              <w:left w:val="single" w:sz="8" w:space="0" w:color="000000"/>
              <w:bottom w:val="single" w:sz="8" w:space="0" w:color="000000"/>
              <w:right w:val="nil" w:sz="6" w:space="0" w:color="auto"/>
            </w:tcBorders>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0" w:hRule="exact"/>
        </w:trPr>
        <w:tc>
          <w:tcPr>
            <w:tcW w:w="1695" w:type="dxa"/>
            <w:vMerge/>
            <w:tcBorders>
              <w:left w:val="nil" w:sz="6" w:space="0" w:color="auto"/>
              <w:bottom w:val="single" w:sz="8" w:space="0" w:color="000000"/>
              <w:right w:val="single" w:sz="8" w:space="0" w:color="000000"/>
            </w:tcBorders>
          </w:tcPr>
          <w:p>
            <w:pP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18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5"/>
              <w:ind w:left="20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20" w:hRule="exact"/>
        </w:trPr>
        <w:tc>
          <w:tcPr>
            <w:tcW w:w="1695"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单项金额重大的其</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他应收款</w:t>
            </w:r>
          </w:p>
        </w:tc>
        <w:tc>
          <w:tcPr>
            <w:tcW w:w="1585" w:type="dxa"/>
            <w:tcBorders>
              <w:top w:val="single" w:sz="8" w:space="0" w:color="000000"/>
              <w:left w:val="single" w:sz="8" w:space="0" w:color="000000"/>
              <w:bottom w:val="single" w:sz="8" w:space="0" w:color="000000"/>
              <w:right w:val="single" w:sz="8" w:space="0" w:color="000000"/>
            </w:tcBorders>
          </w:tcPr>
          <w:p>
            <w:pPr/>
          </w:p>
        </w:tc>
        <w:tc>
          <w:tcPr>
            <w:tcW w:w="67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
        </w:tc>
        <w:tc>
          <w:tcPr>
            <w:tcW w:w="1584" w:type="dxa"/>
            <w:tcBorders>
              <w:top w:val="single" w:sz="8" w:space="0" w:color="000000"/>
              <w:left w:val="single" w:sz="8" w:space="0" w:color="000000"/>
              <w:bottom w:val="single" w:sz="8" w:space="0" w:color="000000"/>
              <w:right w:val="single" w:sz="8" w:space="0" w:color="000000"/>
            </w:tcBorders>
          </w:tcPr>
          <w:p>
            <w:pPr/>
          </w:p>
        </w:tc>
        <w:tc>
          <w:tcPr>
            <w:tcW w:w="757"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790" w:type="dxa"/>
            <w:tcBorders>
              <w:top w:val="single" w:sz="8" w:space="0" w:color="000000"/>
              <w:left w:val="single" w:sz="8" w:space="0" w:color="000000"/>
              <w:bottom w:val="single" w:sz="8" w:space="0" w:color="000000"/>
              <w:right w:val="nil" w:sz="6" w:space="0" w:color="auto"/>
            </w:tcBorders>
          </w:tcPr>
          <w:p>
            <w:pPr/>
          </w:p>
        </w:tc>
      </w:tr>
      <w:tr>
        <w:trPr>
          <w:trHeight w:val="1421" w:hRule="exact"/>
        </w:trPr>
        <w:tc>
          <w:tcPr>
            <w:tcW w:w="1695"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pacing w:val="2"/>
                <w:sz w:val="18"/>
                <w:szCs w:val="18"/>
              </w:rPr>
              <w:t>单项金额不重大但</w:t>
            </w:r>
          </w:p>
          <w:p>
            <w:pPr>
              <w:pStyle w:val="TableParagraph"/>
              <w:spacing w:line="357" w:lineRule="auto" w:before="115"/>
              <w:ind w:left="122" w:right="100"/>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z w:val="18"/>
                <w:szCs w:val="18"/>
              </w:rPr>
              <w:t> </w:t>
            </w:r>
            <w:r>
              <w:rPr>
                <w:rFonts w:ascii="宋体" w:hAnsi="宋体" w:cs="宋体" w:eastAsia="宋体" w:hint="default"/>
                <w:spacing w:val="2"/>
                <w:sz w:val="18"/>
                <w:szCs w:val="18"/>
              </w:rPr>
              <w:t>合后该组合的风险</w:t>
            </w:r>
            <w:r>
              <w:rPr>
                <w:rFonts w:ascii="宋体" w:hAnsi="宋体" w:cs="宋体" w:eastAsia="宋体" w:hint="default"/>
                <w:sz w:val="18"/>
                <w:szCs w:val="18"/>
              </w:rPr>
              <w:t> 较大的其他应收款</w:t>
            </w:r>
          </w:p>
        </w:tc>
        <w:tc>
          <w:tcPr>
            <w:tcW w:w="1585" w:type="dxa"/>
            <w:tcBorders>
              <w:top w:val="single" w:sz="8" w:space="0" w:color="000000"/>
              <w:left w:val="single" w:sz="8" w:space="0" w:color="000000"/>
              <w:bottom w:val="single" w:sz="8" w:space="0" w:color="000000"/>
              <w:right w:val="single" w:sz="8" w:space="0" w:color="000000"/>
            </w:tcBorders>
          </w:tcPr>
          <w:p>
            <w:pPr/>
          </w:p>
        </w:tc>
        <w:tc>
          <w:tcPr>
            <w:tcW w:w="670"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658" w:type="dxa"/>
            <w:tcBorders>
              <w:top w:val="single" w:sz="8" w:space="0" w:color="000000"/>
              <w:left w:val="single" w:sz="8" w:space="0" w:color="000000"/>
              <w:bottom w:val="single" w:sz="8" w:space="0" w:color="000000"/>
              <w:right w:val="single" w:sz="8" w:space="0" w:color="000000"/>
            </w:tcBorders>
          </w:tcPr>
          <w:p>
            <w:pPr/>
          </w:p>
        </w:tc>
        <w:tc>
          <w:tcPr>
            <w:tcW w:w="1584" w:type="dxa"/>
            <w:tcBorders>
              <w:top w:val="single" w:sz="8" w:space="0" w:color="000000"/>
              <w:left w:val="single" w:sz="8" w:space="0" w:color="000000"/>
              <w:bottom w:val="single" w:sz="8" w:space="0" w:color="000000"/>
              <w:right w:val="single" w:sz="8" w:space="0" w:color="000000"/>
            </w:tcBorders>
          </w:tcPr>
          <w:p>
            <w:pPr/>
          </w:p>
        </w:tc>
        <w:tc>
          <w:tcPr>
            <w:tcW w:w="757" w:type="dxa"/>
            <w:tcBorders>
              <w:top w:val="single" w:sz="8" w:space="0" w:color="000000"/>
              <w:left w:val="single" w:sz="8" w:space="0" w:color="000000"/>
              <w:bottom w:val="single" w:sz="8" w:space="0" w:color="000000"/>
              <w:right w:val="single" w:sz="8" w:space="0" w:color="000000"/>
            </w:tcBorders>
          </w:tcPr>
          <w:p>
            <w:pPr/>
          </w:p>
        </w:tc>
        <w:tc>
          <w:tcPr>
            <w:tcW w:w="1481" w:type="dxa"/>
            <w:tcBorders>
              <w:top w:val="single" w:sz="8" w:space="0" w:color="000000"/>
              <w:left w:val="single" w:sz="8" w:space="0" w:color="000000"/>
              <w:bottom w:val="single" w:sz="8" w:space="0" w:color="000000"/>
              <w:right w:val="single" w:sz="8" w:space="0" w:color="000000"/>
            </w:tcBorders>
          </w:tcPr>
          <w:p>
            <w:pPr/>
          </w:p>
        </w:tc>
        <w:tc>
          <w:tcPr>
            <w:tcW w:w="790" w:type="dxa"/>
            <w:tcBorders>
              <w:top w:val="single" w:sz="8" w:space="0" w:color="000000"/>
              <w:left w:val="single" w:sz="8" w:space="0" w:color="000000"/>
              <w:bottom w:val="single" w:sz="8" w:space="0" w:color="000000"/>
              <w:right w:val="nil" w:sz="6" w:space="0" w:color="auto"/>
            </w:tcBorders>
          </w:tcPr>
          <w:p>
            <w:pPr/>
          </w:p>
        </w:tc>
      </w:tr>
      <w:tr>
        <w:trPr>
          <w:trHeight w:val="723" w:hRule="exact"/>
        </w:trPr>
        <w:tc>
          <w:tcPr>
            <w:tcW w:w="1695"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其他不重大其他应</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1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6"/>
              <w:jc w:val="right"/>
              <w:rPr>
                <w:rFonts w:ascii="宋体" w:hAnsi="宋体" w:cs="宋体" w:eastAsia="宋体" w:hint="default"/>
                <w:sz w:val="18"/>
                <w:szCs w:val="18"/>
              </w:rPr>
            </w:pPr>
            <w:r>
              <w:rPr>
                <w:rFonts w:ascii="宋体"/>
                <w:spacing w:val="-1"/>
                <w:sz w:val="18"/>
              </w:rPr>
              <w:t>25,093,510.14</w:t>
            </w:r>
          </w:p>
        </w:tc>
        <w:tc>
          <w:tcPr>
            <w:tcW w:w="6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94" w:right="0"/>
              <w:jc w:val="center"/>
              <w:rPr>
                <w:rFonts w:ascii="宋体" w:hAnsi="宋体" w:cs="宋体" w:eastAsia="宋体" w:hint="default"/>
                <w:sz w:val="18"/>
                <w:szCs w:val="18"/>
              </w:rPr>
            </w:pPr>
            <w:r>
              <w:rPr>
                <w:rFonts w:ascii="宋体"/>
                <w:sz w:val="18"/>
              </w:rPr>
              <w:t>100%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1,565,499.21</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82" w:right="0"/>
              <w:jc w:val="center"/>
              <w:rPr>
                <w:rFonts w:ascii="宋体" w:hAnsi="宋体" w:cs="宋体" w:eastAsia="宋体" w:hint="default"/>
                <w:sz w:val="18"/>
                <w:szCs w:val="18"/>
              </w:rPr>
            </w:pPr>
            <w:r>
              <w:rPr>
                <w:rFonts w:ascii="宋体"/>
                <w:sz w:val="18"/>
              </w:rPr>
              <w:t>100%</w:t>
            </w:r>
          </w:p>
        </w:tc>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6"/>
              <w:jc w:val="right"/>
              <w:rPr>
                <w:rFonts w:ascii="宋体" w:hAnsi="宋体" w:cs="宋体" w:eastAsia="宋体" w:hint="default"/>
                <w:sz w:val="18"/>
                <w:szCs w:val="18"/>
              </w:rPr>
            </w:pPr>
            <w:r>
              <w:rPr>
                <w:rFonts w:ascii="宋体"/>
                <w:spacing w:val="-1"/>
                <w:sz w:val="18"/>
              </w:rPr>
              <w:t>23,278,558.61</w:t>
            </w:r>
          </w:p>
        </w:tc>
        <w:tc>
          <w:tcPr>
            <w:tcW w:w="7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6"/>
              <w:jc w:val="right"/>
              <w:rPr>
                <w:rFonts w:ascii="宋体" w:hAnsi="宋体" w:cs="宋体" w:eastAsia="宋体" w:hint="default"/>
                <w:sz w:val="18"/>
                <w:szCs w:val="18"/>
              </w:rPr>
            </w:pPr>
            <w:r>
              <w:rPr>
                <w:rFonts w:ascii="宋体"/>
                <w:sz w:val="18"/>
              </w:rPr>
              <w:t>100%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6"/>
              <w:jc w:val="right"/>
              <w:rPr>
                <w:rFonts w:ascii="宋体" w:hAnsi="宋体" w:cs="宋体" w:eastAsia="宋体" w:hint="default"/>
                <w:sz w:val="18"/>
                <w:szCs w:val="18"/>
              </w:rPr>
            </w:pPr>
            <w:r>
              <w:rPr>
                <w:rFonts w:ascii="宋体"/>
                <w:spacing w:val="-1"/>
                <w:sz w:val="18"/>
              </w:rPr>
              <w:t>1,442,434.09</w:t>
            </w:r>
          </w:p>
        </w:tc>
        <w:tc>
          <w:tcPr>
            <w:tcW w:w="79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5"/>
              <w:ind w:right="105"/>
              <w:jc w:val="right"/>
              <w:rPr>
                <w:rFonts w:ascii="宋体" w:hAnsi="宋体" w:cs="宋体" w:eastAsia="宋体" w:hint="default"/>
                <w:sz w:val="18"/>
                <w:szCs w:val="18"/>
              </w:rPr>
            </w:pPr>
            <w:r>
              <w:rPr>
                <w:rFonts w:ascii="宋体"/>
                <w:sz w:val="18"/>
              </w:rPr>
              <w:t>100%</w:t>
            </w:r>
          </w:p>
        </w:tc>
      </w:tr>
      <w:tr>
        <w:trPr>
          <w:trHeight w:val="514" w:hRule="exact"/>
        </w:trPr>
        <w:tc>
          <w:tcPr>
            <w:tcW w:w="1695" w:type="dxa"/>
            <w:tcBorders>
              <w:top w:val="single" w:sz="8" w:space="0" w:color="000000"/>
              <w:left w:val="nil" w:sz="6" w:space="0" w:color="auto"/>
              <w:bottom w:val="single" w:sz="12" w:space="0" w:color="000000"/>
              <w:right w:val="single" w:sz="8" w:space="0" w:color="000000"/>
            </w:tcBorders>
          </w:tcPr>
          <w:p>
            <w:pPr>
              <w:pStyle w:val="TableParagraph"/>
              <w:tabs>
                <w:tab w:pos="1037" w:val="left" w:leader="none"/>
              </w:tabs>
              <w:spacing w:line="240" w:lineRule="auto" w:before="37"/>
              <w:ind w:left="49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96"/>
              <w:jc w:val="right"/>
              <w:rPr>
                <w:rFonts w:ascii="宋体" w:hAnsi="宋体" w:cs="宋体" w:eastAsia="宋体" w:hint="default"/>
                <w:sz w:val="18"/>
                <w:szCs w:val="18"/>
              </w:rPr>
            </w:pPr>
            <w:r>
              <w:rPr>
                <w:rFonts w:ascii="宋体"/>
                <w:spacing w:val="-1"/>
                <w:sz w:val="18"/>
              </w:rPr>
              <w:t>25,093,510.14</w:t>
            </w:r>
          </w:p>
        </w:tc>
        <w:tc>
          <w:tcPr>
            <w:tcW w:w="67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left="94" w:right="0"/>
              <w:jc w:val="center"/>
              <w:rPr>
                <w:rFonts w:ascii="宋体" w:hAnsi="宋体" w:cs="宋体" w:eastAsia="宋体" w:hint="default"/>
                <w:sz w:val="18"/>
                <w:szCs w:val="18"/>
              </w:rPr>
            </w:pPr>
            <w:r>
              <w:rPr>
                <w:rFonts w:ascii="宋体"/>
                <w:sz w:val="18"/>
              </w:rPr>
              <w:t>100%</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98"/>
              <w:jc w:val="right"/>
              <w:rPr>
                <w:rFonts w:ascii="宋体" w:hAnsi="宋体" w:cs="宋体" w:eastAsia="宋体" w:hint="default"/>
                <w:sz w:val="18"/>
                <w:szCs w:val="18"/>
              </w:rPr>
            </w:pPr>
            <w:r>
              <w:rPr>
                <w:rFonts w:ascii="宋体"/>
                <w:spacing w:val="-1"/>
                <w:sz w:val="18"/>
              </w:rPr>
              <w:t>1,565,499.21</w:t>
            </w:r>
          </w:p>
        </w:tc>
        <w:tc>
          <w:tcPr>
            <w:tcW w:w="65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left="82" w:right="0"/>
              <w:jc w:val="center"/>
              <w:rPr>
                <w:rFonts w:ascii="宋体" w:hAnsi="宋体" w:cs="宋体" w:eastAsia="宋体" w:hint="default"/>
                <w:sz w:val="18"/>
                <w:szCs w:val="18"/>
              </w:rPr>
            </w:pPr>
            <w:r>
              <w:rPr>
                <w:rFonts w:ascii="宋体"/>
                <w:sz w:val="18"/>
              </w:rPr>
              <w:t>100%</w:t>
            </w:r>
          </w:p>
        </w:tc>
        <w:tc>
          <w:tcPr>
            <w:tcW w:w="158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96"/>
              <w:jc w:val="right"/>
              <w:rPr>
                <w:rFonts w:ascii="宋体" w:hAnsi="宋体" w:cs="宋体" w:eastAsia="宋体" w:hint="default"/>
                <w:sz w:val="18"/>
                <w:szCs w:val="18"/>
              </w:rPr>
            </w:pPr>
            <w:r>
              <w:rPr>
                <w:rFonts w:ascii="宋体"/>
                <w:spacing w:val="-1"/>
                <w:sz w:val="18"/>
              </w:rPr>
              <w:t>23,278,558.61</w:t>
            </w:r>
          </w:p>
        </w:tc>
        <w:tc>
          <w:tcPr>
            <w:tcW w:w="75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96"/>
              <w:jc w:val="right"/>
              <w:rPr>
                <w:rFonts w:ascii="宋体" w:hAnsi="宋体" w:cs="宋体" w:eastAsia="宋体" w:hint="default"/>
                <w:sz w:val="18"/>
                <w:szCs w:val="18"/>
              </w:rPr>
            </w:pPr>
            <w:r>
              <w:rPr>
                <w:rFonts w:ascii="宋体"/>
                <w:sz w:val="18"/>
              </w:rPr>
              <w:t>100%</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7"/>
              <w:ind w:right="96"/>
              <w:jc w:val="right"/>
              <w:rPr>
                <w:rFonts w:ascii="宋体" w:hAnsi="宋体" w:cs="宋体" w:eastAsia="宋体" w:hint="default"/>
                <w:sz w:val="18"/>
                <w:szCs w:val="18"/>
              </w:rPr>
            </w:pPr>
            <w:r>
              <w:rPr>
                <w:rFonts w:ascii="宋体"/>
                <w:spacing w:val="-1"/>
                <w:sz w:val="18"/>
              </w:rPr>
              <w:t>1,442,434.09</w:t>
            </w:r>
          </w:p>
        </w:tc>
        <w:tc>
          <w:tcPr>
            <w:tcW w:w="79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37"/>
              <w:ind w:right="105"/>
              <w:jc w:val="right"/>
              <w:rPr>
                <w:rFonts w:ascii="宋体" w:hAnsi="宋体" w:cs="宋体" w:eastAsia="宋体" w:hint="default"/>
                <w:sz w:val="18"/>
                <w:szCs w:val="18"/>
              </w:rPr>
            </w:pPr>
            <w:r>
              <w:rPr>
                <w:rFonts w:ascii="宋体"/>
                <w:sz w:val="18"/>
              </w:rPr>
              <w:t>100%</w:t>
            </w:r>
          </w:p>
        </w:tc>
      </w:tr>
    </w:tbl>
    <w:p>
      <w:pPr>
        <w:pStyle w:val="BodyText"/>
        <w:spacing w:line="240" w:lineRule="auto" w:before="86"/>
        <w:ind w:left="660" w:right="606"/>
        <w:jc w:val="left"/>
        <w:rPr>
          <w:rFonts w:ascii="宋体" w:hAnsi="宋体" w:cs="宋体" w:eastAsia="宋体" w:hint="default"/>
        </w:rPr>
      </w:pPr>
      <w:r>
        <w:rPr/>
        <w:t>（</w:t>
      </w:r>
      <w:r>
        <w:rPr>
          <w:rFonts w:ascii="宋体" w:hAnsi="宋体" w:cs="宋体" w:eastAsia="宋体" w:hint="default"/>
        </w:rPr>
        <w:t>2</w:t>
      </w:r>
      <w:r>
        <w:rPr/>
        <w:t>）其他不重大其他应收款按账龄分类</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738"/>
        <w:gridCol w:w="1745"/>
        <w:gridCol w:w="1224"/>
        <w:gridCol w:w="1661"/>
        <w:gridCol w:w="1622"/>
        <w:gridCol w:w="1227"/>
        <w:gridCol w:w="1481"/>
      </w:tblGrid>
      <w:tr>
        <w:trPr>
          <w:trHeight w:val="547" w:hRule="exact"/>
        </w:trPr>
        <w:tc>
          <w:tcPr>
            <w:tcW w:w="173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9" w:right="0"/>
              <w:jc w:val="center"/>
              <w:rPr>
                <w:rFonts w:ascii="宋体" w:hAnsi="宋体" w:cs="宋体" w:eastAsia="宋体" w:hint="default"/>
                <w:sz w:val="18"/>
                <w:szCs w:val="18"/>
              </w:rPr>
            </w:pPr>
            <w:r>
              <w:rPr>
                <w:rFonts w:ascii="宋体" w:hAnsi="宋体" w:cs="宋体" w:eastAsia="宋体" w:hint="default"/>
                <w:sz w:val="18"/>
                <w:szCs w:val="18"/>
              </w:rPr>
              <w:t>账 </w:t>
            </w:r>
            <w:r>
              <w:rPr>
                <w:rFonts w:ascii="宋体" w:hAnsi="宋体" w:cs="宋体" w:eastAsia="宋体" w:hint="default"/>
                <w:spacing w:val="2"/>
                <w:sz w:val="18"/>
                <w:szCs w:val="18"/>
              </w:rPr>
              <w:t> </w:t>
            </w:r>
            <w:r>
              <w:rPr>
                <w:rFonts w:ascii="宋体" w:hAnsi="宋体" w:cs="宋体" w:eastAsia="宋体" w:hint="default"/>
                <w:sz w:val="18"/>
                <w:szCs w:val="18"/>
              </w:rPr>
              <w:t>龄</w:t>
            </w:r>
          </w:p>
        </w:tc>
        <w:tc>
          <w:tcPr>
            <w:tcW w:w="4631" w:type="dxa"/>
            <w:gridSpan w:val="3"/>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30"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35" w:hRule="exact"/>
        </w:trPr>
        <w:tc>
          <w:tcPr>
            <w:tcW w:w="1738" w:type="dxa"/>
            <w:vMerge/>
            <w:tcBorders>
              <w:left w:val="nil" w:sz="6" w:space="0" w:color="auto"/>
              <w:right w:val="single" w:sz="4" w:space="0" w:color="000000"/>
            </w:tcBorders>
          </w:tcPr>
          <w:p>
            <w:pPr/>
          </w:p>
        </w:tc>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6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81" w:type="dxa"/>
            <w:vMerge w:val="restart"/>
            <w:tcBorders>
              <w:top w:val="single" w:sz="4" w:space="0" w:color="000000"/>
              <w:left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5" w:hRule="exact"/>
        </w:trPr>
        <w:tc>
          <w:tcPr>
            <w:tcW w:w="1738" w:type="dxa"/>
            <w:vMerge/>
            <w:tcBorders>
              <w:left w:val="nil" w:sz="6" w:space="0" w:color="auto"/>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661" w:type="dxa"/>
            <w:vMerge/>
            <w:tcBorders>
              <w:left w:val="single" w:sz="4" w:space="0" w:color="000000"/>
              <w:bottom w:val="single" w:sz="4" w:space="0" w:color="000000"/>
              <w:right w:val="single" w:sz="4" w:space="0" w:color="000000"/>
            </w:tcBorders>
          </w:tcPr>
          <w:p>
            <w:pP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481" w:type="dxa"/>
            <w:vMerge/>
            <w:tcBorders>
              <w:left w:val="single" w:sz="4" w:space="0" w:color="000000"/>
              <w:bottom w:val="single" w:sz="4" w:space="0" w:color="000000"/>
              <w:right w:val="nil" w:sz="6" w:space="0" w:color="auto"/>
            </w:tcBorders>
          </w:tcPr>
          <w:p>
            <w:pPr/>
          </w:p>
        </w:tc>
      </w:tr>
      <w:tr>
        <w:trPr>
          <w:trHeight w:val="538"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pacing w:val="-1"/>
                <w:sz w:val="18"/>
              </w:rPr>
              <w:t>24,221,890.00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pacing w:val="-1"/>
                <w:sz w:val="18"/>
              </w:rPr>
              <w:t>96.53%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1,453,313.41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21,966,510.10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94.36%</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1,317,990.60</w:t>
            </w:r>
          </w:p>
        </w:tc>
      </w:tr>
      <w:tr>
        <w:trPr>
          <w:trHeight w:val="536"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18"/>
                <w:szCs w:val="18"/>
              </w:rPr>
            </w:pPr>
            <w:r>
              <w:rPr>
                <w:rFonts w:ascii="宋体"/>
                <w:spacing w:val="-1"/>
                <w:sz w:val="18"/>
              </w:rPr>
              <w:t>251,051.68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98"/>
              <w:jc w:val="right"/>
              <w:rPr>
                <w:rFonts w:ascii="宋体" w:hAnsi="宋体" w:cs="宋体" w:eastAsia="宋体" w:hint="default"/>
                <w:sz w:val="18"/>
                <w:szCs w:val="18"/>
              </w:rPr>
            </w:pPr>
            <w:r>
              <w:rPr>
                <w:rFonts w:ascii="宋体"/>
                <w:sz w:val="18"/>
              </w:rPr>
              <w:t>1.00%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18"/>
                <w:szCs w:val="18"/>
              </w:rPr>
            </w:pPr>
            <w:r>
              <w:rPr>
                <w:rFonts w:ascii="宋体"/>
                <w:spacing w:val="-1"/>
                <w:sz w:val="18"/>
              </w:rPr>
              <w:t>20,084.13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18"/>
                <w:szCs w:val="18"/>
              </w:rPr>
            </w:pPr>
            <w:r>
              <w:rPr>
                <w:rFonts w:ascii="宋体"/>
                <w:spacing w:val="-1"/>
                <w:sz w:val="18"/>
              </w:rPr>
              <w:t>948,570.06</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0"/>
              <w:jc w:val="right"/>
              <w:rPr>
                <w:rFonts w:ascii="宋体" w:hAnsi="宋体" w:cs="宋体" w:eastAsia="宋体" w:hint="default"/>
                <w:sz w:val="18"/>
                <w:szCs w:val="18"/>
              </w:rPr>
            </w:pPr>
            <w:r>
              <w:rPr>
                <w:rFonts w:ascii="宋体"/>
                <w:sz w:val="18"/>
              </w:rPr>
              <w:t>4.08%</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4"/>
              <w:ind w:right="107"/>
              <w:jc w:val="right"/>
              <w:rPr>
                <w:rFonts w:ascii="宋体" w:hAnsi="宋体" w:cs="宋体" w:eastAsia="宋体" w:hint="default"/>
                <w:sz w:val="18"/>
                <w:szCs w:val="18"/>
              </w:rPr>
            </w:pPr>
            <w:r>
              <w:rPr>
                <w:rFonts w:ascii="宋体"/>
                <w:spacing w:val="-1"/>
                <w:sz w:val="18"/>
              </w:rPr>
              <w:t>75,885.61</w:t>
            </w:r>
          </w:p>
        </w:tc>
      </w:tr>
      <w:tr>
        <w:trPr>
          <w:trHeight w:val="535"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429,468.05</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1.71%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42,946.81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265,335.84</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1.14%</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26,533.58</w:t>
            </w:r>
          </w:p>
        </w:tc>
      </w:tr>
      <w:tr>
        <w:trPr>
          <w:trHeight w:val="538"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96,257.80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0.38%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19,251.56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88,090.01</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0.38%</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17,618.00</w:t>
            </w:r>
          </w:p>
        </w:tc>
      </w:tr>
      <w:tr>
        <w:trPr>
          <w:trHeight w:val="535"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18"/>
                <w:szCs w:val="18"/>
              </w:rPr>
            </w:pPr>
            <w:r>
              <w:rPr>
                <w:rFonts w:ascii="宋体"/>
                <w:spacing w:val="-1"/>
                <w:sz w:val="18"/>
              </w:rPr>
              <w:t>87,590.01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0.35%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26,277.00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pacing w:val="-1"/>
                <w:sz w:val="18"/>
              </w:rPr>
              <w:t>3,100.00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18"/>
                <w:szCs w:val="18"/>
              </w:rPr>
            </w:pPr>
            <w:r>
              <w:rPr>
                <w:rFonts w:ascii="宋体"/>
                <w:sz w:val="18"/>
              </w:rPr>
              <w:t>0.01%</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930.00</w:t>
            </w:r>
          </w:p>
        </w:tc>
      </w:tr>
      <w:tr>
        <w:trPr>
          <w:trHeight w:val="535" w:hRule="exact"/>
        </w:trPr>
        <w:tc>
          <w:tcPr>
            <w:tcW w:w="173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7,252.60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0.03%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3,626.30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pacing w:val="-1"/>
                <w:sz w:val="18"/>
              </w:rPr>
              <w:t>6,952.60</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0.03%</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3,476.30</w:t>
            </w:r>
          </w:p>
        </w:tc>
      </w:tr>
      <w:tr>
        <w:trPr>
          <w:trHeight w:val="547" w:hRule="exact"/>
        </w:trPr>
        <w:tc>
          <w:tcPr>
            <w:tcW w:w="1738"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7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4"/>
              <w:jc w:val="right"/>
              <w:rPr>
                <w:rFonts w:ascii="宋体" w:hAnsi="宋体" w:cs="宋体" w:eastAsia="宋体" w:hint="default"/>
                <w:sz w:val="18"/>
                <w:szCs w:val="18"/>
              </w:rPr>
            </w:pPr>
            <w:r>
              <w:rPr>
                <w:rFonts w:ascii="宋体"/>
                <w:spacing w:val="-1"/>
                <w:sz w:val="18"/>
              </w:rPr>
              <w:t>25,093,510.14</w:t>
            </w:r>
          </w:p>
        </w:tc>
        <w:tc>
          <w:tcPr>
            <w:tcW w:w="12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98"/>
              <w:jc w:val="right"/>
              <w:rPr>
                <w:rFonts w:ascii="宋体" w:hAnsi="宋体" w:cs="宋体" w:eastAsia="宋体" w:hint="default"/>
                <w:sz w:val="18"/>
                <w:szCs w:val="18"/>
              </w:rPr>
            </w:pPr>
            <w:r>
              <w:rPr>
                <w:rFonts w:ascii="宋体"/>
                <w:sz w:val="18"/>
              </w:rPr>
              <w:t>100.00%</w:t>
            </w:r>
          </w:p>
        </w:tc>
        <w:tc>
          <w:tcPr>
            <w:tcW w:w="166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1,565,499.21</w:t>
            </w:r>
          </w:p>
        </w:tc>
        <w:tc>
          <w:tcPr>
            <w:tcW w:w="16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23,278,558.61</w:t>
            </w:r>
          </w:p>
        </w:tc>
        <w:tc>
          <w:tcPr>
            <w:tcW w:w="12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00"/>
              <w:jc w:val="right"/>
              <w:rPr>
                <w:rFonts w:ascii="宋体" w:hAnsi="宋体" w:cs="宋体" w:eastAsia="宋体" w:hint="default"/>
                <w:sz w:val="18"/>
                <w:szCs w:val="18"/>
              </w:rPr>
            </w:pPr>
            <w:r>
              <w:rPr>
                <w:rFonts w:ascii="宋体"/>
                <w:sz w:val="18"/>
              </w:rPr>
              <w:t>100.00%</w:t>
            </w:r>
          </w:p>
        </w:tc>
        <w:tc>
          <w:tcPr>
            <w:tcW w:w="148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1,442,434.09</w:t>
            </w:r>
          </w:p>
        </w:tc>
      </w:tr>
    </w:tbl>
    <w:p>
      <w:pPr>
        <w:pStyle w:val="BodyText"/>
        <w:spacing w:line="240" w:lineRule="auto" w:before="86"/>
        <w:ind w:left="660" w:right="606"/>
        <w:jc w:val="left"/>
      </w:pPr>
      <w:r>
        <w:rPr/>
        <w:t>（</w:t>
      </w:r>
      <w:r>
        <w:rPr>
          <w:rFonts w:ascii="宋体" w:hAnsi="宋体" w:cs="宋体" w:eastAsia="宋体" w:hint="default"/>
        </w:rPr>
        <w:t>3</w:t>
      </w:r>
      <w:r>
        <w:rPr/>
        <w:t>）其他应收款期末余额位列前五名的单位：</w:t>
      </w:r>
    </w:p>
    <w:p>
      <w:pPr>
        <w:spacing w:line="240" w:lineRule="auto" w:before="11"/>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888"/>
        <w:gridCol w:w="1654"/>
        <w:gridCol w:w="1654"/>
        <w:gridCol w:w="1783"/>
        <w:gridCol w:w="2720"/>
      </w:tblGrid>
      <w:tr>
        <w:trPr>
          <w:trHeight w:val="701" w:hRule="exact"/>
        </w:trPr>
        <w:tc>
          <w:tcPr>
            <w:tcW w:w="288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33"/>
              <w:ind w:left="2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5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5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3"/>
              <w:ind w:left="2"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78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3"/>
              <w:ind w:right="521"/>
              <w:jc w:val="right"/>
              <w:rPr>
                <w:rFonts w:ascii="宋体" w:hAnsi="宋体" w:cs="宋体" w:eastAsia="宋体" w:hint="default"/>
                <w:sz w:val="18"/>
                <w:szCs w:val="18"/>
              </w:rPr>
            </w:pPr>
            <w:r>
              <w:rPr>
                <w:rFonts w:ascii="宋体" w:hAnsi="宋体" w:cs="宋体" w:eastAsia="宋体" w:hint="default"/>
                <w:sz w:val="18"/>
                <w:szCs w:val="18"/>
              </w:rPr>
              <w:t>欠款年限</w:t>
            </w:r>
          </w:p>
        </w:tc>
        <w:tc>
          <w:tcPr>
            <w:tcW w:w="272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33"/>
              <w:ind w:left="358" w:right="0"/>
              <w:jc w:val="left"/>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696" w:hRule="exact"/>
        </w:trPr>
        <w:tc>
          <w:tcPr>
            <w:tcW w:w="28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梁利剑</w:t>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销售员</w:t>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5"/>
              <w:jc w:val="right"/>
              <w:rPr>
                <w:rFonts w:ascii="宋体" w:hAnsi="宋体" w:cs="宋体" w:eastAsia="宋体" w:hint="default"/>
                <w:sz w:val="18"/>
                <w:szCs w:val="18"/>
              </w:rPr>
            </w:pPr>
            <w:r>
              <w:rPr>
                <w:rFonts w:ascii="宋体"/>
                <w:spacing w:val="-1"/>
                <w:sz w:val="18"/>
              </w:rPr>
              <w:t>442,226.72</w:t>
            </w:r>
          </w:p>
        </w:tc>
        <w:tc>
          <w:tcPr>
            <w:tcW w:w="17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521"/>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7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1.76%</w:t>
            </w:r>
          </w:p>
        </w:tc>
      </w:tr>
      <w:tr>
        <w:trPr>
          <w:trHeight w:val="696" w:hRule="exact"/>
        </w:trPr>
        <w:tc>
          <w:tcPr>
            <w:tcW w:w="28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王娜</w:t>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销售员</w:t>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96"/>
              <w:jc w:val="right"/>
              <w:rPr>
                <w:rFonts w:ascii="宋体" w:hAnsi="宋体" w:cs="宋体" w:eastAsia="宋体" w:hint="default"/>
                <w:sz w:val="18"/>
                <w:szCs w:val="18"/>
              </w:rPr>
            </w:pPr>
            <w:r>
              <w:rPr>
                <w:rFonts w:ascii="宋体"/>
                <w:spacing w:val="-1"/>
                <w:sz w:val="18"/>
              </w:rPr>
              <w:t>427,535.77</w:t>
            </w:r>
          </w:p>
        </w:tc>
        <w:tc>
          <w:tcPr>
            <w:tcW w:w="17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521"/>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7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1.70%</w:t>
            </w:r>
          </w:p>
        </w:tc>
      </w:tr>
      <w:tr>
        <w:trPr>
          <w:trHeight w:val="703" w:hRule="exact"/>
        </w:trPr>
        <w:tc>
          <w:tcPr>
            <w:tcW w:w="2888"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33"/>
              <w:ind w:left="122" w:right="0"/>
              <w:jc w:val="left"/>
              <w:rPr>
                <w:rFonts w:ascii="宋体" w:hAnsi="宋体" w:cs="宋体" w:eastAsia="宋体" w:hint="default"/>
                <w:sz w:val="18"/>
                <w:szCs w:val="18"/>
              </w:rPr>
            </w:pPr>
            <w:r>
              <w:rPr>
                <w:rFonts w:ascii="宋体" w:hAnsi="宋体" w:cs="宋体" w:eastAsia="宋体" w:hint="default"/>
                <w:sz w:val="18"/>
                <w:szCs w:val="18"/>
              </w:rPr>
              <w:t>王相乾</w:t>
            </w:r>
          </w:p>
        </w:tc>
        <w:tc>
          <w:tcPr>
            <w:tcW w:w="165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销售员</w:t>
            </w:r>
          </w:p>
        </w:tc>
        <w:tc>
          <w:tcPr>
            <w:tcW w:w="165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3"/>
              <w:ind w:right="96"/>
              <w:jc w:val="right"/>
              <w:rPr>
                <w:rFonts w:ascii="宋体" w:hAnsi="宋体" w:cs="宋体" w:eastAsia="宋体" w:hint="default"/>
                <w:sz w:val="18"/>
                <w:szCs w:val="18"/>
              </w:rPr>
            </w:pPr>
            <w:r>
              <w:rPr>
                <w:rFonts w:ascii="宋体"/>
                <w:spacing w:val="-1"/>
                <w:sz w:val="18"/>
              </w:rPr>
              <w:t>418,314.21</w:t>
            </w:r>
          </w:p>
        </w:tc>
        <w:tc>
          <w:tcPr>
            <w:tcW w:w="178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3"/>
              <w:ind w:right="521"/>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72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33"/>
              <w:ind w:right="107"/>
              <w:jc w:val="right"/>
              <w:rPr>
                <w:rFonts w:ascii="宋体" w:hAnsi="宋体" w:cs="宋体" w:eastAsia="宋体" w:hint="default"/>
                <w:sz w:val="18"/>
                <w:szCs w:val="18"/>
              </w:rPr>
            </w:pPr>
            <w:r>
              <w:rPr>
                <w:rFonts w:ascii="宋体"/>
                <w:sz w:val="18"/>
              </w:rPr>
              <w:t>1.67%</w:t>
            </w:r>
          </w:p>
        </w:tc>
      </w:tr>
    </w:tbl>
    <w:p>
      <w:pPr>
        <w:spacing w:after="0" w:line="240" w:lineRule="auto"/>
        <w:jc w:val="right"/>
        <w:rPr>
          <w:rFonts w:ascii="宋体" w:hAnsi="宋体" w:cs="宋体" w:eastAsia="宋体" w:hint="default"/>
          <w:sz w:val="18"/>
          <w:szCs w:val="18"/>
        </w:rPr>
        <w:sectPr>
          <w:pgSz w:w="11910" w:h="16840"/>
          <w:pgMar w:header="720" w:footer="956" w:top="1300" w:bottom="1140" w:left="480" w:right="0"/>
        </w:sectPr>
      </w:pPr>
    </w:p>
    <w:p>
      <w:pPr>
        <w:spacing w:line="240" w:lineRule="auto" w:before="7"/>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888"/>
        <w:gridCol w:w="1654"/>
        <w:gridCol w:w="1654"/>
        <w:gridCol w:w="1783"/>
        <w:gridCol w:w="2720"/>
      </w:tblGrid>
      <w:tr>
        <w:trPr>
          <w:trHeight w:val="708" w:hRule="exact"/>
        </w:trPr>
        <w:tc>
          <w:tcPr>
            <w:tcW w:w="2888"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37"/>
              <w:ind w:left="122" w:right="0"/>
              <w:jc w:val="left"/>
              <w:rPr>
                <w:rFonts w:ascii="宋体" w:hAnsi="宋体" w:cs="宋体" w:eastAsia="宋体" w:hint="default"/>
                <w:sz w:val="18"/>
                <w:szCs w:val="18"/>
              </w:rPr>
            </w:pPr>
            <w:r>
              <w:rPr>
                <w:rFonts w:ascii="宋体" w:hAnsi="宋体" w:cs="宋体" w:eastAsia="宋体" w:hint="default"/>
                <w:sz w:val="18"/>
                <w:szCs w:val="18"/>
              </w:rPr>
              <w:t>丁建忠</w:t>
            </w:r>
          </w:p>
        </w:tc>
        <w:tc>
          <w:tcPr>
            <w:tcW w:w="165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销售员</w:t>
            </w:r>
          </w:p>
        </w:tc>
        <w:tc>
          <w:tcPr>
            <w:tcW w:w="1654"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7"/>
              <w:ind w:right="96"/>
              <w:jc w:val="right"/>
              <w:rPr>
                <w:rFonts w:ascii="宋体" w:hAnsi="宋体" w:cs="宋体" w:eastAsia="宋体" w:hint="default"/>
                <w:sz w:val="18"/>
                <w:szCs w:val="18"/>
              </w:rPr>
            </w:pPr>
            <w:r>
              <w:rPr>
                <w:rFonts w:ascii="宋体"/>
                <w:spacing w:val="-1"/>
                <w:sz w:val="18"/>
              </w:rPr>
              <w:t>417,453.40</w:t>
            </w:r>
          </w:p>
        </w:tc>
        <w:tc>
          <w:tcPr>
            <w:tcW w:w="178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37"/>
              <w:ind w:right="521"/>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72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37"/>
              <w:ind w:right="107"/>
              <w:jc w:val="right"/>
              <w:rPr>
                <w:rFonts w:ascii="宋体" w:hAnsi="宋体" w:cs="宋体" w:eastAsia="宋体" w:hint="default"/>
                <w:sz w:val="18"/>
                <w:szCs w:val="18"/>
              </w:rPr>
            </w:pPr>
            <w:r>
              <w:rPr>
                <w:rFonts w:ascii="宋体"/>
                <w:sz w:val="18"/>
              </w:rPr>
              <w:t>1.66%</w:t>
            </w:r>
          </w:p>
        </w:tc>
      </w:tr>
      <w:tr>
        <w:trPr>
          <w:trHeight w:val="696" w:hRule="exact"/>
        </w:trPr>
        <w:tc>
          <w:tcPr>
            <w:tcW w:w="2888"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30"/>
              <w:ind w:left="122" w:right="0"/>
              <w:jc w:val="left"/>
              <w:rPr>
                <w:rFonts w:ascii="宋体" w:hAnsi="宋体" w:cs="宋体" w:eastAsia="宋体" w:hint="default"/>
                <w:sz w:val="18"/>
                <w:szCs w:val="18"/>
              </w:rPr>
            </w:pPr>
            <w:r>
              <w:rPr>
                <w:rFonts w:ascii="宋体" w:hAnsi="宋体" w:cs="宋体" w:eastAsia="宋体" w:hint="default"/>
                <w:sz w:val="18"/>
                <w:szCs w:val="18"/>
              </w:rPr>
              <w:t>杜国民</w:t>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销售员</w:t>
            </w:r>
          </w:p>
        </w:tc>
        <w:tc>
          <w:tcPr>
            <w:tcW w:w="16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6"/>
              <w:jc w:val="right"/>
              <w:rPr>
                <w:rFonts w:ascii="宋体" w:hAnsi="宋体" w:cs="宋体" w:eastAsia="宋体" w:hint="default"/>
                <w:sz w:val="18"/>
                <w:szCs w:val="18"/>
              </w:rPr>
            </w:pPr>
            <w:r>
              <w:rPr>
                <w:rFonts w:ascii="宋体"/>
                <w:spacing w:val="-1"/>
                <w:sz w:val="18"/>
              </w:rPr>
              <w:t>414,194.13</w:t>
            </w:r>
          </w:p>
        </w:tc>
        <w:tc>
          <w:tcPr>
            <w:tcW w:w="17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521"/>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272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1.65%</w:t>
            </w:r>
          </w:p>
        </w:tc>
      </w:tr>
      <w:tr>
        <w:trPr>
          <w:trHeight w:val="703" w:hRule="exact"/>
        </w:trPr>
        <w:tc>
          <w:tcPr>
            <w:tcW w:w="2888" w:type="dxa"/>
            <w:tcBorders>
              <w:top w:val="single" w:sz="8" w:space="0" w:color="000000"/>
              <w:left w:val="nil" w:sz="6" w:space="0" w:color="auto"/>
              <w:bottom w:val="single" w:sz="12" w:space="0" w:color="000000"/>
              <w:right w:val="single" w:sz="8" w:space="0" w:color="000000"/>
            </w:tcBorders>
          </w:tcPr>
          <w:p>
            <w:pPr>
              <w:pStyle w:val="TableParagraph"/>
              <w:tabs>
                <w:tab w:pos="566" w:val="left" w:leader="none"/>
              </w:tabs>
              <w:spacing w:line="240" w:lineRule="auto" w:before="130"/>
              <w:ind w:left="24"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54" w:type="dxa"/>
            <w:tcBorders>
              <w:top w:val="single" w:sz="8" w:space="0" w:color="000000"/>
              <w:left w:val="single" w:sz="8" w:space="0" w:color="000000"/>
              <w:bottom w:val="single" w:sz="12" w:space="0" w:color="000000"/>
              <w:right w:val="single" w:sz="8" w:space="0" w:color="000000"/>
            </w:tcBorders>
          </w:tcPr>
          <w:p>
            <w:pPr/>
          </w:p>
        </w:tc>
        <w:tc>
          <w:tcPr>
            <w:tcW w:w="165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30"/>
              <w:ind w:right="96"/>
              <w:jc w:val="right"/>
              <w:rPr>
                <w:rFonts w:ascii="宋体" w:hAnsi="宋体" w:cs="宋体" w:eastAsia="宋体" w:hint="default"/>
                <w:sz w:val="18"/>
                <w:szCs w:val="18"/>
              </w:rPr>
            </w:pPr>
            <w:r>
              <w:rPr>
                <w:rFonts w:ascii="宋体"/>
                <w:spacing w:val="-1"/>
                <w:sz w:val="18"/>
              </w:rPr>
              <w:t>2,119,724.23</w:t>
            </w:r>
          </w:p>
        </w:tc>
        <w:tc>
          <w:tcPr>
            <w:tcW w:w="1783" w:type="dxa"/>
            <w:tcBorders>
              <w:top w:val="single" w:sz="8" w:space="0" w:color="000000"/>
              <w:left w:val="single" w:sz="8" w:space="0" w:color="000000"/>
              <w:bottom w:val="single" w:sz="12" w:space="0" w:color="000000"/>
              <w:right w:val="single" w:sz="8" w:space="0" w:color="000000"/>
            </w:tcBorders>
          </w:tcPr>
          <w:p>
            <w:pPr/>
          </w:p>
        </w:tc>
        <w:tc>
          <w:tcPr>
            <w:tcW w:w="272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30"/>
              <w:ind w:right="107"/>
              <w:jc w:val="right"/>
              <w:rPr>
                <w:rFonts w:ascii="宋体" w:hAnsi="宋体" w:cs="宋体" w:eastAsia="宋体" w:hint="default"/>
                <w:sz w:val="18"/>
                <w:szCs w:val="18"/>
              </w:rPr>
            </w:pPr>
            <w:r>
              <w:rPr>
                <w:rFonts w:ascii="宋体"/>
                <w:sz w:val="18"/>
              </w:rPr>
              <w:t>8.45%</w:t>
            </w:r>
          </w:p>
        </w:tc>
      </w:tr>
    </w:tbl>
    <w:p>
      <w:pPr>
        <w:pStyle w:val="BodyText"/>
        <w:spacing w:line="355" w:lineRule="auto" w:before="86"/>
        <w:ind w:left="652" w:right="1326" w:firstLine="7"/>
        <w:jc w:val="left"/>
        <w:rPr>
          <w:rFonts w:ascii="宋体" w:hAnsi="宋体" w:cs="宋体" w:eastAsia="宋体" w:hint="default"/>
        </w:rPr>
      </w:pPr>
      <w:r>
        <w:rPr>
          <w:spacing w:val="-2"/>
        </w:rPr>
        <w:t>（</w:t>
      </w:r>
      <w:r>
        <w:rPr>
          <w:rFonts w:ascii="宋体" w:hAnsi="宋体" w:cs="宋体" w:eastAsia="宋体" w:hint="default"/>
          <w:spacing w:val="-2"/>
        </w:rPr>
        <w:t>4</w:t>
      </w:r>
      <w:r>
        <w:rPr>
          <w:spacing w:val="-2"/>
        </w:rPr>
        <w:t>）其他应收款期末余额中无持有本公司</w:t>
      </w:r>
      <w:r>
        <w:rPr>
          <w:rFonts w:ascii="宋体" w:hAnsi="宋体" w:cs="宋体" w:eastAsia="宋体" w:hint="default"/>
          <w:spacing w:val="-2"/>
        </w:rPr>
        <w:t>5%(</w:t>
      </w:r>
      <w:r>
        <w:rPr>
          <w:spacing w:val="-2"/>
        </w:rPr>
        <w:t>含</w:t>
      </w:r>
      <w:r>
        <w:rPr>
          <w:rFonts w:ascii="宋体" w:hAnsi="宋体" w:cs="宋体" w:eastAsia="宋体" w:hint="default"/>
          <w:spacing w:val="-2"/>
        </w:rPr>
        <w:t>5%)</w:t>
      </w:r>
      <w:r>
        <w:rPr>
          <w:spacing w:val="-2"/>
        </w:rPr>
        <w:t>以上表决权股份的股东单位及关联方单位的款项。</w:t>
      </w:r>
      <w:r>
        <w:rPr>
          <w:spacing w:val="-23"/>
        </w:rPr>
        <w:t> </w:t>
      </w:r>
      <w:r>
        <w:rPr>
          <w:spacing w:val="-23"/>
        </w:rPr>
      </w:r>
      <w:r>
        <w:rPr>
          <w:rFonts w:ascii="宋体" w:hAnsi="宋体" w:cs="宋体" w:eastAsia="宋体" w:hint="default"/>
          <w:b/>
          <w:bCs/>
        </w:rPr>
        <w:t>6</w:t>
      </w:r>
      <w:r>
        <w:rPr>
          <w:rFonts w:ascii="宋体" w:hAnsi="宋体" w:cs="宋体" w:eastAsia="宋体" w:hint="default"/>
          <w:b/>
          <w:bCs/>
        </w:rPr>
        <w:t>、存货</w:t>
      </w:r>
      <w:r>
        <w:rPr>
          <w:rFonts w:ascii="宋体" w:hAnsi="宋体" w:cs="宋体" w:eastAsia="宋体" w:hint="default"/>
        </w:rPr>
      </w:r>
    </w:p>
    <w:p>
      <w:pPr>
        <w:pStyle w:val="BodyText"/>
        <w:spacing w:line="240" w:lineRule="auto"/>
        <w:ind w:left="652" w:right="606"/>
        <w:jc w:val="left"/>
      </w:pPr>
      <w:r>
        <w:rPr/>
        <w:t>（</w:t>
      </w:r>
      <w:r>
        <w:rPr>
          <w:rFonts w:ascii="宋体" w:hAnsi="宋体" w:cs="宋体" w:eastAsia="宋体" w:hint="default"/>
        </w:rPr>
        <w:t>1</w:t>
      </w:r>
      <w:r>
        <w:rPr/>
        <w:t>）存货分类：</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539"/>
        <w:gridCol w:w="1603"/>
        <w:gridCol w:w="1429"/>
        <w:gridCol w:w="1594"/>
        <w:gridCol w:w="1481"/>
        <w:gridCol w:w="1481"/>
        <w:gridCol w:w="1572"/>
      </w:tblGrid>
      <w:tr>
        <w:trPr>
          <w:trHeight w:val="637" w:hRule="exact"/>
        </w:trPr>
        <w:tc>
          <w:tcPr>
            <w:tcW w:w="1539"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tabs>
                <w:tab w:pos="914" w:val="left" w:leader="none"/>
              </w:tabs>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626"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534"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01"/>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29" w:hRule="exact"/>
        </w:trPr>
        <w:tc>
          <w:tcPr>
            <w:tcW w:w="1539" w:type="dxa"/>
            <w:vMerge/>
            <w:tcBorders>
              <w:left w:val="nil" w:sz="6" w:space="0" w:color="auto"/>
              <w:bottom w:val="single" w:sz="6" w:space="0" w:color="000000"/>
              <w:right w:val="single" w:sz="6" w:space="0" w:color="000000"/>
            </w:tcBorders>
          </w:tcPr>
          <w:p>
            <w:pP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66"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1"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01"/>
              <w:ind w:left="4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29" w:hRule="exact"/>
        </w:trPr>
        <w:tc>
          <w:tcPr>
            <w:tcW w:w="15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消耗性生物资产</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7,503,074.04</w:t>
            </w:r>
          </w:p>
        </w:tc>
        <w:tc>
          <w:tcPr>
            <w:tcW w:w="1429"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18"/>
                <w:szCs w:val="18"/>
              </w:rPr>
            </w:pPr>
            <w:r>
              <w:rPr>
                <w:rFonts w:ascii="宋体"/>
                <w:spacing w:val="-1"/>
                <w:sz w:val="18"/>
              </w:rPr>
              <w:t>7,503,074.04</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9,150,871.58</w:t>
            </w:r>
          </w:p>
        </w:tc>
        <w:tc>
          <w:tcPr>
            <w:tcW w:w="148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5"/>
              <w:jc w:val="right"/>
              <w:rPr>
                <w:rFonts w:ascii="宋体" w:hAnsi="宋体" w:cs="宋体" w:eastAsia="宋体" w:hint="default"/>
                <w:sz w:val="18"/>
                <w:szCs w:val="18"/>
              </w:rPr>
            </w:pPr>
            <w:r>
              <w:rPr>
                <w:rFonts w:ascii="宋体"/>
                <w:spacing w:val="-1"/>
                <w:sz w:val="18"/>
              </w:rPr>
              <w:t>9,150,871.58</w:t>
            </w:r>
          </w:p>
        </w:tc>
      </w:tr>
      <w:tr>
        <w:trPr>
          <w:trHeight w:val="629" w:hRule="exact"/>
        </w:trPr>
        <w:tc>
          <w:tcPr>
            <w:tcW w:w="15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138,896,748.23</w:t>
            </w:r>
          </w:p>
        </w:tc>
        <w:tc>
          <w:tcPr>
            <w:tcW w:w="1429"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18"/>
                <w:szCs w:val="18"/>
              </w:rPr>
            </w:pPr>
            <w:r>
              <w:rPr>
                <w:rFonts w:ascii="宋体"/>
                <w:spacing w:val="-1"/>
                <w:sz w:val="18"/>
              </w:rPr>
              <w:t>138,896,748.23</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7,836,690.95</w:t>
            </w:r>
          </w:p>
        </w:tc>
        <w:tc>
          <w:tcPr>
            <w:tcW w:w="148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5"/>
              <w:jc w:val="right"/>
              <w:rPr>
                <w:rFonts w:ascii="宋体" w:hAnsi="宋体" w:cs="宋体" w:eastAsia="宋体" w:hint="default"/>
                <w:sz w:val="18"/>
                <w:szCs w:val="18"/>
              </w:rPr>
            </w:pPr>
            <w:r>
              <w:rPr>
                <w:rFonts w:ascii="宋体"/>
                <w:spacing w:val="-1"/>
                <w:sz w:val="18"/>
              </w:rPr>
              <w:t>7,836,690.95</w:t>
            </w:r>
          </w:p>
        </w:tc>
      </w:tr>
      <w:tr>
        <w:trPr>
          <w:trHeight w:val="629" w:hRule="exact"/>
        </w:trPr>
        <w:tc>
          <w:tcPr>
            <w:tcW w:w="15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17,493,778.90</w:t>
            </w:r>
          </w:p>
        </w:tc>
        <w:tc>
          <w:tcPr>
            <w:tcW w:w="1429"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18"/>
                <w:szCs w:val="18"/>
              </w:rPr>
            </w:pPr>
            <w:r>
              <w:rPr>
                <w:rFonts w:ascii="宋体"/>
                <w:spacing w:val="-1"/>
                <w:sz w:val="18"/>
              </w:rPr>
              <w:t>17,493,778.90</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4,676,207.14</w:t>
            </w:r>
          </w:p>
        </w:tc>
        <w:tc>
          <w:tcPr>
            <w:tcW w:w="148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5"/>
              <w:jc w:val="right"/>
              <w:rPr>
                <w:rFonts w:ascii="宋体" w:hAnsi="宋体" w:cs="宋体" w:eastAsia="宋体" w:hint="default"/>
                <w:sz w:val="18"/>
                <w:szCs w:val="18"/>
              </w:rPr>
            </w:pPr>
            <w:r>
              <w:rPr>
                <w:rFonts w:ascii="宋体"/>
                <w:spacing w:val="-1"/>
                <w:sz w:val="18"/>
              </w:rPr>
              <w:t>4,676,207.14</w:t>
            </w:r>
          </w:p>
        </w:tc>
      </w:tr>
      <w:tr>
        <w:trPr>
          <w:trHeight w:val="629" w:hRule="exact"/>
        </w:trPr>
        <w:tc>
          <w:tcPr>
            <w:tcW w:w="15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4,797,850.30</w:t>
            </w:r>
          </w:p>
        </w:tc>
        <w:tc>
          <w:tcPr>
            <w:tcW w:w="1429"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4,797,850.30</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4,639,501.07</w:t>
            </w:r>
          </w:p>
        </w:tc>
        <w:tc>
          <w:tcPr>
            <w:tcW w:w="148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5"/>
              <w:jc w:val="right"/>
              <w:rPr>
                <w:rFonts w:ascii="宋体" w:hAnsi="宋体" w:cs="宋体" w:eastAsia="宋体" w:hint="default"/>
                <w:sz w:val="18"/>
                <w:szCs w:val="18"/>
              </w:rPr>
            </w:pPr>
            <w:r>
              <w:rPr>
                <w:rFonts w:ascii="宋体"/>
                <w:spacing w:val="-1"/>
                <w:sz w:val="18"/>
              </w:rPr>
              <w:t>4,639,501.07</w:t>
            </w:r>
          </w:p>
        </w:tc>
      </w:tr>
      <w:tr>
        <w:trPr>
          <w:trHeight w:val="629" w:hRule="exact"/>
        </w:trPr>
        <w:tc>
          <w:tcPr>
            <w:tcW w:w="15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2,806,890.27</w:t>
            </w:r>
          </w:p>
        </w:tc>
        <w:tc>
          <w:tcPr>
            <w:tcW w:w="1429"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18"/>
                <w:szCs w:val="18"/>
              </w:rPr>
            </w:pPr>
            <w:r>
              <w:rPr>
                <w:rFonts w:ascii="宋体"/>
                <w:spacing w:val="-1"/>
                <w:sz w:val="18"/>
              </w:rPr>
              <w:t>2,806,890.27</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2,898,756.72</w:t>
            </w:r>
          </w:p>
        </w:tc>
        <w:tc>
          <w:tcPr>
            <w:tcW w:w="148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5"/>
              <w:jc w:val="right"/>
              <w:rPr>
                <w:rFonts w:ascii="宋体" w:hAnsi="宋体" w:cs="宋体" w:eastAsia="宋体" w:hint="default"/>
                <w:sz w:val="18"/>
                <w:szCs w:val="18"/>
              </w:rPr>
            </w:pPr>
            <w:r>
              <w:rPr>
                <w:rFonts w:ascii="宋体"/>
                <w:spacing w:val="-1"/>
                <w:sz w:val="18"/>
              </w:rPr>
              <w:t>2,898,756.72</w:t>
            </w:r>
          </w:p>
        </w:tc>
      </w:tr>
      <w:tr>
        <w:trPr>
          <w:trHeight w:val="629" w:hRule="exact"/>
        </w:trPr>
        <w:tc>
          <w:tcPr>
            <w:tcW w:w="15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99"/>
              <w:ind w:left="1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1,542,636.49</w:t>
            </w:r>
          </w:p>
        </w:tc>
        <w:tc>
          <w:tcPr>
            <w:tcW w:w="1429"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9"/>
              <w:jc w:val="right"/>
              <w:rPr>
                <w:rFonts w:ascii="宋体" w:hAnsi="宋体" w:cs="宋体" w:eastAsia="宋体" w:hint="default"/>
                <w:sz w:val="18"/>
                <w:szCs w:val="18"/>
              </w:rPr>
            </w:pPr>
            <w:r>
              <w:rPr>
                <w:rFonts w:ascii="宋体"/>
                <w:spacing w:val="-1"/>
                <w:sz w:val="18"/>
              </w:rPr>
              <w:t>1,542,636.49</w:t>
            </w:r>
          </w:p>
        </w:tc>
        <w:tc>
          <w:tcPr>
            <w:tcW w:w="1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1,284,036.29</w:t>
            </w:r>
          </w:p>
        </w:tc>
        <w:tc>
          <w:tcPr>
            <w:tcW w:w="1481" w:type="dxa"/>
            <w:tcBorders>
              <w:top w:val="single" w:sz="6" w:space="0" w:color="000000"/>
              <w:left w:val="single" w:sz="6" w:space="0" w:color="000000"/>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99"/>
              <w:ind w:right="105"/>
              <w:jc w:val="right"/>
              <w:rPr>
                <w:rFonts w:ascii="宋体" w:hAnsi="宋体" w:cs="宋体" w:eastAsia="宋体" w:hint="default"/>
                <w:sz w:val="18"/>
                <w:szCs w:val="18"/>
              </w:rPr>
            </w:pPr>
            <w:r>
              <w:rPr>
                <w:rFonts w:ascii="宋体"/>
                <w:spacing w:val="-1"/>
                <w:sz w:val="18"/>
              </w:rPr>
              <w:t>1,284,036.29</w:t>
            </w:r>
          </w:p>
        </w:tc>
      </w:tr>
      <w:tr>
        <w:trPr>
          <w:trHeight w:val="636" w:hRule="exact"/>
        </w:trPr>
        <w:tc>
          <w:tcPr>
            <w:tcW w:w="1539" w:type="dxa"/>
            <w:tcBorders>
              <w:top w:val="single" w:sz="6" w:space="0" w:color="000000"/>
              <w:left w:val="nil" w:sz="6" w:space="0" w:color="auto"/>
              <w:bottom w:val="single" w:sz="12" w:space="0" w:color="000000"/>
              <w:right w:val="single" w:sz="6" w:space="0" w:color="000000"/>
            </w:tcBorders>
          </w:tcPr>
          <w:p>
            <w:pPr>
              <w:pStyle w:val="TableParagraph"/>
              <w:tabs>
                <w:tab w:pos="914" w:val="left" w:leader="none"/>
              </w:tabs>
              <w:spacing w:line="240" w:lineRule="auto" w:before="99"/>
              <w:ind w:left="460"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0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173,040,978.23</w:t>
            </w:r>
          </w:p>
        </w:tc>
        <w:tc>
          <w:tcPr>
            <w:tcW w:w="1429" w:type="dxa"/>
            <w:tcBorders>
              <w:top w:val="single" w:sz="6" w:space="0" w:color="000000"/>
              <w:left w:val="single" w:sz="6" w:space="0" w:color="000000"/>
              <w:bottom w:val="single" w:sz="12" w:space="0" w:color="000000"/>
              <w:right w:val="single" w:sz="6" w:space="0" w:color="000000"/>
            </w:tcBorders>
          </w:tcPr>
          <w:p>
            <w:pPr/>
          </w:p>
        </w:tc>
        <w:tc>
          <w:tcPr>
            <w:tcW w:w="15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99"/>
              <w:jc w:val="right"/>
              <w:rPr>
                <w:rFonts w:ascii="宋体" w:hAnsi="宋体" w:cs="宋体" w:eastAsia="宋体" w:hint="default"/>
                <w:sz w:val="18"/>
                <w:szCs w:val="18"/>
              </w:rPr>
            </w:pPr>
            <w:r>
              <w:rPr>
                <w:rFonts w:ascii="宋体"/>
                <w:spacing w:val="-1"/>
                <w:sz w:val="18"/>
              </w:rPr>
              <w:t>173,040,978.23</w:t>
            </w:r>
          </w:p>
        </w:tc>
        <w:tc>
          <w:tcPr>
            <w:tcW w:w="14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9"/>
              <w:ind w:right="98"/>
              <w:jc w:val="right"/>
              <w:rPr>
                <w:rFonts w:ascii="宋体" w:hAnsi="宋体" w:cs="宋体" w:eastAsia="宋体" w:hint="default"/>
                <w:sz w:val="18"/>
                <w:szCs w:val="18"/>
              </w:rPr>
            </w:pPr>
            <w:r>
              <w:rPr>
                <w:rFonts w:ascii="宋体"/>
                <w:spacing w:val="-1"/>
                <w:sz w:val="18"/>
              </w:rPr>
              <w:t>30,486,063.75</w:t>
            </w:r>
          </w:p>
        </w:tc>
        <w:tc>
          <w:tcPr>
            <w:tcW w:w="1481" w:type="dxa"/>
            <w:tcBorders>
              <w:top w:val="single" w:sz="6" w:space="0" w:color="000000"/>
              <w:left w:val="single" w:sz="6" w:space="0" w:color="000000"/>
              <w:bottom w:val="single" w:sz="12" w:space="0" w:color="000000"/>
              <w:right w:val="single" w:sz="6" w:space="0" w:color="000000"/>
            </w:tcBorders>
          </w:tcPr>
          <w:p>
            <w:pPr/>
          </w:p>
        </w:tc>
        <w:tc>
          <w:tcPr>
            <w:tcW w:w="157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99"/>
              <w:ind w:right="105"/>
              <w:jc w:val="right"/>
              <w:rPr>
                <w:rFonts w:ascii="宋体" w:hAnsi="宋体" w:cs="宋体" w:eastAsia="宋体" w:hint="default"/>
                <w:sz w:val="18"/>
                <w:szCs w:val="18"/>
              </w:rPr>
            </w:pPr>
            <w:r>
              <w:rPr>
                <w:rFonts w:ascii="宋体"/>
                <w:spacing w:val="-1"/>
                <w:sz w:val="18"/>
              </w:rPr>
              <w:t>30,486,063.75</w:t>
            </w:r>
          </w:p>
        </w:tc>
      </w:tr>
    </w:tbl>
    <w:p>
      <w:pPr>
        <w:pStyle w:val="BodyText"/>
        <w:spacing w:line="355" w:lineRule="auto" w:before="86"/>
        <w:ind w:left="240" w:right="606" w:firstLine="420"/>
        <w:jc w:val="left"/>
      </w:pPr>
      <w:r>
        <w:rPr/>
        <w:t>（</w:t>
      </w:r>
      <w:r>
        <w:rPr>
          <w:rFonts w:ascii="宋体" w:hAnsi="宋体" w:cs="宋体" w:eastAsia="宋体" w:hint="default"/>
        </w:rPr>
        <w:t>2</w:t>
      </w:r>
      <w:r>
        <w:rPr/>
        <w:t>）存货期末数较期初数增加</w:t>
      </w:r>
      <w:r>
        <w:rPr>
          <w:rFonts w:ascii="宋体" w:hAnsi="宋体" w:cs="宋体" w:eastAsia="宋体" w:hint="default"/>
        </w:rPr>
        <w:t>1.43</w:t>
      </w:r>
      <w:r>
        <w:rPr/>
        <w:t>亿元，主要原因是本公司为配合非公开发行人参产品系列项目，本期增加</w:t>
      </w:r>
      <w:r>
        <w:rPr>
          <w:w w:val="100"/>
        </w:rPr>
        <w:t> </w:t>
      </w:r>
      <w:r>
        <w:rPr/>
        <w:t>人参储备较多所致。</w:t>
      </w:r>
    </w:p>
    <w:p>
      <w:pPr>
        <w:pStyle w:val="BodyText"/>
        <w:spacing w:line="240" w:lineRule="auto" w:before="34"/>
        <w:ind w:left="660" w:right="606"/>
        <w:jc w:val="left"/>
      </w:pPr>
      <w:r>
        <w:rPr/>
        <w:t>（</w:t>
      </w:r>
      <w:r>
        <w:rPr>
          <w:rFonts w:ascii="宋体" w:hAnsi="宋体" w:cs="宋体" w:eastAsia="宋体" w:hint="default"/>
        </w:rPr>
        <w:t>3</w:t>
      </w:r>
      <w:r>
        <w:rPr/>
        <w:t>）存货期末余额中不含借款费用资本化的金额。</w:t>
      </w:r>
    </w:p>
    <w:p>
      <w:pPr>
        <w:pStyle w:val="BodyText"/>
        <w:spacing w:line="357" w:lineRule="auto" w:before="133"/>
        <w:ind w:left="652" w:right="606" w:firstLine="7"/>
        <w:jc w:val="left"/>
        <w:rPr>
          <w:rFonts w:ascii="宋体" w:hAnsi="宋体" w:cs="宋体" w:eastAsia="宋体" w:hint="default"/>
        </w:rPr>
      </w:pPr>
      <w:r>
        <w:rPr/>
        <w:t>（</w:t>
      </w:r>
      <w:r>
        <w:rPr>
          <w:rFonts w:ascii="宋体" w:hAnsi="宋体" w:cs="宋体" w:eastAsia="宋体" w:hint="default"/>
        </w:rPr>
        <w:t>4</w:t>
      </w:r>
      <w:r>
        <w:rPr/>
        <w:t>）截至</w:t>
      </w:r>
      <w:r>
        <w:rPr>
          <w:spacing w:val="-56"/>
        </w:rPr>
        <w:t> </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日止，存货期末余额中无成本高于可变现净值的情况，未计提存货跌价准备。</w:t>
      </w:r>
      <w:r>
        <w:rPr>
          <w:w w:val="100"/>
        </w:rPr>
        <w:t> </w:t>
      </w:r>
      <w:r>
        <w:rPr>
          <w:rFonts w:ascii="宋体" w:hAnsi="宋体" w:cs="宋体" w:eastAsia="宋体" w:hint="default"/>
          <w:b/>
          <w:bCs/>
        </w:rPr>
        <w:t>7</w:t>
      </w:r>
      <w:r>
        <w:rPr>
          <w:rFonts w:ascii="宋体" w:hAnsi="宋体" w:cs="宋体" w:eastAsia="宋体" w:hint="default"/>
          <w:b/>
          <w:bCs/>
        </w:rPr>
        <w:t>、长期股权投资</w:t>
      </w:r>
      <w:r>
        <w:rPr>
          <w:rFonts w:ascii="宋体" w:hAnsi="宋体" w:cs="宋体" w:eastAsia="宋体" w:hint="default"/>
        </w:rPr>
      </w:r>
    </w:p>
    <w:p>
      <w:pPr>
        <w:pStyle w:val="BodyText"/>
        <w:spacing w:line="240" w:lineRule="auto" w:before="30"/>
        <w:ind w:left="652" w:right="606"/>
        <w:jc w:val="left"/>
      </w:pPr>
      <w:r>
        <w:rPr/>
        <w:t>（</w:t>
      </w:r>
      <w:r>
        <w:rPr>
          <w:rFonts w:ascii="宋体" w:hAnsi="宋体" w:cs="宋体" w:eastAsia="宋体" w:hint="default"/>
        </w:rPr>
        <w:t>1</w:t>
      </w:r>
      <w:r>
        <w:rPr/>
        <w:t>）长期股权投资按明细分类：</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474"/>
        <w:gridCol w:w="895"/>
        <w:gridCol w:w="1388"/>
        <w:gridCol w:w="1385"/>
        <w:gridCol w:w="1116"/>
        <w:gridCol w:w="1387"/>
        <w:gridCol w:w="862"/>
        <w:gridCol w:w="895"/>
        <w:gridCol w:w="1296"/>
      </w:tblGrid>
      <w:tr>
        <w:trPr>
          <w:trHeight w:val="1426" w:hRule="exact"/>
        </w:trPr>
        <w:tc>
          <w:tcPr>
            <w:tcW w:w="1474" w:type="dxa"/>
            <w:tcBorders>
              <w:top w:val="single" w:sz="12"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89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348" w:right="167"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138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投资成本</w:t>
            </w:r>
          </w:p>
        </w:tc>
        <w:tc>
          <w:tcPr>
            <w:tcW w:w="138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1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8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862" w:type="dxa"/>
            <w:tcBorders>
              <w:top w:val="single" w:sz="12"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在被投</w:t>
            </w:r>
          </w:p>
          <w:p>
            <w:pPr>
              <w:pStyle w:val="TableParagraph"/>
              <w:spacing w:line="357" w:lineRule="auto" w:before="115"/>
              <w:ind w:left="151" w:right="149"/>
              <w:jc w:val="center"/>
              <w:rPr>
                <w:rFonts w:ascii="宋体" w:hAnsi="宋体" w:cs="宋体" w:eastAsia="宋体" w:hint="default"/>
                <w:sz w:val="18"/>
                <w:szCs w:val="18"/>
              </w:rPr>
            </w:pPr>
            <w:r>
              <w:rPr>
                <w:rFonts w:ascii="宋体" w:hAnsi="宋体" w:cs="宋体" w:eastAsia="宋体" w:hint="default"/>
                <w:sz w:val="18"/>
                <w:szCs w:val="18"/>
              </w:rPr>
              <w:t>资单位 持股比 例</w:t>
            </w:r>
          </w:p>
        </w:tc>
        <w:tc>
          <w:tcPr>
            <w:tcW w:w="895" w:type="dxa"/>
            <w:tcBorders>
              <w:top w:val="single" w:sz="12" w:space="0" w:color="000000"/>
              <w:left w:val="single" w:sz="8" w:space="0" w:color="000000"/>
              <w:bottom w:val="single" w:sz="8" w:space="0" w:color="000000"/>
              <w:right w:val="single" w:sz="8" w:space="0" w:color="000000"/>
            </w:tcBorders>
          </w:tcPr>
          <w:p>
            <w:pPr>
              <w:pStyle w:val="TableParagraph"/>
              <w:spacing w:line="203" w:lineRule="exact"/>
              <w:ind w:left="168" w:right="0"/>
              <w:jc w:val="both"/>
              <w:rPr>
                <w:rFonts w:ascii="宋体" w:hAnsi="宋体" w:cs="宋体" w:eastAsia="宋体" w:hint="default"/>
                <w:sz w:val="18"/>
                <w:szCs w:val="18"/>
              </w:rPr>
            </w:pPr>
            <w:r>
              <w:rPr>
                <w:rFonts w:ascii="宋体" w:hAnsi="宋体" w:cs="宋体" w:eastAsia="宋体" w:hint="default"/>
                <w:sz w:val="18"/>
                <w:szCs w:val="18"/>
              </w:rPr>
              <w:t>在被投</w:t>
            </w:r>
          </w:p>
          <w:p>
            <w:pPr>
              <w:pStyle w:val="TableParagraph"/>
              <w:spacing w:line="357" w:lineRule="auto" w:before="115"/>
              <w:ind w:left="168" w:right="167"/>
              <w:jc w:val="both"/>
              <w:rPr>
                <w:rFonts w:ascii="宋体" w:hAnsi="宋体" w:cs="宋体" w:eastAsia="宋体" w:hint="default"/>
                <w:sz w:val="18"/>
                <w:szCs w:val="18"/>
              </w:rPr>
            </w:pPr>
            <w:r>
              <w:rPr>
                <w:rFonts w:ascii="宋体" w:hAnsi="宋体" w:cs="宋体" w:eastAsia="宋体" w:hint="default"/>
                <w:sz w:val="18"/>
                <w:szCs w:val="18"/>
              </w:rPr>
              <w:t>资单位 表决权 比例</w:t>
            </w:r>
          </w:p>
        </w:tc>
        <w:tc>
          <w:tcPr>
            <w:tcW w:w="1296" w:type="dxa"/>
            <w:tcBorders>
              <w:top w:val="single" w:sz="12"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1075" w:hRule="exact"/>
        </w:trPr>
        <w:tc>
          <w:tcPr>
            <w:tcW w:w="1474" w:type="dxa"/>
            <w:tcBorders>
              <w:top w:val="single" w:sz="8" w:space="0" w:color="000000"/>
              <w:left w:val="nil" w:sz="6" w:space="0" w:color="auto"/>
              <w:bottom w:val="single" w:sz="12" w:space="0" w:color="000000"/>
              <w:right w:val="single" w:sz="8"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长</w:t>
            </w:r>
            <w:r>
              <w:rPr>
                <w:rFonts w:ascii="宋体" w:hAnsi="宋体" w:cs="宋体" w:eastAsia="宋体" w:hint="default"/>
                <w:spacing w:val="-57"/>
                <w:sz w:val="18"/>
                <w:szCs w:val="18"/>
              </w:rPr>
              <w:t> </w:t>
            </w:r>
            <w:r>
              <w:rPr>
                <w:rFonts w:ascii="宋体" w:hAnsi="宋体" w:cs="宋体" w:eastAsia="宋体" w:hint="default"/>
                <w:sz w:val="18"/>
                <w:szCs w:val="18"/>
              </w:rPr>
              <w:t>春</w:t>
            </w:r>
            <w:r>
              <w:rPr>
                <w:rFonts w:ascii="宋体" w:hAnsi="宋体" w:cs="宋体" w:eastAsia="宋体" w:hint="default"/>
                <w:spacing w:val="-57"/>
                <w:sz w:val="18"/>
                <w:szCs w:val="18"/>
              </w:rPr>
              <w:t> </w:t>
            </w:r>
            <w:r>
              <w:rPr>
                <w:rFonts w:ascii="宋体" w:hAnsi="宋体" w:cs="宋体" w:eastAsia="宋体" w:hint="default"/>
                <w:sz w:val="18"/>
                <w:szCs w:val="18"/>
              </w:rPr>
              <w:t>农</w:t>
            </w:r>
            <w:r>
              <w:rPr>
                <w:rFonts w:ascii="宋体" w:hAnsi="宋体" w:cs="宋体" w:eastAsia="宋体" w:hint="default"/>
                <w:spacing w:val="-57"/>
                <w:sz w:val="18"/>
                <w:szCs w:val="18"/>
              </w:rPr>
              <w:t> </w:t>
            </w:r>
            <w:r>
              <w:rPr>
                <w:rFonts w:ascii="宋体" w:hAnsi="宋体" w:cs="宋体" w:eastAsia="宋体" w:hint="default"/>
                <w:sz w:val="18"/>
                <w:szCs w:val="18"/>
              </w:rPr>
              <w:t>村</w:t>
            </w:r>
            <w:r>
              <w:rPr>
                <w:rFonts w:ascii="宋体" w:hAnsi="宋体" w:cs="宋体" w:eastAsia="宋体" w:hint="default"/>
                <w:spacing w:val="-60"/>
                <w:sz w:val="18"/>
                <w:szCs w:val="18"/>
              </w:rPr>
              <w:t> </w:t>
            </w:r>
            <w:r>
              <w:rPr>
                <w:rFonts w:ascii="宋体" w:hAnsi="宋体" w:cs="宋体" w:eastAsia="宋体" w:hint="default"/>
                <w:sz w:val="18"/>
                <w:szCs w:val="18"/>
              </w:rPr>
              <w:t>商</w:t>
            </w:r>
            <w:r>
              <w:rPr>
                <w:rFonts w:ascii="宋体" w:hAnsi="宋体" w:cs="宋体" w:eastAsia="宋体" w:hint="default"/>
                <w:spacing w:val="-57"/>
                <w:sz w:val="18"/>
                <w:szCs w:val="18"/>
              </w:rPr>
              <w:t> </w:t>
            </w:r>
            <w:r>
              <w:rPr>
                <w:rFonts w:ascii="宋体" w:hAnsi="宋体" w:cs="宋体" w:eastAsia="宋体" w:hint="default"/>
                <w:sz w:val="18"/>
                <w:szCs w:val="18"/>
              </w:rPr>
              <w:t>业</w:t>
            </w:r>
          </w:p>
          <w:p>
            <w:pPr>
              <w:pStyle w:val="TableParagraph"/>
              <w:spacing w:line="357" w:lineRule="auto" w:before="114"/>
              <w:ind w:left="122" w:right="95"/>
              <w:jc w:val="left"/>
              <w:rPr>
                <w:rFonts w:ascii="宋体" w:hAnsi="宋体" w:cs="宋体" w:eastAsia="宋体" w:hint="default"/>
                <w:sz w:val="18"/>
                <w:szCs w:val="18"/>
              </w:rPr>
            </w:pPr>
            <w:r>
              <w:rPr>
                <w:rFonts w:ascii="宋体" w:hAnsi="宋体" w:cs="宋体" w:eastAsia="宋体" w:hint="default"/>
                <w:sz w:val="18"/>
                <w:szCs w:val="18"/>
              </w:rPr>
              <w:t>银</w:t>
            </w:r>
            <w:r>
              <w:rPr>
                <w:rFonts w:ascii="宋体" w:hAnsi="宋体" w:cs="宋体" w:eastAsia="宋体" w:hint="default"/>
                <w:spacing w:val="-57"/>
                <w:sz w:val="18"/>
                <w:szCs w:val="18"/>
              </w:rPr>
              <w:t> </w:t>
            </w:r>
            <w:r>
              <w:rPr>
                <w:rFonts w:ascii="宋体" w:hAnsi="宋体" w:cs="宋体" w:eastAsia="宋体" w:hint="default"/>
                <w:sz w:val="18"/>
                <w:szCs w:val="18"/>
              </w:rPr>
              <w:t>行</w:t>
            </w:r>
            <w:r>
              <w:rPr>
                <w:rFonts w:ascii="宋体" w:hAnsi="宋体" w:cs="宋体" w:eastAsia="宋体" w:hint="default"/>
                <w:spacing w:val="-57"/>
                <w:sz w:val="18"/>
                <w:szCs w:val="18"/>
              </w:rPr>
              <w:t> </w:t>
            </w:r>
            <w:r>
              <w:rPr>
                <w:rFonts w:ascii="宋体" w:hAnsi="宋体" w:cs="宋体" w:eastAsia="宋体" w:hint="default"/>
                <w:sz w:val="18"/>
                <w:szCs w:val="18"/>
              </w:rPr>
              <w:t>股</w:t>
            </w:r>
            <w:r>
              <w:rPr>
                <w:rFonts w:ascii="宋体" w:hAnsi="宋体" w:cs="宋体" w:eastAsia="宋体" w:hint="default"/>
                <w:spacing w:val="-57"/>
                <w:sz w:val="18"/>
                <w:szCs w:val="18"/>
              </w:rPr>
              <w:t> </w:t>
            </w:r>
            <w:r>
              <w:rPr>
                <w:rFonts w:ascii="宋体" w:hAnsi="宋体" w:cs="宋体" w:eastAsia="宋体" w:hint="default"/>
                <w:sz w:val="18"/>
                <w:szCs w:val="18"/>
              </w:rPr>
              <w:t>份</w:t>
            </w:r>
            <w:r>
              <w:rPr>
                <w:rFonts w:ascii="宋体" w:hAnsi="宋体" w:cs="宋体" w:eastAsia="宋体" w:hint="default"/>
                <w:spacing w:val="-60"/>
                <w:sz w:val="18"/>
                <w:szCs w:val="18"/>
              </w:rPr>
              <w:t> </w:t>
            </w:r>
            <w:r>
              <w:rPr>
                <w:rFonts w:ascii="宋体" w:hAnsi="宋体" w:cs="宋体" w:eastAsia="宋体" w:hint="default"/>
                <w:sz w:val="18"/>
                <w:szCs w:val="18"/>
              </w:rPr>
              <w:t>有</w:t>
            </w:r>
            <w:r>
              <w:rPr>
                <w:rFonts w:ascii="宋体" w:hAnsi="宋体" w:cs="宋体" w:eastAsia="宋体" w:hint="default"/>
                <w:spacing w:val="-5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89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8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28,000,000.00</w:t>
            </w:r>
          </w:p>
        </w:tc>
        <w:tc>
          <w:tcPr>
            <w:tcW w:w="13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28,000,000.00</w:t>
            </w:r>
          </w:p>
        </w:tc>
        <w:tc>
          <w:tcPr>
            <w:tcW w:w="1116" w:type="dxa"/>
            <w:tcBorders>
              <w:top w:val="single" w:sz="8" w:space="0" w:color="000000"/>
              <w:left w:val="single" w:sz="8" w:space="0" w:color="000000"/>
              <w:bottom w:val="single" w:sz="12" w:space="0" w:color="000000"/>
              <w:right w:val="single" w:sz="8" w:space="0" w:color="000000"/>
            </w:tcBorders>
          </w:tcPr>
          <w:p>
            <w:pPr/>
          </w:p>
        </w:tc>
        <w:tc>
          <w:tcPr>
            <w:tcW w:w="138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28,000,000.00</w:t>
            </w:r>
          </w:p>
        </w:tc>
        <w:tc>
          <w:tcPr>
            <w:tcW w:w="8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12" w:right="0"/>
              <w:jc w:val="left"/>
              <w:rPr>
                <w:rFonts w:ascii="宋体" w:hAnsi="宋体" w:cs="宋体" w:eastAsia="宋体" w:hint="default"/>
                <w:sz w:val="18"/>
                <w:szCs w:val="18"/>
              </w:rPr>
            </w:pPr>
            <w:r>
              <w:rPr>
                <w:rFonts w:ascii="宋体"/>
                <w:sz w:val="18"/>
              </w:rPr>
              <w:t>5.2083%</w:t>
            </w:r>
          </w:p>
        </w:tc>
        <w:tc>
          <w:tcPr>
            <w:tcW w:w="89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sz w:val="18"/>
              </w:rPr>
              <w:t>5.2083%</w:t>
            </w:r>
          </w:p>
        </w:tc>
        <w:tc>
          <w:tcPr>
            <w:tcW w:w="129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7"/>
              <w:jc w:val="center"/>
              <w:rPr>
                <w:rFonts w:ascii="宋体" w:hAnsi="宋体" w:cs="宋体" w:eastAsia="宋体" w:hint="default"/>
                <w:sz w:val="18"/>
                <w:szCs w:val="18"/>
              </w:rPr>
            </w:pPr>
            <w:r>
              <w:rPr>
                <w:rFonts w:ascii="宋体"/>
                <w:sz w:val="18"/>
              </w:rPr>
              <w:t>1,960,000.00</w:t>
            </w:r>
          </w:p>
        </w:tc>
      </w:tr>
    </w:tbl>
    <w:p>
      <w:pPr>
        <w:spacing w:after="0" w:line="240" w:lineRule="auto"/>
        <w:jc w:val="center"/>
        <w:rPr>
          <w:rFonts w:ascii="宋体" w:hAnsi="宋体" w:cs="宋体" w:eastAsia="宋体" w:hint="default"/>
          <w:sz w:val="18"/>
          <w:szCs w:val="18"/>
        </w:rPr>
        <w:sectPr>
          <w:pgSz w:w="11910" w:h="16840"/>
          <w:pgMar w:header="720" w:footer="956" w:top="1300" w:bottom="1140" w:left="480" w:right="0"/>
        </w:sectPr>
      </w:pPr>
    </w:p>
    <w:p>
      <w:pPr>
        <w:spacing w:line="240" w:lineRule="auto" w:before="7"/>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474"/>
        <w:gridCol w:w="895"/>
        <w:gridCol w:w="1388"/>
        <w:gridCol w:w="1385"/>
        <w:gridCol w:w="1116"/>
        <w:gridCol w:w="1387"/>
        <w:gridCol w:w="862"/>
        <w:gridCol w:w="895"/>
        <w:gridCol w:w="1296"/>
      </w:tblGrid>
      <w:tr>
        <w:trPr>
          <w:trHeight w:val="1083" w:hRule="exact"/>
        </w:trPr>
        <w:tc>
          <w:tcPr>
            <w:tcW w:w="1474" w:type="dxa"/>
            <w:tcBorders>
              <w:top w:val="single" w:sz="12" w:space="0" w:color="000000"/>
              <w:left w:val="nil" w:sz="6" w:space="0" w:color="auto"/>
              <w:bottom w:val="single" w:sz="8" w:space="0" w:color="000000"/>
              <w:right w:val="single" w:sz="8"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吉</w:t>
            </w:r>
            <w:r>
              <w:rPr>
                <w:rFonts w:ascii="宋体" w:hAnsi="宋体" w:cs="宋体" w:eastAsia="宋体" w:hint="default"/>
                <w:spacing w:val="-57"/>
                <w:sz w:val="18"/>
                <w:szCs w:val="18"/>
              </w:rPr>
              <w:t> </w:t>
            </w:r>
            <w:r>
              <w:rPr>
                <w:rFonts w:ascii="宋体" w:hAnsi="宋体" w:cs="宋体" w:eastAsia="宋体" w:hint="default"/>
                <w:sz w:val="18"/>
                <w:szCs w:val="18"/>
              </w:rPr>
              <w:t>林</w:t>
            </w:r>
            <w:r>
              <w:rPr>
                <w:rFonts w:ascii="宋体" w:hAnsi="宋体" w:cs="宋体" w:eastAsia="宋体" w:hint="default"/>
                <w:spacing w:val="-57"/>
                <w:sz w:val="18"/>
                <w:szCs w:val="18"/>
              </w:rPr>
              <w:t> </w:t>
            </w:r>
            <w:r>
              <w:rPr>
                <w:rFonts w:ascii="宋体" w:hAnsi="宋体" w:cs="宋体" w:eastAsia="宋体" w:hint="default"/>
                <w:sz w:val="18"/>
                <w:szCs w:val="18"/>
              </w:rPr>
              <w:t>环</w:t>
            </w:r>
            <w:r>
              <w:rPr>
                <w:rFonts w:ascii="宋体" w:hAnsi="宋体" w:cs="宋体" w:eastAsia="宋体" w:hint="default"/>
                <w:spacing w:val="-57"/>
                <w:sz w:val="18"/>
                <w:szCs w:val="18"/>
              </w:rPr>
              <w:t> </w:t>
            </w:r>
            <w:r>
              <w:rPr>
                <w:rFonts w:ascii="宋体" w:hAnsi="宋体" w:cs="宋体" w:eastAsia="宋体" w:hint="default"/>
                <w:sz w:val="18"/>
                <w:szCs w:val="18"/>
              </w:rPr>
              <w:t>境</w:t>
            </w:r>
            <w:r>
              <w:rPr>
                <w:rFonts w:ascii="宋体" w:hAnsi="宋体" w:cs="宋体" w:eastAsia="宋体" w:hint="default"/>
                <w:spacing w:val="-60"/>
                <w:sz w:val="18"/>
                <w:szCs w:val="18"/>
              </w:rPr>
              <w:t> </w:t>
            </w:r>
            <w:r>
              <w:rPr>
                <w:rFonts w:ascii="宋体" w:hAnsi="宋体" w:cs="宋体" w:eastAsia="宋体" w:hint="default"/>
                <w:sz w:val="18"/>
                <w:szCs w:val="18"/>
              </w:rPr>
              <w:t>能</w:t>
            </w:r>
            <w:r>
              <w:rPr>
                <w:rFonts w:ascii="宋体" w:hAnsi="宋体" w:cs="宋体" w:eastAsia="宋体" w:hint="default"/>
                <w:spacing w:val="-57"/>
                <w:sz w:val="18"/>
                <w:szCs w:val="18"/>
              </w:rPr>
              <w:t> </w:t>
            </w:r>
            <w:r>
              <w:rPr>
                <w:rFonts w:ascii="宋体" w:hAnsi="宋体" w:cs="宋体" w:eastAsia="宋体" w:hint="default"/>
                <w:sz w:val="18"/>
                <w:szCs w:val="18"/>
              </w:rPr>
              <w:t>源</w:t>
            </w:r>
          </w:p>
          <w:p>
            <w:pPr>
              <w:pStyle w:val="TableParagraph"/>
              <w:spacing w:line="357" w:lineRule="auto" w:before="115"/>
              <w:ind w:left="122" w:right="95"/>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57"/>
                <w:sz w:val="18"/>
                <w:szCs w:val="18"/>
              </w:rPr>
              <w:t> </w:t>
            </w:r>
            <w:r>
              <w:rPr>
                <w:rFonts w:ascii="宋体" w:hAnsi="宋体" w:cs="宋体" w:eastAsia="宋体" w:hint="default"/>
                <w:sz w:val="18"/>
                <w:szCs w:val="18"/>
              </w:rPr>
              <w:t>易</w:t>
            </w:r>
            <w:r>
              <w:rPr>
                <w:rFonts w:ascii="宋体" w:hAnsi="宋体" w:cs="宋体" w:eastAsia="宋体" w:hint="default"/>
                <w:spacing w:val="-57"/>
                <w:sz w:val="18"/>
                <w:szCs w:val="18"/>
              </w:rPr>
              <w:t> </w:t>
            </w:r>
            <w:r>
              <w:rPr>
                <w:rFonts w:ascii="宋体" w:hAnsi="宋体" w:cs="宋体" w:eastAsia="宋体" w:hint="default"/>
                <w:sz w:val="18"/>
                <w:szCs w:val="18"/>
              </w:rPr>
              <w:t>所</w:t>
            </w:r>
            <w:r>
              <w:rPr>
                <w:rFonts w:ascii="宋体" w:hAnsi="宋体" w:cs="宋体" w:eastAsia="宋体" w:hint="default"/>
                <w:spacing w:val="-57"/>
                <w:sz w:val="18"/>
                <w:szCs w:val="18"/>
              </w:rPr>
              <w:t> </w:t>
            </w:r>
            <w:r>
              <w:rPr>
                <w:rFonts w:ascii="宋体" w:hAnsi="宋体" w:cs="宋体" w:eastAsia="宋体" w:hint="default"/>
                <w:sz w:val="18"/>
                <w:szCs w:val="18"/>
              </w:rPr>
              <w:t>有</w:t>
            </w:r>
            <w:r>
              <w:rPr>
                <w:rFonts w:ascii="宋体" w:hAnsi="宋体" w:cs="宋体" w:eastAsia="宋体" w:hint="default"/>
                <w:spacing w:val="-60"/>
                <w:sz w:val="18"/>
                <w:szCs w:val="18"/>
              </w:rPr>
              <w:t> </w:t>
            </w:r>
            <w:r>
              <w:rPr>
                <w:rFonts w:ascii="宋体" w:hAnsi="宋体" w:cs="宋体" w:eastAsia="宋体" w:hint="default"/>
                <w:sz w:val="18"/>
                <w:szCs w:val="18"/>
              </w:rPr>
              <w:t>限</w:t>
            </w:r>
            <w:r>
              <w:rPr>
                <w:rFonts w:ascii="宋体" w:hAnsi="宋体" w:cs="宋体" w:eastAsia="宋体" w:hint="default"/>
                <w:spacing w:val="-5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89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38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600,000.00</w:t>
            </w:r>
          </w:p>
        </w:tc>
        <w:tc>
          <w:tcPr>
            <w:tcW w:w="1385" w:type="dxa"/>
            <w:tcBorders>
              <w:top w:val="single" w:sz="12" w:space="0" w:color="000000"/>
              <w:left w:val="single" w:sz="8" w:space="0" w:color="000000"/>
              <w:bottom w:val="single" w:sz="8" w:space="0" w:color="000000"/>
              <w:right w:val="single" w:sz="8" w:space="0" w:color="000000"/>
            </w:tcBorders>
          </w:tcPr>
          <w:p>
            <w:pPr/>
          </w:p>
        </w:tc>
        <w:tc>
          <w:tcPr>
            <w:tcW w:w="111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sz w:val="18"/>
              </w:rPr>
              <w:t>600,000.00</w:t>
            </w:r>
          </w:p>
        </w:tc>
        <w:tc>
          <w:tcPr>
            <w:tcW w:w="138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600,000.00</w:t>
            </w:r>
          </w:p>
        </w:tc>
        <w:tc>
          <w:tcPr>
            <w:tcW w:w="86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04" w:right="0"/>
              <w:jc w:val="left"/>
              <w:rPr>
                <w:rFonts w:ascii="宋体" w:hAnsi="宋体" w:cs="宋体" w:eastAsia="宋体" w:hint="default"/>
                <w:sz w:val="18"/>
                <w:szCs w:val="18"/>
              </w:rPr>
            </w:pPr>
            <w:r>
              <w:rPr>
                <w:rFonts w:ascii="宋体"/>
                <w:sz w:val="18"/>
              </w:rPr>
              <w:t>15.00%</w:t>
            </w:r>
          </w:p>
        </w:tc>
        <w:tc>
          <w:tcPr>
            <w:tcW w:w="89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7" w:right="0"/>
              <w:jc w:val="left"/>
              <w:rPr>
                <w:rFonts w:ascii="宋体" w:hAnsi="宋体" w:cs="宋体" w:eastAsia="宋体" w:hint="default"/>
                <w:sz w:val="18"/>
                <w:szCs w:val="18"/>
              </w:rPr>
            </w:pPr>
            <w:r>
              <w:rPr>
                <w:rFonts w:ascii="宋体"/>
                <w:sz w:val="18"/>
              </w:rPr>
              <w:t>15.00%</w:t>
            </w:r>
          </w:p>
        </w:tc>
        <w:tc>
          <w:tcPr>
            <w:tcW w:w="1296" w:type="dxa"/>
            <w:tcBorders>
              <w:top w:val="single" w:sz="12" w:space="0" w:color="000000"/>
              <w:left w:val="single" w:sz="8" w:space="0" w:color="000000"/>
              <w:bottom w:val="single" w:sz="8" w:space="0" w:color="000000"/>
              <w:right w:val="nil" w:sz="6" w:space="0" w:color="auto"/>
            </w:tcBorders>
          </w:tcPr>
          <w:p>
            <w:pPr/>
          </w:p>
        </w:tc>
      </w:tr>
      <w:tr>
        <w:trPr>
          <w:trHeight w:val="878" w:hRule="exact"/>
        </w:trPr>
        <w:tc>
          <w:tcPr>
            <w:tcW w:w="147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tabs>
                <w:tab w:pos="881" w:val="left" w:leader="none"/>
              </w:tabs>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895" w:type="dxa"/>
            <w:tcBorders>
              <w:top w:val="single" w:sz="8" w:space="0" w:color="000000"/>
              <w:left w:val="single" w:sz="8" w:space="0" w:color="000000"/>
              <w:bottom w:val="single" w:sz="12" w:space="0" w:color="000000"/>
              <w:right w:val="single" w:sz="8" w:space="0" w:color="000000"/>
            </w:tcBorders>
          </w:tcPr>
          <w:p>
            <w:pPr/>
          </w:p>
        </w:tc>
        <w:tc>
          <w:tcPr>
            <w:tcW w:w="138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28,600,000.00</w:t>
            </w:r>
          </w:p>
        </w:tc>
        <w:tc>
          <w:tcPr>
            <w:tcW w:w="13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sz w:val="18"/>
              </w:rPr>
              <w:t>28,000,000.00</w:t>
            </w:r>
          </w:p>
        </w:tc>
        <w:tc>
          <w:tcPr>
            <w:tcW w:w="111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sz w:val="18"/>
              </w:rPr>
              <w:t>600,000.00</w:t>
            </w:r>
          </w:p>
        </w:tc>
        <w:tc>
          <w:tcPr>
            <w:tcW w:w="138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28,600,000.00</w:t>
            </w:r>
          </w:p>
        </w:tc>
        <w:tc>
          <w:tcPr>
            <w:tcW w:w="862" w:type="dxa"/>
            <w:tcBorders>
              <w:top w:val="single" w:sz="8" w:space="0" w:color="000000"/>
              <w:left w:val="single" w:sz="8" w:space="0" w:color="000000"/>
              <w:bottom w:val="single" w:sz="12" w:space="0" w:color="000000"/>
              <w:right w:val="single" w:sz="8" w:space="0" w:color="000000"/>
            </w:tcBorders>
          </w:tcPr>
          <w:p>
            <w:pPr/>
          </w:p>
        </w:tc>
        <w:tc>
          <w:tcPr>
            <w:tcW w:w="895" w:type="dxa"/>
            <w:tcBorders>
              <w:top w:val="single" w:sz="8" w:space="0" w:color="000000"/>
              <w:left w:val="single" w:sz="8" w:space="0" w:color="000000"/>
              <w:bottom w:val="single" w:sz="12" w:space="0" w:color="000000"/>
              <w:right w:val="single" w:sz="8" w:space="0" w:color="000000"/>
            </w:tcBorders>
          </w:tcPr>
          <w:p>
            <w:pPr/>
          </w:p>
        </w:tc>
        <w:tc>
          <w:tcPr>
            <w:tcW w:w="129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sz w:val="18"/>
              </w:rPr>
              <w:t>1,960,000.00</w:t>
            </w:r>
          </w:p>
        </w:tc>
      </w:tr>
    </w:tbl>
    <w:p>
      <w:pPr>
        <w:pStyle w:val="BodyText"/>
        <w:spacing w:line="240" w:lineRule="auto" w:before="86"/>
        <w:ind w:left="660" w:right="606"/>
        <w:jc w:val="left"/>
      </w:pPr>
      <w:r>
        <w:rPr/>
        <w:t>根据长春农村商业银行股份有限公司</w:t>
      </w:r>
      <w:r>
        <w:rPr>
          <w:spacing w:val="-44"/>
        </w:rPr>
        <w:t> </w:t>
      </w:r>
      <w:r>
        <w:rPr>
          <w:rFonts w:ascii="宋体" w:hAnsi="宋体" w:cs="宋体" w:eastAsia="宋体" w:hint="default"/>
        </w:rPr>
        <w:t>2009</w:t>
      </w:r>
      <w:r>
        <w:rPr>
          <w:rFonts w:ascii="宋体" w:hAnsi="宋体" w:cs="宋体" w:eastAsia="宋体" w:hint="default"/>
          <w:spacing w:val="-45"/>
        </w:rPr>
        <w:t> </w:t>
      </w:r>
      <w:r>
        <w:rPr>
          <w:spacing w:val="-3"/>
        </w:rPr>
        <w:t>年度股东大会决议，审议通过了</w:t>
      </w:r>
      <w:r>
        <w:rPr>
          <w:spacing w:val="-45"/>
        </w:rPr>
        <w:t> </w:t>
      </w:r>
      <w:r>
        <w:rPr>
          <w:rFonts w:ascii="宋体" w:hAnsi="宋体" w:cs="宋体" w:eastAsia="宋体" w:hint="default"/>
        </w:rPr>
        <w:t>2009</w:t>
      </w:r>
      <w:r>
        <w:rPr>
          <w:rFonts w:ascii="宋体" w:hAnsi="宋体" w:cs="宋体" w:eastAsia="宋体" w:hint="default"/>
          <w:spacing w:val="-45"/>
        </w:rPr>
        <w:t> </w:t>
      </w:r>
      <w:r>
        <w:rPr>
          <w:spacing w:val="-3"/>
        </w:rPr>
        <w:t>年度利润分配方案，以总股本</w:t>
      </w:r>
    </w:p>
    <w:p>
      <w:pPr>
        <w:pStyle w:val="BodyText"/>
        <w:spacing w:line="355" w:lineRule="auto" w:before="133"/>
        <w:ind w:left="660" w:right="606" w:hanging="420"/>
        <w:jc w:val="left"/>
      </w:pPr>
      <w:r>
        <w:rPr>
          <w:rFonts w:ascii="宋体" w:hAnsi="宋体" w:cs="宋体" w:eastAsia="宋体" w:hint="default"/>
          <w:spacing w:val="-1"/>
          <w:w w:val="100"/>
        </w:rPr>
        <w:t>30,000</w:t>
      </w:r>
      <w:r>
        <w:rPr>
          <w:rFonts w:ascii="宋体" w:hAnsi="宋体" w:cs="宋体" w:eastAsia="宋体" w:hint="default"/>
          <w:spacing w:val="-52"/>
          <w:w w:val="100"/>
        </w:rPr>
        <w:t> </w:t>
      </w:r>
      <w:r>
        <w:rPr>
          <w:spacing w:val="-2"/>
          <w:w w:val="100"/>
        </w:rPr>
        <w:t>万股为基数，向全体股东每</w:t>
      </w:r>
      <w:r>
        <w:rPr>
          <w:spacing w:val="-53"/>
          <w:w w:val="100"/>
        </w:rPr>
        <w:t> </w:t>
      </w:r>
      <w:r>
        <w:rPr>
          <w:rFonts w:ascii="宋体" w:hAnsi="宋体" w:cs="宋体" w:eastAsia="宋体" w:hint="default"/>
          <w:spacing w:val="-2"/>
          <w:w w:val="100"/>
        </w:rPr>
        <w:t>10</w:t>
      </w:r>
      <w:r>
        <w:rPr>
          <w:rFonts w:ascii="宋体" w:hAnsi="宋体" w:cs="宋体" w:eastAsia="宋体" w:hint="default"/>
          <w:spacing w:val="-53"/>
          <w:w w:val="100"/>
        </w:rPr>
        <w:t> </w:t>
      </w:r>
      <w:r>
        <w:rPr>
          <w:spacing w:val="-2"/>
          <w:w w:val="100"/>
        </w:rPr>
        <w:t>股派发现金红利</w:t>
      </w:r>
      <w:r>
        <w:rPr>
          <w:spacing w:val="-53"/>
          <w:w w:val="100"/>
        </w:rPr>
        <w:t> </w:t>
      </w:r>
      <w:r>
        <w:rPr>
          <w:rFonts w:ascii="宋体" w:hAnsi="宋体" w:cs="宋体" w:eastAsia="宋体" w:hint="default"/>
          <w:w w:val="100"/>
        </w:rPr>
        <w:t>0.7</w:t>
      </w:r>
      <w:r>
        <w:rPr>
          <w:rFonts w:ascii="宋体" w:hAnsi="宋体" w:cs="宋体" w:eastAsia="宋体" w:hint="default"/>
          <w:spacing w:val="-55"/>
          <w:w w:val="100"/>
        </w:rPr>
        <w:t> </w:t>
      </w:r>
      <w:r>
        <w:rPr>
          <w:spacing w:val="-8"/>
          <w:w w:val="100"/>
        </w:rPr>
        <w:t>元（含税），本公司本期取得现金红利</w:t>
      </w:r>
      <w:r>
        <w:rPr>
          <w:spacing w:val="-52"/>
          <w:w w:val="100"/>
        </w:rPr>
        <w:t> </w:t>
      </w:r>
      <w:r>
        <w:rPr>
          <w:rFonts w:ascii="宋体" w:hAnsi="宋体" w:cs="宋体" w:eastAsia="宋体" w:hint="default"/>
          <w:spacing w:val="-1"/>
          <w:w w:val="100"/>
        </w:rPr>
        <w:t>196</w:t>
      </w:r>
      <w:r>
        <w:rPr>
          <w:rFonts w:ascii="宋体" w:hAnsi="宋体" w:cs="宋体" w:eastAsia="宋体" w:hint="default"/>
          <w:spacing w:val="-53"/>
          <w:w w:val="100"/>
        </w:rPr>
        <w:t> </w:t>
      </w:r>
      <w:r>
        <w:rPr>
          <w:spacing w:val="-1"/>
          <w:w w:val="100"/>
        </w:rPr>
        <w:t>万元。</w:t>
      </w:r>
      <w:r>
        <w:rPr>
          <w:spacing w:val="-95"/>
          <w:w w:val="100"/>
        </w:rPr>
        <w:t> </w:t>
      </w:r>
      <w:r>
        <w:rPr>
          <w:spacing w:val="-95"/>
          <w:w w:val="100"/>
        </w:rPr>
      </w:r>
      <w:r>
        <w:rPr>
          <w:spacing w:val="-2"/>
        </w:rPr>
        <w:t>根据长春农村商业银行股份有限公司</w:t>
      </w:r>
      <w:r>
        <w:rPr>
          <w:rFonts w:ascii="宋体" w:hAnsi="宋体" w:cs="宋体" w:eastAsia="宋体" w:hint="default"/>
          <w:spacing w:val="-2"/>
        </w:rPr>
        <w:t>2010</w:t>
      </w:r>
      <w:r>
        <w:rPr>
          <w:spacing w:val="-2"/>
        </w:rPr>
        <w:t>年度临时股东大会第二次会议决议规定，在原注册资本</w:t>
      </w:r>
      <w:r>
        <w:rPr>
          <w:rFonts w:ascii="宋体" w:hAnsi="宋体" w:cs="宋体" w:eastAsia="宋体" w:hint="default"/>
          <w:spacing w:val="-2"/>
        </w:rPr>
        <w:t>30,000</w:t>
      </w:r>
      <w:r>
        <w:rPr>
          <w:spacing w:val="-2"/>
        </w:rPr>
        <w:t>万元的</w:t>
      </w:r>
    </w:p>
    <w:p>
      <w:pPr>
        <w:pStyle w:val="BodyText"/>
        <w:spacing w:line="357" w:lineRule="auto"/>
        <w:ind w:left="240" w:right="712"/>
        <w:jc w:val="both"/>
      </w:pPr>
      <w:r>
        <w:rPr>
          <w:spacing w:val="15"/>
        </w:rPr>
        <w:t>基础上增资</w:t>
      </w:r>
      <w:r>
        <w:rPr>
          <w:spacing w:val="-77"/>
        </w:rPr>
        <w:t> </w:t>
      </w:r>
      <w:r>
        <w:rPr>
          <w:rFonts w:ascii="宋体" w:hAnsi="宋体" w:cs="宋体" w:eastAsia="宋体" w:hint="default"/>
        </w:rPr>
        <w:t>23,760</w:t>
      </w:r>
      <w:r>
        <w:rPr>
          <w:rFonts w:ascii="宋体" w:hAnsi="宋体" w:cs="宋体" w:eastAsia="宋体" w:hint="default"/>
          <w:spacing w:val="-75"/>
        </w:rPr>
        <w:t> </w:t>
      </w:r>
      <w:r>
        <w:rPr>
          <w:spacing w:val="12"/>
        </w:rPr>
        <w:t>万元，</w:t>
      </w:r>
      <w:r>
        <w:rPr>
          <w:spacing w:val="-75"/>
        </w:rPr>
        <w:t> </w:t>
      </w:r>
      <w:r>
        <w:rPr>
          <w:spacing w:val="18"/>
        </w:rPr>
        <w:t>此次增资事宜已经中准会计师事务所有限公司于</w:t>
      </w:r>
      <w:r>
        <w:rPr>
          <w:spacing w:val="-67"/>
        </w:rPr>
        <w:t> </w:t>
      </w:r>
      <w:r>
        <w:rPr>
          <w:rFonts w:ascii="宋体" w:hAnsi="宋体" w:cs="宋体" w:eastAsia="宋体" w:hint="default"/>
        </w:rPr>
        <w:t>2010</w:t>
      </w:r>
      <w:r>
        <w:rPr>
          <w:rFonts w:ascii="宋体" w:hAnsi="宋体" w:cs="宋体" w:eastAsia="宋体" w:hint="default"/>
          <w:spacing w:val="-75"/>
        </w:rPr>
        <w:t> </w:t>
      </w:r>
      <w:r>
        <w:rPr/>
        <w:t>年</w:t>
      </w:r>
      <w:r>
        <w:rPr>
          <w:spacing w:val="-78"/>
        </w:rPr>
        <w:t> </w:t>
      </w:r>
      <w:r>
        <w:rPr>
          <w:rFonts w:ascii="宋体" w:hAnsi="宋体" w:cs="宋体" w:eastAsia="宋体" w:hint="default"/>
        </w:rPr>
        <w:t>11</w:t>
      </w:r>
      <w:r>
        <w:rPr>
          <w:rFonts w:ascii="宋体" w:hAnsi="宋体" w:cs="宋体" w:eastAsia="宋体" w:hint="default"/>
          <w:spacing w:val="-74"/>
        </w:rPr>
        <w:t> </w:t>
      </w:r>
      <w:r>
        <w:rPr/>
        <w:t>月</w:t>
      </w:r>
      <w:r>
        <w:rPr>
          <w:spacing w:val="-75"/>
        </w:rPr>
        <w:t> </w:t>
      </w:r>
      <w:r>
        <w:rPr>
          <w:rFonts w:ascii="宋体" w:hAnsi="宋体" w:cs="宋体" w:eastAsia="宋体" w:hint="default"/>
        </w:rPr>
        <w:t>2</w:t>
      </w:r>
      <w:r>
        <w:rPr>
          <w:rFonts w:ascii="宋体" w:hAnsi="宋体" w:cs="宋体" w:eastAsia="宋体" w:hint="default"/>
          <w:spacing w:val="-78"/>
        </w:rPr>
        <w:t> </w:t>
      </w:r>
      <w:r>
        <w:rPr>
          <w:spacing w:val="16"/>
        </w:rPr>
        <w:t>日出具的中准验字</w:t>
      </w:r>
      <w:r>
        <w:rPr>
          <w:spacing w:val="-96"/>
        </w:rPr>
        <w:t> </w:t>
      </w:r>
      <w:r>
        <w:rPr>
          <w:spacing w:val="-96"/>
        </w:rPr>
      </w:r>
      <w:r>
        <w:rPr>
          <w:rFonts w:ascii="宋体" w:hAnsi="宋体" w:cs="宋体" w:eastAsia="宋体" w:hint="default"/>
        </w:rPr>
        <w:t>[2010]2048</w:t>
      </w:r>
      <w:r>
        <w:rPr/>
        <w:t>号验资报告予以验证，变更后的注册资本为</w:t>
      </w:r>
      <w:r>
        <w:rPr>
          <w:rFonts w:ascii="宋体" w:hAnsi="宋体" w:cs="宋体" w:eastAsia="宋体" w:hint="default"/>
        </w:rPr>
        <w:t>53,760</w:t>
      </w:r>
      <w:r>
        <w:rPr/>
        <w:t>万元，本公司出资</w:t>
      </w:r>
      <w:r>
        <w:rPr>
          <w:rFonts w:ascii="宋体" w:hAnsi="宋体" w:cs="宋体" w:eastAsia="宋体" w:hint="default"/>
        </w:rPr>
        <w:t>2,800</w:t>
      </w:r>
      <w:r>
        <w:rPr/>
        <w:t>万元，占变更后股本总额的</w:t>
      </w:r>
      <w:r>
        <w:rPr>
          <w:spacing w:val="-35"/>
        </w:rPr>
        <w:t> </w:t>
      </w:r>
      <w:r>
        <w:rPr>
          <w:spacing w:val="-35"/>
        </w:rPr>
      </w:r>
      <w:r>
        <w:rPr>
          <w:rFonts w:ascii="宋体" w:hAnsi="宋体" w:cs="宋体" w:eastAsia="宋体" w:hint="default"/>
        </w:rPr>
        <w:t>5.2083%</w:t>
      </w:r>
      <w:r>
        <w:rPr/>
        <w:t>。</w:t>
      </w:r>
    </w:p>
    <w:p>
      <w:pPr>
        <w:pStyle w:val="BodyText"/>
        <w:spacing w:line="357" w:lineRule="auto" w:before="30"/>
        <w:ind w:left="240" w:right="712" w:firstLine="420"/>
        <w:jc w:val="both"/>
      </w:pPr>
      <w:r>
        <w:rPr/>
        <w:t>根据本公司</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8</w:t>
      </w:r>
      <w:r>
        <w:rPr/>
        <w:t>日第四届董事会第九次会议决议，审议通过了《关于向吉林环境能源交易所有限公司</w:t>
      </w:r>
      <w:r>
        <w:rPr>
          <w:w w:val="100"/>
        </w:rPr>
        <w:t> </w:t>
      </w:r>
      <w:r>
        <w:rPr>
          <w:spacing w:val="5"/>
          <w:w w:val="100"/>
        </w:rPr>
        <w:t>进行股权投资的议案》，本公司拟以自有资金认缴其注册资本</w:t>
      </w:r>
      <w:r>
        <w:rPr>
          <w:rFonts w:ascii="宋体" w:hAnsi="宋体" w:cs="宋体" w:eastAsia="宋体" w:hint="default"/>
          <w:spacing w:val="5"/>
          <w:w w:val="100"/>
        </w:rPr>
        <w:t>300</w:t>
      </w:r>
      <w:r>
        <w:rPr>
          <w:spacing w:val="5"/>
          <w:w w:val="100"/>
        </w:rPr>
        <w:t>万元，占其注册资本总额</w:t>
      </w:r>
      <w:r>
        <w:rPr>
          <w:rFonts w:ascii="宋体" w:hAnsi="宋体" w:cs="宋体" w:eastAsia="宋体" w:hint="default"/>
          <w:spacing w:val="5"/>
          <w:w w:val="100"/>
        </w:rPr>
        <w:t>2,000</w:t>
      </w:r>
      <w:r>
        <w:rPr>
          <w:spacing w:val="5"/>
          <w:w w:val="100"/>
        </w:rPr>
        <w:t>万元的比例为</w:t>
      </w:r>
      <w:r>
        <w:rPr>
          <w:spacing w:val="-57"/>
          <w:w w:val="100"/>
        </w:rPr>
        <w:t> </w:t>
      </w:r>
      <w:r>
        <w:rPr>
          <w:spacing w:val="-57"/>
          <w:w w:val="100"/>
        </w:rPr>
      </w:r>
      <w:r>
        <w:rPr>
          <w:rFonts w:ascii="宋体" w:hAnsi="宋体" w:cs="宋体" w:eastAsia="宋体" w:hint="default"/>
          <w:spacing w:val="-6"/>
          <w:w w:val="100"/>
        </w:rPr>
        <w:t>15.00%</w:t>
      </w:r>
      <w:r>
        <w:rPr>
          <w:spacing w:val="-6"/>
          <w:w w:val="100"/>
        </w:rPr>
        <w:t>。根据吉林环境能源交易所有限公司协议和章程的规定，首次出资总额为</w:t>
      </w:r>
      <w:r>
        <w:rPr>
          <w:rFonts w:ascii="宋体" w:hAnsi="宋体" w:cs="宋体" w:eastAsia="宋体" w:hint="default"/>
          <w:spacing w:val="-6"/>
          <w:w w:val="100"/>
        </w:rPr>
        <w:t>400</w:t>
      </w:r>
      <w:r>
        <w:rPr>
          <w:spacing w:val="-6"/>
          <w:w w:val="100"/>
        </w:rPr>
        <w:t>万元，剩余出资</w:t>
      </w:r>
      <w:r>
        <w:rPr>
          <w:rFonts w:ascii="宋体" w:hAnsi="宋体" w:cs="宋体" w:eastAsia="宋体" w:hint="default"/>
          <w:spacing w:val="-6"/>
          <w:w w:val="100"/>
        </w:rPr>
        <w:t>1,600</w:t>
      </w:r>
      <w:r>
        <w:rPr>
          <w:spacing w:val="-6"/>
          <w:w w:val="100"/>
        </w:rPr>
        <w:t>万元在</w:t>
      </w:r>
      <w:r>
        <w:rPr>
          <w:rFonts w:ascii="宋体" w:hAnsi="宋体" w:cs="宋体" w:eastAsia="宋体" w:hint="default"/>
          <w:spacing w:val="-6"/>
          <w:w w:val="100"/>
        </w:rPr>
        <w:t>2012</w:t>
      </w:r>
      <w:r>
        <w:rPr>
          <w:rFonts w:ascii="宋体" w:hAnsi="宋体" w:cs="宋体" w:eastAsia="宋体" w:hint="default"/>
          <w:spacing w:val="-64"/>
          <w:w w:val="100"/>
        </w:rPr>
        <w:t> </w:t>
      </w:r>
      <w:r>
        <w:rPr>
          <w:rFonts w:ascii="宋体" w:hAnsi="宋体" w:cs="宋体" w:eastAsia="宋体" w:hint="default"/>
          <w:spacing w:val="-64"/>
          <w:w w:val="100"/>
        </w:rPr>
      </w:r>
      <w:r>
        <w:rPr/>
        <w:t>年</w:t>
      </w:r>
      <w:r>
        <w:rPr>
          <w:rFonts w:ascii="宋体" w:hAnsi="宋体" w:cs="宋体" w:eastAsia="宋体" w:hint="default"/>
        </w:rPr>
        <w:t>12</w:t>
      </w:r>
      <w:r>
        <w:rPr/>
        <w:t>月</w:t>
      </w:r>
      <w:r>
        <w:rPr>
          <w:rFonts w:ascii="宋体" w:hAnsi="宋体" w:cs="宋体" w:eastAsia="宋体" w:hint="default"/>
        </w:rPr>
        <w:t>30</w:t>
      </w:r>
      <w:r>
        <w:rPr/>
        <w:t>日之前缴足。各股东首次出资</w:t>
      </w:r>
      <w:r>
        <w:rPr>
          <w:rFonts w:ascii="宋体" w:hAnsi="宋体" w:cs="宋体" w:eastAsia="宋体" w:hint="default"/>
        </w:rPr>
        <w:t>400</w:t>
      </w:r>
      <w:r>
        <w:rPr/>
        <w:t>万元经吉林金石会计师事务所有限责任公司于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30</w:t>
      </w:r>
      <w:r>
        <w:rPr/>
        <w:t>日出具的吉</w:t>
      </w:r>
      <w:r>
        <w:rPr>
          <w:spacing w:val="-37"/>
        </w:rPr>
        <w:t> </w:t>
      </w:r>
      <w:r>
        <w:rPr>
          <w:spacing w:val="-37"/>
        </w:rPr>
      </w:r>
      <w:r>
        <w:rPr/>
        <w:t>金石验字</w:t>
      </w:r>
      <w:r>
        <w:rPr>
          <w:rFonts w:ascii="宋体" w:hAnsi="宋体" w:cs="宋体" w:eastAsia="宋体" w:hint="default"/>
        </w:rPr>
        <w:t>[2010]</w:t>
      </w:r>
      <w:r>
        <w:rPr/>
        <w:t>第</w:t>
      </w:r>
      <w:r>
        <w:rPr>
          <w:rFonts w:ascii="宋体" w:hAnsi="宋体" w:cs="宋体" w:eastAsia="宋体" w:hint="default"/>
        </w:rPr>
        <w:t>113</w:t>
      </w:r>
      <w:r>
        <w:rPr/>
        <w:t>号验资报告予以验证，本公司首次出资</w:t>
      </w:r>
      <w:r>
        <w:rPr>
          <w:rFonts w:ascii="宋体" w:hAnsi="宋体" w:cs="宋体" w:eastAsia="宋体" w:hint="default"/>
        </w:rPr>
        <w:t>60</w:t>
      </w:r>
      <w:r>
        <w:rPr/>
        <w:t>万元，占首次认缴注册资本总额</w:t>
      </w:r>
      <w:r>
        <w:rPr>
          <w:rFonts w:ascii="宋体" w:hAnsi="宋体" w:cs="宋体" w:eastAsia="宋体" w:hint="default"/>
        </w:rPr>
        <w:t>400</w:t>
      </w:r>
      <w:r>
        <w:rPr/>
        <w:t>万元的比例为</w:t>
      </w:r>
      <w:r>
        <w:rPr>
          <w:spacing w:val="61"/>
        </w:rPr>
        <w:t> </w:t>
      </w:r>
      <w:r>
        <w:rPr>
          <w:spacing w:val="61"/>
        </w:rPr>
      </w:r>
      <w:r>
        <w:rPr>
          <w:rFonts w:ascii="宋体" w:hAnsi="宋体" w:cs="宋体" w:eastAsia="宋体" w:hint="default"/>
        </w:rPr>
        <w:t>15.00%</w:t>
      </w:r>
      <w:r>
        <w:rPr/>
        <w:t>。</w:t>
      </w:r>
    </w:p>
    <w:p>
      <w:pPr>
        <w:pStyle w:val="BodyText"/>
        <w:spacing w:line="357" w:lineRule="auto" w:before="30"/>
        <w:ind w:left="240" w:right="710" w:firstLine="420"/>
        <w:jc w:val="both"/>
      </w:pPr>
      <w:r>
        <w:rPr>
          <w:spacing w:val="-3"/>
        </w:rPr>
        <w:t>（</w:t>
      </w:r>
      <w:r>
        <w:rPr>
          <w:rFonts w:ascii="宋体" w:hAnsi="宋体" w:cs="宋体" w:eastAsia="宋体" w:hint="default"/>
          <w:spacing w:val="-3"/>
        </w:rPr>
        <w:t>2</w:t>
      </w:r>
      <w:r>
        <w:rPr>
          <w:spacing w:val="-3"/>
        </w:rPr>
        <w:t>）截至</w:t>
      </w:r>
      <w:r>
        <w:rPr>
          <w:spacing w:val="-40"/>
        </w:rPr>
        <w:t> </w:t>
      </w:r>
      <w:r>
        <w:rPr>
          <w:rFonts w:ascii="宋体" w:hAnsi="宋体" w:cs="宋体" w:eastAsia="宋体" w:hint="default"/>
        </w:rPr>
        <w:t>2010</w:t>
      </w:r>
      <w:r>
        <w:rPr>
          <w:rFonts w:ascii="宋体" w:hAnsi="宋体" w:cs="宋体" w:eastAsia="宋体" w:hint="default"/>
          <w:spacing w:val="-43"/>
        </w:rPr>
        <w:t> </w:t>
      </w:r>
      <w:r>
        <w:rPr/>
        <w:t>年</w:t>
      </w:r>
      <w:r>
        <w:rPr>
          <w:spacing w:val="-40"/>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spacing w:val="-3"/>
        </w:rPr>
        <w:t>日止，本公司长期股权投资期末余额无账面价值高于可收回金额的情况，未计提长</w:t>
      </w:r>
      <w:r>
        <w:rPr>
          <w:w w:val="100"/>
        </w:rPr>
        <w:t> </w:t>
      </w:r>
      <w:r>
        <w:rPr/>
        <w:t>期股权投资减值准备。</w:t>
      </w:r>
    </w:p>
    <w:p>
      <w:pPr>
        <w:pStyle w:val="Heading4"/>
        <w:spacing w:line="240" w:lineRule="auto" w:before="30"/>
        <w:ind w:right="606"/>
        <w:jc w:val="left"/>
        <w:rPr>
          <w:b w:val="0"/>
          <w:bCs w:val="0"/>
        </w:rPr>
      </w:pPr>
      <w:r>
        <w:rPr>
          <w:rFonts w:ascii="宋体" w:hAnsi="宋体" w:cs="宋体" w:eastAsia="宋体" w:hint="default"/>
        </w:rPr>
        <w:t>8</w:t>
      </w:r>
      <w:r>
        <w:rPr/>
        <w:t>、固定资产</w:t>
      </w:r>
      <w:r>
        <w:rPr>
          <w:b w:val="0"/>
          <w:bCs w:val="0"/>
        </w:rPr>
      </w:r>
    </w:p>
    <w:p>
      <w:pPr>
        <w:pStyle w:val="BodyText"/>
        <w:spacing w:line="240" w:lineRule="auto" w:before="133"/>
        <w:ind w:left="652" w:right="606"/>
        <w:jc w:val="left"/>
      </w:pPr>
      <w:r>
        <w:rPr/>
        <w:t>（</w:t>
      </w:r>
      <w:r>
        <w:rPr>
          <w:rFonts w:ascii="宋体" w:hAnsi="宋体" w:cs="宋体" w:eastAsia="宋体" w:hint="default"/>
        </w:rPr>
        <w:t>1</w:t>
      </w:r>
      <w:r>
        <w:rPr/>
        <w:t>）固定资产分类情况：</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279"/>
        <w:gridCol w:w="1855"/>
        <w:gridCol w:w="1856"/>
        <w:gridCol w:w="1853"/>
        <w:gridCol w:w="1855"/>
      </w:tblGrid>
      <w:tr>
        <w:trPr>
          <w:trHeight w:val="389" w:hRule="exact"/>
        </w:trPr>
        <w:tc>
          <w:tcPr>
            <w:tcW w:w="3279" w:type="dxa"/>
            <w:tcBorders>
              <w:top w:val="single" w:sz="12" w:space="0" w:color="000000"/>
              <w:left w:val="nil" w:sz="6" w:space="0" w:color="auto"/>
              <w:bottom w:val="single" w:sz="8" w:space="0" w:color="000000"/>
              <w:right w:val="single" w:sz="8" w:space="0" w:color="000000"/>
            </w:tcBorders>
          </w:tcPr>
          <w:p>
            <w:pPr>
              <w:pStyle w:val="TableParagraph"/>
              <w:tabs>
                <w:tab w:pos="477" w:val="left" w:leader="none"/>
              </w:tabs>
              <w:spacing w:line="210" w:lineRule="exact"/>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55" w:type="dxa"/>
            <w:tcBorders>
              <w:top w:val="single" w:sz="12" w:space="0" w:color="000000"/>
              <w:left w:val="single" w:sz="8" w:space="0" w:color="000000"/>
              <w:bottom w:val="single" w:sz="8" w:space="0" w:color="000000"/>
              <w:right w:val="single" w:sz="8" w:space="0" w:color="000000"/>
            </w:tcBorders>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56" w:type="dxa"/>
            <w:tcBorders>
              <w:top w:val="single" w:sz="12" w:space="0" w:color="000000"/>
              <w:left w:val="single" w:sz="8" w:space="0" w:color="000000"/>
              <w:bottom w:val="single" w:sz="8" w:space="0" w:color="000000"/>
              <w:right w:val="single" w:sz="8" w:space="0" w:color="000000"/>
            </w:tcBorders>
          </w:tcPr>
          <w:p>
            <w:pPr>
              <w:pStyle w:val="TableParagraph"/>
              <w:spacing w:line="210" w:lineRule="exact"/>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53" w:type="dxa"/>
            <w:tcBorders>
              <w:top w:val="single" w:sz="12" w:space="0" w:color="000000"/>
              <w:left w:val="single" w:sz="8" w:space="0" w:color="000000"/>
              <w:bottom w:val="single" w:sz="8" w:space="0" w:color="000000"/>
              <w:right w:val="single" w:sz="8" w:space="0" w:color="000000"/>
            </w:tcBorders>
          </w:tcPr>
          <w:p>
            <w:pPr>
              <w:pStyle w:val="TableParagraph"/>
              <w:spacing w:line="210" w:lineRule="exact"/>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55" w:type="dxa"/>
            <w:tcBorders>
              <w:top w:val="single" w:sz="12" w:space="0" w:color="000000"/>
              <w:left w:val="single" w:sz="8" w:space="0" w:color="000000"/>
              <w:bottom w:val="single" w:sz="8" w:space="0" w:color="000000"/>
              <w:right w:val="nil" w:sz="6" w:space="0" w:color="auto"/>
            </w:tcBorders>
          </w:tcPr>
          <w:p>
            <w:pPr>
              <w:pStyle w:val="TableParagraph"/>
              <w:spacing w:line="210" w:lineRule="exact"/>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82" w:hRule="exact"/>
        </w:trPr>
        <w:tc>
          <w:tcPr>
            <w:tcW w:w="3279" w:type="dxa"/>
            <w:tcBorders>
              <w:top w:val="single" w:sz="8" w:space="0" w:color="000000"/>
              <w:left w:val="nil" w:sz="6" w:space="0" w:color="auto"/>
              <w:bottom w:val="single" w:sz="8" w:space="0" w:color="000000"/>
              <w:right w:val="single" w:sz="8"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5"/>
              <w:jc w:val="right"/>
              <w:rPr>
                <w:rFonts w:ascii="宋体" w:hAnsi="宋体" w:cs="宋体" w:eastAsia="宋体" w:hint="default"/>
                <w:sz w:val="18"/>
                <w:szCs w:val="18"/>
              </w:rPr>
            </w:pPr>
            <w:r>
              <w:rPr>
                <w:rFonts w:ascii="宋体"/>
                <w:spacing w:val="-1"/>
                <w:sz w:val="18"/>
              </w:rPr>
              <w:t>287,534,576.56</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41,276,213.79</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pacing w:val="-1"/>
                <w:sz w:val="18"/>
              </w:rPr>
              <w:t>4,213,645.28</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pacing w:val="-1"/>
                <w:sz w:val="18"/>
              </w:rPr>
              <w:t>324,597,145.07</w:t>
            </w:r>
          </w:p>
        </w:tc>
      </w:tr>
      <w:tr>
        <w:trPr>
          <w:trHeight w:val="384" w:hRule="exact"/>
        </w:trPr>
        <w:tc>
          <w:tcPr>
            <w:tcW w:w="3279" w:type="dxa"/>
            <w:tcBorders>
              <w:top w:val="single" w:sz="8" w:space="0" w:color="000000"/>
              <w:left w:val="nil" w:sz="6" w:space="0" w:color="auto"/>
              <w:bottom w:val="single" w:sz="8" w:space="0" w:color="000000"/>
              <w:right w:val="single" w:sz="8"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pacing w:val="-1"/>
                <w:sz w:val="18"/>
              </w:rPr>
              <w:t>163,679,817.61</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10,802,823.83</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pacing w:val="-1"/>
                <w:sz w:val="18"/>
              </w:rPr>
              <w:t>3,252,343.73</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pacing w:val="-1"/>
                <w:sz w:val="18"/>
              </w:rPr>
              <w:t>171,230,297.71</w:t>
            </w:r>
          </w:p>
        </w:tc>
      </w:tr>
      <w:tr>
        <w:trPr>
          <w:trHeight w:val="384" w:hRule="exact"/>
        </w:trPr>
        <w:tc>
          <w:tcPr>
            <w:tcW w:w="3279" w:type="dxa"/>
            <w:tcBorders>
              <w:top w:val="single" w:sz="8" w:space="0" w:color="000000"/>
              <w:left w:val="nil" w:sz="6" w:space="0" w:color="auto"/>
              <w:bottom w:val="single" w:sz="8" w:space="0" w:color="000000"/>
              <w:right w:val="single" w:sz="8" w:space="0" w:color="000000"/>
            </w:tcBorders>
          </w:tcPr>
          <w:p>
            <w:pPr>
              <w:pStyle w:val="TableParagraph"/>
              <w:spacing w:line="210" w:lineRule="exact"/>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5"/>
              <w:jc w:val="right"/>
              <w:rPr>
                <w:rFonts w:ascii="宋体" w:hAnsi="宋体" w:cs="宋体" w:eastAsia="宋体" w:hint="default"/>
                <w:sz w:val="18"/>
                <w:szCs w:val="18"/>
              </w:rPr>
            </w:pPr>
            <w:r>
              <w:rPr>
                <w:rFonts w:ascii="宋体"/>
                <w:spacing w:val="-1"/>
                <w:sz w:val="18"/>
              </w:rPr>
              <w:t>112,574,601.79</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19,071,557.79</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5"/>
              <w:jc w:val="right"/>
              <w:rPr>
                <w:rFonts w:ascii="宋体" w:hAnsi="宋体" w:cs="宋体" w:eastAsia="宋体" w:hint="default"/>
                <w:sz w:val="18"/>
                <w:szCs w:val="18"/>
              </w:rPr>
            </w:pPr>
            <w:r>
              <w:rPr>
                <w:rFonts w:ascii="宋体"/>
                <w:spacing w:val="-1"/>
                <w:sz w:val="18"/>
              </w:rPr>
              <w:t>137,970.00</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pacing w:val="-1"/>
                <w:sz w:val="18"/>
              </w:rPr>
              <w:t>131,508,189.58</w:t>
            </w:r>
          </w:p>
        </w:tc>
      </w:tr>
      <w:tr>
        <w:trPr>
          <w:trHeight w:val="382" w:hRule="exact"/>
        </w:trPr>
        <w:tc>
          <w:tcPr>
            <w:tcW w:w="3279" w:type="dxa"/>
            <w:tcBorders>
              <w:top w:val="single" w:sz="8" w:space="0" w:color="000000"/>
              <w:left w:val="nil" w:sz="6" w:space="0" w:color="auto"/>
              <w:bottom w:val="single" w:sz="8" w:space="0" w:color="000000"/>
              <w:right w:val="single" w:sz="8" w:space="0" w:color="000000"/>
            </w:tcBorders>
          </w:tcPr>
          <w:p>
            <w:pPr>
              <w:pStyle w:val="TableParagraph"/>
              <w:spacing w:line="210" w:lineRule="exact"/>
              <w:ind w:left="6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pacing w:val="-1"/>
                <w:sz w:val="18"/>
              </w:rPr>
              <w:t>7,417,910.80</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6,452,292.22</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pacing w:val="-1"/>
                <w:sz w:val="18"/>
              </w:rPr>
              <w:t>115,513.35</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pacing w:val="-1"/>
                <w:sz w:val="18"/>
              </w:rPr>
              <w:t>13,754,689.67</w:t>
            </w:r>
          </w:p>
        </w:tc>
      </w:tr>
      <w:tr>
        <w:trPr>
          <w:trHeight w:val="384" w:hRule="exact"/>
        </w:trPr>
        <w:tc>
          <w:tcPr>
            <w:tcW w:w="3279" w:type="dxa"/>
            <w:tcBorders>
              <w:top w:val="single" w:sz="8" w:space="0" w:color="000000"/>
              <w:left w:val="nil" w:sz="6" w:space="0" w:color="auto"/>
              <w:bottom w:val="single" w:sz="8" w:space="0" w:color="000000"/>
              <w:right w:val="single" w:sz="8" w:space="0" w:color="000000"/>
            </w:tcBorders>
          </w:tcPr>
          <w:p>
            <w:pPr>
              <w:pStyle w:val="TableParagraph"/>
              <w:spacing w:line="210" w:lineRule="exact"/>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pacing w:val="-1"/>
                <w:sz w:val="18"/>
              </w:rPr>
              <w:t>3,862,246.36</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4,949,539.95</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5"/>
              <w:jc w:val="right"/>
              <w:rPr>
                <w:rFonts w:ascii="宋体" w:hAnsi="宋体" w:cs="宋体" w:eastAsia="宋体" w:hint="default"/>
                <w:sz w:val="18"/>
                <w:szCs w:val="18"/>
              </w:rPr>
            </w:pPr>
            <w:r>
              <w:rPr>
                <w:rFonts w:ascii="宋体"/>
                <w:spacing w:val="-1"/>
                <w:sz w:val="18"/>
              </w:rPr>
              <w:t>707,818.20</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pacing w:val="-1"/>
                <w:sz w:val="18"/>
              </w:rPr>
              <w:t>8,103,968.11</w:t>
            </w:r>
          </w:p>
        </w:tc>
      </w:tr>
      <w:tr>
        <w:trPr>
          <w:trHeight w:val="382" w:hRule="exact"/>
        </w:trPr>
        <w:tc>
          <w:tcPr>
            <w:tcW w:w="3279" w:type="dxa"/>
            <w:tcBorders>
              <w:top w:val="single" w:sz="8" w:space="0" w:color="000000"/>
              <w:left w:val="nil" w:sz="6" w:space="0" w:color="auto"/>
              <w:bottom w:val="single" w:sz="8" w:space="0" w:color="000000"/>
              <w:right w:val="single" w:sz="8"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right="96"/>
              <w:jc w:val="right"/>
              <w:rPr>
                <w:rFonts w:ascii="宋体" w:hAnsi="宋体" w:cs="宋体" w:eastAsia="宋体" w:hint="default"/>
                <w:sz w:val="18"/>
                <w:szCs w:val="18"/>
              </w:rPr>
            </w:pPr>
            <w:r>
              <w:rPr>
                <w:rFonts w:ascii="宋体"/>
                <w:spacing w:val="-1"/>
                <w:sz w:val="18"/>
              </w:rPr>
              <w:t>49,252,574.00</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right="97"/>
              <w:jc w:val="right"/>
              <w:rPr>
                <w:rFonts w:ascii="宋体" w:hAnsi="宋体" w:cs="宋体" w:eastAsia="宋体" w:hint="default"/>
                <w:sz w:val="18"/>
                <w:szCs w:val="18"/>
              </w:rPr>
            </w:pPr>
            <w:r>
              <w:rPr>
                <w:rFonts w:ascii="宋体"/>
                <w:spacing w:val="-1"/>
                <w:sz w:val="18"/>
              </w:rPr>
              <w:t>19,981,169.33</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right="96"/>
              <w:jc w:val="right"/>
              <w:rPr>
                <w:rFonts w:ascii="宋体" w:hAnsi="宋体" w:cs="宋体" w:eastAsia="宋体" w:hint="default"/>
                <w:sz w:val="18"/>
                <w:szCs w:val="18"/>
              </w:rPr>
            </w:pPr>
            <w:r>
              <w:rPr>
                <w:rFonts w:ascii="宋体"/>
                <w:spacing w:val="-1"/>
                <w:sz w:val="18"/>
              </w:rPr>
              <w:t>1,936,481.45</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11" w:lineRule="exact"/>
              <w:ind w:right="107"/>
              <w:jc w:val="right"/>
              <w:rPr>
                <w:rFonts w:ascii="宋体" w:hAnsi="宋体" w:cs="宋体" w:eastAsia="宋体" w:hint="default"/>
                <w:sz w:val="18"/>
                <w:szCs w:val="18"/>
              </w:rPr>
            </w:pPr>
            <w:r>
              <w:rPr>
                <w:rFonts w:ascii="宋体"/>
                <w:spacing w:val="-1"/>
                <w:sz w:val="18"/>
              </w:rPr>
              <w:t>67,297,261.88</w:t>
            </w:r>
          </w:p>
        </w:tc>
      </w:tr>
      <w:tr>
        <w:trPr>
          <w:trHeight w:val="384" w:hRule="exact"/>
        </w:trPr>
        <w:tc>
          <w:tcPr>
            <w:tcW w:w="3279" w:type="dxa"/>
            <w:tcBorders>
              <w:top w:val="single" w:sz="8" w:space="0" w:color="000000"/>
              <w:left w:val="nil" w:sz="6" w:space="0" w:color="auto"/>
              <w:bottom w:val="single" w:sz="8" w:space="0" w:color="000000"/>
              <w:right w:val="single" w:sz="8" w:space="0" w:color="000000"/>
            </w:tcBorders>
          </w:tcPr>
          <w:p>
            <w:pPr>
              <w:pStyle w:val="TableParagraph"/>
              <w:spacing w:line="21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right="96"/>
              <w:jc w:val="right"/>
              <w:rPr>
                <w:rFonts w:ascii="宋体" w:hAnsi="宋体" w:cs="宋体" w:eastAsia="宋体" w:hint="default"/>
                <w:sz w:val="18"/>
                <w:szCs w:val="18"/>
              </w:rPr>
            </w:pPr>
            <w:r>
              <w:rPr>
                <w:rFonts w:ascii="宋体"/>
                <w:spacing w:val="-1"/>
                <w:sz w:val="18"/>
              </w:rPr>
              <w:t>19,098,746.65</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right="98"/>
              <w:jc w:val="right"/>
              <w:rPr>
                <w:rFonts w:ascii="宋体" w:hAnsi="宋体" w:cs="宋体" w:eastAsia="宋体" w:hint="default"/>
                <w:sz w:val="18"/>
                <w:szCs w:val="18"/>
              </w:rPr>
            </w:pPr>
            <w:r>
              <w:rPr>
                <w:rFonts w:ascii="宋体"/>
                <w:spacing w:val="-1"/>
                <w:sz w:val="18"/>
              </w:rPr>
              <w:t>4,456,237.23</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13" w:lineRule="exact"/>
              <w:ind w:right="96"/>
              <w:jc w:val="right"/>
              <w:rPr>
                <w:rFonts w:ascii="宋体" w:hAnsi="宋体" w:cs="宋体" w:eastAsia="宋体" w:hint="default"/>
                <w:sz w:val="18"/>
                <w:szCs w:val="18"/>
              </w:rPr>
            </w:pPr>
            <w:r>
              <w:rPr>
                <w:rFonts w:ascii="宋体"/>
                <w:spacing w:val="-1"/>
                <w:sz w:val="18"/>
              </w:rPr>
              <w:t>1,053,791.02</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pacing w:val="-1"/>
                <w:sz w:val="18"/>
              </w:rPr>
              <w:t>22,501,192.86</w:t>
            </w:r>
          </w:p>
        </w:tc>
      </w:tr>
      <w:tr>
        <w:trPr>
          <w:trHeight w:val="384" w:hRule="exact"/>
        </w:trPr>
        <w:tc>
          <w:tcPr>
            <w:tcW w:w="3279" w:type="dxa"/>
            <w:tcBorders>
              <w:top w:val="single" w:sz="8" w:space="0" w:color="000000"/>
              <w:left w:val="nil" w:sz="6" w:space="0" w:color="auto"/>
              <w:bottom w:val="single" w:sz="8" w:space="0" w:color="000000"/>
              <w:right w:val="single" w:sz="8" w:space="0" w:color="000000"/>
            </w:tcBorders>
          </w:tcPr>
          <w:p>
            <w:pPr>
              <w:pStyle w:val="TableParagraph"/>
              <w:spacing w:line="210" w:lineRule="exact"/>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pacing w:val="-1"/>
                <w:sz w:val="18"/>
              </w:rPr>
              <w:t>25,761,417.72</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10,104,378.97</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5"/>
              <w:jc w:val="right"/>
              <w:rPr>
                <w:rFonts w:ascii="宋体" w:hAnsi="宋体" w:cs="宋体" w:eastAsia="宋体" w:hint="default"/>
                <w:sz w:val="18"/>
                <w:szCs w:val="18"/>
              </w:rPr>
            </w:pPr>
            <w:r>
              <w:rPr>
                <w:rFonts w:ascii="宋体"/>
                <w:spacing w:val="-1"/>
                <w:sz w:val="18"/>
              </w:rPr>
              <w:t>131,071.50</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pacing w:val="-1"/>
                <w:sz w:val="18"/>
              </w:rPr>
              <w:t>35,734,725.19</w:t>
            </w:r>
          </w:p>
        </w:tc>
      </w:tr>
      <w:tr>
        <w:trPr>
          <w:trHeight w:val="384" w:hRule="exact"/>
        </w:trPr>
        <w:tc>
          <w:tcPr>
            <w:tcW w:w="3279" w:type="dxa"/>
            <w:tcBorders>
              <w:top w:val="single" w:sz="8" w:space="0" w:color="000000"/>
              <w:left w:val="nil" w:sz="6" w:space="0" w:color="auto"/>
              <w:bottom w:val="single" w:sz="8" w:space="0" w:color="000000"/>
              <w:right w:val="single" w:sz="8" w:space="0" w:color="000000"/>
            </w:tcBorders>
          </w:tcPr>
          <w:p>
            <w:pPr>
              <w:pStyle w:val="TableParagraph"/>
              <w:spacing w:line="210" w:lineRule="exact"/>
              <w:ind w:left="6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pacing w:val="-1"/>
                <w:sz w:val="18"/>
              </w:rPr>
              <w:t>2,816,349.45</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7"/>
              <w:jc w:val="right"/>
              <w:rPr>
                <w:rFonts w:ascii="宋体" w:hAnsi="宋体" w:cs="宋体" w:eastAsia="宋体" w:hint="default"/>
                <w:sz w:val="18"/>
                <w:szCs w:val="18"/>
              </w:rPr>
            </w:pPr>
            <w:r>
              <w:rPr>
                <w:rFonts w:ascii="宋体"/>
                <w:spacing w:val="-1"/>
                <w:sz w:val="18"/>
              </w:rPr>
              <w:t>1,565,348.14</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pacing w:val="-1"/>
                <w:sz w:val="18"/>
              </w:rPr>
              <w:t>109,737.68</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pacing w:val="-1"/>
                <w:sz w:val="18"/>
              </w:rPr>
              <w:t>4,271,959.91</w:t>
            </w:r>
          </w:p>
        </w:tc>
      </w:tr>
      <w:tr>
        <w:trPr>
          <w:trHeight w:val="382" w:hRule="exact"/>
        </w:trPr>
        <w:tc>
          <w:tcPr>
            <w:tcW w:w="3279" w:type="dxa"/>
            <w:tcBorders>
              <w:top w:val="single" w:sz="8" w:space="0" w:color="000000"/>
              <w:left w:val="nil" w:sz="6" w:space="0" w:color="auto"/>
              <w:bottom w:val="single" w:sz="8" w:space="0" w:color="000000"/>
              <w:right w:val="single" w:sz="8" w:space="0" w:color="000000"/>
            </w:tcBorders>
          </w:tcPr>
          <w:p>
            <w:pPr>
              <w:pStyle w:val="TableParagraph"/>
              <w:spacing w:line="210" w:lineRule="exact"/>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pacing w:val="-1"/>
                <w:sz w:val="18"/>
              </w:rPr>
              <w:t>1,576,060.18</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3,855,204.99</w:t>
            </w:r>
          </w:p>
        </w:tc>
        <w:tc>
          <w:tcPr>
            <w:tcW w:w="1853"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pacing w:val="-1"/>
                <w:sz w:val="18"/>
              </w:rPr>
              <w:t>641,881.25</w:t>
            </w: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pacing w:val="-1"/>
                <w:sz w:val="18"/>
              </w:rPr>
              <w:t>4,789,383.92</w:t>
            </w:r>
          </w:p>
        </w:tc>
      </w:tr>
      <w:tr>
        <w:trPr>
          <w:trHeight w:val="384" w:hRule="exact"/>
        </w:trPr>
        <w:tc>
          <w:tcPr>
            <w:tcW w:w="3279" w:type="dxa"/>
            <w:tcBorders>
              <w:top w:val="single" w:sz="8" w:space="0" w:color="000000"/>
              <w:left w:val="nil" w:sz="6" w:space="0" w:color="auto"/>
              <w:bottom w:val="single" w:sz="8" w:space="0" w:color="000000"/>
              <w:right w:val="single" w:sz="8"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三、固定资产账面价值合计：</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5"/>
              <w:jc w:val="right"/>
              <w:rPr>
                <w:rFonts w:ascii="宋体" w:hAnsi="宋体" w:cs="宋体" w:eastAsia="宋体" w:hint="default"/>
                <w:sz w:val="18"/>
                <w:szCs w:val="18"/>
              </w:rPr>
            </w:pPr>
            <w:r>
              <w:rPr>
                <w:rFonts w:ascii="宋体"/>
                <w:spacing w:val="-1"/>
                <w:sz w:val="18"/>
              </w:rPr>
              <w:t>238,282,002.56</w:t>
            </w:r>
          </w:p>
        </w:tc>
        <w:tc>
          <w:tcPr>
            <w:tcW w:w="1856" w:type="dxa"/>
            <w:tcBorders>
              <w:top w:val="single" w:sz="8" w:space="0" w:color="000000"/>
              <w:left w:val="single" w:sz="8" w:space="0" w:color="000000"/>
              <w:bottom w:val="single" w:sz="8" w:space="0" w:color="000000"/>
              <w:right w:val="single" w:sz="8" w:space="0" w:color="000000"/>
            </w:tcBorders>
          </w:tcPr>
          <w:p>
            <w:pPr/>
          </w:p>
        </w:tc>
        <w:tc>
          <w:tcPr>
            <w:tcW w:w="1853" w:type="dxa"/>
            <w:tcBorders>
              <w:top w:val="single" w:sz="8" w:space="0" w:color="000000"/>
              <w:left w:val="single" w:sz="8" w:space="0" w:color="000000"/>
              <w:bottom w:val="single" w:sz="8" w:space="0" w:color="000000"/>
              <w:right w:val="single" w:sz="8" w:space="0" w:color="000000"/>
            </w:tcBorders>
          </w:tcPr>
          <w:p>
            <w:pP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10" w:lineRule="exact"/>
              <w:ind w:right="109"/>
              <w:jc w:val="right"/>
              <w:rPr>
                <w:rFonts w:ascii="宋体" w:hAnsi="宋体" w:cs="宋体" w:eastAsia="宋体" w:hint="default"/>
                <w:sz w:val="18"/>
                <w:szCs w:val="18"/>
              </w:rPr>
            </w:pPr>
            <w:r>
              <w:rPr>
                <w:rFonts w:ascii="宋体"/>
                <w:spacing w:val="-1"/>
                <w:sz w:val="18"/>
              </w:rPr>
              <w:t>257,299,883.19</w:t>
            </w:r>
          </w:p>
        </w:tc>
      </w:tr>
      <w:tr>
        <w:trPr>
          <w:trHeight w:val="382" w:hRule="exact"/>
        </w:trPr>
        <w:tc>
          <w:tcPr>
            <w:tcW w:w="3279" w:type="dxa"/>
            <w:tcBorders>
              <w:top w:val="single" w:sz="8" w:space="0" w:color="000000"/>
              <w:left w:val="nil" w:sz="6" w:space="0" w:color="auto"/>
              <w:bottom w:val="single" w:sz="8" w:space="0" w:color="000000"/>
              <w:right w:val="single" w:sz="8"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10" w:lineRule="exact"/>
              <w:ind w:right="96"/>
              <w:jc w:val="right"/>
              <w:rPr>
                <w:rFonts w:ascii="宋体" w:hAnsi="宋体" w:cs="宋体" w:eastAsia="宋体" w:hint="default"/>
                <w:sz w:val="18"/>
                <w:szCs w:val="18"/>
              </w:rPr>
            </w:pPr>
            <w:r>
              <w:rPr>
                <w:rFonts w:ascii="宋体"/>
                <w:spacing w:val="-1"/>
                <w:sz w:val="18"/>
              </w:rPr>
              <w:t>144,581,070.96</w:t>
            </w:r>
          </w:p>
        </w:tc>
        <w:tc>
          <w:tcPr>
            <w:tcW w:w="1856" w:type="dxa"/>
            <w:tcBorders>
              <w:top w:val="single" w:sz="8" w:space="0" w:color="000000"/>
              <w:left w:val="single" w:sz="8" w:space="0" w:color="000000"/>
              <w:bottom w:val="single" w:sz="8" w:space="0" w:color="000000"/>
              <w:right w:val="single" w:sz="8" w:space="0" w:color="000000"/>
            </w:tcBorders>
          </w:tcPr>
          <w:p>
            <w:pPr/>
          </w:p>
        </w:tc>
        <w:tc>
          <w:tcPr>
            <w:tcW w:w="1853" w:type="dxa"/>
            <w:tcBorders>
              <w:top w:val="single" w:sz="8" w:space="0" w:color="000000"/>
              <w:left w:val="single" w:sz="8" w:space="0" w:color="000000"/>
              <w:bottom w:val="single" w:sz="8" w:space="0" w:color="000000"/>
              <w:right w:val="single" w:sz="8" w:space="0" w:color="000000"/>
            </w:tcBorders>
          </w:tcPr>
          <w:p>
            <w:pPr/>
          </w:p>
        </w:tc>
        <w:tc>
          <w:tcPr>
            <w:tcW w:w="1855" w:type="dxa"/>
            <w:tcBorders>
              <w:top w:val="single" w:sz="8" w:space="0" w:color="000000"/>
              <w:left w:val="single" w:sz="8" w:space="0" w:color="000000"/>
              <w:bottom w:val="single" w:sz="8"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pacing w:val="-1"/>
                <w:sz w:val="18"/>
              </w:rPr>
              <w:t>148,729,104.85</w:t>
            </w:r>
          </w:p>
        </w:tc>
      </w:tr>
      <w:tr>
        <w:trPr>
          <w:trHeight w:val="389" w:hRule="exact"/>
        </w:trPr>
        <w:tc>
          <w:tcPr>
            <w:tcW w:w="3279" w:type="dxa"/>
            <w:tcBorders>
              <w:top w:val="single" w:sz="8" w:space="0" w:color="000000"/>
              <w:left w:val="nil" w:sz="6" w:space="0" w:color="auto"/>
              <w:bottom w:val="single" w:sz="12" w:space="0" w:color="000000"/>
              <w:right w:val="single" w:sz="8" w:space="0" w:color="000000"/>
            </w:tcBorders>
          </w:tcPr>
          <w:p>
            <w:pPr>
              <w:pStyle w:val="TableParagraph"/>
              <w:spacing w:line="210" w:lineRule="exact"/>
              <w:ind w:left="6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5" w:type="dxa"/>
            <w:tcBorders>
              <w:top w:val="single" w:sz="8" w:space="0" w:color="000000"/>
              <w:left w:val="single" w:sz="8" w:space="0" w:color="000000"/>
              <w:bottom w:val="single" w:sz="12" w:space="0" w:color="000000"/>
              <w:right w:val="single" w:sz="8" w:space="0" w:color="000000"/>
            </w:tcBorders>
          </w:tcPr>
          <w:p>
            <w:pPr>
              <w:pStyle w:val="TableParagraph"/>
              <w:spacing w:line="210" w:lineRule="exact"/>
              <w:ind w:right="95"/>
              <w:jc w:val="right"/>
              <w:rPr>
                <w:rFonts w:ascii="宋体" w:hAnsi="宋体" w:cs="宋体" w:eastAsia="宋体" w:hint="default"/>
                <w:sz w:val="18"/>
                <w:szCs w:val="18"/>
              </w:rPr>
            </w:pPr>
            <w:r>
              <w:rPr>
                <w:rFonts w:ascii="宋体"/>
                <w:spacing w:val="-1"/>
                <w:sz w:val="18"/>
              </w:rPr>
              <w:t>86,813,184.07</w:t>
            </w:r>
          </w:p>
        </w:tc>
        <w:tc>
          <w:tcPr>
            <w:tcW w:w="1856" w:type="dxa"/>
            <w:tcBorders>
              <w:top w:val="single" w:sz="8" w:space="0" w:color="000000"/>
              <w:left w:val="single" w:sz="8" w:space="0" w:color="000000"/>
              <w:bottom w:val="single" w:sz="12" w:space="0" w:color="000000"/>
              <w:right w:val="single" w:sz="8" w:space="0" w:color="000000"/>
            </w:tcBorders>
          </w:tcPr>
          <w:p>
            <w:pPr/>
          </w:p>
        </w:tc>
        <w:tc>
          <w:tcPr>
            <w:tcW w:w="1853" w:type="dxa"/>
            <w:tcBorders>
              <w:top w:val="single" w:sz="8" w:space="0" w:color="000000"/>
              <w:left w:val="single" w:sz="8" w:space="0" w:color="000000"/>
              <w:bottom w:val="single" w:sz="12" w:space="0" w:color="000000"/>
              <w:right w:val="single" w:sz="8" w:space="0" w:color="000000"/>
            </w:tcBorders>
          </w:tcPr>
          <w:p>
            <w:pPr/>
          </w:p>
        </w:tc>
        <w:tc>
          <w:tcPr>
            <w:tcW w:w="1855" w:type="dxa"/>
            <w:tcBorders>
              <w:top w:val="single" w:sz="8" w:space="0" w:color="000000"/>
              <w:left w:val="single" w:sz="8" w:space="0" w:color="000000"/>
              <w:bottom w:val="single" w:sz="12" w:space="0" w:color="000000"/>
              <w:right w:val="nil" w:sz="6" w:space="0" w:color="auto"/>
            </w:tcBorders>
          </w:tcPr>
          <w:p>
            <w:pPr>
              <w:pStyle w:val="TableParagraph"/>
              <w:spacing w:line="210" w:lineRule="exact"/>
              <w:ind w:right="107"/>
              <w:jc w:val="right"/>
              <w:rPr>
                <w:rFonts w:ascii="宋体" w:hAnsi="宋体" w:cs="宋体" w:eastAsia="宋体" w:hint="default"/>
                <w:sz w:val="18"/>
                <w:szCs w:val="18"/>
              </w:rPr>
            </w:pPr>
            <w:r>
              <w:rPr>
                <w:rFonts w:ascii="宋体"/>
                <w:spacing w:val="-1"/>
                <w:sz w:val="18"/>
              </w:rPr>
              <w:t>95,773,464.39</w:t>
            </w:r>
          </w:p>
        </w:tc>
      </w:tr>
    </w:tbl>
    <w:p>
      <w:pPr>
        <w:spacing w:after="0" w:line="210" w:lineRule="exact"/>
        <w:jc w:val="right"/>
        <w:rPr>
          <w:rFonts w:ascii="宋体" w:hAnsi="宋体" w:cs="宋体" w:eastAsia="宋体" w:hint="default"/>
          <w:sz w:val="18"/>
          <w:szCs w:val="18"/>
        </w:rPr>
        <w:sectPr>
          <w:pgSz w:w="11910" w:h="16840"/>
          <w:pgMar w:header="720" w:footer="956" w:top="1300" w:bottom="1140" w:left="480" w:right="0"/>
        </w:sectPr>
      </w:pPr>
    </w:p>
    <w:p>
      <w:pPr>
        <w:spacing w:line="240" w:lineRule="auto" w:before="7"/>
        <w:rPr>
          <w:rFonts w:ascii="宋体" w:hAnsi="宋体" w:cs="宋体" w:eastAsia="宋体" w:hint="default"/>
          <w:sz w:val="3"/>
          <w:szCs w:val="3"/>
        </w:rPr>
      </w:pPr>
      <w:r>
        <w:rPr/>
        <w:pict>
          <v:group style="position:absolute;margin-left:494.049988pt;margin-top:784.099731pt;width:101.25pt;height:57.75pt;mso-position-horizontal-relative:page;mso-position-vertical-relative:page;z-index:-533344" coordorigin="9881,15682" coordsize="2025,1155">
            <v:shape style="position:absolute;left:9881;top:15682;width:2025;height:1155" type="#_x0000_t75" stroked="false">
              <v:imagedata r:id="rId32" o:title=""/>
            </v:shape>
            <v:shape style="position:absolute;left:10828;top:15723;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84</w:t>
                    </w:r>
                  </w:p>
                </w:txbxContent>
              </v:textbox>
              <w10:wrap type="none"/>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3279"/>
        <w:gridCol w:w="1855"/>
        <w:gridCol w:w="1856"/>
        <w:gridCol w:w="1853"/>
        <w:gridCol w:w="1855"/>
      </w:tblGrid>
      <w:tr>
        <w:trPr>
          <w:trHeight w:val="394" w:hRule="exact"/>
        </w:trPr>
        <w:tc>
          <w:tcPr>
            <w:tcW w:w="3279" w:type="dxa"/>
            <w:tcBorders>
              <w:top w:val="single" w:sz="12" w:space="0" w:color="000000"/>
              <w:left w:val="nil" w:sz="6" w:space="0" w:color="auto"/>
              <w:bottom w:val="single" w:sz="8" w:space="0" w:color="000000"/>
              <w:right w:val="single" w:sz="8" w:space="0" w:color="000000"/>
            </w:tcBorders>
          </w:tcPr>
          <w:p>
            <w:pPr>
              <w:pStyle w:val="TableParagraph"/>
              <w:spacing w:line="217" w:lineRule="exact"/>
              <w:ind w:left="66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855" w:type="dxa"/>
            <w:tcBorders>
              <w:top w:val="single" w:sz="12" w:space="0" w:color="000000"/>
              <w:left w:val="single" w:sz="8" w:space="0" w:color="000000"/>
              <w:bottom w:val="single" w:sz="8" w:space="0" w:color="000000"/>
              <w:right w:val="single" w:sz="8" w:space="0" w:color="000000"/>
            </w:tcBorders>
          </w:tcPr>
          <w:p>
            <w:pPr>
              <w:pStyle w:val="TableParagraph"/>
              <w:spacing w:line="217" w:lineRule="exact"/>
              <w:ind w:right="96"/>
              <w:jc w:val="right"/>
              <w:rPr>
                <w:rFonts w:ascii="宋体" w:hAnsi="宋体" w:cs="宋体" w:eastAsia="宋体" w:hint="default"/>
                <w:sz w:val="18"/>
                <w:szCs w:val="18"/>
              </w:rPr>
            </w:pPr>
            <w:r>
              <w:rPr>
                <w:rFonts w:ascii="宋体"/>
                <w:spacing w:val="-1"/>
                <w:sz w:val="18"/>
              </w:rPr>
              <w:t>4,601,561.35</w:t>
            </w:r>
          </w:p>
        </w:tc>
        <w:tc>
          <w:tcPr>
            <w:tcW w:w="1856" w:type="dxa"/>
            <w:tcBorders>
              <w:top w:val="single" w:sz="12" w:space="0" w:color="000000"/>
              <w:left w:val="single" w:sz="8" w:space="0" w:color="000000"/>
              <w:bottom w:val="single" w:sz="8" w:space="0" w:color="000000"/>
              <w:right w:val="single" w:sz="8" w:space="0" w:color="000000"/>
            </w:tcBorders>
          </w:tcPr>
          <w:p>
            <w:pPr/>
          </w:p>
        </w:tc>
        <w:tc>
          <w:tcPr>
            <w:tcW w:w="1853" w:type="dxa"/>
            <w:tcBorders>
              <w:top w:val="single" w:sz="12" w:space="0" w:color="000000"/>
              <w:left w:val="single" w:sz="8" w:space="0" w:color="000000"/>
              <w:bottom w:val="single" w:sz="8" w:space="0" w:color="000000"/>
              <w:right w:val="single" w:sz="8" w:space="0" w:color="000000"/>
            </w:tcBorders>
          </w:tcPr>
          <w:p>
            <w:pPr/>
          </w:p>
        </w:tc>
        <w:tc>
          <w:tcPr>
            <w:tcW w:w="1855" w:type="dxa"/>
            <w:tcBorders>
              <w:top w:val="single" w:sz="12" w:space="0" w:color="000000"/>
              <w:left w:val="single" w:sz="8" w:space="0" w:color="000000"/>
              <w:bottom w:val="single" w:sz="8" w:space="0" w:color="000000"/>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pacing w:val="-1"/>
                <w:sz w:val="18"/>
              </w:rPr>
              <w:t>9,482,729.76</w:t>
            </w:r>
          </w:p>
        </w:tc>
      </w:tr>
      <w:tr>
        <w:trPr>
          <w:trHeight w:val="391" w:hRule="exact"/>
        </w:trPr>
        <w:tc>
          <w:tcPr>
            <w:tcW w:w="3279" w:type="dxa"/>
            <w:tcBorders>
              <w:top w:val="single" w:sz="8" w:space="0" w:color="000000"/>
              <w:left w:val="nil" w:sz="6" w:space="0" w:color="auto"/>
              <w:bottom w:val="single" w:sz="12" w:space="0" w:color="000000"/>
              <w:right w:val="single" w:sz="8" w:space="0" w:color="000000"/>
            </w:tcBorders>
          </w:tcPr>
          <w:p>
            <w:pPr>
              <w:pStyle w:val="TableParagraph"/>
              <w:spacing w:line="213" w:lineRule="exact"/>
              <w:ind w:left="6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5" w:type="dxa"/>
            <w:tcBorders>
              <w:top w:val="single" w:sz="8" w:space="0" w:color="000000"/>
              <w:left w:val="single" w:sz="8" w:space="0" w:color="000000"/>
              <w:bottom w:val="single" w:sz="12" w:space="0" w:color="000000"/>
              <w:right w:val="single" w:sz="8" w:space="0" w:color="000000"/>
            </w:tcBorders>
          </w:tcPr>
          <w:p>
            <w:pPr>
              <w:pStyle w:val="TableParagraph"/>
              <w:spacing w:line="213" w:lineRule="exact"/>
              <w:ind w:right="96"/>
              <w:jc w:val="right"/>
              <w:rPr>
                <w:rFonts w:ascii="宋体" w:hAnsi="宋体" w:cs="宋体" w:eastAsia="宋体" w:hint="default"/>
                <w:sz w:val="18"/>
                <w:szCs w:val="18"/>
              </w:rPr>
            </w:pPr>
            <w:r>
              <w:rPr>
                <w:rFonts w:ascii="宋体"/>
                <w:spacing w:val="-1"/>
                <w:sz w:val="18"/>
              </w:rPr>
              <w:t>2,286,186.18</w:t>
            </w:r>
          </w:p>
        </w:tc>
        <w:tc>
          <w:tcPr>
            <w:tcW w:w="1856" w:type="dxa"/>
            <w:tcBorders>
              <w:top w:val="single" w:sz="8" w:space="0" w:color="000000"/>
              <w:left w:val="single" w:sz="8" w:space="0" w:color="000000"/>
              <w:bottom w:val="single" w:sz="12" w:space="0" w:color="000000"/>
              <w:right w:val="single" w:sz="8" w:space="0" w:color="000000"/>
            </w:tcBorders>
          </w:tcPr>
          <w:p>
            <w:pPr/>
          </w:p>
        </w:tc>
        <w:tc>
          <w:tcPr>
            <w:tcW w:w="1853" w:type="dxa"/>
            <w:tcBorders>
              <w:top w:val="single" w:sz="8" w:space="0" w:color="000000"/>
              <w:left w:val="single" w:sz="8" w:space="0" w:color="000000"/>
              <w:bottom w:val="single" w:sz="12" w:space="0" w:color="000000"/>
              <w:right w:val="single" w:sz="8" w:space="0" w:color="000000"/>
            </w:tcBorders>
          </w:tcPr>
          <w:p>
            <w:pPr/>
          </w:p>
        </w:tc>
        <w:tc>
          <w:tcPr>
            <w:tcW w:w="1855" w:type="dxa"/>
            <w:tcBorders>
              <w:top w:val="single" w:sz="8" w:space="0" w:color="000000"/>
              <w:left w:val="single" w:sz="8" w:space="0" w:color="000000"/>
              <w:bottom w:val="single" w:sz="12" w:space="0" w:color="000000"/>
              <w:right w:val="nil" w:sz="6" w:space="0" w:color="auto"/>
            </w:tcBorders>
          </w:tcPr>
          <w:p>
            <w:pPr>
              <w:pStyle w:val="TableParagraph"/>
              <w:spacing w:line="213" w:lineRule="exact"/>
              <w:ind w:right="107"/>
              <w:jc w:val="right"/>
              <w:rPr>
                <w:rFonts w:ascii="宋体" w:hAnsi="宋体" w:cs="宋体" w:eastAsia="宋体" w:hint="default"/>
                <w:sz w:val="18"/>
                <w:szCs w:val="18"/>
              </w:rPr>
            </w:pPr>
            <w:r>
              <w:rPr>
                <w:rFonts w:ascii="宋体"/>
                <w:spacing w:val="-1"/>
                <w:sz w:val="18"/>
              </w:rPr>
              <w:t>3,314,584.19</w:t>
            </w:r>
          </w:p>
        </w:tc>
      </w:tr>
    </w:tbl>
    <w:p>
      <w:pPr>
        <w:pStyle w:val="BodyText"/>
        <w:spacing w:line="240" w:lineRule="auto" w:before="86"/>
        <w:ind w:left="660" w:right="606"/>
        <w:jc w:val="left"/>
      </w:pPr>
      <w:r>
        <w:rPr/>
        <w:t>（</w:t>
      </w:r>
      <w:r>
        <w:rPr>
          <w:rFonts w:ascii="宋体" w:hAnsi="宋体" w:cs="宋体" w:eastAsia="宋体" w:hint="default"/>
        </w:rPr>
        <w:t>2</w:t>
      </w:r>
      <w:r>
        <w:rPr/>
        <w:t>）本期由在建工程转入固定资产的金额为</w:t>
      </w:r>
      <w:r>
        <w:rPr>
          <w:spacing w:val="-53"/>
        </w:rPr>
        <w:t> </w:t>
      </w:r>
      <w:r>
        <w:rPr>
          <w:rFonts w:ascii="宋体" w:hAnsi="宋体" w:cs="宋体" w:eastAsia="宋体" w:hint="default"/>
        </w:rPr>
        <w:t>2,539</w:t>
      </w:r>
      <w:r>
        <w:rPr>
          <w:rFonts w:ascii="宋体" w:hAnsi="宋体" w:cs="宋体" w:eastAsia="宋体" w:hint="default"/>
          <w:spacing w:val="-55"/>
        </w:rPr>
        <w:t> </w:t>
      </w:r>
      <w:r>
        <w:rPr/>
        <w:t>万元。</w:t>
      </w:r>
    </w:p>
    <w:p>
      <w:pPr>
        <w:pStyle w:val="BodyText"/>
        <w:spacing w:line="240" w:lineRule="auto" w:before="133"/>
        <w:ind w:left="660" w:right="606"/>
        <w:jc w:val="left"/>
      </w:pPr>
      <w:r>
        <w:rPr/>
        <w:t>（</w:t>
      </w:r>
      <w:r>
        <w:rPr>
          <w:rFonts w:ascii="宋体" w:hAnsi="宋体" w:cs="宋体" w:eastAsia="宋体" w:hint="default"/>
        </w:rPr>
        <w:t>3</w:t>
      </w:r>
      <w:r>
        <w:rPr/>
        <w:t>）固定资产期末余额中，用于抵押贷款的固定资产原值为</w:t>
      </w:r>
      <w:r>
        <w:rPr>
          <w:spacing w:val="-55"/>
        </w:rPr>
        <w:t> </w:t>
      </w:r>
      <w:r>
        <w:rPr>
          <w:rFonts w:ascii="宋体" w:hAnsi="宋体" w:cs="宋体" w:eastAsia="宋体" w:hint="default"/>
        </w:rPr>
        <w:t>3,352</w:t>
      </w:r>
      <w:r>
        <w:rPr>
          <w:rFonts w:ascii="宋体" w:hAnsi="宋体" w:cs="宋体" w:eastAsia="宋体" w:hint="default"/>
          <w:spacing w:val="-57"/>
        </w:rPr>
        <w:t> </w:t>
      </w:r>
      <w:r>
        <w:rPr/>
        <w:t>万元。</w:t>
      </w:r>
    </w:p>
    <w:p>
      <w:pPr>
        <w:pStyle w:val="BodyText"/>
        <w:spacing w:line="240" w:lineRule="auto" w:before="133"/>
        <w:ind w:left="660" w:right="606"/>
        <w:jc w:val="left"/>
      </w:pPr>
      <w:r>
        <w:rPr/>
        <w:t>（</w:t>
      </w:r>
      <w:r>
        <w:rPr>
          <w:rFonts w:ascii="宋体" w:hAnsi="宋体" w:cs="宋体" w:eastAsia="宋体" w:hint="default"/>
        </w:rPr>
        <w:t>4</w:t>
      </w:r>
      <w:r>
        <w:rPr/>
        <w:t>）固定资产期末余额中无经营租出、融资租赁租入、持有待售的固定资产。</w:t>
      </w:r>
    </w:p>
    <w:p>
      <w:pPr>
        <w:pStyle w:val="BodyText"/>
        <w:spacing w:line="355" w:lineRule="auto" w:before="135"/>
        <w:ind w:left="240" w:right="606" w:firstLine="420"/>
        <w:jc w:val="left"/>
      </w:pPr>
      <w:r>
        <w:rPr>
          <w:spacing w:val="-3"/>
        </w:rPr>
        <w:t>（</w:t>
      </w:r>
      <w:r>
        <w:rPr>
          <w:rFonts w:ascii="宋体" w:hAnsi="宋体" w:cs="宋体" w:eastAsia="宋体" w:hint="default"/>
          <w:spacing w:val="-3"/>
        </w:rPr>
        <w:t>5</w:t>
      </w:r>
      <w:r>
        <w:rPr>
          <w:spacing w:val="-3"/>
        </w:rPr>
        <w:t>）截至</w:t>
      </w:r>
      <w:r>
        <w:rPr>
          <w:spacing w:val="-55"/>
        </w:rPr>
        <w:t> </w:t>
      </w:r>
      <w:r>
        <w:rPr>
          <w:rFonts w:ascii="宋体" w:hAnsi="宋体" w:cs="宋体" w:eastAsia="宋体" w:hint="default"/>
        </w:rPr>
        <w:t>2010</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日止，固定资产期末余额中无账面价值高于可收回金额的情况，未计提固定资产减</w:t>
      </w:r>
      <w:r>
        <w:rPr>
          <w:w w:val="100"/>
        </w:rPr>
        <w:t> </w:t>
      </w:r>
      <w:r>
        <w:rPr/>
        <w:t>值准备。</w:t>
      </w:r>
    </w:p>
    <w:p>
      <w:pPr>
        <w:pStyle w:val="Heading4"/>
        <w:spacing w:line="240" w:lineRule="auto" w:before="32"/>
        <w:ind w:right="606"/>
        <w:jc w:val="left"/>
        <w:rPr>
          <w:b w:val="0"/>
          <w:bCs w:val="0"/>
        </w:rPr>
      </w:pPr>
      <w:r>
        <w:rPr>
          <w:rFonts w:ascii="宋体" w:hAnsi="宋体" w:cs="宋体" w:eastAsia="宋体" w:hint="default"/>
        </w:rPr>
        <w:t>9</w:t>
      </w:r>
      <w:r>
        <w:rPr/>
        <w:t>、在建工程</w:t>
      </w:r>
      <w:r>
        <w:rPr>
          <w:b w:val="0"/>
          <w:bCs w:val="0"/>
        </w:rPr>
      </w:r>
    </w:p>
    <w:p>
      <w:pPr>
        <w:pStyle w:val="BodyText"/>
        <w:spacing w:line="240" w:lineRule="auto" w:before="133"/>
        <w:ind w:left="652" w:right="606"/>
        <w:jc w:val="left"/>
      </w:pPr>
      <w:r>
        <w:rPr/>
        <w:t>（</w:t>
      </w:r>
      <w:r>
        <w:rPr>
          <w:rFonts w:ascii="宋体" w:hAnsi="宋体" w:cs="宋体" w:eastAsia="宋体" w:hint="default"/>
        </w:rPr>
        <w:t>1</w:t>
      </w:r>
      <w:r>
        <w:rPr/>
        <w:t>）在建工程分类：</w:t>
      </w:r>
    </w:p>
    <w:p>
      <w:pPr>
        <w:spacing w:line="240" w:lineRule="auto" w:before="10"/>
        <w:rPr>
          <w:rFonts w:ascii="宋体" w:hAnsi="宋体" w:cs="宋体" w:eastAsia="宋体" w:hint="default"/>
          <w:sz w:val="12"/>
          <w:szCs w:val="12"/>
        </w:rPr>
      </w:pPr>
    </w:p>
    <w:tbl>
      <w:tblPr>
        <w:tblW w:w="0" w:type="auto"/>
        <w:jc w:val="left"/>
        <w:tblInd w:w="434" w:type="dxa"/>
        <w:tblLayout w:type="fixed"/>
        <w:tblCellMar>
          <w:top w:w="0" w:type="dxa"/>
          <w:left w:w="0" w:type="dxa"/>
          <w:bottom w:w="0" w:type="dxa"/>
          <w:right w:w="0" w:type="dxa"/>
        </w:tblCellMar>
        <w:tblLook w:val="01E0"/>
      </w:tblPr>
      <w:tblGrid>
        <w:gridCol w:w="1784"/>
        <w:gridCol w:w="1261"/>
        <w:gridCol w:w="1440"/>
        <w:gridCol w:w="1253"/>
        <w:gridCol w:w="1418"/>
        <w:gridCol w:w="1441"/>
        <w:gridCol w:w="1440"/>
      </w:tblGrid>
      <w:tr>
        <w:trPr>
          <w:trHeight w:val="413" w:hRule="exact"/>
        </w:trPr>
        <w:tc>
          <w:tcPr>
            <w:tcW w:w="1784" w:type="dxa"/>
            <w:vMerge w:val="restart"/>
            <w:tcBorders>
              <w:top w:val="single" w:sz="12" w:space="0" w:color="000000"/>
              <w:left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tabs>
                <w:tab w:pos="1037" w:val="left" w:leader="none"/>
              </w:tabs>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3954"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99"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784" w:type="dxa"/>
            <w:vMerge/>
            <w:tcBorders>
              <w:left w:val="nil" w:sz="6" w:space="0" w:color="auto"/>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7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5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17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6"/>
              <w:ind w:left="35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7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6"/>
              <w:ind w:left="122" w:right="0"/>
              <w:jc w:val="left"/>
              <w:rPr>
                <w:rFonts w:ascii="宋体" w:hAnsi="宋体" w:cs="宋体" w:eastAsia="宋体" w:hint="default"/>
                <w:sz w:val="18"/>
                <w:szCs w:val="18"/>
              </w:rPr>
            </w:pPr>
            <w:r>
              <w:rPr>
                <w:rFonts w:ascii="宋体" w:hAnsi="宋体" w:cs="宋体" w:eastAsia="宋体" w:hint="default"/>
                <w:sz w:val="18"/>
                <w:szCs w:val="18"/>
              </w:rPr>
              <w:t>人参产品系列工程</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44" w:right="0"/>
              <w:jc w:val="left"/>
              <w:rPr>
                <w:rFonts w:ascii="宋体" w:hAnsi="宋体" w:cs="宋体" w:eastAsia="宋体" w:hint="default"/>
                <w:sz w:val="18"/>
                <w:szCs w:val="18"/>
              </w:rPr>
            </w:pPr>
            <w:r>
              <w:rPr>
                <w:rFonts w:ascii="宋体"/>
                <w:sz w:val="18"/>
              </w:rPr>
              <w:t>115,151.48</w:t>
            </w:r>
          </w:p>
        </w:tc>
        <w:tc>
          <w:tcPr>
            <w:tcW w:w="1440"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35" w:right="0"/>
              <w:jc w:val="left"/>
              <w:rPr>
                <w:rFonts w:ascii="宋体" w:hAnsi="宋体" w:cs="宋体" w:eastAsia="宋体" w:hint="default"/>
                <w:sz w:val="18"/>
                <w:szCs w:val="18"/>
              </w:rPr>
            </w:pPr>
            <w:r>
              <w:rPr>
                <w:rFonts w:ascii="宋体"/>
                <w:sz w:val="18"/>
              </w:rPr>
              <w:t>115,151.48</w:t>
            </w:r>
          </w:p>
        </w:tc>
        <w:tc>
          <w:tcPr>
            <w:tcW w:w="1418" w:type="dxa"/>
            <w:tcBorders>
              <w:top w:val="single" w:sz="6" w:space="0" w:color="000000"/>
              <w:left w:val="single" w:sz="6" w:space="0" w:color="000000"/>
              <w:bottom w:val="single" w:sz="6" w:space="0" w:color="000000"/>
              <w:right w:val="single" w:sz="6" w:space="0" w:color="000000"/>
            </w:tcBorders>
          </w:tcPr>
          <w:p>
            <w:pP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nil" w:sz="6" w:space="0" w:color="auto"/>
            </w:tcBorders>
          </w:tcPr>
          <w:p>
            <w:pPr/>
          </w:p>
        </w:tc>
      </w:tr>
      <w:tr>
        <w:trPr>
          <w:trHeight w:val="403" w:hRule="exact"/>
        </w:trPr>
        <w:tc>
          <w:tcPr>
            <w:tcW w:w="17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信息产业化</w:t>
            </w:r>
          </w:p>
        </w:tc>
        <w:tc>
          <w:tcPr>
            <w:tcW w:w="126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15,943,221.80</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15,943,221.80</w:t>
            </w:r>
          </w:p>
        </w:tc>
      </w:tr>
      <w:tr>
        <w:trPr>
          <w:trHeight w:val="403" w:hRule="exact"/>
        </w:trPr>
        <w:tc>
          <w:tcPr>
            <w:tcW w:w="17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126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3,864,683.61</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3,864,683.61</w:t>
            </w:r>
          </w:p>
        </w:tc>
      </w:tr>
      <w:tr>
        <w:trPr>
          <w:trHeight w:val="403" w:hRule="exact"/>
        </w:trPr>
        <w:tc>
          <w:tcPr>
            <w:tcW w:w="178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基地工程款</w:t>
            </w:r>
          </w:p>
        </w:tc>
        <w:tc>
          <w:tcPr>
            <w:tcW w:w="126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25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853,489.59</w:t>
            </w:r>
          </w:p>
        </w:tc>
        <w:tc>
          <w:tcPr>
            <w:tcW w:w="1441"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853,489.59</w:t>
            </w:r>
          </w:p>
        </w:tc>
      </w:tr>
      <w:tr>
        <w:trPr>
          <w:trHeight w:val="413" w:hRule="exact"/>
        </w:trPr>
        <w:tc>
          <w:tcPr>
            <w:tcW w:w="1784" w:type="dxa"/>
            <w:tcBorders>
              <w:top w:val="single" w:sz="6" w:space="0" w:color="000000"/>
              <w:left w:val="nil" w:sz="6" w:space="0" w:color="auto"/>
              <w:bottom w:val="single" w:sz="12" w:space="0" w:color="000000"/>
              <w:right w:val="single" w:sz="6" w:space="0" w:color="000000"/>
            </w:tcBorders>
          </w:tcPr>
          <w:p>
            <w:pPr>
              <w:pStyle w:val="TableParagraph"/>
              <w:tabs>
                <w:tab w:pos="1037" w:val="left" w:leader="none"/>
              </w:tabs>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6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44" w:right="0"/>
              <w:jc w:val="left"/>
              <w:rPr>
                <w:rFonts w:ascii="宋体" w:hAnsi="宋体" w:cs="宋体" w:eastAsia="宋体" w:hint="default"/>
                <w:sz w:val="18"/>
                <w:szCs w:val="18"/>
              </w:rPr>
            </w:pPr>
            <w:r>
              <w:rPr>
                <w:rFonts w:ascii="宋体"/>
                <w:sz w:val="18"/>
              </w:rPr>
              <w:t>115,151.48</w:t>
            </w:r>
          </w:p>
        </w:tc>
        <w:tc>
          <w:tcPr>
            <w:tcW w:w="1440" w:type="dxa"/>
            <w:tcBorders>
              <w:top w:val="single" w:sz="6" w:space="0" w:color="000000"/>
              <w:left w:val="single" w:sz="6" w:space="0" w:color="000000"/>
              <w:bottom w:val="single" w:sz="12" w:space="0" w:color="000000"/>
              <w:right w:val="single" w:sz="6" w:space="0" w:color="000000"/>
            </w:tcBorders>
          </w:tcPr>
          <w:p>
            <w:pP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left="235" w:right="0"/>
              <w:jc w:val="left"/>
              <w:rPr>
                <w:rFonts w:ascii="宋体" w:hAnsi="宋体" w:cs="宋体" w:eastAsia="宋体" w:hint="default"/>
                <w:sz w:val="18"/>
                <w:szCs w:val="18"/>
              </w:rPr>
            </w:pPr>
            <w:r>
              <w:rPr>
                <w:rFonts w:ascii="宋体"/>
                <w:sz w:val="18"/>
              </w:rPr>
              <w:t>115,151.48</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20,661,395.00</w:t>
            </w:r>
          </w:p>
        </w:tc>
        <w:tc>
          <w:tcPr>
            <w:tcW w:w="1441" w:type="dxa"/>
            <w:tcBorders>
              <w:top w:val="single" w:sz="6" w:space="0" w:color="000000"/>
              <w:left w:val="single" w:sz="6" w:space="0" w:color="000000"/>
              <w:bottom w:val="single" w:sz="12" w:space="0" w:color="000000"/>
              <w:right w:val="single" w:sz="6" w:space="0" w:color="000000"/>
            </w:tcBorders>
          </w:tcPr>
          <w:p>
            <w:pPr/>
          </w:p>
        </w:tc>
        <w:tc>
          <w:tcPr>
            <w:tcW w:w="144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20,661,395.00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before="36"/>
        <w:ind w:left="652" w:right="606"/>
        <w:jc w:val="left"/>
      </w:pPr>
      <w:r>
        <w:rPr/>
        <w:t>（</w:t>
      </w:r>
      <w:r>
        <w:rPr>
          <w:rFonts w:ascii="宋体" w:hAnsi="宋体" w:cs="宋体" w:eastAsia="宋体" w:hint="default"/>
        </w:rPr>
        <w:t>2</w:t>
      </w:r>
      <w:r>
        <w:rPr/>
        <w:t>）重大在建工程项目变动情况：</w:t>
      </w:r>
    </w:p>
    <w:p>
      <w:pPr>
        <w:spacing w:line="240" w:lineRule="auto" w:before="11"/>
        <w:rPr>
          <w:rFonts w:ascii="宋体" w:hAnsi="宋体" w:cs="宋体" w:eastAsia="宋体" w:hint="default"/>
          <w:sz w:val="12"/>
          <w:szCs w:val="12"/>
        </w:rPr>
      </w:pPr>
    </w:p>
    <w:tbl>
      <w:tblPr>
        <w:tblW w:w="0" w:type="auto"/>
        <w:jc w:val="left"/>
        <w:tblInd w:w="211" w:type="dxa"/>
        <w:tblLayout w:type="fixed"/>
        <w:tblCellMar>
          <w:top w:w="0" w:type="dxa"/>
          <w:left w:w="0" w:type="dxa"/>
          <w:bottom w:w="0" w:type="dxa"/>
          <w:right w:w="0" w:type="dxa"/>
        </w:tblCellMar>
        <w:tblLook w:val="01E0"/>
      </w:tblPr>
      <w:tblGrid>
        <w:gridCol w:w="2424"/>
        <w:gridCol w:w="1616"/>
        <w:gridCol w:w="1411"/>
        <w:gridCol w:w="1512"/>
        <w:gridCol w:w="1177"/>
        <w:gridCol w:w="1210"/>
        <w:gridCol w:w="1133"/>
      </w:tblGrid>
      <w:tr>
        <w:trPr>
          <w:trHeight w:val="722" w:hRule="exact"/>
        </w:trPr>
        <w:tc>
          <w:tcPr>
            <w:tcW w:w="2424" w:type="dxa"/>
            <w:tcBorders>
              <w:top w:val="single" w:sz="12" w:space="0" w:color="000000"/>
              <w:left w:val="nil" w:sz="6" w:space="0" w:color="auto"/>
              <w:bottom w:val="single" w:sz="4" w:space="0" w:color="000000"/>
              <w:right w:val="single" w:sz="4" w:space="0" w:color="000000"/>
            </w:tcBorders>
          </w:tcPr>
          <w:p>
            <w:pPr>
              <w:pStyle w:val="TableParagraph"/>
              <w:tabs>
                <w:tab w:pos="453" w:val="left" w:leader="none"/>
              </w:tabs>
              <w:spacing w:line="240" w:lineRule="auto" w:before="145"/>
              <w:ind w:right="883"/>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161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left="53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1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left="34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12"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391" w:right="0"/>
              <w:jc w:val="left"/>
              <w:rPr>
                <w:rFonts w:ascii="宋体" w:hAnsi="宋体" w:cs="宋体" w:eastAsia="宋体" w:hint="default"/>
                <w:sz w:val="18"/>
                <w:szCs w:val="18"/>
              </w:rPr>
            </w:pPr>
            <w:r>
              <w:rPr>
                <w:rFonts w:ascii="宋体" w:hAnsi="宋体" w:cs="宋体" w:eastAsia="宋体" w:hint="default"/>
                <w:sz w:val="18"/>
                <w:szCs w:val="18"/>
              </w:rPr>
              <w:t>本期转入</w:t>
            </w:r>
          </w:p>
          <w:p>
            <w:pPr>
              <w:pStyle w:val="TableParagraph"/>
              <w:spacing w:line="240" w:lineRule="auto" w:before="115"/>
              <w:ind w:left="3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left="22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21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5"/>
              <w:ind w:left="32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13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5"/>
              <w:ind w:left="204"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535"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4" w:right="0"/>
              <w:jc w:val="left"/>
              <w:rPr>
                <w:rFonts w:ascii="宋体" w:hAnsi="宋体" w:cs="宋体" w:eastAsia="宋体" w:hint="default"/>
                <w:sz w:val="18"/>
                <w:szCs w:val="18"/>
              </w:rPr>
            </w:pPr>
            <w:r>
              <w:rPr>
                <w:rFonts w:ascii="宋体" w:hAnsi="宋体" w:cs="宋体" w:eastAsia="宋体" w:hint="default"/>
                <w:sz w:val="18"/>
                <w:szCs w:val="18"/>
              </w:rPr>
              <w:t>信息产业化</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right"/>
              <w:rPr>
                <w:rFonts w:ascii="宋体" w:hAnsi="宋体" w:cs="宋体" w:eastAsia="宋体" w:hint="default"/>
                <w:sz w:val="18"/>
                <w:szCs w:val="18"/>
              </w:rPr>
            </w:pPr>
            <w:r>
              <w:rPr>
                <w:rFonts w:ascii="宋体"/>
                <w:spacing w:val="-1"/>
                <w:sz w:val="18"/>
              </w:rPr>
              <w:t>15,943,221.80</w:t>
            </w:r>
          </w:p>
        </w:tc>
        <w:tc>
          <w:tcPr>
            <w:tcW w:w="1411"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宋体" w:hAnsi="宋体" w:cs="宋体" w:eastAsia="宋体" w:hint="default"/>
                <w:sz w:val="18"/>
                <w:szCs w:val="18"/>
              </w:rPr>
            </w:pPr>
            <w:r>
              <w:rPr>
                <w:rFonts w:ascii="宋体"/>
                <w:spacing w:val="-1"/>
                <w:sz w:val="18"/>
              </w:rPr>
              <w:t>15,943,221.80</w:t>
            </w:r>
          </w:p>
        </w:tc>
        <w:tc>
          <w:tcPr>
            <w:tcW w:w="117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04" w:right="0"/>
              <w:jc w:val="left"/>
              <w:rPr>
                <w:rFonts w:ascii="宋体" w:hAnsi="宋体" w:cs="宋体" w:eastAsia="宋体" w:hint="default"/>
                <w:sz w:val="18"/>
                <w:szCs w:val="18"/>
              </w:rPr>
            </w:pPr>
            <w:r>
              <w:rPr>
                <w:rFonts w:ascii="宋体" w:hAnsi="宋体" w:cs="宋体" w:eastAsia="宋体" w:hint="default"/>
                <w:sz w:val="18"/>
                <w:szCs w:val="18"/>
              </w:rPr>
              <w:t>自筹资金</w:t>
            </w:r>
          </w:p>
        </w:tc>
      </w:tr>
      <w:tr>
        <w:trPr>
          <w:trHeight w:val="547" w:hRule="exact"/>
        </w:trPr>
        <w:tc>
          <w:tcPr>
            <w:tcW w:w="2424" w:type="dxa"/>
            <w:tcBorders>
              <w:top w:val="single" w:sz="4" w:space="0" w:color="000000"/>
              <w:left w:val="nil" w:sz="6" w:space="0" w:color="auto"/>
              <w:bottom w:val="single" w:sz="12" w:space="0" w:color="000000"/>
              <w:right w:val="single" w:sz="4" w:space="0" w:color="000000"/>
            </w:tcBorders>
          </w:tcPr>
          <w:p>
            <w:pPr>
              <w:pStyle w:val="TableParagraph"/>
              <w:tabs>
                <w:tab w:pos="453" w:val="left" w:leader="none"/>
              </w:tabs>
              <w:spacing w:line="240" w:lineRule="auto" w:before="56"/>
              <w:ind w:right="883"/>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6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0"/>
              <w:jc w:val="right"/>
              <w:rPr>
                <w:rFonts w:ascii="宋体" w:hAnsi="宋体" w:cs="宋体" w:eastAsia="宋体" w:hint="default"/>
                <w:sz w:val="18"/>
                <w:szCs w:val="18"/>
              </w:rPr>
            </w:pPr>
            <w:r>
              <w:rPr>
                <w:rFonts w:ascii="宋体"/>
                <w:spacing w:val="-1"/>
                <w:sz w:val="18"/>
              </w:rPr>
              <w:t>15,943,221.80</w:t>
            </w:r>
          </w:p>
        </w:tc>
        <w:tc>
          <w:tcPr>
            <w:tcW w:w="1411" w:type="dxa"/>
            <w:tcBorders>
              <w:top w:val="single" w:sz="4" w:space="0" w:color="000000"/>
              <w:left w:val="single" w:sz="4" w:space="0" w:color="000000"/>
              <w:bottom w:val="single" w:sz="12" w:space="0" w:color="000000"/>
              <w:right w:val="single" w:sz="4" w:space="0" w:color="000000"/>
            </w:tcBorders>
          </w:tcPr>
          <w:p>
            <w:pPr/>
          </w:p>
        </w:tc>
        <w:tc>
          <w:tcPr>
            <w:tcW w:w="151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6"/>
              <w:ind w:right="-1"/>
              <w:jc w:val="right"/>
              <w:rPr>
                <w:rFonts w:ascii="宋体" w:hAnsi="宋体" w:cs="宋体" w:eastAsia="宋体" w:hint="default"/>
                <w:sz w:val="18"/>
                <w:szCs w:val="18"/>
              </w:rPr>
            </w:pPr>
            <w:r>
              <w:rPr>
                <w:rFonts w:ascii="宋体"/>
                <w:spacing w:val="-1"/>
                <w:sz w:val="18"/>
              </w:rPr>
              <w:t>15,943,221.80</w:t>
            </w:r>
          </w:p>
        </w:tc>
        <w:tc>
          <w:tcPr>
            <w:tcW w:w="1177" w:type="dxa"/>
            <w:tcBorders>
              <w:top w:val="single" w:sz="4" w:space="0" w:color="000000"/>
              <w:left w:val="single" w:sz="4" w:space="0" w:color="000000"/>
              <w:bottom w:val="single" w:sz="12" w:space="0" w:color="000000"/>
              <w:right w:val="single" w:sz="4" w:space="0" w:color="000000"/>
            </w:tcBorders>
          </w:tcPr>
          <w:p>
            <w:pPr/>
          </w:p>
        </w:tc>
        <w:tc>
          <w:tcPr>
            <w:tcW w:w="1210" w:type="dxa"/>
            <w:tcBorders>
              <w:top w:val="single" w:sz="4" w:space="0" w:color="000000"/>
              <w:left w:val="single" w:sz="4" w:space="0" w:color="000000"/>
              <w:bottom w:val="single" w:sz="12" w:space="0" w:color="000000"/>
              <w:right w:val="single" w:sz="4" w:space="0" w:color="000000"/>
            </w:tcBorders>
          </w:tcPr>
          <w:p>
            <w:pPr/>
          </w:p>
        </w:tc>
        <w:tc>
          <w:tcPr>
            <w:tcW w:w="1133" w:type="dxa"/>
            <w:tcBorders>
              <w:top w:val="single" w:sz="4" w:space="0" w:color="000000"/>
              <w:left w:val="single" w:sz="4" w:space="0" w:color="000000"/>
              <w:bottom w:val="single" w:sz="12" w:space="0" w:color="000000"/>
              <w:right w:val="nil" w:sz="6" w:space="0" w:color="auto"/>
            </w:tcBorders>
          </w:tcPr>
          <w:p>
            <w:pPr/>
          </w:p>
        </w:tc>
      </w:tr>
    </w:tbl>
    <w:p>
      <w:pPr>
        <w:pStyle w:val="BodyText"/>
        <w:spacing w:line="240" w:lineRule="auto" w:before="86"/>
        <w:ind w:left="660" w:right="606"/>
        <w:jc w:val="left"/>
      </w:pPr>
      <w:r>
        <w:rPr/>
        <w:t>本公司本期将达到预定可使用状态的“信息产业化项目”转为固定资产核算。</w:t>
      </w:r>
    </w:p>
    <w:p>
      <w:pPr>
        <w:pStyle w:val="BodyText"/>
        <w:spacing w:line="355" w:lineRule="auto" w:before="133"/>
        <w:ind w:left="240" w:right="606" w:firstLine="420"/>
        <w:jc w:val="left"/>
      </w:pPr>
      <w:r>
        <w:rPr>
          <w:spacing w:val="-3"/>
        </w:rPr>
        <w:t>（</w:t>
      </w:r>
      <w:r>
        <w:rPr>
          <w:rFonts w:ascii="宋体" w:hAnsi="宋体" w:cs="宋体" w:eastAsia="宋体" w:hint="default"/>
          <w:spacing w:val="-3"/>
        </w:rPr>
        <w:t>3</w:t>
      </w:r>
      <w:r>
        <w:rPr>
          <w:spacing w:val="-3"/>
        </w:rPr>
        <w:t>）截至</w:t>
      </w:r>
      <w:r>
        <w:rPr>
          <w:spacing w:val="-55"/>
        </w:rPr>
        <w:t> </w:t>
      </w:r>
      <w:r>
        <w:rPr>
          <w:rFonts w:ascii="宋体" w:hAnsi="宋体" w:cs="宋体" w:eastAsia="宋体" w:hint="default"/>
        </w:rPr>
        <w:t>2010</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日止，在建工程期末余额中无账面价值高于可回收金额的情况，未计提在建工程减</w:t>
      </w:r>
      <w:r>
        <w:rPr>
          <w:w w:val="100"/>
        </w:rPr>
        <w:t> </w:t>
      </w:r>
      <w:r>
        <w:rPr/>
        <w:t>值准备。</w:t>
      </w:r>
    </w:p>
    <w:p>
      <w:pPr>
        <w:pStyle w:val="Heading4"/>
        <w:spacing w:line="240" w:lineRule="auto" w:before="34"/>
        <w:ind w:right="606"/>
        <w:jc w:val="left"/>
        <w:rPr>
          <w:b w:val="0"/>
          <w:bCs w:val="0"/>
        </w:rPr>
      </w:pPr>
      <w:r>
        <w:rPr>
          <w:rFonts w:ascii="宋体" w:hAnsi="宋体" w:cs="宋体" w:eastAsia="宋体" w:hint="default"/>
        </w:rPr>
        <w:t>10</w:t>
      </w:r>
      <w:r>
        <w:rPr/>
        <w:t>、无形资产</w:t>
      </w:r>
      <w:r>
        <w:rPr>
          <w:b w:val="0"/>
          <w:bCs w:val="0"/>
        </w:rPr>
      </w:r>
    </w:p>
    <w:p>
      <w:pPr>
        <w:pStyle w:val="BodyText"/>
        <w:spacing w:line="240" w:lineRule="auto" w:before="133"/>
        <w:ind w:left="660" w:right="606"/>
        <w:jc w:val="left"/>
      </w:pPr>
      <w:r>
        <w:rPr/>
        <w:t>（</w:t>
      </w:r>
      <w:r>
        <w:rPr>
          <w:rFonts w:ascii="宋体" w:hAnsi="宋体" w:cs="宋体" w:eastAsia="宋体" w:hint="default"/>
        </w:rPr>
        <w:t>1</w:t>
      </w:r>
      <w:r>
        <w:rPr/>
        <w:t>）无形资产情况：</w:t>
      </w:r>
    </w:p>
    <w:p>
      <w:pPr>
        <w:spacing w:line="240" w:lineRule="auto" w:before="10"/>
        <w:rPr>
          <w:rFonts w:ascii="宋体" w:hAnsi="宋体" w:cs="宋体" w:eastAsia="宋体" w:hint="default"/>
          <w:sz w:val="12"/>
          <w:szCs w:val="12"/>
        </w:rPr>
      </w:pPr>
    </w:p>
    <w:tbl>
      <w:tblPr>
        <w:tblW w:w="0" w:type="auto"/>
        <w:jc w:val="left"/>
        <w:tblInd w:w="211" w:type="dxa"/>
        <w:tblLayout w:type="fixed"/>
        <w:tblCellMar>
          <w:top w:w="0" w:type="dxa"/>
          <w:left w:w="0" w:type="dxa"/>
          <w:bottom w:w="0" w:type="dxa"/>
          <w:right w:w="0" w:type="dxa"/>
        </w:tblCellMar>
        <w:tblLook w:val="01E0"/>
      </w:tblPr>
      <w:tblGrid>
        <w:gridCol w:w="1364"/>
        <w:gridCol w:w="456"/>
        <w:gridCol w:w="1265"/>
        <w:gridCol w:w="1174"/>
        <w:gridCol w:w="1265"/>
        <w:gridCol w:w="1088"/>
        <w:gridCol w:w="1174"/>
        <w:gridCol w:w="632"/>
        <w:gridCol w:w="1267"/>
        <w:gridCol w:w="799"/>
      </w:tblGrid>
      <w:tr>
        <w:trPr>
          <w:trHeight w:val="718" w:hRule="exact"/>
        </w:trPr>
        <w:tc>
          <w:tcPr>
            <w:tcW w:w="1364" w:type="dxa"/>
            <w:tcBorders>
              <w:top w:val="single" w:sz="12" w:space="0" w:color="000000"/>
              <w:left w:val="nil" w:sz="6" w:space="0" w:color="auto"/>
              <w:bottom w:val="single" w:sz="2" w:space="0" w:color="000000"/>
              <w:right w:val="single" w:sz="2" w:space="0" w:color="000000"/>
            </w:tcBorders>
          </w:tcPr>
          <w:p>
            <w:pPr>
              <w:pStyle w:val="TableParagraph"/>
              <w:tabs>
                <w:tab w:pos="470" w:val="left" w:leader="none"/>
              </w:tabs>
              <w:spacing w:line="240" w:lineRule="auto" w:before="142"/>
              <w:ind w:left="16" w:right="0"/>
              <w:jc w:val="center"/>
              <w:rPr>
                <w:rFonts w:ascii="宋体" w:hAnsi="宋体" w:cs="宋体" w:eastAsia="宋体" w:hint="default"/>
                <w:sz w:val="18"/>
                <w:szCs w:val="18"/>
              </w:rPr>
            </w:pPr>
            <w:r>
              <w:rPr>
                <w:rFonts w:ascii="宋体" w:hAnsi="宋体" w:cs="宋体" w:eastAsia="宋体" w:hint="default"/>
                <w:sz w:val="18"/>
                <w:szCs w:val="18"/>
              </w:rPr>
              <w:t>种</w:t>
              <w:tab/>
              <w:t>类</w:t>
            </w:r>
          </w:p>
        </w:tc>
        <w:tc>
          <w:tcPr>
            <w:tcW w:w="456" w:type="dxa"/>
            <w:tcBorders>
              <w:top w:val="single" w:sz="12" w:space="0" w:color="000000"/>
              <w:left w:val="single" w:sz="2" w:space="0" w:color="000000"/>
              <w:bottom w:val="single" w:sz="2" w:space="0" w:color="000000"/>
              <w:right w:val="single" w:sz="2" w:space="0" w:color="000000"/>
            </w:tcBorders>
          </w:tcPr>
          <w:p>
            <w:pPr>
              <w:pStyle w:val="TableParagraph"/>
              <w:spacing w:line="203" w:lineRule="exact"/>
              <w:ind w:left="45" w:right="0"/>
              <w:jc w:val="left"/>
              <w:rPr>
                <w:rFonts w:ascii="宋体" w:hAnsi="宋体" w:cs="宋体" w:eastAsia="宋体" w:hint="default"/>
                <w:sz w:val="18"/>
                <w:szCs w:val="18"/>
              </w:rPr>
            </w:pPr>
            <w:r>
              <w:rPr>
                <w:rFonts w:ascii="宋体" w:hAnsi="宋体" w:cs="宋体" w:eastAsia="宋体" w:hint="default"/>
                <w:sz w:val="18"/>
                <w:szCs w:val="18"/>
              </w:rPr>
              <w:t>取得</w:t>
            </w:r>
          </w:p>
          <w:p>
            <w:pPr>
              <w:pStyle w:val="TableParagraph"/>
              <w:spacing w:line="240" w:lineRule="auto" w:before="115"/>
              <w:ind w:left="45" w:right="0"/>
              <w:jc w:val="left"/>
              <w:rPr>
                <w:rFonts w:ascii="宋体" w:hAnsi="宋体" w:cs="宋体" w:eastAsia="宋体" w:hint="default"/>
                <w:sz w:val="18"/>
                <w:szCs w:val="18"/>
              </w:rPr>
            </w:pPr>
            <w:r>
              <w:rPr>
                <w:rFonts w:ascii="宋体" w:hAnsi="宋体" w:cs="宋体" w:eastAsia="宋体" w:hint="default"/>
                <w:sz w:val="18"/>
                <w:szCs w:val="18"/>
              </w:rPr>
              <w:t>方式</w:t>
            </w:r>
          </w:p>
        </w:tc>
        <w:tc>
          <w:tcPr>
            <w:tcW w:w="12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原值</w:t>
            </w:r>
          </w:p>
        </w:tc>
        <w:tc>
          <w:tcPr>
            <w:tcW w:w="11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2"/>
              <w:ind w:left="4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26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2"/>
              <w:ind w:left="26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08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2"/>
              <w:ind w:left="180"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174"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2"/>
              <w:ind w:left="223"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632" w:type="dxa"/>
            <w:tcBorders>
              <w:top w:val="single" w:sz="12" w:space="0" w:color="000000"/>
              <w:left w:val="single" w:sz="2" w:space="0" w:color="000000"/>
              <w:bottom w:val="single" w:sz="2" w:space="0" w:color="000000"/>
              <w:right w:val="single" w:sz="2" w:space="0" w:color="000000"/>
            </w:tcBorders>
          </w:tcPr>
          <w:p>
            <w:pPr>
              <w:pStyle w:val="TableParagraph"/>
              <w:spacing w:line="203" w:lineRule="exact"/>
              <w:ind w:left="132"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0" w:lineRule="auto" w:before="115"/>
              <w:ind w:left="132" w:right="0"/>
              <w:jc w:val="left"/>
              <w:rPr>
                <w:rFonts w:ascii="宋体" w:hAnsi="宋体" w:cs="宋体" w:eastAsia="宋体" w:hint="default"/>
                <w:sz w:val="18"/>
                <w:szCs w:val="18"/>
              </w:rPr>
            </w:pPr>
            <w:r>
              <w:rPr>
                <w:rFonts w:ascii="宋体" w:hAnsi="宋体" w:cs="宋体" w:eastAsia="宋体" w:hint="default"/>
                <w:sz w:val="18"/>
                <w:szCs w:val="18"/>
              </w:rPr>
              <w:t>转出</w:t>
            </w:r>
          </w:p>
        </w:tc>
        <w:tc>
          <w:tcPr>
            <w:tcW w:w="1267"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42"/>
              <w:ind w:left="8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799" w:type="dxa"/>
            <w:tcBorders>
              <w:top w:val="single" w:sz="12" w:space="0" w:color="000000"/>
              <w:left w:val="single" w:sz="2" w:space="0" w:color="000000"/>
              <w:bottom w:val="single" w:sz="2"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剩余摊销</w:t>
            </w:r>
          </w:p>
          <w:p>
            <w:pPr>
              <w:pStyle w:val="TableParagraph"/>
              <w:spacing w:line="240" w:lineRule="auto" w:before="115"/>
              <w:ind w:right="2"/>
              <w:jc w:val="center"/>
              <w:rPr>
                <w:rFonts w:ascii="宋体" w:hAnsi="宋体" w:cs="宋体" w:eastAsia="宋体" w:hint="default"/>
                <w:sz w:val="18"/>
                <w:szCs w:val="18"/>
              </w:rPr>
            </w:pPr>
            <w:r>
              <w:rPr>
                <w:rFonts w:ascii="宋体" w:hAnsi="宋体" w:cs="宋体" w:eastAsia="宋体" w:hint="default"/>
                <w:sz w:val="18"/>
                <w:szCs w:val="18"/>
              </w:rPr>
              <w:t>年限</w:t>
            </w:r>
          </w:p>
        </w:tc>
      </w:tr>
      <w:tr>
        <w:trPr>
          <w:trHeight w:val="706" w:hRule="exact"/>
        </w:trPr>
        <w:tc>
          <w:tcPr>
            <w:tcW w:w="1364" w:type="dxa"/>
            <w:tcBorders>
              <w:top w:val="single" w:sz="2" w:space="0" w:color="000000"/>
              <w:left w:val="nil" w:sz="6" w:space="0" w:color="auto"/>
              <w:bottom w:val="single" w:sz="2" w:space="0" w:color="000000"/>
              <w:right w:val="single" w:sz="2" w:space="0" w:color="000000"/>
            </w:tcBorders>
          </w:tcPr>
          <w:p>
            <w:pPr>
              <w:pStyle w:val="TableParagraph"/>
              <w:spacing w:line="203" w:lineRule="exact"/>
              <w:ind w:left="14" w:right="0"/>
              <w:jc w:val="left"/>
              <w:rPr>
                <w:rFonts w:ascii="宋体" w:hAnsi="宋体" w:cs="宋体" w:eastAsia="宋体" w:hint="default"/>
                <w:sz w:val="18"/>
                <w:szCs w:val="18"/>
              </w:rPr>
            </w:pPr>
            <w:r>
              <w:rPr>
                <w:rFonts w:ascii="宋体" w:hAnsi="宋体" w:cs="宋体" w:eastAsia="宋体" w:hint="default"/>
                <w:spacing w:val="22"/>
                <w:sz w:val="18"/>
                <w:szCs w:val="18"/>
              </w:rPr>
              <w:t>土地使用权</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延</w:t>
            </w:r>
          </w:p>
          <w:p>
            <w:pPr>
              <w:pStyle w:val="TableParagraph"/>
              <w:spacing w:line="240" w:lineRule="auto" w:before="115"/>
              <w:ind w:left="14" w:right="0"/>
              <w:jc w:val="left"/>
              <w:rPr>
                <w:rFonts w:ascii="宋体" w:hAnsi="宋体" w:cs="宋体" w:eastAsia="宋体" w:hint="default"/>
                <w:sz w:val="18"/>
                <w:szCs w:val="18"/>
              </w:rPr>
            </w:pPr>
            <w:r>
              <w:rPr>
                <w:rFonts w:ascii="宋体" w:hAnsi="宋体" w:cs="宋体" w:eastAsia="宋体" w:hint="default"/>
                <w:sz w:val="18"/>
                <w:szCs w:val="18"/>
              </w:rPr>
              <w:t>吉</w:t>
            </w:r>
          </w:p>
        </w:tc>
        <w:tc>
          <w:tcPr>
            <w:tcW w:w="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45"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48,718,700.81</w:t>
            </w:r>
          </w:p>
        </w:tc>
        <w:tc>
          <w:tcPr>
            <w:tcW w:w="117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48,718,700.81</w:t>
            </w: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405,989.17</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405,989.17</w:t>
            </w:r>
          </w:p>
        </w:tc>
        <w:tc>
          <w:tcPr>
            <w:tcW w:w="63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88" w:right="0"/>
              <w:jc w:val="left"/>
              <w:rPr>
                <w:rFonts w:ascii="宋体" w:hAnsi="宋体" w:cs="宋体" w:eastAsia="宋体" w:hint="default"/>
                <w:sz w:val="18"/>
                <w:szCs w:val="18"/>
              </w:rPr>
            </w:pPr>
            <w:r>
              <w:rPr>
                <w:rFonts w:ascii="宋体"/>
                <w:sz w:val="18"/>
              </w:rPr>
              <w:t>48,312,711.64</w:t>
            </w:r>
          </w:p>
        </w:tc>
        <w:tc>
          <w:tcPr>
            <w:tcW w:w="799" w:type="dxa"/>
            <w:tcBorders>
              <w:top w:val="single" w:sz="2" w:space="0" w:color="000000"/>
              <w:left w:val="single" w:sz="2" w:space="0" w:color="000000"/>
              <w:bottom w:val="single" w:sz="2"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个</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月</w:t>
            </w:r>
          </w:p>
        </w:tc>
      </w:tr>
      <w:tr>
        <w:trPr>
          <w:trHeight w:val="706" w:hRule="exact"/>
        </w:trPr>
        <w:tc>
          <w:tcPr>
            <w:tcW w:w="1364" w:type="dxa"/>
            <w:tcBorders>
              <w:top w:val="single" w:sz="2" w:space="0" w:color="000000"/>
              <w:left w:val="nil" w:sz="6" w:space="0" w:color="auto"/>
              <w:bottom w:val="single" w:sz="2" w:space="0" w:color="000000"/>
              <w:right w:val="single" w:sz="2" w:space="0" w:color="000000"/>
            </w:tcBorders>
          </w:tcPr>
          <w:p>
            <w:pPr>
              <w:pStyle w:val="TableParagraph"/>
              <w:spacing w:line="203" w:lineRule="exact"/>
              <w:ind w:left="14" w:right="0"/>
              <w:jc w:val="left"/>
              <w:rPr>
                <w:rFonts w:ascii="宋体" w:hAnsi="宋体" w:cs="宋体" w:eastAsia="宋体" w:hint="default"/>
                <w:sz w:val="18"/>
                <w:szCs w:val="18"/>
              </w:rPr>
            </w:pPr>
            <w:r>
              <w:rPr>
                <w:rFonts w:ascii="宋体" w:hAnsi="宋体" w:cs="宋体" w:eastAsia="宋体" w:hint="default"/>
                <w:spacing w:val="22"/>
                <w:sz w:val="18"/>
                <w:szCs w:val="18"/>
              </w:rPr>
              <w:t>土地使用权</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通</w:t>
            </w:r>
          </w:p>
          <w:p>
            <w:pPr>
              <w:pStyle w:val="TableParagraph"/>
              <w:spacing w:line="240" w:lineRule="auto" w:before="114"/>
              <w:ind w:left="14" w:right="0"/>
              <w:jc w:val="left"/>
              <w:rPr>
                <w:rFonts w:ascii="宋体" w:hAnsi="宋体" w:cs="宋体" w:eastAsia="宋体" w:hint="default"/>
                <w:sz w:val="18"/>
                <w:szCs w:val="18"/>
              </w:rPr>
            </w:pPr>
            <w:r>
              <w:rPr>
                <w:rFonts w:ascii="宋体" w:hAnsi="宋体" w:cs="宋体" w:eastAsia="宋体" w:hint="default"/>
                <w:sz w:val="18"/>
                <w:szCs w:val="18"/>
              </w:rPr>
              <w:t>化</w:t>
            </w:r>
          </w:p>
        </w:tc>
        <w:tc>
          <w:tcPr>
            <w:tcW w:w="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45"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36,000,000.00</w:t>
            </w:r>
          </w:p>
        </w:tc>
        <w:tc>
          <w:tcPr>
            <w:tcW w:w="117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
              <w:jc w:val="right"/>
              <w:rPr>
                <w:rFonts w:ascii="宋体" w:hAnsi="宋体" w:cs="宋体" w:eastAsia="宋体" w:hint="default"/>
                <w:sz w:val="18"/>
                <w:szCs w:val="18"/>
              </w:rPr>
            </w:pPr>
            <w:r>
              <w:rPr>
                <w:rFonts w:ascii="宋体"/>
                <w:spacing w:val="-1"/>
                <w:sz w:val="18"/>
              </w:rPr>
              <w:t>36,000,000.00</w:t>
            </w: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240,000.00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
              <w:jc w:val="right"/>
              <w:rPr>
                <w:rFonts w:ascii="宋体" w:hAnsi="宋体" w:cs="宋体" w:eastAsia="宋体" w:hint="default"/>
                <w:sz w:val="18"/>
                <w:szCs w:val="18"/>
              </w:rPr>
            </w:pPr>
            <w:r>
              <w:rPr>
                <w:rFonts w:ascii="宋体"/>
                <w:spacing w:val="-1"/>
                <w:sz w:val="18"/>
              </w:rPr>
              <w:t>240,000.00</w:t>
            </w:r>
          </w:p>
        </w:tc>
        <w:tc>
          <w:tcPr>
            <w:tcW w:w="63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88" w:right="0"/>
              <w:jc w:val="left"/>
              <w:rPr>
                <w:rFonts w:ascii="宋体" w:hAnsi="宋体" w:cs="宋体" w:eastAsia="宋体" w:hint="default"/>
                <w:sz w:val="18"/>
                <w:szCs w:val="18"/>
              </w:rPr>
            </w:pPr>
            <w:r>
              <w:rPr>
                <w:rFonts w:ascii="宋体"/>
                <w:sz w:val="18"/>
              </w:rPr>
              <w:t>35,760,000.00</w:t>
            </w:r>
          </w:p>
        </w:tc>
        <w:tc>
          <w:tcPr>
            <w:tcW w:w="799" w:type="dxa"/>
            <w:tcBorders>
              <w:top w:val="single" w:sz="2" w:space="0" w:color="000000"/>
              <w:left w:val="single" w:sz="2" w:space="0" w:color="000000"/>
              <w:bottom w:val="single" w:sz="2"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个</w:t>
            </w:r>
          </w:p>
          <w:p>
            <w:pPr>
              <w:pStyle w:val="TableParagraph"/>
              <w:spacing w:line="240" w:lineRule="auto" w:before="114"/>
              <w:ind w:right="5"/>
              <w:jc w:val="center"/>
              <w:rPr>
                <w:rFonts w:ascii="宋体" w:hAnsi="宋体" w:cs="宋体" w:eastAsia="宋体" w:hint="default"/>
                <w:sz w:val="18"/>
                <w:szCs w:val="18"/>
              </w:rPr>
            </w:pPr>
            <w:r>
              <w:rPr>
                <w:rFonts w:ascii="宋体" w:hAnsi="宋体" w:cs="宋体" w:eastAsia="宋体" w:hint="default"/>
                <w:sz w:val="18"/>
                <w:szCs w:val="18"/>
              </w:rPr>
              <w:t>月</w:t>
            </w:r>
          </w:p>
        </w:tc>
      </w:tr>
      <w:tr>
        <w:trPr>
          <w:trHeight w:val="581" w:hRule="exact"/>
        </w:trPr>
        <w:tc>
          <w:tcPr>
            <w:tcW w:w="1364"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73"/>
              <w:ind w:left="12" w:right="0"/>
              <w:jc w:val="center"/>
              <w:rPr>
                <w:rFonts w:ascii="宋体" w:hAnsi="宋体" w:cs="宋体" w:eastAsia="宋体" w:hint="default"/>
                <w:sz w:val="18"/>
                <w:szCs w:val="18"/>
              </w:rPr>
            </w:pPr>
            <w:r>
              <w:rPr>
                <w:rFonts w:ascii="宋体" w:hAnsi="宋体" w:cs="宋体" w:eastAsia="宋体" w:hint="default"/>
                <w:spacing w:val="22"/>
                <w:sz w:val="18"/>
                <w:szCs w:val="18"/>
              </w:rPr>
              <w:t>土地使用权</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敦</w:t>
            </w:r>
          </w:p>
        </w:tc>
        <w:tc>
          <w:tcPr>
            <w:tcW w:w="45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left="45"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
              <w:jc w:val="right"/>
              <w:rPr>
                <w:rFonts w:ascii="宋体" w:hAnsi="宋体" w:cs="宋体" w:eastAsia="宋体" w:hint="default"/>
                <w:sz w:val="18"/>
                <w:szCs w:val="18"/>
              </w:rPr>
            </w:pPr>
            <w:r>
              <w:rPr>
                <w:rFonts w:ascii="宋体"/>
                <w:spacing w:val="-1"/>
                <w:sz w:val="18"/>
              </w:rPr>
              <w:t>30,991,875.23</w:t>
            </w:r>
          </w:p>
        </w:tc>
        <w:tc>
          <w:tcPr>
            <w:tcW w:w="1174" w:type="dxa"/>
            <w:tcBorders>
              <w:top w:val="single" w:sz="2" w:space="0" w:color="000000"/>
              <w:left w:val="single" w:sz="2" w:space="0" w:color="000000"/>
              <w:bottom w:val="single" w:sz="12" w:space="0" w:color="000000"/>
              <w:right w:val="single" w:sz="2" w:space="0" w:color="000000"/>
            </w:tcBorders>
          </w:tcPr>
          <w:p>
            <w:pP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
              <w:jc w:val="right"/>
              <w:rPr>
                <w:rFonts w:ascii="宋体" w:hAnsi="宋体" w:cs="宋体" w:eastAsia="宋体" w:hint="default"/>
                <w:sz w:val="18"/>
                <w:szCs w:val="18"/>
              </w:rPr>
            </w:pPr>
            <w:r>
              <w:rPr>
                <w:rFonts w:ascii="宋体"/>
                <w:spacing w:val="-1"/>
                <w:sz w:val="18"/>
              </w:rPr>
              <w:t>30,991,875.23</w:t>
            </w:r>
          </w:p>
        </w:tc>
        <w:tc>
          <w:tcPr>
            <w:tcW w:w="10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
              <w:jc w:val="right"/>
              <w:rPr>
                <w:rFonts w:ascii="宋体" w:hAnsi="宋体" w:cs="宋体" w:eastAsia="宋体" w:hint="default"/>
                <w:sz w:val="18"/>
                <w:szCs w:val="18"/>
              </w:rPr>
            </w:pPr>
            <w:r>
              <w:rPr>
                <w:rFonts w:ascii="宋体"/>
                <w:spacing w:val="-1"/>
                <w:sz w:val="18"/>
              </w:rPr>
              <w:t>51,653.13</w:t>
            </w:r>
          </w:p>
        </w:tc>
        <w:tc>
          <w:tcPr>
            <w:tcW w:w="11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right="-1"/>
              <w:jc w:val="right"/>
              <w:rPr>
                <w:rFonts w:ascii="宋体" w:hAnsi="宋体" w:cs="宋体" w:eastAsia="宋体" w:hint="default"/>
                <w:sz w:val="18"/>
                <w:szCs w:val="18"/>
              </w:rPr>
            </w:pPr>
            <w:r>
              <w:rPr>
                <w:rFonts w:ascii="宋体"/>
                <w:spacing w:val="-1"/>
                <w:sz w:val="18"/>
              </w:rPr>
              <w:t>51,653.13</w:t>
            </w:r>
          </w:p>
        </w:tc>
        <w:tc>
          <w:tcPr>
            <w:tcW w:w="632" w:type="dxa"/>
            <w:tcBorders>
              <w:top w:val="single" w:sz="2" w:space="0" w:color="000000"/>
              <w:left w:val="single" w:sz="2" w:space="0" w:color="000000"/>
              <w:bottom w:val="single" w:sz="12" w:space="0" w:color="000000"/>
              <w:right w:val="single" w:sz="2" w:space="0" w:color="000000"/>
            </w:tcBorders>
          </w:tcPr>
          <w:p>
            <w:pPr/>
          </w:p>
        </w:tc>
        <w:tc>
          <w:tcPr>
            <w:tcW w:w="1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3"/>
              <w:ind w:left="88" w:right="0"/>
              <w:jc w:val="left"/>
              <w:rPr>
                <w:rFonts w:ascii="宋体" w:hAnsi="宋体" w:cs="宋体" w:eastAsia="宋体" w:hint="default"/>
                <w:sz w:val="18"/>
                <w:szCs w:val="18"/>
              </w:rPr>
            </w:pPr>
            <w:r>
              <w:rPr>
                <w:rFonts w:ascii="宋体"/>
                <w:sz w:val="18"/>
              </w:rPr>
              <w:t>30,940,222.10</w:t>
            </w:r>
          </w:p>
        </w:tc>
        <w:tc>
          <w:tcPr>
            <w:tcW w:w="799"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73"/>
              <w:ind w:left="-3" w:right="-3"/>
              <w:jc w:val="left"/>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11</w:t>
            </w:r>
            <w:r>
              <w:rPr>
                <w:rFonts w:ascii="宋体" w:hAnsi="宋体" w:cs="宋体" w:eastAsia="宋体" w:hint="default"/>
                <w:spacing w:val="-63"/>
                <w:sz w:val="18"/>
                <w:szCs w:val="18"/>
              </w:rPr>
              <w:t> </w:t>
            </w:r>
            <w:r>
              <w:rPr>
                <w:rFonts w:ascii="宋体" w:hAnsi="宋体" w:cs="宋体" w:eastAsia="宋体" w:hint="default"/>
                <w:sz w:val="18"/>
                <w:szCs w:val="18"/>
              </w:rPr>
              <w:t>个</w:t>
            </w:r>
          </w:p>
        </w:tc>
      </w:tr>
    </w:tbl>
    <w:p>
      <w:pPr>
        <w:spacing w:after="0" w:line="240" w:lineRule="auto"/>
        <w:jc w:val="left"/>
        <w:rPr>
          <w:rFonts w:ascii="宋体" w:hAnsi="宋体" w:cs="宋体" w:eastAsia="宋体" w:hint="default"/>
          <w:sz w:val="18"/>
          <w:szCs w:val="18"/>
        </w:rPr>
        <w:sectPr>
          <w:headerReference w:type="default" r:id="rId30"/>
          <w:footerReference w:type="default" r:id="rId31"/>
          <w:pgSz w:w="11910" w:h="16840"/>
          <w:pgMar w:header="720" w:footer="0" w:top="1300" w:bottom="0" w:left="480" w:right="0"/>
        </w:sectPr>
      </w:pPr>
    </w:p>
    <w:p>
      <w:pPr>
        <w:spacing w:line="240" w:lineRule="auto" w:before="7"/>
        <w:rPr>
          <w:rFonts w:ascii="宋体" w:hAnsi="宋体" w:cs="宋体" w:eastAsia="宋体" w:hint="default"/>
          <w:sz w:val="3"/>
          <w:szCs w:val="3"/>
        </w:rPr>
      </w:pPr>
    </w:p>
    <w:tbl>
      <w:tblPr>
        <w:tblW w:w="0" w:type="auto"/>
        <w:jc w:val="left"/>
        <w:tblInd w:w="196" w:type="dxa"/>
        <w:tblLayout w:type="fixed"/>
        <w:tblCellMar>
          <w:top w:w="0" w:type="dxa"/>
          <w:left w:w="0" w:type="dxa"/>
          <w:bottom w:w="0" w:type="dxa"/>
          <w:right w:w="0" w:type="dxa"/>
        </w:tblCellMar>
        <w:tblLook w:val="01E0"/>
      </w:tblPr>
      <w:tblGrid>
        <w:gridCol w:w="1378"/>
        <w:gridCol w:w="456"/>
        <w:gridCol w:w="1265"/>
        <w:gridCol w:w="1174"/>
        <w:gridCol w:w="1265"/>
        <w:gridCol w:w="1088"/>
        <w:gridCol w:w="1174"/>
        <w:gridCol w:w="632"/>
        <w:gridCol w:w="1267"/>
        <w:gridCol w:w="799"/>
      </w:tblGrid>
      <w:tr>
        <w:trPr>
          <w:trHeight w:val="588" w:hRule="exact"/>
        </w:trPr>
        <w:tc>
          <w:tcPr>
            <w:tcW w:w="1378" w:type="dxa"/>
            <w:tcBorders>
              <w:top w:val="single" w:sz="12" w:space="0" w:color="000000"/>
              <w:left w:val="nil" w:sz="6" w:space="0" w:color="auto"/>
              <w:bottom w:val="single" w:sz="2" w:space="0" w:color="000000"/>
              <w:right w:val="single" w:sz="2" w:space="0" w:color="000000"/>
            </w:tcBorders>
          </w:tcPr>
          <w:p>
            <w:pPr>
              <w:pStyle w:val="TableParagraph"/>
              <w:spacing w:line="210" w:lineRule="exact"/>
              <w:ind w:left="28" w:right="0"/>
              <w:jc w:val="left"/>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456" w:type="dxa"/>
            <w:tcBorders>
              <w:top w:val="single" w:sz="12" w:space="0" w:color="000000"/>
              <w:left w:val="single" w:sz="2" w:space="0" w:color="000000"/>
              <w:bottom w:val="single" w:sz="2" w:space="0" w:color="000000"/>
              <w:right w:val="single" w:sz="2" w:space="0" w:color="000000"/>
            </w:tcBorders>
          </w:tcPr>
          <w:p>
            <w:pPr/>
          </w:p>
        </w:tc>
        <w:tc>
          <w:tcPr>
            <w:tcW w:w="1265" w:type="dxa"/>
            <w:tcBorders>
              <w:top w:val="single" w:sz="12" w:space="0" w:color="000000"/>
              <w:left w:val="single" w:sz="2" w:space="0" w:color="000000"/>
              <w:bottom w:val="single" w:sz="2" w:space="0" w:color="000000"/>
              <w:right w:val="single" w:sz="2" w:space="0" w:color="000000"/>
            </w:tcBorders>
          </w:tcPr>
          <w:p>
            <w:pPr/>
          </w:p>
        </w:tc>
        <w:tc>
          <w:tcPr>
            <w:tcW w:w="1174" w:type="dxa"/>
            <w:tcBorders>
              <w:top w:val="single" w:sz="12" w:space="0" w:color="000000"/>
              <w:left w:val="single" w:sz="2" w:space="0" w:color="000000"/>
              <w:bottom w:val="single" w:sz="2" w:space="0" w:color="000000"/>
              <w:right w:val="single" w:sz="2" w:space="0" w:color="000000"/>
            </w:tcBorders>
          </w:tcPr>
          <w:p>
            <w:pPr/>
          </w:p>
        </w:tc>
        <w:tc>
          <w:tcPr>
            <w:tcW w:w="1265" w:type="dxa"/>
            <w:tcBorders>
              <w:top w:val="single" w:sz="12" w:space="0" w:color="000000"/>
              <w:left w:val="single" w:sz="2" w:space="0" w:color="000000"/>
              <w:bottom w:val="single" w:sz="2" w:space="0" w:color="000000"/>
              <w:right w:val="single" w:sz="2" w:space="0" w:color="000000"/>
            </w:tcBorders>
          </w:tcPr>
          <w:p>
            <w:pPr/>
          </w:p>
        </w:tc>
        <w:tc>
          <w:tcPr>
            <w:tcW w:w="1088" w:type="dxa"/>
            <w:tcBorders>
              <w:top w:val="single" w:sz="12" w:space="0" w:color="000000"/>
              <w:left w:val="single" w:sz="2" w:space="0" w:color="000000"/>
              <w:bottom w:val="single" w:sz="2" w:space="0" w:color="000000"/>
              <w:right w:val="single" w:sz="2" w:space="0" w:color="000000"/>
            </w:tcBorders>
          </w:tcPr>
          <w:p>
            <w:pPr/>
          </w:p>
        </w:tc>
        <w:tc>
          <w:tcPr>
            <w:tcW w:w="1174" w:type="dxa"/>
            <w:tcBorders>
              <w:top w:val="single" w:sz="12" w:space="0" w:color="000000"/>
              <w:left w:val="single" w:sz="2" w:space="0" w:color="000000"/>
              <w:bottom w:val="single" w:sz="2" w:space="0" w:color="000000"/>
              <w:right w:val="single" w:sz="2" w:space="0" w:color="000000"/>
            </w:tcBorders>
          </w:tcPr>
          <w:p>
            <w:pPr/>
          </w:p>
        </w:tc>
        <w:tc>
          <w:tcPr>
            <w:tcW w:w="632" w:type="dxa"/>
            <w:tcBorders>
              <w:top w:val="single" w:sz="12" w:space="0" w:color="000000"/>
              <w:left w:val="single" w:sz="2" w:space="0" w:color="000000"/>
              <w:bottom w:val="single" w:sz="2" w:space="0" w:color="000000"/>
              <w:right w:val="single" w:sz="2" w:space="0" w:color="000000"/>
            </w:tcBorders>
          </w:tcPr>
          <w:p>
            <w:pPr/>
          </w:p>
        </w:tc>
        <w:tc>
          <w:tcPr>
            <w:tcW w:w="1267" w:type="dxa"/>
            <w:tcBorders>
              <w:top w:val="single" w:sz="12" w:space="0" w:color="000000"/>
              <w:left w:val="single" w:sz="2" w:space="0" w:color="000000"/>
              <w:bottom w:val="single" w:sz="2" w:space="0" w:color="000000"/>
              <w:right w:val="single" w:sz="2" w:space="0" w:color="000000"/>
            </w:tcBorders>
          </w:tcPr>
          <w:p>
            <w:pPr/>
          </w:p>
        </w:tc>
        <w:tc>
          <w:tcPr>
            <w:tcW w:w="799" w:type="dxa"/>
            <w:tcBorders>
              <w:top w:val="single" w:sz="12" w:space="0" w:color="000000"/>
              <w:left w:val="single" w:sz="2" w:space="0" w:color="000000"/>
              <w:bottom w:val="single" w:sz="2" w:space="0" w:color="000000"/>
              <w:right w:val="nil" w:sz="6" w:space="0" w:color="auto"/>
            </w:tcBorders>
          </w:tcPr>
          <w:p>
            <w:pPr>
              <w:pStyle w:val="TableParagraph"/>
              <w:spacing w:line="210" w:lineRule="exact"/>
              <w:ind w:right="5"/>
              <w:jc w:val="center"/>
              <w:rPr>
                <w:rFonts w:ascii="宋体" w:hAnsi="宋体" w:cs="宋体" w:eastAsia="宋体" w:hint="default"/>
                <w:sz w:val="18"/>
                <w:szCs w:val="18"/>
              </w:rPr>
            </w:pPr>
            <w:r>
              <w:rPr>
                <w:rFonts w:ascii="宋体" w:hAnsi="宋体" w:cs="宋体" w:eastAsia="宋体" w:hint="default"/>
                <w:sz w:val="18"/>
                <w:szCs w:val="18"/>
              </w:rPr>
              <w:t>月</w:t>
            </w:r>
          </w:p>
        </w:tc>
      </w:tr>
      <w:tr>
        <w:trPr>
          <w:trHeight w:val="706" w:hRule="exact"/>
        </w:trPr>
        <w:tc>
          <w:tcPr>
            <w:tcW w:w="1378" w:type="dxa"/>
            <w:tcBorders>
              <w:top w:val="single" w:sz="2" w:space="0" w:color="000000"/>
              <w:left w:val="nil" w:sz="6" w:space="0" w:color="auto"/>
              <w:bottom w:val="single" w:sz="2" w:space="0" w:color="000000"/>
              <w:right w:val="single" w:sz="2" w:space="0" w:color="000000"/>
            </w:tcBorders>
          </w:tcPr>
          <w:p>
            <w:pPr>
              <w:pStyle w:val="TableParagraph"/>
              <w:spacing w:line="203" w:lineRule="exact"/>
              <w:ind w:left="28" w:right="0"/>
              <w:jc w:val="left"/>
              <w:rPr>
                <w:rFonts w:ascii="宋体" w:hAnsi="宋体" w:cs="宋体" w:eastAsia="宋体" w:hint="default"/>
                <w:sz w:val="18"/>
                <w:szCs w:val="18"/>
              </w:rPr>
            </w:pPr>
            <w:r>
              <w:rPr>
                <w:rFonts w:ascii="宋体" w:hAnsi="宋体" w:cs="宋体" w:eastAsia="宋体" w:hint="default"/>
                <w:spacing w:val="22"/>
                <w:sz w:val="18"/>
                <w:szCs w:val="18"/>
              </w:rPr>
              <w:t>土地使用权</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磐</w:t>
            </w:r>
          </w:p>
          <w:p>
            <w:pPr>
              <w:pStyle w:val="TableParagraph"/>
              <w:spacing w:line="240" w:lineRule="auto" w:before="115"/>
              <w:ind w:left="28" w:right="0"/>
              <w:jc w:val="left"/>
              <w:rPr>
                <w:rFonts w:ascii="宋体" w:hAnsi="宋体" w:cs="宋体" w:eastAsia="宋体" w:hint="default"/>
                <w:sz w:val="18"/>
                <w:szCs w:val="18"/>
              </w:rPr>
            </w:pPr>
            <w:r>
              <w:rPr>
                <w:rFonts w:ascii="宋体" w:hAnsi="宋体" w:cs="宋体" w:eastAsia="宋体" w:hint="default"/>
                <w:sz w:val="18"/>
                <w:szCs w:val="18"/>
              </w:rPr>
              <w:t>石</w:t>
            </w:r>
          </w:p>
        </w:tc>
        <w:tc>
          <w:tcPr>
            <w:tcW w:w="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45"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8,785,857.77</w:t>
            </w:r>
          </w:p>
        </w:tc>
        <w:tc>
          <w:tcPr>
            <w:tcW w:w="117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8,785,857.77</w:t>
            </w: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43,929.29</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43,929.29</w:t>
            </w:r>
          </w:p>
        </w:tc>
        <w:tc>
          <w:tcPr>
            <w:tcW w:w="63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8,741,928.48</w:t>
            </w:r>
          </w:p>
        </w:tc>
        <w:tc>
          <w:tcPr>
            <w:tcW w:w="799" w:type="dxa"/>
            <w:tcBorders>
              <w:top w:val="single" w:sz="2" w:space="0" w:color="000000"/>
              <w:left w:val="single" w:sz="2" w:space="0" w:color="000000"/>
              <w:bottom w:val="single" w:sz="2"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49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个</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月</w:t>
            </w:r>
          </w:p>
        </w:tc>
      </w:tr>
      <w:tr>
        <w:trPr>
          <w:trHeight w:val="706" w:hRule="exact"/>
        </w:trPr>
        <w:tc>
          <w:tcPr>
            <w:tcW w:w="1378" w:type="dxa"/>
            <w:tcBorders>
              <w:top w:val="single" w:sz="2" w:space="0" w:color="000000"/>
              <w:left w:val="nil" w:sz="6" w:space="0" w:color="auto"/>
              <w:bottom w:val="single" w:sz="2" w:space="0" w:color="000000"/>
              <w:right w:val="single" w:sz="2" w:space="0" w:color="000000"/>
            </w:tcBorders>
          </w:tcPr>
          <w:p>
            <w:pPr>
              <w:pStyle w:val="TableParagraph"/>
              <w:spacing w:line="203" w:lineRule="exact"/>
              <w:ind w:left="28" w:right="0"/>
              <w:jc w:val="left"/>
              <w:rPr>
                <w:rFonts w:ascii="宋体" w:hAnsi="宋体" w:cs="宋体" w:eastAsia="宋体" w:hint="default"/>
                <w:sz w:val="18"/>
                <w:szCs w:val="18"/>
              </w:rPr>
            </w:pPr>
            <w:r>
              <w:rPr>
                <w:rFonts w:ascii="宋体" w:hAnsi="宋体" w:cs="宋体" w:eastAsia="宋体" w:hint="default"/>
                <w:spacing w:val="22"/>
                <w:sz w:val="18"/>
                <w:szCs w:val="18"/>
              </w:rPr>
              <w:t>非专利技术</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草</w:t>
            </w:r>
          </w:p>
          <w:p>
            <w:pPr>
              <w:pStyle w:val="TableParagraph"/>
              <w:spacing w:line="240" w:lineRule="auto" w:before="115"/>
              <w:ind w:left="28" w:right="0"/>
              <w:jc w:val="left"/>
              <w:rPr>
                <w:rFonts w:ascii="宋体" w:hAnsi="宋体" w:cs="宋体" w:eastAsia="宋体" w:hint="default"/>
                <w:sz w:val="18"/>
                <w:szCs w:val="18"/>
              </w:rPr>
            </w:pPr>
            <w:r>
              <w:rPr>
                <w:rFonts w:ascii="宋体" w:hAnsi="宋体" w:cs="宋体" w:eastAsia="宋体" w:hint="default"/>
                <w:sz w:val="18"/>
                <w:szCs w:val="18"/>
              </w:rPr>
              <w:t>还丹</w:t>
            </w:r>
          </w:p>
        </w:tc>
        <w:tc>
          <w:tcPr>
            <w:tcW w:w="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45" w:right="0"/>
              <w:jc w:val="left"/>
              <w:rPr>
                <w:rFonts w:ascii="宋体" w:hAnsi="宋体" w:cs="宋体" w:eastAsia="宋体" w:hint="default"/>
                <w:sz w:val="18"/>
                <w:szCs w:val="18"/>
              </w:rPr>
            </w:pPr>
            <w:r>
              <w:rPr>
                <w:rFonts w:ascii="宋体" w:hAnsi="宋体" w:cs="宋体" w:eastAsia="宋体" w:hint="default"/>
                <w:sz w:val="18"/>
                <w:szCs w:val="18"/>
              </w:rPr>
              <w:t>购入</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20,560,172.07</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4"/>
              <w:jc w:val="right"/>
              <w:rPr>
                <w:rFonts w:ascii="宋体" w:hAnsi="宋体" w:cs="宋体" w:eastAsia="宋体" w:hint="default"/>
                <w:sz w:val="18"/>
                <w:szCs w:val="18"/>
              </w:rPr>
            </w:pPr>
            <w:r>
              <w:rPr>
                <w:rFonts w:ascii="宋体"/>
                <w:spacing w:val="-1"/>
                <w:sz w:val="18"/>
              </w:rPr>
              <w:t>17,971,149.54</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2,207,138.25</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4,796,160.78</w:t>
            </w:r>
          </w:p>
        </w:tc>
        <w:tc>
          <w:tcPr>
            <w:tcW w:w="63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15,764,011.29</w:t>
            </w:r>
          </w:p>
        </w:tc>
        <w:tc>
          <w:tcPr>
            <w:tcW w:w="799" w:type="dxa"/>
            <w:tcBorders>
              <w:top w:val="single" w:sz="2" w:space="0" w:color="000000"/>
              <w:left w:val="single" w:sz="2" w:space="0" w:color="000000"/>
              <w:bottom w:val="single" w:sz="2" w:space="0" w:color="000000"/>
              <w:right w:val="nil" w:sz="6" w:space="0" w:color="auto"/>
            </w:tcBorders>
          </w:tcPr>
          <w:p>
            <w:pPr>
              <w:pStyle w:val="TableParagraph"/>
              <w:spacing w:line="203" w:lineRule="exact"/>
              <w:ind w:left="-3" w:right="-3"/>
              <w:jc w:val="center"/>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宋体" w:hAnsi="宋体" w:cs="宋体" w:eastAsia="宋体" w:hint="default"/>
                <w:sz w:val="18"/>
                <w:szCs w:val="18"/>
              </w:rPr>
              <w:t>8</w:t>
            </w:r>
            <w:r>
              <w:rPr>
                <w:rFonts w:ascii="宋体" w:hAnsi="宋体" w:cs="宋体" w:eastAsia="宋体" w:hint="default"/>
                <w:spacing w:val="-64"/>
                <w:sz w:val="18"/>
                <w:szCs w:val="18"/>
              </w:rPr>
              <w:t> </w:t>
            </w:r>
            <w:r>
              <w:rPr>
                <w:rFonts w:ascii="宋体" w:hAnsi="宋体" w:cs="宋体" w:eastAsia="宋体" w:hint="default"/>
                <w:sz w:val="18"/>
                <w:szCs w:val="18"/>
              </w:rPr>
              <w:t>个</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月</w:t>
            </w:r>
          </w:p>
        </w:tc>
      </w:tr>
      <w:tr>
        <w:trPr>
          <w:trHeight w:val="703" w:hRule="exact"/>
        </w:trPr>
        <w:tc>
          <w:tcPr>
            <w:tcW w:w="1378" w:type="dxa"/>
            <w:tcBorders>
              <w:top w:val="single" w:sz="2" w:space="0" w:color="000000"/>
              <w:left w:val="nil" w:sz="6" w:space="0" w:color="auto"/>
              <w:bottom w:val="single" w:sz="2" w:space="0" w:color="000000"/>
              <w:right w:val="single" w:sz="2" w:space="0" w:color="000000"/>
            </w:tcBorders>
          </w:tcPr>
          <w:p>
            <w:pPr>
              <w:pStyle w:val="TableParagraph"/>
              <w:spacing w:line="203" w:lineRule="exact"/>
              <w:ind w:left="28" w:right="0"/>
              <w:jc w:val="left"/>
              <w:rPr>
                <w:rFonts w:ascii="宋体" w:hAnsi="宋体" w:cs="宋体" w:eastAsia="宋体" w:hint="default"/>
                <w:sz w:val="18"/>
                <w:szCs w:val="18"/>
              </w:rPr>
            </w:pPr>
            <w:r>
              <w:rPr>
                <w:rFonts w:ascii="宋体" w:hAnsi="宋体" w:cs="宋体" w:eastAsia="宋体" w:hint="default"/>
                <w:spacing w:val="22"/>
                <w:sz w:val="18"/>
                <w:szCs w:val="18"/>
              </w:rPr>
              <w:t>土地使用权</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敦</w:t>
            </w:r>
          </w:p>
          <w:p>
            <w:pPr>
              <w:pStyle w:val="TableParagraph"/>
              <w:spacing w:line="240" w:lineRule="auto" w:before="115"/>
              <w:ind w:left="28" w:right="0"/>
              <w:jc w:val="left"/>
              <w:rPr>
                <w:rFonts w:ascii="宋体" w:hAnsi="宋体" w:cs="宋体" w:eastAsia="宋体" w:hint="default"/>
                <w:sz w:val="18"/>
                <w:szCs w:val="18"/>
              </w:rPr>
            </w:pPr>
            <w:r>
              <w:rPr>
                <w:rFonts w:ascii="宋体" w:hAnsi="宋体" w:cs="宋体" w:eastAsia="宋体" w:hint="default"/>
                <w:sz w:val="18"/>
                <w:szCs w:val="18"/>
              </w:rPr>
              <w:t>化</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45"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11,367,271.59</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4"/>
              <w:jc w:val="right"/>
              <w:rPr>
                <w:rFonts w:ascii="宋体" w:hAnsi="宋体" w:cs="宋体" w:eastAsia="宋体" w:hint="default"/>
                <w:sz w:val="18"/>
                <w:szCs w:val="18"/>
              </w:rPr>
            </w:pPr>
            <w:r>
              <w:rPr>
                <w:rFonts w:ascii="宋体"/>
                <w:spacing w:val="-1"/>
                <w:sz w:val="18"/>
              </w:rPr>
              <w:t>10,956,860.53</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157,952.44</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
              <w:jc w:val="right"/>
              <w:rPr>
                <w:rFonts w:ascii="宋体" w:hAnsi="宋体" w:cs="宋体" w:eastAsia="宋体" w:hint="default"/>
                <w:sz w:val="18"/>
                <w:szCs w:val="18"/>
              </w:rPr>
            </w:pPr>
            <w:r>
              <w:rPr>
                <w:rFonts w:ascii="宋体"/>
                <w:spacing w:val="-1"/>
                <w:sz w:val="18"/>
              </w:rPr>
              <w:t>568,363.50</w:t>
            </w:r>
          </w:p>
        </w:tc>
        <w:tc>
          <w:tcPr>
            <w:tcW w:w="63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10,798,908.09</w:t>
            </w:r>
          </w:p>
        </w:tc>
        <w:tc>
          <w:tcPr>
            <w:tcW w:w="799" w:type="dxa"/>
            <w:tcBorders>
              <w:top w:val="single" w:sz="2" w:space="0" w:color="000000"/>
              <w:left w:val="single" w:sz="2" w:space="0" w:color="000000"/>
              <w:bottom w:val="single" w:sz="2"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47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月</w:t>
            </w:r>
          </w:p>
        </w:tc>
      </w:tr>
      <w:tr>
        <w:trPr>
          <w:trHeight w:val="706" w:hRule="exact"/>
        </w:trPr>
        <w:tc>
          <w:tcPr>
            <w:tcW w:w="1378" w:type="dxa"/>
            <w:tcBorders>
              <w:top w:val="single" w:sz="2" w:space="0" w:color="000000"/>
              <w:left w:val="nil" w:sz="6" w:space="0" w:color="auto"/>
              <w:bottom w:val="single" w:sz="2" w:space="0" w:color="000000"/>
              <w:right w:val="single" w:sz="2" w:space="0" w:color="000000"/>
            </w:tcBorders>
          </w:tcPr>
          <w:p>
            <w:pPr>
              <w:pStyle w:val="TableParagraph"/>
              <w:spacing w:line="203" w:lineRule="exact"/>
              <w:ind w:left="28" w:right="0"/>
              <w:jc w:val="left"/>
              <w:rPr>
                <w:rFonts w:ascii="宋体" w:hAnsi="宋体" w:cs="宋体" w:eastAsia="宋体" w:hint="default"/>
                <w:sz w:val="18"/>
                <w:szCs w:val="18"/>
              </w:rPr>
            </w:pPr>
            <w:r>
              <w:rPr>
                <w:rFonts w:ascii="宋体" w:hAnsi="宋体" w:cs="宋体" w:eastAsia="宋体" w:hint="default"/>
                <w:spacing w:val="22"/>
                <w:sz w:val="18"/>
                <w:szCs w:val="18"/>
              </w:rPr>
              <w:t>土地使用权</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英</w:t>
            </w:r>
          </w:p>
          <w:p>
            <w:pPr>
              <w:pStyle w:val="TableParagraph"/>
              <w:spacing w:line="240" w:lineRule="auto" w:before="115"/>
              <w:ind w:left="28" w:right="0"/>
              <w:jc w:val="left"/>
              <w:rPr>
                <w:rFonts w:ascii="宋体" w:hAnsi="宋体" w:cs="宋体" w:eastAsia="宋体" w:hint="default"/>
                <w:sz w:val="18"/>
                <w:szCs w:val="18"/>
              </w:rPr>
            </w:pPr>
            <w:r>
              <w:rPr>
                <w:rFonts w:ascii="宋体" w:hAnsi="宋体" w:cs="宋体" w:eastAsia="宋体" w:hint="default"/>
                <w:sz w:val="18"/>
                <w:szCs w:val="18"/>
              </w:rPr>
              <w:t>利路</w:t>
            </w:r>
          </w:p>
        </w:tc>
        <w:tc>
          <w:tcPr>
            <w:tcW w:w="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45" w:right="0"/>
              <w:jc w:val="left"/>
              <w:rPr>
                <w:rFonts w:ascii="宋体" w:hAnsi="宋体" w:cs="宋体" w:eastAsia="宋体" w:hint="default"/>
                <w:sz w:val="18"/>
                <w:szCs w:val="18"/>
              </w:rPr>
            </w:pPr>
            <w:r>
              <w:rPr>
                <w:rFonts w:ascii="宋体" w:hAnsi="宋体" w:cs="宋体" w:eastAsia="宋体" w:hint="default"/>
                <w:sz w:val="18"/>
                <w:szCs w:val="18"/>
              </w:rPr>
              <w:t>购入</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pacing w:val="-1"/>
                <w:sz w:val="18"/>
              </w:rPr>
              <w:t>9,133,890.00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4"/>
              <w:jc w:val="right"/>
              <w:rPr>
                <w:rFonts w:ascii="宋体" w:hAnsi="宋体" w:cs="宋体" w:eastAsia="宋体" w:hint="default"/>
                <w:sz w:val="18"/>
                <w:szCs w:val="18"/>
              </w:rPr>
            </w:pPr>
            <w:r>
              <w:rPr>
                <w:rFonts w:ascii="宋体"/>
                <w:spacing w:val="-1"/>
                <w:sz w:val="18"/>
              </w:rPr>
              <w:t>7,516,574.80</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pacing w:val="-1"/>
                <w:sz w:val="18"/>
              </w:rPr>
              <w:t>380,723.50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
              <w:jc w:val="right"/>
              <w:rPr>
                <w:rFonts w:ascii="宋体" w:hAnsi="宋体" w:cs="宋体" w:eastAsia="宋体" w:hint="default"/>
                <w:sz w:val="18"/>
                <w:szCs w:val="18"/>
              </w:rPr>
            </w:pPr>
            <w:r>
              <w:rPr>
                <w:rFonts w:ascii="宋体"/>
                <w:spacing w:val="-1"/>
                <w:sz w:val="18"/>
              </w:rPr>
              <w:t>1,998,038.70</w:t>
            </w:r>
          </w:p>
        </w:tc>
        <w:tc>
          <w:tcPr>
            <w:tcW w:w="63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7,135,851.30</w:t>
            </w:r>
          </w:p>
        </w:tc>
        <w:tc>
          <w:tcPr>
            <w:tcW w:w="799" w:type="dxa"/>
            <w:tcBorders>
              <w:top w:val="single" w:sz="2" w:space="0" w:color="000000"/>
              <w:left w:val="single" w:sz="2" w:space="0" w:color="000000"/>
              <w:bottom w:val="single" w:sz="2"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38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月</w:t>
            </w:r>
          </w:p>
        </w:tc>
      </w:tr>
      <w:tr>
        <w:trPr>
          <w:trHeight w:val="706" w:hRule="exact"/>
        </w:trPr>
        <w:tc>
          <w:tcPr>
            <w:tcW w:w="1378" w:type="dxa"/>
            <w:tcBorders>
              <w:top w:val="single" w:sz="2" w:space="0" w:color="000000"/>
              <w:left w:val="nil" w:sz="6" w:space="0" w:color="auto"/>
              <w:bottom w:val="single" w:sz="2" w:space="0" w:color="000000"/>
              <w:right w:val="single" w:sz="2" w:space="0" w:color="000000"/>
            </w:tcBorders>
          </w:tcPr>
          <w:p>
            <w:pPr>
              <w:pStyle w:val="TableParagraph"/>
              <w:spacing w:line="203" w:lineRule="exact"/>
              <w:ind w:left="28" w:right="0"/>
              <w:jc w:val="left"/>
              <w:rPr>
                <w:rFonts w:ascii="宋体" w:hAnsi="宋体" w:cs="宋体" w:eastAsia="宋体" w:hint="default"/>
                <w:sz w:val="18"/>
                <w:szCs w:val="18"/>
              </w:rPr>
            </w:pPr>
            <w:r>
              <w:rPr>
                <w:rFonts w:ascii="宋体" w:hAnsi="宋体" w:cs="宋体" w:eastAsia="宋体" w:hint="default"/>
                <w:spacing w:val="22"/>
                <w:sz w:val="18"/>
                <w:szCs w:val="18"/>
              </w:rPr>
              <w:t>林地使用权</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种</w:t>
            </w:r>
          </w:p>
          <w:p>
            <w:pPr>
              <w:pStyle w:val="TableParagraph"/>
              <w:spacing w:line="240" w:lineRule="auto" w:before="115"/>
              <w:ind w:left="28" w:right="0"/>
              <w:jc w:val="left"/>
              <w:rPr>
                <w:rFonts w:ascii="宋体" w:hAnsi="宋体" w:cs="宋体" w:eastAsia="宋体" w:hint="default"/>
                <w:sz w:val="18"/>
                <w:szCs w:val="18"/>
              </w:rPr>
            </w:pPr>
            <w:r>
              <w:rPr>
                <w:rFonts w:ascii="宋体" w:hAnsi="宋体" w:cs="宋体" w:eastAsia="宋体" w:hint="default"/>
                <w:sz w:val="18"/>
                <w:szCs w:val="18"/>
              </w:rPr>
              <w:t>养殖</w:t>
            </w:r>
          </w:p>
        </w:tc>
        <w:tc>
          <w:tcPr>
            <w:tcW w:w="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45"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pacing w:val="-1"/>
                <w:sz w:val="18"/>
              </w:rPr>
              <w:t>6,310,000.00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4"/>
              <w:jc w:val="right"/>
              <w:rPr>
                <w:rFonts w:ascii="宋体" w:hAnsi="宋体" w:cs="宋体" w:eastAsia="宋体" w:hint="default"/>
                <w:sz w:val="18"/>
                <w:szCs w:val="18"/>
              </w:rPr>
            </w:pPr>
            <w:r>
              <w:rPr>
                <w:rFonts w:ascii="宋体"/>
                <w:spacing w:val="-1"/>
                <w:sz w:val="18"/>
              </w:rPr>
              <w:t>6,146,407.41</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140,222.16</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3,038,14.75</w:t>
            </w:r>
          </w:p>
        </w:tc>
        <w:tc>
          <w:tcPr>
            <w:tcW w:w="63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6,006,185.25</w:t>
            </w:r>
          </w:p>
        </w:tc>
        <w:tc>
          <w:tcPr>
            <w:tcW w:w="799" w:type="dxa"/>
            <w:tcBorders>
              <w:top w:val="single" w:sz="2" w:space="0" w:color="000000"/>
              <w:left w:val="single" w:sz="2" w:space="0" w:color="000000"/>
              <w:bottom w:val="single" w:sz="2" w:space="0" w:color="000000"/>
              <w:right w:val="nil" w:sz="6" w:space="0" w:color="auto"/>
            </w:tcBorders>
          </w:tcPr>
          <w:p>
            <w:pPr>
              <w:pStyle w:val="TableParagraph"/>
              <w:spacing w:line="203" w:lineRule="exact"/>
              <w:ind w:left="-3" w:right="-3"/>
              <w:jc w:val="center"/>
              <w:rPr>
                <w:rFonts w:ascii="宋体" w:hAnsi="宋体" w:cs="宋体" w:eastAsia="宋体" w:hint="default"/>
                <w:sz w:val="18"/>
                <w:szCs w:val="18"/>
              </w:rPr>
            </w:pPr>
            <w:r>
              <w:rPr>
                <w:rFonts w:ascii="宋体" w:hAnsi="宋体" w:cs="宋体" w:eastAsia="宋体" w:hint="default"/>
                <w:sz w:val="18"/>
                <w:szCs w:val="18"/>
              </w:rPr>
              <w:t>42</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宋体" w:hAnsi="宋体" w:cs="宋体" w:eastAsia="宋体" w:hint="default"/>
                <w:sz w:val="18"/>
                <w:szCs w:val="18"/>
              </w:rPr>
              <w:t>10</w:t>
            </w:r>
            <w:r>
              <w:rPr>
                <w:rFonts w:ascii="宋体" w:hAnsi="宋体" w:cs="宋体" w:eastAsia="宋体" w:hint="default"/>
                <w:spacing w:val="-63"/>
                <w:sz w:val="18"/>
                <w:szCs w:val="18"/>
              </w:rPr>
              <w:t> </w:t>
            </w:r>
            <w:r>
              <w:rPr>
                <w:rFonts w:ascii="宋体" w:hAnsi="宋体" w:cs="宋体" w:eastAsia="宋体" w:hint="default"/>
                <w:sz w:val="18"/>
                <w:szCs w:val="18"/>
              </w:rPr>
              <w:t>个</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月</w:t>
            </w:r>
          </w:p>
        </w:tc>
      </w:tr>
      <w:tr>
        <w:trPr>
          <w:trHeight w:val="706" w:hRule="exact"/>
        </w:trPr>
        <w:tc>
          <w:tcPr>
            <w:tcW w:w="1378" w:type="dxa"/>
            <w:tcBorders>
              <w:top w:val="single" w:sz="2" w:space="0" w:color="000000"/>
              <w:left w:val="nil" w:sz="6" w:space="0" w:color="auto"/>
              <w:bottom w:val="single" w:sz="2" w:space="0" w:color="000000"/>
              <w:right w:val="single" w:sz="2" w:space="0" w:color="000000"/>
            </w:tcBorders>
          </w:tcPr>
          <w:p>
            <w:pPr>
              <w:pStyle w:val="TableParagraph"/>
              <w:spacing w:line="203" w:lineRule="exact"/>
              <w:ind w:left="28" w:right="0"/>
              <w:jc w:val="left"/>
              <w:rPr>
                <w:rFonts w:ascii="宋体" w:hAnsi="宋体" w:cs="宋体" w:eastAsia="宋体" w:hint="default"/>
                <w:sz w:val="18"/>
                <w:szCs w:val="18"/>
              </w:rPr>
            </w:pPr>
            <w:r>
              <w:rPr>
                <w:rFonts w:ascii="宋体" w:hAnsi="宋体" w:cs="宋体" w:eastAsia="宋体" w:hint="default"/>
                <w:spacing w:val="22"/>
                <w:sz w:val="18"/>
                <w:szCs w:val="18"/>
              </w:rPr>
              <w:t>非专利技术</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紫</w:t>
            </w:r>
          </w:p>
          <w:p>
            <w:pPr>
              <w:pStyle w:val="TableParagraph"/>
              <w:spacing w:line="240" w:lineRule="auto" w:before="115"/>
              <w:ind w:left="28" w:right="0"/>
              <w:jc w:val="left"/>
              <w:rPr>
                <w:rFonts w:ascii="宋体" w:hAnsi="宋体" w:cs="宋体" w:eastAsia="宋体" w:hint="default"/>
                <w:sz w:val="18"/>
                <w:szCs w:val="18"/>
              </w:rPr>
            </w:pPr>
            <w:r>
              <w:rPr>
                <w:rFonts w:ascii="宋体" w:hAnsi="宋体" w:cs="宋体" w:eastAsia="宋体" w:hint="default"/>
                <w:sz w:val="18"/>
                <w:szCs w:val="18"/>
              </w:rPr>
              <w:t>鑫</w:t>
            </w:r>
          </w:p>
        </w:tc>
        <w:tc>
          <w:tcPr>
            <w:tcW w:w="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45" w:right="0"/>
              <w:jc w:val="left"/>
              <w:rPr>
                <w:rFonts w:ascii="宋体" w:hAnsi="宋体" w:cs="宋体" w:eastAsia="宋体" w:hint="default"/>
                <w:sz w:val="18"/>
                <w:szCs w:val="18"/>
              </w:rPr>
            </w:pPr>
            <w:r>
              <w:rPr>
                <w:rFonts w:ascii="宋体" w:hAnsi="宋体" w:cs="宋体" w:eastAsia="宋体" w:hint="default"/>
                <w:sz w:val="18"/>
                <w:szCs w:val="18"/>
              </w:rPr>
              <w:t>购入</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pacing w:val="-1"/>
                <w:sz w:val="18"/>
              </w:rPr>
              <w:t>6,300,000.00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3"/>
              <w:jc w:val="right"/>
              <w:rPr>
                <w:rFonts w:ascii="宋体" w:hAnsi="宋体" w:cs="宋体" w:eastAsia="宋体" w:hint="default"/>
                <w:sz w:val="18"/>
                <w:szCs w:val="18"/>
              </w:rPr>
            </w:pPr>
            <w:r>
              <w:rPr>
                <w:rFonts w:ascii="宋体"/>
                <w:spacing w:val="-1"/>
                <w:sz w:val="18"/>
              </w:rPr>
              <w:t>527,583.55</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302,583.55</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
              <w:jc w:val="right"/>
              <w:rPr>
                <w:rFonts w:ascii="宋体" w:hAnsi="宋体" w:cs="宋体" w:eastAsia="宋体" w:hint="default"/>
                <w:sz w:val="18"/>
                <w:szCs w:val="18"/>
              </w:rPr>
            </w:pPr>
            <w:r>
              <w:rPr>
                <w:rFonts w:ascii="宋体"/>
                <w:spacing w:val="-1"/>
                <w:sz w:val="18"/>
              </w:rPr>
              <w:t>6,075,000.00</w:t>
            </w:r>
          </w:p>
        </w:tc>
        <w:tc>
          <w:tcPr>
            <w:tcW w:w="63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225,000.00</w:t>
            </w:r>
          </w:p>
        </w:tc>
        <w:tc>
          <w:tcPr>
            <w:tcW w:w="7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left="-3" w:right="0"/>
              <w:jc w:val="center"/>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6</w:t>
            </w:r>
            <w:r>
              <w:rPr>
                <w:rFonts w:ascii="宋体" w:hAnsi="宋体" w:cs="宋体" w:eastAsia="宋体" w:hint="default"/>
                <w:spacing w:val="-63"/>
                <w:sz w:val="18"/>
                <w:szCs w:val="18"/>
              </w:rPr>
              <w:t> </w:t>
            </w:r>
            <w:r>
              <w:rPr>
                <w:rFonts w:ascii="宋体" w:hAnsi="宋体" w:cs="宋体" w:eastAsia="宋体" w:hint="default"/>
                <w:spacing w:val="-3"/>
                <w:sz w:val="18"/>
                <w:szCs w:val="18"/>
              </w:rPr>
              <w:t>个月</w:t>
            </w:r>
            <w:r>
              <w:rPr>
                <w:rFonts w:ascii="宋体" w:hAnsi="宋体" w:cs="宋体" w:eastAsia="宋体" w:hint="default"/>
                <w:sz w:val="18"/>
                <w:szCs w:val="18"/>
              </w:rPr>
            </w:r>
          </w:p>
        </w:tc>
      </w:tr>
      <w:tr>
        <w:trPr>
          <w:trHeight w:val="706" w:hRule="exact"/>
        </w:trPr>
        <w:tc>
          <w:tcPr>
            <w:tcW w:w="1378" w:type="dxa"/>
            <w:tcBorders>
              <w:top w:val="single" w:sz="2" w:space="0" w:color="000000"/>
              <w:left w:val="nil" w:sz="6" w:space="0" w:color="auto"/>
              <w:bottom w:val="single" w:sz="2" w:space="0" w:color="000000"/>
              <w:right w:val="single" w:sz="2" w:space="0" w:color="000000"/>
            </w:tcBorders>
          </w:tcPr>
          <w:p>
            <w:pPr>
              <w:pStyle w:val="TableParagraph"/>
              <w:spacing w:line="203" w:lineRule="exact"/>
              <w:ind w:left="28" w:right="-1"/>
              <w:jc w:val="left"/>
              <w:rPr>
                <w:rFonts w:ascii="宋体" w:hAnsi="宋体" w:cs="宋体" w:eastAsia="宋体" w:hint="default"/>
                <w:sz w:val="18"/>
                <w:szCs w:val="18"/>
              </w:rPr>
            </w:pPr>
            <w:r>
              <w:rPr>
                <w:rFonts w:ascii="宋体" w:hAnsi="宋体" w:cs="宋体" w:eastAsia="宋体" w:hint="default"/>
                <w:spacing w:val="12"/>
                <w:sz w:val="18"/>
                <w:szCs w:val="18"/>
              </w:rPr>
              <w:t>土地使用权—民</w:t>
            </w:r>
          </w:p>
          <w:p>
            <w:pPr>
              <w:pStyle w:val="TableParagraph"/>
              <w:spacing w:line="240" w:lineRule="auto" w:before="115"/>
              <w:ind w:left="28" w:right="0"/>
              <w:jc w:val="left"/>
              <w:rPr>
                <w:rFonts w:ascii="宋体" w:hAnsi="宋体" w:cs="宋体" w:eastAsia="宋体" w:hint="default"/>
                <w:sz w:val="18"/>
                <w:szCs w:val="18"/>
              </w:rPr>
            </w:pPr>
            <w:r>
              <w:rPr>
                <w:rFonts w:ascii="宋体" w:hAnsi="宋体" w:cs="宋体" w:eastAsia="宋体" w:hint="default"/>
                <w:sz w:val="18"/>
                <w:szCs w:val="18"/>
              </w:rPr>
              <w:t>主街</w:t>
            </w:r>
          </w:p>
        </w:tc>
        <w:tc>
          <w:tcPr>
            <w:tcW w:w="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45"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pacing w:val="-1"/>
                <w:sz w:val="18"/>
              </w:rPr>
              <w:t>2,874,900.97</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4"/>
              <w:jc w:val="right"/>
              <w:rPr>
                <w:rFonts w:ascii="宋体" w:hAnsi="宋体" w:cs="宋体" w:eastAsia="宋体" w:hint="default"/>
                <w:sz w:val="18"/>
                <w:szCs w:val="18"/>
              </w:rPr>
            </w:pPr>
            <w:r>
              <w:rPr>
                <w:rFonts w:ascii="宋体"/>
                <w:spacing w:val="-1"/>
                <w:sz w:val="18"/>
              </w:rPr>
              <w:t>2,735,947.46</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57,497.99</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
              <w:jc w:val="right"/>
              <w:rPr>
                <w:rFonts w:ascii="宋体" w:hAnsi="宋体" w:cs="宋体" w:eastAsia="宋体" w:hint="default"/>
                <w:sz w:val="18"/>
                <w:szCs w:val="18"/>
              </w:rPr>
            </w:pPr>
            <w:r>
              <w:rPr>
                <w:rFonts w:ascii="宋体"/>
                <w:spacing w:val="-1"/>
                <w:sz w:val="18"/>
              </w:rPr>
              <w:t>196,451.50</w:t>
            </w:r>
          </w:p>
        </w:tc>
        <w:tc>
          <w:tcPr>
            <w:tcW w:w="63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2,678,449.47</w:t>
            </w:r>
          </w:p>
        </w:tc>
        <w:tc>
          <w:tcPr>
            <w:tcW w:w="799" w:type="dxa"/>
            <w:tcBorders>
              <w:top w:val="single" w:sz="2" w:space="0" w:color="000000"/>
              <w:left w:val="single" w:sz="2" w:space="0" w:color="000000"/>
              <w:bottom w:val="single" w:sz="2"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46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个</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月</w:t>
            </w:r>
          </w:p>
        </w:tc>
      </w:tr>
      <w:tr>
        <w:trPr>
          <w:trHeight w:val="706" w:hRule="exact"/>
        </w:trPr>
        <w:tc>
          <w:tcPr>
            <w:tcW w:w="1378" w:type="dxa"/>
            <w:tcBorders>
              <w:top w:val="single" w:sz="2" w:space="0" w:color="000000"/>
              <w:left w:val="nil" w:sz="6" w:space="0" w:color="auto"/>
              <w:bottom w:val="single" w:sz="2" w:space="0" w:color="000000"/>
              <w:right w:val="single" w:sz="2" w:space="0" w:color="000000"/>
            </w:tcBorders>
          </w:tcPr>
          <w:p>
            <w:pPr>
              <w:pStyle w:val="TableParagraph"/>
              <w:spacing w:line="203" w:lineRule="exact"/>
              <w:ind w:left="28" w:right="-1"/>
              <w:jc w:val="left"/>
              <w:rPr>
                <w:rFonts w:ascii="宋体" w:hAnsi="宋体" w:cs="宋体" w:eastAsia="宋体" w:hint="default"/>
                <w:sz w:val="18"/>
                <w:szCs w:val="18"/>
              </w:rPr>
            </w:pPr>
            <w:r>
              <w:rPr>
                <w:rFonts w:ascii="宋体" w:hAnsi="宋体" w:cs="宋体" w:eastAsia="宋体" w:hint="default"/>
                <w:spacing w:val="12"/>
                <w:sz w:val="18"/>
                <w:szCs w:val="18"/>
              </w:rPr>
              <w:t>土地使用权—胜</w:t>
            </w:r>
          </w:p>
          <w:p>
            <w:pPr>
              <w:pStyle w:val="TableParagraph"/>
              <w:spacing w:line="240" w:lineRule="auto" w:before="115"/>
              <w:ind w:left="28" w:right="0"/>
              <w:jc w:val="left"/>
              <w:rPr>
                <w:rFonts w:ascii="宋体" w:hAnsi="宋体" w:cs="宋体" w:eastAsia="宋体" w:hint="default"/>
                <w:sz w:val="18"/>
                <w:szCs w:val="18"/>
              </w:rPr>
            </w:pPr>
            <w:r>
              <w:rPr>
                <w:rFonts w:ascii="宋体" w:hAnsi="宋体" w:cs="宋体" w:eastAsia="宋体" w:hint="default"/>
                <w:sz w:val="18"/>
                <w:szCs w:val="18"/>
              </w:rPr>
              <w:t>利街</w:t>
            </w:r>
          </w:p>
        </w:tc>
        <w:tc>
          <w:tcPr>
            <w:tcW w:w="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45" w:right="0"/>
              <w:jc w:val="left"/>
              <w:rPr>
                <w:rFonts w:ascii="宋体" w:hAnsi="宋体" w:cs="宋体" w:eastAsia="宋体" w:hint="default"/>
                <w:sz w:val="18"/>
                <w:szCs w:val="18"/>
              </w:rPr>
            </w:pPr>
            <w:r>
              <w:rPr>
                <w:rFonts w:ascii="宋体" w:hAnsi="宋体" w:cs="宋体" w:eastAsia="宋体" w:hint="default"/>
                <w:sz w:val="18"/>
                <w:szCs w:val="18"/>
              </w:rPr>
              <w:t>出让</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pacing w:val="-1"/>
                <w:sz w:val="18"/>
              </w:rPr>
              <w:t>2,285,094.03</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4"/>
              <w:jc w:val="right"/>
              <w:rPr>
                <w:rFonts w:ascii="宋体" w:hAnsi="宋体" w:cs="宋体" w:eastAsia="宋体" w:hint="default"/>
                <w:sz w:val="18"/>
                <w:szCs w:val="18"/>
              </w:rPr>
            </w:pPr>
            <w:r>
              <w:rPr>
                <w:rFonts w:ascii="宋体"/>
                <w:spacing w:val="-1"/>
                <w:sz w:val="18"/>
              </w:rPr>
              <w:t>2,132,754.41</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45,701.86</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198,041.48</w:t>
            </w:r>
          </w:p>
        </w:tc>
        <w:tc>
          <w:tcPr>
            <w:tcW w:w="63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2,087,052.55</w:t>
            </w:r>
          </w:p>
        </w:tc>
        <w:tc>
          <w:tcPr>
            <w:tcW w:w="799" w:type="dxa"/>
            <w:tcBorders>
              <w:top w:val="single" w:sz="2" w:space="0" w:color="000000"/>
              <w:left w:val="single" w:sz="2" w:space="0" w:color="000000"/>
              <w:bottom w:val="single" w:sz="2" w:space="0" w:color="000000"/>
              <w:right w:val="nil" w:sz="6" w:space="0" w:color="auto"/>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个</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月</w:t>
            </w:r>
          </w:p>
        </w:tc>
      </w:tr>
      <w:tr>
        <w:trPr>
          <w:trHeight w:val="706" w:hRule="exact"/>
        </w:trPr>
        <w:tc>
          <w:tcPr>
            <w:tcW w:w="1378" w:type="dxa"/>
            <w:tcBorders>
              <w:top w:val="single" w:sz="2" w:space="0" w:color="000000"/>
              <w:left w:val="nil" w:sz="6" w:space="0" w:color="auto"/>
              <w:bottom w:val="single" w:sz="2" w:space="0" w:color="000000"/>
              <w:right w:val="single" w:sz="2" w:space="0" w:color="000000"/>
            </w:tcBorders>
          </w:tcPr>
          <w:p>
            <w:pPr>
              <w:pStyle w:val="TableParagraph"/>
              <w:spacing w:line="203" w:lineRule="exact"/>
              <w:ind w:left="28" w:right="-27"/>
              <w:jc w:val="left"/>
              <w:rPr>
                <w:rFonts w:ascii="宋体" w:hAnsi="宋体" w:cs="宋体" w:eastAsia="宋体" w:hint="default"/>
                <w:sz w:val="18"/>
                <w:szCs w:val="18"/>
              </w:rPr>
            </w:pPr>
            <w:r>
              <w:rPr>
                <w:rFonts w:ascii="宋体" w:hAnsi="宋体" w:cs="宋体" w:eastAsia="宋体" w:hint="default"/>
                <w:spacing w:val="21"/>
                <w:sz w:val="18"/>
                <w:szCs w:val="18"/>
              </w:rPr>
              <w:t>财务软件</w:t>
            </w:r>
            <w:r>
              <w:rPr>
                <w:rFonts w:ascii="宋体" w:hAnsi="宋体" w:cs="宋体" w:eastAsia="宋体" w:hint="default"/>
                <w:spacing w:val="-61"/>
                <w:sz w:val="18"/>
                <w:szCs w:val="18"/>
              </w:rPr>
              <w:t> </w:t>
            </w:r>
            <w:r>
              <w:rPr>
                <w:rFonts w:ascii="宋体" w:hAnsi="宋体" w:cs="宋体" w:eastAsia="宋体" w:hint="default"/>
                <w:sz w:val="18"/>
                <w:szCs w:val="18"/>
              </w:rPr>
              <w:t>-</w:t>
            </w:r>
            <w:r>
              <w:rPr>
                <w:rFonts w:ascii="宋体" w:hAnsi="宋体" w:cs="宋体" w:eastAsia="宋体" w:hint="default"/>
                <w:spacing w:val="-61"/>
                <w:sz w:val="18"/>
                <w:szCs w:val="18"/>
              </w:rPr>
              <w:t> </w:t>
            </w:r>
            <w:r>
              <w:rPr>
                <w:rFonts w:ascii="宋体" w:hAnsi="宋体" w:cs="宋体" w:eastAsia="宋体" w:hint="default"/>
                <w:spacing w:val="14"/>
                <w:sz w:val="18"/>
                <w:szCs w:val="18"/>
              </w:rPr>
              <w:t>草还</w:t>
            </w:r>
            <w:r>
              <w:rPr>
                <w:rFonts w:ascii="宋体" w:hAnsi="宋体" w:cs="宋体" w:eastAsia="宋体" w:hint="default"/>
                <w:spacing w:val="-62"/>
                <w:sz w:val="18"/>
                <w:szCs w:val="18"/>
              </w:rPr>
              <w:t> </w:t>
            </w:r>
            <w:r>
              <w:rPr>
                <w:rFonts w:ascii="宋体" w:hAnsi="宋体" w:cs="宋体" w:eastAsia="宋体" w:hint="default"/>
                <w:sz w:val="18"/>
                <w:szCs w:val="18"/>
              </w:rPr>
            </w:r>
          </w:p>
          <w:p>
            <w:pPr>
              <w:pStyle w:val="TableParagraph"/>
              <w:spacing w:line="240" w:lineRule="auto" w:before="115"/>
              <w:ind w:left="28" w:right="0"/>
              <w:jc w:val="left"/>
              <w:rPr>
                <w:rFonts w:ascii="宋体" w:hAnsi="宋体" w:cs="宋体" w:eastAsia="宋体" w:hint="default"/>
                <w:sz w:val="18"/>
                <w:szCs w:val="18"/>
              </w:rPr>
            </w:pPr>
            <w:r>
              <w:rPr>
                <w:rFonts w:ascii="宋体" w:hAnsi="宋体" w:cs="宋体" w:eastAsia="宋体" w:hint="default"/>
                <w:sz w:val="18"/>
                <w:szCs w:val="18"/>
              </w:rPr>
              <w:t>丹</w:t>
            </w:r>
          </w:p>
        </w:tc>
        <w:tc>
          <w:tcPr>
            <w:tcW w:w="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left="45" w:right="0"/>
              <w:jc w:val="left"/>
              <w:rPr>
                <w:rFonts w:ascii="宋体" w:hAnsi="宋体" w:cs="宋体" w:eastAsia="宋体" w:hint="default"/>
                <w:sz w:val="18"/>
                <w:szCs w:val="18"/>
              </w:rPr>
            </w:pPr>
            <w:r>
              <w:rPr>
                <w:rFonts w:ascii="宋体" w:hAnsi="宋体" w:cs="宋体" w:eastAsia="宋体" w:hint="default"/>
                <w:sz w:val="18"/>
                <w:szCs w:val="18"/>
              </w:rPr>
              <w:t>购入</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0"/>
              <w:jc w:val="right"/>
              <w:rPr>
                <w:rFonts w:ascii="宋体" w:hAnsi="宋体" w:cs="宋体" w:eastAsia="宋体" w:hint="default"/>
                <w:sz w:val="18"/>
                <w:szCs w:val="18"/>
              </w:rPr>
            </w:pPr>
            <w:r>
              <w:rPr>
                <w:rFonts w:ascii="宋体"/>
                <w:spacing w:val="-1"/>
                <w:sz w:val="18"/>
              </w:rPr>
              <w:t>9,600.00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3"/>
              <w:jc w:val="right"/>
              <w:rPr>
                <w:rFonts w:ascii="宋体" w:hAnsi="宋体" w:cs="宋体" w:eastAsia="宋体" w:hint="default"/>
                <w:sz w:val="18"/>
                <w:szCs w:val="18"/>
              </w:rPr>
            </w:pPr>
            <w:r>
              <w:rPr>
                <w:rFonts w:ascii="宋体"/>
                <w:spacing w:val="-1"/>
                <w:sz w:val="18"/>
              </w:rPr>
              <w:t>8,800.00</w:t>
            </w:r>
          </w:p>
        </w:tc>
        <w:tc>
          <w:tcPr>
            <w:tcW w:w="1265" w:type="dxa"/>
            <w:tcBorders>
              <w:top w:val="single" w:sz="2" w:space="0" w:color="000000"/>
              <w:left w:val="single" w:sz="2" w:space="0" w:color="000000"/>
              <w:bottom w:val="single" w:sz="2" w:space="0" w:color="000000"/>
              <w:right w:val="single" w:sz="2" w:space="0" w:color="000000"/>
            </w:tcBorders>
          </w:tcPr>
          <w:p>
            <w:pP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1,920.00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2"/>
              <w:jc w:val="right"/>
              <w:rPr>
                <w:rFonts w:ascii="宋体" w:hAnsi="宋体" w:cs="宋体" w:eastAsia="宋体" w:hint="default"/>
                <w:sz w:val="18"/>
                <w:szCs w:val="18"/>
              </w:rPr>
            </w:pPr>
            <w:r>
              <w:rPr>
                <w:rFonts w:ascii="宋体"/>
                <w:spacing w:val="-1"/>
                <w:sz w:val="18"/>
              </w:rPr>
              <w:t>2,720.00</w:t>
            </w:r>
          </w:p>
        </w:tc>
        <w:tc>
          <w:tcPr>
            <w:tcW w:w="63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2"/>
              <w:ind w:right="1"/>
              <w:jc w:val="right"/>
              <w:rPr>
                <w:rFonts w:ascii="宋体" w:hAnsi="宋体" w:cs="宋体" w:eastAsia="宋体" w:hint="default"/>
                <w:sz w:val="18"/>
                <w:szCs w:val="18"/>
              </w:rPr>
            </w:pPr>
            <w:r>
              <w:rPr>
                <w:rFonts w:ascii="宋体"/>
                <w:spacing w:val="-1"/>
                <w:sz w:val="18"/>
              </w:rPr>
              <w:t>6,880.00</w:t>
            </w:r>
          </w:p>
        </w:tc>
        <w:tc>
          <w:tcPr>
            <w:tcW w:w="7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42"/>
              <w:ind w:left="-3"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7</w:t>
            </w:r>
            <w:r>
              <w:rPr>
                <w:rFonts w:ascii="宋体" w:hAnsi="宋体" w:cs="宋体" w:eastAsia="宋体" w:hint="default"/>
                <w:spacing w:val="-63"/>
                <w:sz w:val="18"/>
                <w:szCs w:val="18"/>
              </w:rPr>
              <w:t> </w:t>
            </w:r>
            <w:r>
              <w:rPr>
                <w:rFonts w:ascii="宋体" w:hAnsi="宋体" w:cs="宋体" w:eastAsia="宋体" w:hint="default"/>
                <w:spacing w:val="-3"/>
                <w:sz w:val="18"/>
                <w:szCs w:val="18"/>
              </w:rPr>
              <w:t>个月</w:t>
            </w:r>
            <w:r>
              <w:rPr>
                <w:rFonts w:ascii="宋体" w:hAnsi="宋体" w:cs="宋体" w:eastAsia="宋体" w:hint="default"/>
                <w:sz w:val="18"/>
                <w:szCs w:val="18"/>
              </w:rPr>
            </w:r>
          </w:p>
        </w:tc>
      </w:tr>
      <w:tr>
        <w:trPr>
          <w:trHeight w:val="566" w:hRule="exact"/>
        </w:trPr>
        <w:tc>
          <w:tcPr>
            <w:tcW w:w="1378"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3"/>
              <w:ind w:left="28" w:right="0"/>
              <w:jc w:val="left"/>
              <w:rPr>
                <w:rFonts w:ascii="宋体" w:hAnsi="宋体" w:cs="宋体" w:eastAsia="宋体" w:hint="default"/>
                <w:sz w:val="18"/>
                <w:szCs w:val="18"/>
              </w:rPr>
            </w:pPr>
            <w:r>
              <w:rPr>
                <w:rFonts w:ascii="宋体" w:hAnsi="宋体" w:cs="宋体" w:eastAsia="宋体" w:hint="default"/>
                <w:sz w:val="18"/>
                <w:szCs w:val="18"/>
              </w:rPr>
              <w:t>财务软件</w:t>
            </w:r>
            <w:r>
              <w:rPr>
                <w:rFonts w:ascii="宋体" w:hAnsi="宋体" w:cs="宋体" w:eastAsia="宋体" w:hint="default"/>
                <w:sz w:val="18"/>
                <w:szCs w:val="18"/>
              </w:rPr>
              <w:t>-</w:t>
            </w:r>
            <w:r>
              <w:rPr>
                <w:rFonts w:ascii="宋体" w:hAnsi="宋体" w:cs="宋体" w:eastAsia="宋体" w:hint="default"/>
                <w:sz w:val="18"/>
                <w:szCs w:val="18"/>
              </w:rPr>
              <w:t>般若</w:t>
            </w:r>
          </w:p>
        </w:tc>
        <w:tc>
          <w:tcPr>
            <w:tcW w:w="4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left="45" w:right="0"/>
              <w:jc w:val="left"/>
              <w:rPr>
                <w:rFonts w:ascii="宋体" w:hAnsi="宋体" w:cs="宋体" w:eastAsia="宋体" w:hint="default"/>
                <w:sz w:val="18"/>
                <w:szCs w:val="18"/>
              </w:rPr>
            </w:pPr>
            <w:r>
              <w:rPr>
                <w:rFonts w:ascii="宋体" w:hAnsi="宋体" w:cs="宋体" w:eastAsia="宋体" w:hint="default"/>
                <w:sz w:val="18"/>
                <w:szCs w:val="18"/>
              </w:rPr>
              <w:t>购入</w:t>
            </w: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0"/>
              <w:jc w:val="right"/>
              <w:rPr>
                <w:rFonts w:ascii="宋体" w:hAnsi="宋体" w:cs="宋体" w:eastAsia="宋体" w:hint="default"/>
                <w:sz w:val="18"/>
                <w:szCs w:val="18"/>
              </w:rPr>
            </w:pPr>
            <w:r>
              <w:rPr>
                <w:rFonts w:ascii="宋体"/>
                <w:spacing w:val="-1"/>
                <w:sz w:val="18"/>
              </w:rPr>
              <w:t>22,400.00</w:t>
            </w:r>
          </w:p>
        </w:tc>
        <w:tc>
          <w:tcPr>
            <w:tcW w:w="1174" w:type="dxa"/>
            <w:tcBorders>
              <w:top w:val="single" w:sz="2" w:space="0" w:color="000000"/>
              <w:left w:val="single" w:sz="2" w:space="0" w:color="000000"/>
              <w:bottom w:val="single" w:sz="2" w:space="0" w:color="000000"/>
              <w:right w:val="single" w:sz="2" w:space="0" w:color="000000"/>
            </w:tcBorders>
          </w:tcPr>
          <w:p>
            <w:pPr/>
          </w:p>
        </w:tc>
        <w:tc>
          <w:tcPr>
            <w:tcW w:w="126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
              <w:jc w:val="right"/>
              <w:rPr>
                <w:rFonts w:ascii="宋体" w:hAnsi="宋体" w:cs="宋体" w:eastAsia="宋体" w:hint="default"/>
                <w:sz w:val="18"/>
                <w:szCs w:val="18"/>
              </w:rPr>
            </w:pPr>
            <w:r>
              <w:rPr>
                <w:rFonts w:ascii="宋体"/>
                <w:spacing w:val="-1"/>
                <w:sz w:val="18"/>
              </w:rPr>
              <w:t>22,400.00</w:t>
            </w:r>
          </w:p>
        </w:tc>
        <w:tc>
          <w:tcPr>
            <w:tcW w:w="108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
              <w:jc w:val="right"/>
              <w:rPr>
                <w:rFonts w:ascii="宋体" w:hAnsi="宋体" w:cs="宋体" w:eastAsia="宋体" w:hint="default"/>
                <w:sz w:val="18"/>
                <w:szCs w:val="18"/>
              </w:rPr>
            </w:pPr>
            <w:r>
              <w:rPr>
                <w:rFonts w:ascii="宋体"/>
                <w:spacing w:val="-1"/>
                <w:sz w:val="18"/>
              </w:rPr>
              <w:t>1,120.00</w:t>
            </w:r>
          </w:p>
        </w:tc>
        <w:tc>
          <w:tcPr>
            <w:tcW w:w="117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2"/>
              <w:jc w:val="right"/>
              <w:rPr>
                <w:rFonts w:ascii="宋体" w:hAnsi="宋体" w:cs="宋体" w:eastAsia="宋体" w:hint="default"/>
                <w:sz w:val="18"/>
                <w:szCs w:val="18"/>
              </w:rPr>
            </w:pPr>
            <w:r>
              <w:rPr>
                <w:rFonts w:ascii="宋体"/>
                <w:spacing w:val="-1"/>
                <w:sz w:val="18"/>
              </w:rPr>
              <w:t>1,120.00</w:t>
            </w:r>
          </w:p>
        </w:tc>
        <w:tc>
          <w:tcPr>
            <w:tcW w:w="632" w:type="dxa"/>
            <w:tcBorders>
              <w:top w:val="single" w:sz="2" w:space="0" w:color="000000"/>
              <w:left w:val="single" w:sz="2" w:space="0" w:color="000000"/>
              <w:bottom w:val="single" w:sz="2" w:space="0" w:color="000000"/>
              <w:right w:val="single" w:sz="2" w:space="0" w:color="000000"/>
            </w:tcBorders>
          </w:tcPr>
          <w:p>
            <w:pPr/>
          </w:p>
        </w:tc>
        <w:tc>
          <w:tcPr>
            <w:tcW w:w="126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3"/>
              <w:ind w:right="1"/>
              <w:jc w:val="right"/>
              <w:rPr>
                <w:rFonts w:ascii="宋体" w:hAnsi="宋体" w:cs="宋体" w:eastAsia="宋体" w:hint="default"/>
                <w:sz w:val="18"/>
                <w:szCs w:val="18"/>
              </w:rPr>
            </w:pPr>
            <w:r>
              <w:rPr>
                <w:rFonts w:ascii="宋体"/>
                <w:spacing w:val="-1"/>
                <w:sz w:val="18"/>
              </w:rPr>
              <w:t>21,280.00</w:t>
            </w:r>
          </w:p>
        </w:tc>
        <w:tc>
          <w:tcPr>
            <w:tcW w:w="799"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3"/>
              <w:ind w:left="-3"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9</w:t>
            </w:r>
            <w:r>
              <w:rPr>
                <w:rFonts w:ascii="宋体" w:hAnsi="宋体" w:cs="宋体" w:eastAsia="宋体" w:hint="default"/>
                <w:spacing w:val="-63"/>
                <w:sz w:val="18"/>
                <w:szCs w:val="18"/>
              </w:rPr>
              <w:t> </w:t>
            </w:r>
            <w:r>
              <w:rPr>
                <w:rFonts w:ascii="宋体" w:hAnsi="宋体" w:cs="宋体" w:eastAsia="宋体" w:hint="default"/>
                <w:spacing w:val="-3"/>
                <w:sz w:val="18"/>
                <w:szCs w:val="18"/>
              </w:rPr>
              <w:t>个月</w:t>
            </w:r>
            <w:r>
              <w:rPr>
                <w:rFonts w:ascii="宋体" w:hAnsi="宋体" w:cs="宋体" w:eastAsia="宋体" w:hint="default"/>
                <w:sz w:val="18"/>
                <w:szCs w:val="18"/>
              </w:rPr>
            </w:r>
          </w:p>
        </w:tc>
      </w:tr>
      <w:tr>
        <w:trPr>
          <w:trHeight w:val="584" w:hRule="exact"/>
        </w:trPr>
        <w:tc>
          <w:tcPr>
            <w:tcW w:w="1378" w:type="dxa"/>
            <w:tcBorders>
              <w:top w:val="single" w:sz="2" w:space="0" w:color="000000"/>
              <w:left w:val="nil" w:sz="6" w:space="0" w:color="auto"/>
              <w:bottom w:val="single" w:sz="12" w:space="0" w:color="000000"/>
              <w:right w:val="single" w:sz="2" w:space="0" w:color="000000"/>
            </w:tcBorders>
          </w:tcPr>
          <w:p>
            <w:pPr>
              <w:pStyle w:val="TableParagraph"/>
              <w:tabs>
                <w:tab w:pos="840" w:val="left" w:leader="none"/>
              </w:tabs>
              <w:spacing w:line="240" w:lineRule="auto" w:before="75"/>
              <w:ind w:left="38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456" w:type="dxa"/>
            <w:tcBorders>
              <w:top w:val="single" w:sz="2" w:space="0" w:color="000000"/>
              <w:left w:val="single" w:sz="2" w:space="0" w:color="000000"/>
              <w:bottom w:val="single" w:sz="12" w:space="0" w:color="000000"/>
              <w:right w:val="single" w:sz="2" w:space="0" w:color="000000"/>
            </w:tcBorders>
          </w:tcPr>
          <w:p>
            <w:pP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pacing w:val="-1"/>
                <w:sz w:val="18"/>
              </w:rPr>
              <w:t>183,359,762.47</w:t>
            </w:r>
          </w:p>
        </w:tc>
        <w:tc>
          <w:tcPr>
            <w:tcW w:w="11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4"/>
              <w:jc w:val="right"/>
              <w:rPr>
                <w:rFonts w:ascii="宋体" w:hAnsi="宋体" w:cs="宋体" w:eastAsia="宋体" w:hint="default"/>
                <w:sz w:val="18"/>
                <w:szCs w:val="18"/>
              </w:rPr>
            </w:pPr>
            <w:r>
              <w:rPr>
                <w:rFonts w:ascii="宋体"/>
                <w:spacing w:val="-1"/>
                <w:sz w:val="18"/>
              </w:rPr>
              <w:t>47,996,077.70</w:t>
            </w:r>
          </w:p>
        </w:tc>
        <w:tc>
          <w:tcPr>
            <w:tcW w:w="126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left="-1" w:right="-1"/>
              <w:jc w:val="right"/>
              <w:rPr>
                <w:rFonts w:ascii="宋体" w:hAnsi="宋体" w:cs="宋体" w:eastAsia="宋体" w:hint="default"/>
                <w:sz w:val="18"/>
                <w:szCs w:val="18"/>
              </w:rPr>
            </w:pPr>
            <w:r>
              <w:rPr>
                <w:rFonts w:ascii="宋体"/>
                <w:spacing w:val="-1"/>
                <w:sz w:val="18"/>
              </w:rPr>
              <w:t>124,518,833.81</w:t>
            </w:r>
          </w:p>
        </w:tc>
        <w:tc>
          <w:tcPr>
            <w:tcW w:w="108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pacing w:val="-1"/>
                <w:sz w:val="18"/>
              </w:rPr>
              <w:t>4,036,431.34</w:t>
            </w:r>
          </w:p>
        </w:tc>
        <w:tc>
          <w:tcPr>
            <w:tcW w:w="1174"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left="-3" w:right="-2"/>
              <w:jc w:val="right"/>
              <w:rPr>
                <w:rFonts w:ascii="宋体" w:hAnsi="宋体" w:cs="宋体" w:eastAsia="宋体" w:hint="default"/>
                <w:sz w:val="18"/>
                <w:szCs w:val="18"/>
              </w:rPr>
            </w:pPr>
            <w:r>
              <w:rPr>
                <w:rFonts w:ascii="宋体"/>
                <w:spacing w:val="-1"/>
                <w:sz w:val="18"/>
              </w:rPr>
              <w:t>15,448,525.80</w:t>
            </w:r>
          </w:p>
        </w:tc>
        <w:tc>
          <w:tcPr>
            <w:tcW w:w="632" w:type="dxa"/>
            <w:tcBorders>
              <w:top w:val="single" w:sz="2" w:space="0" w:color="000000"/>
              <w:left w:val="single" w:sz="2" w:space="0" w:color="000000"/>
              <w:bottom w:val="single" w:sz="12" w:space="0" w:color="000000"/>
              <w:right w:val="single" w:sz="2" w:space="0" w:color="000000"/>
            </w:tcBorders>
          </w:tcPr>
          <w:p>
            <w:pPr/>
          </w:p>
        </w:tc>
        <w:tc>
          <w:tcPr>
            <w:tcW w:w="1267"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75"/>
              <w:ind w:right="1"/>
              <w:jc w:val="right"/>
              <w:rPr>
                <w:rFonts w:ascii="宋体" w:hAnsi="宋体" w:cs="宋体" w:eastAsia="宋体" w:hint="default"/>
                <w:sz w:val="18"/>
                <w:szCs w:val="18"/>
              </w:rPr>
            </w:pPr>
            <w:r>
              <w:rPr>
                <w:rFonts w:ascii="宋体"/>
                <w:spacing w:val="-1"/>
                <w:sz w:val="18"/>
              </w:rPr>
              <w:t>168,478,480.17</w:t>
            </w:r>
          </w:p>
        </w:tc>
        <w:tc>
          <w:tcPr>
            <w:tcW w:w="799" w:type="dxa"/>
            <w:tcBorders>
              <w:top w:val="single" w:sz="2" w:space="0" w:color="000000"/>
              <w:left w:val="single" w:sz="2" w:space="0" w:color="000000"/>
              <w:bottom w:val="single" w:sz="12" w:space="0" w:color="000000"/>
              <w:right w:val="nil" w:sz="6" w:space="0" w:color="auto"/>
            </w:tcBorders>
          </w:tcPr>
          <w:p>
            <w:pPr/>
          </w:p>
        </w:tc>
      </w:tr>
    </w:tbl>
    <w:p>
      <w:pPr>
        <w:pStyle w:val="BodyText"/>
        <w:spacing w:line="355" w:lineRule="auto" w:before="86"/>
        <w:ind w:left="240" w:right="606" w:firstLine="420"/>
        <w:jc w:val="left"/>
      </w:pPr>
      <w:r>
        <w:rPr/>
        <w:t>（</w:t>
      </w:r>
      <w:r>
        <w:rPr>
          <w:rFonts w:ascii="宋体" w:hAnsi="宋体" w:cs="宋体" w:eastAsia="宋体" w:hint="default"/>
        </w:rPr>
        <w:t>1</w:t>
      </w:r>
      <w:r>
        <w:rPr/>
        <w:t>）本期新增的土地使用权是本公司非公开发行人参产品系列项目的募投项目使用资金，该土地使用权分别</w:t>
      </w:r>
      <w:r>
        <w:rPr>
          <w:w w:val="100"/>
        </w:rPr>
        <w:t> </w:t>
      </w:r>
      <w:r>
        <w:rPr/>
        <w:t>座落在延吉、通化、敦化、磐石四个场区。</w:t>
      </w:r>
    </w:p>
    <w:p>
      <w:pPr>
        <w:pStyle w:val="BodyText"/>
        <w:spacing w:line="357" w:lineRule="auto"/>
        <w:ind w:left="240" w:right="606" w:firstLine="420"/>
        <w:jc w:val="left"/>
      </w:pPr>
      <w:r>
        <w:rPr>
          <w:spacing w:val="-3"/>
        </w:rPr>
        <w:t>（</w:t>
      </w:r>
      <w:r>
        <w:rPr>
          <w:rFonts w:ascii="宋体" w:hAnsi="宋体" w:cs="宋体" w:eastAsia="宋体" w:hint="default"/>
          <w:spacing w:val="-3"/>
        </w:rPr>
        <w:t>2</w:t>
      </w:r>
      <w:r>
        <w:rPr>
          <w:spacing w:val="-3"/>
        </w:rPr>
        <w:t>）截至</w:t>
      </w:r>
      <w:r>
        <w:rPr>
          <w:spacing w:val="-55"/>
        </w:rPr>
        <w:t> </w:t>
      </w:r>
      <w:r>
        <w:rPr>
          <w:rFonts w:ascii="宋体" w:hAnsi="宋体" w:cs="宋体" w:eastAsia="宋体" w:hint="default"/>
        </w:rPr>
        <w:t>2010</w:t>
      </w:r>
      <w:r>
        <w:rPr>
          <w:rFonts w:ascii="宋体" w:hAnsi="宋体" w:cs="宋体" w:eastAsia="宋体" w:hint="default"/>
          <w:spacing w:val="-55"/>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t>日止，无形资产期末余额中无账面价值高于可收回金额的情况，未计提无形资产减</w:t>
      </w:r>
      <w:r>
        <w:rPr>
          <w:w w:val="100"/>
        </w:rPr>
        <w:t> </w:t>
      </w:r>
      <w:r>
        <w:rPr/>
        <w:t>值准备。</w:t>
      </w:r>
    </w:p>
    <w:p>
      <w:pPr>
        <w:pStyle w:val="Heading4"/>
        <w:spacing w:line="240" w:lineRule="auto" w:before="30"/>
        <w:ind w:left="662" w:right="606"/>
        <w:jc w:val="left"/>
        <w:rPr>
          <w:b w:val="0"/>
          <w:bCs w:val="0"/>
        </w:rPr>
      </w:pPr>
      <w:r>
        <w:rPr>
          <w:rFonts w:ascii="宋体" w:hAnsi="宋体" w:cs="宋体" w:eastAsia="宋体" w:hint="default"/>
        </w:rPr>
        <w:t>11</w:t>
      </w:r>
      <w:r>
        <w:rPr/>
        <w:t>、长期待摊费用</w:t>
      </w:r>
      <w:r>
        <w:rPr>
          <w:b w:val="0"/>
          <w:bCs w:val="0"/>
        </w:rPr>
      </w:r>
    </w:p>
    <w:p>
      <w:pPr>
        <w:spacing w:line="240" w:lineRule="auto" w:before="10"/>
        <w:rPr>
          <w:rFonts w:ascii="宋体" w:hAnsi="宋体" w:cs="宋体" w:eastAsia="宋体" w:hint="default"/>
          <w:b/>
          <w:bCs/>
          <w:sz w:val="12"/>
          <w:szCs w:val="12"/>
        </w:rPr>
      </w:pPr>
    </w:p>
    <w:tbl>
      <w:tblPr>
        <w:tblW w:w="0" w:type="auto"/>
        <w:jc w:val="left"/>
        <w:tblInd w:w="180" w:type="dxa"/>
        <w:tblLayout w:type="fixed"/>
        <w:tblCellMar>
          <w:top w:w="0" w:type="dxa"/>
          <w:left w:w="0" w:type="dxa"/>
          <w:bottom w:w="0" w:type="dxa"/>
          <w:right w:w="0" w:type="dxa"/>
        </w:tblCellMar>
        <w:tblLook w:val="01E0"/>
      </w:tblPr>
      <w:tblGrid>
        <w:gridCol w:w="2196"/>
        <w:gridCol w:w="2031"/>
        <w:gridCol w:w="1580"/>
        <w:gridCol w:w="1579"/>
        <w:gridCol w:w="1577"/>
        <w:gridCol w:w="1579"/>
      </w:tblGrid>
      <w:tr>
        <w:trPr>
          <w:trHeight w:val="425" w:hRule="exact"/>
        </w:trPr>
        <w:tc>
          <w:tcPr>
            <w:tcW w:w="2196" w:type="dxa"/>
            <w:tcBorders>
              <w:top w:val="single" w:sz="12" w:space="0" w:color="000000"/>
              <w:left w:val="nil" w:sz="6" w:space="0" w:color="auto"/>
              <w:bottom w:val="single" w:sz="8" w:space="0" w:color="000000"/>
              <w:right w:val="single" w:sz="8" w:space="0" w:color="000000"/>
            </w:tcBorders>
          </w:tcPr>
          <w:p>
            <w:pPr>
              <w:pStyle w:val="TableParagraph"/>
              <w:tabs>
                <w:tab w:pos="480" w:val="left" w:leader="none"/>
              </w:tabs>
              <w:spacing w:line="229" w:lineRule="exact"/>
              <w:ind w:left="2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31" w:type="dxa"/>
            <w:tcBorders>
              <w:top w:val="single" w:sz="12" w:space="0" w:color="000000"/>
              <w:left w:val="single" w:sz="8" w:space="0" w:color="000000"/>
              <w:bottom w:val="single" w:sz="8" w:space="0" w:color="000000"/>
              <w:right w:val="single" w:sz="8" w:space="0" w:color="000000"/>
            </w:tcBorders>
          </w:tcPr>
          <w:p>
            <w:pPr>
              <w:pStyle w:val="TableParagraph"/>
              <w:spacing w:line="229" w:lineRule="exact"/>
              <w:ind w:left="6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80" w:type="dxa"/>
            <w:tcBorders>
              <w:top w:val="single" w:sz="12" w:space="0" w:color="000000"/>
              <w:left w:val="single" w:sz="8" w:space="0" w:color="000000"/>
              <w:bottom w:val="single" w:sz="8" w:space="0" w:color="000000"/>
              <w:right w:val="single" w:sz="8" w:space="0" w:color="000000"/>
            </w:tcBorders>
          </w:tcPr>
          <w:p>
            <w:pPr>
              <w:pStyle w:val="TableParagraph"/>
              <w:spacing w:line="229" w:lineRule="exact"/>
              <w:ind w:left="3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579" w:type="dxa"/>
            <w:tcBorders>
              <w:top w:val="single" w:sz="12" w:space="0" w:color="000000"/>
              <w:left w:val="single" w:sz="8" w:space="0" w:color="000000"/>
              <w:bottom w:val="single" w:sz="8" w:space="0" w:color="000000"/>
              <w:right w:val="single" w:sz="8" w:space="0" w:color="000000"/>
            </w:tcBorders>
          </w:tcPr>
          <w:p>
            <w:pPr>
              <w:pStyle w:val="TableParagraph"/>
              <w:spacing w:line="229" w:lineRule="exact"/>
              <w:ind w:left="328"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577" w:type="dxa"/>
            <w:tcBorders>
              <w:top w:val="single" w:sz="12" w:space="0" w:color="000000"/>
              <w:left w:val="single" w:sz="8" w:space="0" w:color="000000"/>
              <w:bottom w:val="single" w:sz="8" w:space="0" w:color="000000"/>
              <w:right w:val="single" w:sz="8" w:space="0" w:color="000000"/>
            </w:tcBorders>
          </w:tcPr>
          <w:p>
            <w:pPr>
              <w:pStyle w:val="TableParagraph"/>
              <w:spacing w:line="229" w:lineRule="exact"/>
              <w:ind w:left="328"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579" w:type="dxa"/>
            <w:tcBorders>
              <w:top w:val="single" w:sz="12" w:space="0" w:color="000000"/>
              <w:left w:val="single" w:sz="8" w:space="0" w:color="000000"/>
              <w:bottom w:val="single" w:sz="8" w:space="0" w:color="000000"/>
              <w:right w:val="nil" w:sz="6" w:space="0" w:color="auto"/>
            </w:tcBorders>
          </w:tcPr>
          <w:p>
            <w:pPr>
              <w:pStyle w:val="TableParagraph"/>
              <w:spacing w:line="229" w:lineRule="exact"/>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3" w:hRule="exact"/>
        </w:trPr>
        <w:tc>
          <w:tcPr>
            <w:tcW w:w="2196" w:type="dxa"/>
            <w:tcBorders>
              <w:top w:val="single" w:sz="8" w:space="0" w:color="000000"/>
              <w:left w:val="nil" w:sz="6" w:space="0" w:color="auto"/>
              <w:bottom w:val="single" w:sz="8" w:space="0" w:color="000000"/>
              <w:right w:val="single" w:sz="8" w:space="0" w:color="000000"/>
            </w:tcBorders>
          </w:tcPr>
          <w:p>
            <w:pPr>
              <w:pStyle w:val="TableParagraph"/>
              <w:spacing w:line="229" w:lineRule="exact"/>
              <w:ind w:left="45"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2031"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2,600,000.00</w:t>
            </w:r>
          </w:p>
        </w:tc>
        <w:tc>
          <w:tcPr>
            <w:tcW w:w="1580" w:type="dxa"/>
            <w:tcBorders>
              <w:top w:val="single" w:sz="8" w:space="0" w:color="000000"/>
              <w:left w:val="single" w:sz="8" w:space="0" w:color="000000"/>
              <w:bottom w:val="single" w:sz="8" w:space="0" w:color="000000"/>
              <w:right w:val="single" w:sz="8" w:space="0" w:color="000000"/>
            </w:tcBorders>
          </w:tcPr>
          <w:p>
            <w:pPr/>
          </w:p>
        </w:tc>
        <w:tc>
          <w:tcPr>
            <w:tcW w:w="1579" w:type="dxa"/>
            <w:tcBorders>
              <w:top w:val="single" w:sz="8" w:space="0" w:color="000000"/>
              <w:left w:val="single" w:sz="8" w:space="0" w:color="000000"/>
              <w:bottom w:val="single" w:sz="8" w:space="0" w:color="000000"/>
              <w:right w:val="single" w:sz="8"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577,777.80</w:t>
            </w:r>
          </w:p>
        </w:tc>
        <w:tc>
          <w:tcPr>
            <w:tcW w:w="1577" w:type="dxa"/>
            <w:tcBorders>
              <w:top w:val="single" w:sz="8" w:space="0" w:color="000000"/>
              <w:left w:val="single" w:sz="8" w:space="0" w:color="000000"/>
              <w:bottom w:val="single" w:sz="8" w:space="0" w:color="000000"/>
              <w:right w:val="single" w:sz="8" w:space="0" w:color="000000"/>
            </w:tcBorders>
          </w:tcPr>
          <w:p>
            <w:pPr/>
          </w:p>
        </w:tc>
        <w:tc>
          <w:tcPr>
            <w:tcW w:w="1579" w:type="dxa"/>
            <w:tcBorders>
              <w:top w:val="single" w:sz="8" w:space="0" w:color="000000"/>
              <w:left w:val="single" w:sz="8" w:space="0" w:color="000000"/>
              <w:bottom w:val="single" w:sz="8" w:space="0" w:color="000000"/>
              <w:right w:val="nil" w:sz="6" w:space="0" w:color="auto"/>
            </w:tcBorders>
          </w:tcPr>
          <w:p>
            <w:pPr>
              <w:pStyle w:val="TableParagraph"/>
              <w:spacing w:line="229" w:lineRule="exact"/>
              <w:ind w:left="460" w:right="0"/>
              <w:jc w:val="left"/>
              <w:rPr>
                <w:rFonts w:ascii="宋体" w:hAnsi="宋体" w:cs="宋体" w:eastAsia="宋体" w:hint="default"/>
                <w:sz w:val="18"/>
                <w:szCs w:val="18"/>
              </w:rPr>
            </w:pPr>
            <w:r>
              <w:rPr>
                <w:rFonts w:ascii="宋体"/>
                <w:sz w:val="18"/>
              </w:rPr>
              <w:t>2,022,222.20</w:t>
            </w:r>
          </w:p>
        </w:tc>
      </w:tr>
      <w:tr>
        <w:trPr>
          <w:trHeight w:val="427" w:hRule="exact"/>
        </w:trPr>
        <w:tc>
          <w:tcPr>
            <w:tcW w:w="2196" w:type="dxa"/>
            <w:tcBorders>
              <w:top w:val="single" w:sz="8" w:space="0" w:color="000000"/>
              <w:left w:val="nil" w:sz="6" w:space="0" w:color="auto"/>
              <w:bottom w:val="single" w:sz="12" w:space="0" w:color="000000"/>
              <w:right w:val="single" w:sz="8" w:space="0" w:color="000000"/>
            </w:tcBorders>
          </w:tcPr>
          <w:p>
            <w:pPr>
              <w:pStyle w:val="TableParagraph"/>
              <w:tabs>
                <w:tab w:pos="480" w:val="left" w:leader="none"/>
              </w:tabs>
              <w:spacing w:line="229" w:lineRule="exact"/>
              <w:ind w:left="2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031" w:type="dxa"/>
            <w:tcBorders>
              <w:top w:val="single" w:sz="8" w:space="0" w:color="000000"/>
              <w:left w:val="single" w:sz="8" w:space="0" w:color="000000"/>
              <w:bottom w:val="single" w:sz="12" w:space="0" w:color="000000"/>
              <w:right w:val="single" w:sz="8"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2,600,000.00</w:t>
            </w:r>
          </w:p>
        </w:tc>
        <w:tc>
          <w:tcPr>
            <w:tcW w:w="1580" w:type="dxa"/>
            <w:tcBorders>
              <w:top w:val="single" w:sz="8" w:space="0" w:color="000000"/>
              <w:left w:val="single" w:sz="8" w:space="0" w:color="000000"/>
              <w:bottom w:val="single" w:sz="12" w:space="0" w:color="000000"/>
              <w:right w:val="single" w:sz="8" w:space="0" w:color="000000"/>
            </w:tcBorders>
          </w:tcPr>
          <w:p>
            <w:pPr/>
          </w:p>
        </w:tc>
        <w:tc>
          <w:tcPr>
            <w:tcW w:w="1579" w:type="dxa"/>
            <w:tcBorders>
              <w:top w:val="single" w:sz="8" w:space="0" w:color="000000"/>
              <w:left w:val="single" w:sz="8" w:space="0" w:color="000000"/>
              <w:bottom w:val="single" w:sz="12" w:space="0" w:color="000000"/>
              <w:right w:val="single" w:sz="8" w:space="0" w:color="000000"/>
            </w:tcBorders>
          </w:tcPr>
          <w:p>
            <w:pPr>
              <w:pStyle w:val="TableParagraph"/>
              <w:spacing w:line="229" w:lineRule="exact"/>
              <w:ind w:right="19"/>
              <w:jc w:val="right"/>
              <w:rPr>
                <w:rFonts w:ascii="宋体" w:hAnsi="宋体" w:cs="宋体" w:eastAsia="宋体" w:hint="default"/>
                <w:sz w:val="18"/>
                <w:szCs w:val="18"/>
              </w:rPr>
            </w:pPr>
            <w:r>
              <w:rPr>
                <w:rFonts w:ascii="宋体"/>
                <w:spacing w:val="-1"/>
                <w:sz w:val="18"/>
              </w:rPr>
              <w:t>577,777.80</w:t>
            </w:r>
          </w:p>
        </w:tc>
        <w:tc>
          <w:tcPr>
            <w:tcW w:w="1577" w:type="dxa"/>
            <w:tcBorders>
              <w:top w:val="single" w:sz="8" w:space="0" w:color="000000"/>
              <w:left w:val="single" w:sz="8" w:space="0" w:color="000000"/>
              <w:bottom w:val="single" w:sz="12" w:space="0" w:color="000000"/>
              <w:right w:val="single" w:sz="8" w:space="0" w:color="000000"/>
            </w:tcBorders>
          </w:tcPr>
          <w:p>
            <w:pPr/>
          </w:p>
        </w:tc>
        <w:tc>
          <w:tcPr>
            <w:tcW w:w="1579" w:type="dxa"/>
            <w:tcBorders>
              <w:top w:val="single" w:sz="8" w:space="0" w:color="000000"/>
              <w:left w:val="single" w:sz="8" w:space="0" w:color="000000"/>
              <w:bottom w:val="single" w:sz="12" w:space="0" w:color="000000"/>
              <w:right w:val="nil" w:sz="6" w:space="0" w:color="auto"/>
            </w:tcBorders>
          </w:tcPr>
          <w:p>
            <w:pPr>
              <w:pStyle w:val="TableParagraph"/>
              <w:spacing w:line="229" w:lineRule="exact"/>
              <w:ind w:left="460" w:right="0"/>
              <w:jc w:val="left"/>
              <w:rPr>
                <w:rFonts w:ascii="宋体" w:hAnsi="宋体" w:cs="宋体" w:eastAsia="宋体" w:hint="default"/>
                <w:sz w:val="18"/>
                <w:szCs w:val="18"/>
              </w:rPr>
            </w:pPr>
            <w:r>
              <w:rPr>
                <w:rFonts w:ascii="宋体"/>
                <w:sz w:val="18"/>
              </w:rPr>
              <w:t>2,022,222.20</w:t>
            </w:r>
          </w:p>
        </w:tc>
      </w:tr>
    </w:tbl>
    <w:p>
      <w:pPr>
        <w:pStyle w:val="Heading4"/>
        <w:spacing w:line="240" w:lineRule="auto"/>
        <w:ind w:right="606"/>
        <w:jc w:val="left"/>
        <w:rPr>
          <w:b w:val="0"/>
          <w:bCs w:val="0"/>
        </w:rPr>
      </w:pPr>
      <w:r>
        <w:rPr>
          <w:rFonts w:ascii="宋体" w:hAnsi="宋体" w:cs="宋体" w:eastAsia="宋体" w:hint="default"/>
        </w:rPr>
        <w:t>12</w:t>
      </w:r>
      <w:r>
        <w:rPr/>
        <w:t>、递延所得税资产</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575"/>
        <w:gridCol w:w="3562"/>
        <w:gridCol w:w="3562"/>
      </w:tblGrid>
      <w:tr>
        <w:trPr>
          <w:trHeight w:val="372" w:hRule="exact"/>
        </w:trPr>
        <w:tc>
          <w:tcPr>
            <w:tcW w:w="3575" w:type="dxa"/>
            <w:tcBorders>
              <w:top w:val="single" w:sz="12" w:space="0" w:color="000000"/>
              <w:left w:val="nil" w:sz="6" w:space="0" w:color="auto"/>
              <w:bottom w:val="single" w:sz="6" w:space="0" w:color="000000"/>
              <w:right w:val="single" w:sz="6" w:space="0" w:color="000000"/>
            </w:tcBorders>
          </w:tcPr>
          <w:p>
            <w:pPr>
              <w:pStyle w:val="TableParagraph"/>
              <w:tabs>
                <w:tab w:pos="453" w:val="left" w:leader="none"/>
              </w:tabs>
              <w:spacing w:line="203" w:lineRule="exact"/>
              <w:ind w:right="145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562"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2" w:type="dxa"/>
            <w:tcBorders>
              <w:top w:val="single" w:sz="12" w:space="0" w:color="000000"/>
              <w:left w:val="single" w:sz="6" w:space="0" w:color="000000"/>
              <w:bottom w:val="single" w:sz="6" w:space="0" w:color="000000"/>
              <w:right w:val="nil" w:sz="6" w:space="0" w:color="auto"/>
            </w:tcBorders>
          </w:tcPr>
          <w:p>
            <w:pPr>
              <w:pStyle w:val="TableParagraph"/>
              <w:spacing w:line="203" w:lineRule="exact"/>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5"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1,779,473.46</w:t>
            </w:r>
          </w:p>
        </w:tc>
        <w:tc>
          <w:tcPr>
            <w:tcW w:w="3562"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1,663,514.06</w:t>
            </w:r>
          </w:p>
        </w:tc>
      </w:tr>
      <w:tr>
        <w:trPr>
          <w:trHeight w:val="374" w:hRule="exact"/>
        </w:trPr>
        <w:tc>
          <w:tcPr>
            <w:tcW w:w="3575" w:type="dxa"/>
            <w:tcBorders>
              <w:top w:val="single" w:sz="6" w:space="0" w:color="000000"/>
              <w:left w:val="nil" w:sz="6" w:space="0" w:color="auto"/>
              <w:bottom w:val="single" w:sz="12" w:space="0" w:color="000000"/>
              <w:right w:val="single" w:sz="6" w:space="0" w:color="000000"/>
            </w:tcBorders>
          </w:tcPr>
          <w:p>
            <w:pPr>
              <w:pStyle w:val="TableParagraph"/>
              <w:tabs>
                <w:tab w:pos="453" w:val="left" w:leader="none"/>
              </w:tabs>
              <w:spacing w:line="205" w:lineRule="exact"/>
              <w:ind w:right="145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562"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1,779,473.46</w:t>
            </w:r>
          </w:p>
        </w:tc>
        <w:tc>
          <w:tcPr>
            <w:tcW w:w="3562" w:type="dxa"/>
            <w:tcBorders>
              <w:top w:val="single" w:sz="6" w:space="0" w:color="000000"/>
              <w:left w:val="single" w:sz="6" w:space="0" w:color="000000"/>
              <w:bottom w:val="single" w:sz="12"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1,663,514.06</w:t>
            </w:r>
          </w:p>
        </w:tc>
      </w:tr>
    </w:tbl>
    <w:p>
      <w:pPr>
        <w:pStyle w:val="Heading4"/>
        <w:spacing w:line="240" w:lineRule="auto"/>
        <w:ind w:right="606"/>
        <w:jc w:val="left"/>
        <w:rPr>
          <w:b w:val="0"/>
          <w:bCs w:val="0"/>
        </w:rPr>
      </w:pPr>
      <w:r>
        <w:rPr>
          <w:rFonts w:ascii="宋体" w:hAnsi="宋体" w:cs="宋体" w:eastAsia="宋体" w:hint="default"/>
        </w:rPr>
        <w:t>13</w:t>
      </w:r>
      <w:r>
        <w:rPr/>
        <w:t>、短期借款</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2768"/>
        <w:gridCol w:w="1688"/>
        <w:gridCol w:w="1652"/>
        <w:gridCol w:w="2331"/>
        <w:gridCol w:w="1130"/>
        <w:gridCol w:w="1130"/>
      </w:tblGrid>
      <w:tr>
        <w:trPr>
          <w:trHeight w:val="382" w:hRule="exact"/>
        </w:trPr>
        <w:tc>
          <w:tcPr>
            <w:tcW w:w="2768" w:type="dxa"/>
            <w:tcBorders>
              <w:top w:val="single" w:sz="12" w:space="0" w:color="000000"/>
              <w:left w:val="nil" w:sz="6" w:space="0" w:color="auto"/>
              <w:bottom w:val="single" w:sz="12" w:space="0" w:color="000000"/>
              <w:right w:val="single" w:sz="8" w:space="0" w:color="000000"/>
            </w:tcBorders>
          </w:tcPr>
          <w:p>
            <w:pPr>
              <w:pStyle w:val="TableParagraph"/>
              <w:spacing w:line="205" w:lineRule="exact"/>
              <w:ind w:left="22"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688" w:type="dxa"/>
            <w:tcBorders>
              <w:top w:val="single" w:sz="12" w:space="0" w:color="000000"/>
              <w:left w:val="single" w:sz="8" w:space="0" w:color="000000"/>
              <w:bottom w:val="single" w:sz="12"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652" w:type="dxa"/>
            <w:tcBorders>
              <w:top w:val="single" w:sz="12" w:space="0" w:color="000000"/>
              <w:left w:val="single" w:sz="8" w:space="0" w:color="000000"/>
              <w:bottom w:val="single" w:sz="12"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331" w:type="dxa"/>
            <w:tcBorders>
              <w:top w:val="single" w:sz="12" w:space="0" w:color="000000"/>
              <w:left w:val="single" w:sz="8" w:space="0" w:color="000000"/>
              <w:bottom w:val="single" w:sz="12" w:space="0" w:color="000000"/>
              <w:right w:val="single" w:sz="8"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借款期限</w:t>
            </w:r>
          </w:p>
        </w:tc>
        <w:tc>
          <w:tcPr>
            <w:tcW w:w="1130" w:type="dxa"/>
            <w:tcBorders>
              <w:top w:val="single" w:sz="12" w:space="0" w:color="000000"/>
              <w:left w:val="single" w:sz="8" w:space="0" w:color="000000"/>
              <w:bottom w:val="single" w:sz="12" w:space="0" w:color="000000"/>
              <w:right w:val="single" w:sz="8"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借款条件</w:t>
            </w:r>
          </w:p>
        </w:tc>
        <w:tc>
          <w:tcPr>
            <w:tcW w:w="1130" w:type="dxa"/>
            <w:tcBorders>
              <w:top w:val="single" w:sz="12" w:space="0" w:color="000000"/>
              <w:left w:val="single" w:sz="8" w:space="0" w:color="000000"/>
              <w:bottom w:val="single" w:sz="12" w:space="0" w:color="000000"/>
              <w:right w:val="nil" w:sz="6" w:space="0" w:color="auto"/>
            </w:tcBorders>
          </w:tcPr>
          <w:p>
            <w:pPr>
              <w:pStyle w:val="TableParagraph"/>
              <w:spacing w:line="205" w:lineRule="exact"/>
              <w:ind w:left="285" w:right="0"/>
              <w:jc w:val="left"/>
              <w:rPr>
                <w:rFonts w:ascii="宋体" w:hAnsi="宋体" w:cs="宋体" w:eastAsia="宋体" w:hint="default"/>
                <w:sz w:val="18"/>
                <w:szCs w:val="18"/>
              </w:rPr>
            </w:pPr>
            <w:r>
              <w:rPr>
                <w:rFonts w:ascii="宋体" w:hAnsi="宋体" w:cs="宋体" w:eastAsia="宋体" w:hint="default"/>
                <w:sz w:val="18"/>
                <w:szCs w:val="18"/>
              </w:rPr>
              <w:t>年利率</w:t>
            </w:r>
          </w:p>
        </w:tc>
      </w:tr>
    </w:tbl>
    <w:p>
      <w:pPr>
        <w:spacing w:after="0" w:line="205" w:lineRule="exact"/>
        <w:jc w:val="left"/>
        <w:rPr>
          <w:rFonts w:ascii="宋体" w:hAnsi="宋体" w:cs="宋体" w:eastAsia="宋体" w:hint="default"/>
          <w:sz w:val="18"/>
          <w:szCs w:val="18"/>
        </w:rPr>
        <w:sectPr>
          <w:footerReference w:type="default" r:id="rId33"/>
          <w:pgSz w:w="11910" w:h="16840"/>
          <w:pgMar w:footer="956" w:header="720" w:top="1300" w:bottom="1140" w:left="480" w:right="0"/>
          <w:pgNumType w:start="85"/>
        </w:sectPr>
      </w:pPr>
    </w:p>
    <w:p>
      <w:pPr>
        <w:spacing w:line="240" w:lineRule="auto" w:before="7"/>
        <w:rPr>
          <w:rFonts w:ascii="宋体" w:hAnsi="宋体" w:cs="宋体" w:eastAsia="宋体"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2768"/>
        <w:gridCol w:w="1688"/>
        <w:gridCol w:w="1652"/>
        <w:gridCol w:w="2331"/>
        <w:gridCol w:w="1130"/>
        <w:gridCol w:w="1130"/>
      </w:tblGrid>
      <w:tr>
        <w:trPr>
          <w:trHeight w:val="382" w:hRule="exact"/>
        </w:trPr>
        <w:tc>
          <w:tcPr>
            <w:tcW w:w="2768" w:type="dxa"/>
            <w:tcBorders>
              <w:top w:val="single" w:sz="12" w:space="0" w:color="000000"/>
              <w:left w:val="nil" w:sz="6" w:space="0" w:color="auto"/>
              <w:bottom w:val="single" w:sz="8" w:space="0" w:color="000000"/>
              <w:right w:val="single" w:sz="8" w:space="0" w:color="000000"/>
            </w:tcBorders>
          </w:tcPr>
          <w:p>
            <w:pPr>
              <w:pStyle w:val="TableParagraph"/>
              <w:spacing w:line="210" w:lineRule="exact"/>
              <w:ind w:left="21" w:right="0"/>
              <w:jc w:val="center"/>
              <w:rPr>
                <w:rFonts w:ascii="宋体" w:hAnsi="宋体" w:cs="宋体" w:eastAsia="宋体" w:hint="default"/>
                <w:sz w:val="18"/>
                <w:szCs w:val="18"/>
              </w:rPr>
            </w:pPr>
            <w:r>
              <w:rPr>
                <w:rFonts w:ascii="宋体" w:hAnsi="宋体" w:cs="宋体" w:eastAsia="宋体" w:hint="default"/>
                <w:sz w:val="18"/>
                <w:szCs w:val="18"/>
              </w:rPr>
              <w:t>中国建设银行通化分行</w:t>
            </w:r>
          </w:p>
        </w:tc>
        <w:tc>
          <w:tcPr>
            <w:tcW w:w="1688" w:type="dxa"/>
            <w:tcBorders>
              <w:top w:val="single" w:sz="12" w:space="0" w:color="000000"/>
              <w:left w:val="single" w:sz="8" w:space="0" w:color="000000"/>
              <w:bottom w:val="single" w:sz="8" w:space="0" w:color="000000"/>
              <w:right w:val="single" w:sz="8" w:space="0" w:color="000000"/>
            </w:tcBorders>
          </w:tcPr>
          <w:p>
            <w:pPr>
              <w:pStyle w:val="TableParagraph"/>
              <w:spacing w:line="210" w:lineRule="exact"/>
              <w:ind w:right="98"/>
              <w:jc w:val="right"/>
              <w:rPr>
                <w:rFonts w:ascii="宋体" w:hAnsi="宋体" w:cs="宋体" w:eastAsia="宋体" w:hint="default"/>
                <w:sz w:val="18"/>
                <w:szCs w:val="18"/>
              </w:rPr>
            </w:pPr>
            <w:r>
              <w:rPr>
                <w:rFonts w:ascii="宋体"/>
                <w:spacing w:val="-1"/>
                <w:sz w:val="18"/>
              </w:rPr>
              <w:t>620,000,000.00</w:t>
            </w:r>
          </w:p>
        </w:tc>
        <w:tc>
          <w:tcPr>
            <w:tcW w:w="1652" w:type="dxa"/>
            <w:tcBorders>
              <w:top w:val="single" w:sz="12" w:space="0" w:color="000000"/>
              <w:left w:val="single" w:sz="8" w:space="0" w:color="000000"/>
              <w:bottom w:val="single" w:sz="8" w:space="0" w:color="000000"/>
              <w:right w:val="single" w:sz="8" w:space="0" w:color="000000"/>
            </w:tcBorders>
          </w:tcPr>
          <w:p>
            <w:pPr/>
          </w:p>
        </w:tc>
        <w:tc>
          <w:tcPr>
            <w:tcW w:w="2331" w:type="dxa"/>
            <w:tcBorders>
              <w:top w:val="single" w:sz="12" w:space="0" w:color="000000"/>
              <w:left w:val="single" w:sz="8" w:space="0" w:color="000000"/>
              <w:bottom w:val="single" w:sz="8" w:space="0" w:color="000000"/>
              <w:right w:val="single" w:sz="8" w:space="0" w:color="000000"/>
            </w:tcBorders>
          </w:tcPr>
          <w:p>
            <w:pPr>
              <w:pStyle w:val="TableParagraph"/>
              <w:spacing w:line="210" w:lineRule="exact"/>
              <w:ind w:right="0"/>
              <w:jc w:val="center"/>
              <w:rPr>
                <w:rFonts w:ascii="宋体" w:hAnsi="宋体" w:cs="宋体" w:eastAsia="宋体" w:hint="default"/>
                <w:sz w:val="18"/>
                <w:szCs w:val="18"/>
              </w:rPr>
            </w:pPr>
            <w:r>
              <w:rPr>
                <w:rFonts w:ascii="宋体"/>
                <w:sz w:val="18"/>
              </w:rPr>
              <w:t>2010.08.02-2011.08.01</w:t>
            </w:r>
          </w:p>
        </w:tc>
        <w:tc>
          <w:tcPr>
            <w:tcW w:w="1130" w:type="dxa"/>
            <w:tcBorders>
              <w:top w:val="single" w:sz="12" w:space="0" w:color="000000"/>
              <w:left w:val="single" w:sz="8" w:space="0" w:color="000000"/>
              <w:bottom w:val="single" w:sz="8" w:space="0" w:color="000000"/>
              <w:right w:val="single" w:sz="8"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130" w:type="dxa"/>
            <w:tcBorders>
              <w:top w:val="single" w:sz="12" w:space="0" w:color="000000"/>
              <w:left w:val="single" w:sz="8" w:space="0" w:color="000000"/>
              <w:bottom w:val="single" w:sz="8" w:space="0" w:color="000000"/>
              <w:right w:val="nil" w:sz="6" w:space="0" w:color="auto"/>
            </w:tcBorders>
          </w:tcPr>
          <w:p>
            <w:pPr>
              <w:pStyle w:val="TableParagraph"/>
              <w:spacing w:line="210" w:lineRule="exact"/>
              <w:ind w:right="105"/>
              <w:jc w:val="right"/>
              <w:rPr>
                <w:rFonts w:ascii="宋体" w:hAnsi="宋体" w:cs="宋体" w:eastAsia="宋体" w:hint="default"/>
                <w:sz w:val="18"/>
                <w:szCs w:val="18"/>
              </w:rPr>
            </w:pPr>
            <w:r>
              <w:rPr>
                <w:rFonts w:ascii="宋体"/>
                <w:sz w:val="18"/>
              </w:rPr>
              <w:t>5.31%</w:t>
            </w:r>
          </w:p>
        </w:tc>
      </w:tr>
      <w:tr>
        <w:trPr>
          <w:trHeight w:val="372"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6" w:lineRule="exact"/>
              <w:ind w:left="23" w:right="0"/>
              <w:jc w:val="center"/>
              <w:rPr>
                <w:rFonts w:ascii="宋体" w:hAnsi="宋体" w:cs="宋体" w:eastAsia="宋体" w:hint="default"/>
                <w:sz w:val="18"/>
                <w:szCs w:val="18"/>
              </w:rPr>
            </w:pPr>
            <w:r>
              <w:rPr>
                <w:rFonts w:ascii="宋体" w:hAnsi="宋体" w:cs="宋体" w:eastAsia="宋体" w:hint="default"/>
                <w:sz w:val="18"/>
                <w:szCs w:val="18"/>
              </w:rPr>
              <w:t>中国农业银行柳河县支行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spacing w:val="-1"/>
                <w:sz w:val="18"/>
              </w:rPr>
              <w:t>62,000,000.00</w:t>
            </w:r>
          </w:p>
        </w:tc>
        <w:tc>
          <w:tcPr>
            <w:tcW w:w="1652" w:type="dxa"/>
            <w:tcBorders>
              <w:top w:val="single" w:sz="8" w:space="0" w:color="000000"/>
              <w:left w:val="single" w:sz="8" w:space="0" w:color="000000"/>
              <w:bottom w:val="single" w:sz="8" w:space="0" w:color="000000"/>
              <w:right w:val="single" w:sz="8" w:space="0" w:color="000000"/>
            </w:tcBorders>
          </w:tcPr>
          <w:p>
            <w:pP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sz w:val="18"/>
              </w:rPr>
              <w:t>2010.08.19-2011.08.18</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6" w:lineRule="exact"/>
              <w:ind w:right="105"/>
              <w:jc w:val="right"/>
              <w:rPr>
                <w:rFonts w:ascii="宋体" w:hAnsi="宋体" w:cs="宋体" w:eastAsia="宋体" w:hint="default"/>
                <w:sz w:val="18"/>
                <w:szCs w:val="18"/>
              </w:rPr>
            </w:pPr>
            <w:r>
              <w:rPr>
                <w:rFonts w:ascii="宋体"/>
                <w:sz w:val="18"/>
              </w:rPr>
              <w:t>5.31%</w:t>
            </w:r>
          </w:p>
        </w:tc>
      </w:tr>
      <w:tr>
        <w:trPr>
          <w:trHeight w:val="370"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21" w:right="0"/>
              <w:jc w:val="center"/>
              <w:rPr>
                <w:rFonts w:ascii="宋体" w:hAnsi="宋体" w:cs="宋体" w:eastAsia="宋体" w:hint="default"/>
                <w:sz w:val="18"/>
                <w:szCs w:val="18"/>
              </w:rPr>
            </w:pPr>
            <w:r>
              <w:rPr>
                <w:rFonts w:ascii="宋体" w:hAnsi="宋体" w:cs="宋体" w:eastAsia="宋体" w:hint="default"/>
                <w:sz w:val="18"/>
                <w:szCs w:val="18"/>
              </w:rPr>
              <w:t>中国建设银行通化分行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5"/>
              <w:jc w:val="right"/>
              <w:rPr>
                <w:rFonts w:ascii="宋体" w:hAnsi="宋体" w:cs="宋体" w:eastAsia="宋体" w:hint="default"/>
                <w:sz w:val="18"/>
                <w:szCs w:val="18"/>
              </w:rPr>
            </w:pPr>
            <w:r>
              <w:rPr>
                <w:rFonts w:ascii="宋体"/>
                <w:spacing w:val="-1"/>
                <w:sz w:val="18"/>
              </w:rPr>
              <w:t>50,000,000.00</w:t>
            </w:r>
          </w:p>
        </w:tc>
        <w:tc>
          <w:tcPr>
            <w:tcW w:w="1652" w:type="dxa"/>
            <w:tcBorders>
              <w:top w:val="single" w:sz="8" w:space="0" w:color="000000"/>
              <w:left w:val="single" w:sz="8" w:space="0" w:color="000000"/>
              <w:bottom w:val="single" w:sz="8" w:space="0" w:color="000000"/>
              <w:right w:val="single" w:sz="8" w:space="0" w:color="000000"/>
            </w:tcBorders>
          </w:tcPr>
          <w:p>
            <w:pP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2010.05.04-2011.05.04</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5.31%</w:t>
            </w:r>
          </w:p>
        </w:tc>
      </w:tr>
      <w:tr>
        <w:trPr>
          <w:trHeight w:val="372"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hAnsi="宋体" w:cs="宋体" w:eastAsia="宋体" w:hint="default"/>
                <w:sz w:val="18"/>
                <w:szCs w:val="18"/>
              </w:rPr>
              <w:t>光大银行长春临河街支行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20,000,000.00</w:t>
            </w:r>
          </w:p>
        </w:tc>
        <w:tc>
          <w:tcPr>
            <w:tcW w:w="1652" w:type="dxa"/>
            <w:tcBorders>
              <w:top w:val="single" w:sz="8" w:space="0" w:color="000000"/>
              <w:left w:val="single" w:sz="8" w:space="0" w:color="000000"/>
              <w:bottom w:val="single" w:sz="8" w:space="0" w:color="000000"/>
              <w:right w:val="single" w:sz="8" w:space="0" w:color="000000"/>
            </w:tcBorders>
          </w:tcPr>
          <w:p>
            <w:pP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2010.07.05-2011.07.04</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5.31%</w:t>
            </w:r>
          </w:p>
        </w:tc>
      </w:tr>
      <w:tr>
        <w:trPr>
          <w:trHeight w:val="370"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21" w:right="0"/>
              <w:jc w:val="center"/>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20,000,000.00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20,000,000.00</w:t>
            </w: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2010.10.21-2011.10.21</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5.838%</w:t>
            </w:r>
          </w:p>
        </w:tc>
      </w:tr>
      <w:tr>
        <w:trPr>
          <w:trHeight w:val="372"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20,000,000.00</w:t>
            </w:r>
          </w:p>
        </w:tc>
        <w:tc>
          <w:tcPr>
            <w:tcW w:w="1652" w:type="dxa"/>
            <w:tcBorders>
              <w:top w:val="single" w:sz="8" w:space="0" w:color="000000"/>
              <w:left w:val="single" w:sz="8" w:space="0" w:color="000000"/>
              <w:bottom w:val="single" w:sz="8" w:space="0" w:color="000000"/>
              <w:right w:val="single" w:sz="8" w:space="0" w:color="000000"/>
            </w:tcBorders>
          </w:tcPr>
          <w:p>
            <w:pP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2010.06.23-2011.06.22</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5.31%</w:t>
            </w:r>
          </w:p>
        </w:tc>
      </w:tr>
      <w:tr>
        <w:trPr>
          <w:trHeight w:val="370"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23" w:right="0"/>
              <w:jc w:val="center"/>
              <w:rPr>
                <w:rFonts w:ascii="宋体" w:hAnsi="宋体" w:cs="宋体" w:eastAsia="宋体" w:hint="default"/>
                <w:sz w:val="18"/>
                <w:szCs w:val="18"/>
              </w:rPr>
            </w:pPr>
            <w:r>
              <w:rPr>
                <w:rFonts w:ascii="宋体" w:hAnsi="宋体" w:cs="宋体" w:eastAsia="宋体" w:hint="default"/>
                <w:sz w:val="18"/>
                <w:szCs w:val="18"/>
              </w:rPr>
              <w:t>中国农业银行柳河县支行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20,000,000.00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21,700,000.00</w:t>
            </w: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2010.05.27-2011.05.26</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5.31%</w:t>
            </w:r>
          </w:p>
        </w:tc>
      </w:tr>
      <w:tr>
        <w:trPr>
          <w:trHeight w:val="370"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23" w:right="0"/>
              <w:jc w:val="center"/>
              <w:rPr>
                <w:rFonts w:ascii="宋体" w:hAnsi="宋体" w:cs="宋体" w:eastAsia="宋体" w:hint="default"/>
                <w:sz w:val="18"/>
                <w:szCs w:val="18"/>
              </w:rPr>
            </w:pPr>
            <w:r>
              <w:rPr>
                <w:rFonts w:ascii="宋体" w:hAnsi="宋体" w:cs="宋体" w:eastAsia="宋体" w:hint="default"/>
                <w:sz w:val="18"/>
                <w:szCs w:val="18"/>
              </w:rPr>
              <w:t>中国农业银行柳河县支行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20,000,000.00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20,000,000.00</w:t>
            </w: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2010.06.23-2011.06.22</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5.31%</w:t>
            </w:r>
          </w:p>
        </w:tc>
      </w:tr>
      <w:tr>
        <w:trPr>
          <w:trHeight w:val="372"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hAnsi="宋体" w:cs="宋体" w:eastAsia="宋体" w:hint="default"/>
                <w:sz w:val="18"/>
                <w:szCs w:val="18"/>
              </w:rPr>
              <w:t>中国农业银行柳河县支行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20,000,000.00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20,000,000.00</w:t>
            </w: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2010.07.08-2011.07.07</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5.31%</w:t>
            </w:r>
          </w:p>
        </w:tc>
      </w:tr>
      <w:tr>
        <w:trPr>
          <w:trHeight w:val="370"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23" w:right="0"/>
              <w:jc w:val="center"/>
              <w:rPr>
                <w:rFonts w:ascii="宋体" w:hAnsi="宋体" w:cs="宋体" w:eastAsia="宋体" w:hint="default"/>
                <w:sz w:val="18"/>
                <w:szCs w:val="18"/>
              </w:rPr>
            </w:pPr>
            <w:r>
              <w:rPr>
                <w:rFonts w:ascii="宋体" w:hAnsi="宋体" w:cs="宋体" w:eastAsia="宋体" w:hint="default"/>
                <w:sz w:val="18"/>
                <w:szCs w:val="18"/>
              </w:rPr>
              <w:t>中国农业敦化市支行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15,000,000.00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15,000,000.00</w:t>
            </w: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2010.12.30-2011.07.04</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5.85%</w:t>
            </w:r>
          </w:p>
        </w:tc>
      </w:tr>
      <w:tr>
        <w:trPr>
          <w:trHeight w:val="373"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hAnsi="宋体" w:cs="宋体" w:eastAsia="宋体" w:hint="default"/>
                <w:sz w:val="18"/>
                <w:szCs w:val="18"/>
              </w:rPr>
              <w:t>中国农业银行敦化市支行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10,000,000.00</w:t>
            </w:r>
          </w:p>
        </w:tc>
        <w:tc>
          <w:tcPr>
            <w:tcW w:w="1652" w:type="dxa"/>
            <w:tcBorders>
              <w:top w:val="single" w:sz="8" w:space="0" w:color="000000"/>
              <w:left w:val="single" w:sz="8" w:space="0" w:color="000000"/>
              <w:bottom w:val="single" w:sz="8" w:space="0" w:color="000000"/>
              <w:right w:val="single" w:sz="8" w:space="0" w:color="000000"/>
            </w:tcBorders>
          </w:tcPr>
          <w:p>
            <w:pP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2010.12.13-2011.12.12</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5.56%</w:t>
            </w:r>
          </w:p>
        </w:tc>
      </w:tr>
      <w:tr>
        <w:trPr>
          <w:trHeight w:val="370"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23" w:right="0"/>
              <w:jc w:val="center"/>
              <w:rPr>
                <w:rFonts w:ascii="宋体" w:hAnsi="宋体" w:cs="宋体" w:eastAsia="宋体" w:hint="default"/>
                <w:sz w:val="18"/>
                <w:szCs w:val="18"/>
              </w:rPr>
            </w:pPr>
            <w:r>
              <w:rPr>
                <w:rFonts w:ascii="宋体" w:hAnsi="宋体" w:cs="宋体" w:eastAsia="宋体" w:hint="default"/>
                <w:sz w:val="18"/>
                <w:szCs w:val="18"/>
              </w:rPr>
              <w:t>中国农业银行柳河县支行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10,000,000.00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20,000,000.00</w:t>
            </w: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2010.07.20-2011.07.19</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5.31%</w:t>
            </w:r>
          </w:p>
        </w:tc>
      </w:tr>
      <w:tr>
        <w:trPr>
          <w:trHeight w:val="372"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hAnsi="宋体" w:cs="宋体" w:eastAsia="宋体" w:hint="default"/>
                <w:sz w:val="18"/>
                <w:szCs w:val="18"/>
              </w:rPr>
              <w:t>中国农业银行柳河县支行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8,000,000.00</w:t>
            </w: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30,000,000.00</w:t>
            </w: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2010.03.05-2011.03.04</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4.779%</w:t>
            </w:r>
          </w:p>
        </w:tc>
      </w:tr>
      <w:tr>
        <w:trPr>
          <w:trHeight w:val="370"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21" w:right="0"/>
              <w:jc w:val="center"/>
              <w:rPr>
                <w:rFonts w:ascii="宋体" w:hAnsi="宋体" w:cs="宋体" w:eastAsia="宋体" w:hint="default"/>
                <w:sz w:val="18"/>
                <w:szCs w:val="18"/>
              </w:rPr>
            </w:pPr>
            <w:r>
              <w:rPr>
                <w:rFonts w:ascii="宋体" w:hAnsi="宋体" w:cs="宋体" w:eastAsia="宋体" w:hint="default"/>
                <w:sz w:val="18"/>
                <w:szCs w:val="18"/>
              </w:rPr>
              <w:t>中国工商银行通化分行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7,000,000.00</w:t>
            </w:r>
          </w:p>
        </w:tc>
        <w:tc>
          <w:tcPr>
            <w:tcW w:w="1652" w:type="dxa"/>
            <w:tcBorders>
              <w:top w:val="single" w:sz="8" w:space="0" w:color="000000"/>
              <w:left w:val="single" w:sz="8" w:space="0" w:color="000000"/>
              <w:bottom w:val="single" w:sz="8" w:space="0" w:color="000000"/>
              <w:right w:val="single" w:sz="8" w:space="0" w:color="000000"/>
            </w:tcBorders>
          </w:tcPr>
          <w:p>
            <w:pP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2010.01.29-2011.01.27</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5.31%</w:t>
            </w:r>
          </w:p>
        </w:tc>
      </w:tr>
      <w:tr>
        <w:trPr>
          <w:trHeight w:val="370"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hAnsi="宋体" w:cs="宋体" w:eastAsia="宋体" w:hint="default"/>
                <w:sz w:val="18"/>
                <w:szCs w:val="18"/>
              </w:rPr>
              <w:t>中国农业银行敦化市支行</w:t>
            </w:r>
          </w:p>
        </w:tc>
        <w:tc>
          <w:tcPr>
            <w:tcW w:w="168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5,000,000.00</w:t>
            </w:r>
          </w:p>
        </w:tc>
        <w:tc>
          <w:tcPr>
            <w:tcW w:w="1652" w:type="dxa"/>
            <w:tcBorders>
              <w:top w:val="single" w:sz="8" w:space="0" w:color="000000"/>
              <w:left w:val="single" w:sz="8" w:space="0" w:color="000000"/>
              <w:bottom w:val="single" w:sz="8" w:space="0" w:color="000000"/>
              <w:right w:val="single" w:sz="8" w:space="0" w:color="000000"/>
            </w:tcBorders>
          </w:tcPr>
          <w:p>
            <w:pP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2010.12.15-2011.11.15</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5.56%</w:t>
            </w:r>
          </w:p>
        </w:tc>
      </w:tr>
      <w:tr>
        <w:trPr>
          <w:trHeight w:val="372"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hAnsi="宋体" w:cs="宋体" w:eastAsia="宋体" w:hint="default"/>
                <w:sz w:val="18"/>
                <w:szCs w:val="18"/>
              </w:rPr>
              <w:t>中国农业银行柳河县支行</w:t>
            </w:r>
          </w:p>
        </w:tc>
        <w:tc>
          <w:tcPr>
            <w:tcW w:w="1688"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10,300,000.00</w:t>
            </w: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2009.10.23-2010.10.22</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7.47%</w:t>
            </w:r>
          </w:p>
        </w:tc>
      </w:tr>
      <w:tr>
        <w:trPr>
          <w:trHeight w:val="370"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23" w:right="0"/>
              <w:jc w:val="center"/>
              <w:rPr>
                <w:rFonts w:ascii="宋体" w:hAnsi="宋体" w:cs="宋体" w:eastAsia="宋体" w:hint="default"/>
                <w:sz w:val="18"/>
                <w:szCs w:val="18"/>
              </w:rPr>
            </w:pPr>
            <w:r>
              <w:rPr>
                <w:rFonts w:ascii="宋体" w:hAnsi="宋体" w:cs="宋体" w:eastAsia="宋体" w:hint="default"/>
                <w:sz w:val="18"/>
                <w:szCs w:val="18"/>
              </w:rPr>
              <w:t>中国农业银行柳河县支行</w:t>
            </w:r>
          </w:p>
        </w:tc>
        <w:tc>
          <w:tcPr>
            <w:tcW w:w="1688"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10,000,000.00</w:t>
            </w: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sz w:val="18"/>
              </w:rPr>
              <w:t>2009.07.15-2010.07.14</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信用</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7.47%</w:t>
            </w:r>
          </w:p>
        </w:tc>
      </w:tr>
      <w:tr>
        <w:trPr>
          <w:trHeight w:val="372"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23" w:right="0"/>
              <w:jc w:val="center"/>
              <w:rPr>
                <w:rFonts w:ascii="宋体" w:hAnsi="宋体" w:cs="宋体" w:eastAsia="宋体" w:hint="default"/>
                <w:sz w:val="18"/>
                <w:szCs w:val="18"/>
              </w:rPr>
            </w:pPr>
            <w:r>
              <w:rPr>
                <w:rFonts w:ascii="宋体" w:hAnsi="宋体" w:cs="宋体" w:eastAsia="宋体" w:hint="default"/>
                <w:sz w:val="18"/>
                <w:szCs w:val="18"/>
              </w:rPr>
              <w:t>中国建设银行通化柳河分理处</w:t>
            </w:r>
          </w:p>
        </w:tc>
        <w:tc>
          <w:tcPr>
            <w:tcW w:w="1688" w:type="dxa"/>
            <w:tcBorders>
              <w:top w:val="single" w:sz="8" w:space="0" w:color="000000"/>
              <w:left w:val="single" w:sz="8" w:space="0" w:color="000000"/>
              <w:bottom w:val="single" w:sz="8" w:space="0" w:color="000000"/>
              <w:right w:val="single" w:sz="8" w:space="0" w:color="000000"/>
            </w:tcBorders>
          </w:tcPr>
          <w:p>
            <w:pPr/>
          </w:p>
        </w:tc>
        <w:tc>
          <w:tcPr>
            <w:tcW w:w="165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8,000,000.00</w:t>
            </w:r>
          </w:p>
        </w:tc>
        <w:tc>
          <w:tcPr>
            <w:tcW w:w="233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2009.03.24-2010.03.23</w:t>
            </w:r>
          </w:p>
        </w:tc>
        <w:tc>
          <w:tcPr>
            <w:tcW w:w="113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抵押</w:t>
            </w:r>
          </w:p>
        </w:tc>
        <w:tc>
          <w:tcPr>
            <w:tcW w:w="1130"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7.47%</w:t>
            </w:r>
          </w:p>
        </w:tc>
      </w:tr>
      <w:tr>
        <w:trPr>
          <w:trHeight w:val="377" w:hRule="exact"/>
        </w:trPr>
        <w:tc>
          <w:tcPr>
            <w:tcW w:w="2768" w:type="dxa"/>
            <w:tcBorders>
              <w:top w:val="single" w:sz="8" w:space="0" w:color="000000"/>
              <w:left w:val="nil" w:sz="6" w:space="0" w:color="auto"/>
              <w:bottom w:val="single" w:sz="12" w:space="0" w:color="000000"/>
              <w:right w:val="single" w:sz="8" w:space="0" w:color="000000"/>
            </w:tcBorders>
          </w:tcPr>
          <w:p>
            <w:pPr>
              <w:pStyle w:val="TableParagraph"/>
              <w:tabs>
                <w:tab w:pos="480" w:val="left" w:leader="none"/>
              </w:tabs>
              <w:spacing w:line="203" w:lineRule="exact"/>
              <w:ind w:left="2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88" w:type="dxa"/>
            <w:tcBorders>
              <w:top w:val="single" w:sz="8" w:space="0" w:color="000000"/>
              <w:left w:val="single" w:sz="8" w:space="0" w:color="000000"/>
              <w:bottom w:val="single" w:sz="12" w:space="0" w:color="000000"/>
              <w:right w:val="single" w:sz="8" w:space="0" w:color="000000"/>
            </w:tcBorders>
          </w:tcPr>
          <w:p>
            <w:pPr>
              <w:pStyle w:val="TableParagraph"/>
              <w:spacing w:line="203" w:lineRule="exact"/>
              <w:ind w:right="95"/>
              <w:jc w:val="right"/>
              <w:rPr>
                <w:rFonts w:ascii="宋体" w:hAnsi="宋体" w:cs="宋体" w:eastAsia="宋体" w:hint="default"/>
                <w:sz w:val="18"/>
                <w:szCs w:val="18"/>
              </w:rPr>
            </w:pPr>
            <w:r>
              <w:rPr>
                <w:rFonts w:ascii="宋体"/>
                <w:spacing w:val="-1"/>
                <w:sz w:val="18"/>
              </w:rPr>
              <w:t>907,000,000.00</w:t>
            </w:r>
          </w:p>
        </w:tc>
        <w:tc>
          <w:tcPr>
            <w:tcW w:w="1652" w:type="dxa"/>
            <w:tcBorders>
              <w:top w:val="single" w:sz="8" w:space="0" w:color="000000"/>
              <w:left w:val="single" w:sz="8" w:space="0" w:color="000000"/>
              <w:bottom w:val="single" w:sz="12"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175,000,000.00</w:t>
            </w:r>
          </w:p>
        </w:tc>
        <w:tc>
          <w:tcPr>
            <w:tcW w:w="2331" w:type="dxa"/>
            <w:tcBorders>
              <w:top w:val="single" w:sz="8" w:space="0" w:color="000000"/>
              <w:left w:val="single" w:sz="8" w:space="0" w:color="000000"/>
              <w:bottom w:val="single" w:sz="12" w:space="0" w:color="000000"/>
              <w:right w:val="single" w:sz="8" w:space="0" w:color="000000"/>
            </w:tcBorders>
          </w:tcPr>
          <w:p>
            <w:pPr/>
          </w:p>
        </w:tc>
        <w:tc>
          <w:tcPr>
            <w:tcW w:w="1130" w:type="dxa"/>
            <w:tcBorders>
              <w:top w:val="single" w:sz="8" w:space="0" w:color="000000"/>
              <w:left w:val="single" w:sz="8" w:space="0" w:color="000000"/>
              <w:bottom w:val="single" w:sz="12" w:space="0" w:color="000000"/>
              <w:right w:val="single" w:sz="8" w:space="0" w:color="000000"/>
            </w:tcBorders>
          </w:tcPr>
          <w:p>
            <w:pPr/>
          </w:p>
        </w:tc>
        <w:tc>
          <w:tcPr>
            <w:tcW w:w="1130" w:type="dxa"/>
            <w:tcBorders>
              <w:top w:val="single" w:sz="8" w:space="0" w:color="000000"/>
              <w:left w:val="single" w:sz="8" w:space="0" w:color="000000"/>
              <w:bottom w:val="single" w:sz="12" w:space="0" w:color="000000"/>
              <w:right w:val="nil" w:sz="6" w:space="0" w:color="auto"/>
            </w:tcBorders>
          </w:tcPr>
          <w:p>
            <w:pPr/>
          </w:p>
        </w:tc>
      </w:tr>
    </w:tbl>
    <w:p>
      <w:pPr>
        <w:pStyle w:val="BodyText"/>
        <w:spacing w:line="357" w:lineRule="auto" w:before="86"/>
        <w:ind w:left="240" w:right="606" w:firstLine="412"/>
        <w:jc w:val="left"/>
      </w:pPr>
      <w:r>
        <w:rPr/>
        <w:t>（</w:t>
      </w:r>
      <w:r>
        <w:rPr>
          <w:rFonts w:ascii="宋体" w:hAnsi="宋体" w:cs="宋体" w:eastAsia="宋体" w:hint="default"/>
        </w:rPr>
        <w:t>1</w:t>
      </w:r>
      <w:r>
        <w:rPr/>
        <w:t>）上述质押借款</w:t>
      </w:r>
      <w:r>
        <w:rPr>
          <w:spacing w:val="-59"/>
        </w:rPr>
        <w:t> </w:t>
      </w:r>
      <w:r>
        <w:rPr>
          <w:rFonts w:ascii="宋体" w:hAnsi="宋体" w:cs="宋体" w:eastAsia="宋体" w:hint="default"/>
        </w:rPr>
        <w:t>62,000</w:t>
      </w:r>
      <w:r>
        <w:rPr>
          <w:rFonts w:ascii="宋体" w:hAnsi="宋体" w:cs="宋体" w:eastAsia="宋体" w:hint="default"/>
          <w:spacing w:val="-59"/>
        </w:rPr>
        <w:t> </w:t>
      </w:r>
      <w:r>
        <w:rPr/>
        <w:t>万元，出质人分别为控股股东敦化市康平投资有限责任公司和第二大股东仲维光先</w:t>
      </w:r>
      <w:r>
        <w:rPr>
          <w:w w:val="100"/>
        </w:rPr>
        <w:t> </w:t>
      </w:r>
      <w:r>
        <w:rPr/>
        <w:t>生，被质押权利的名称分别为敦化市康平投资有限责任公司、仲维光先生持有本公司的股权</w:t>
      </w:r>
      <w:r>
        <w:rPr>
          <w:spacing w:val="-54"/>
        </w:rPr>
        <w:t> </w:t>
      </w:r>
      <w:r>
        <w:rPr>
          <w:rFonts w:ascii="宋体" w:hAnsi="宋体" w:cs="宋体" w:eastAsia="宋体" w:hint="default"/>
        </w:rPr>
        <w:t>5200</w:t>
      </w:r>
      <w:r>
        <w:rPr>
          <w:rFonts w:ascii="宋体" w:hAnsi="宋体" w:cs="宋体" w:eastAsia="宋体" w:hint="default"/>
          <w:spacing w:val="-55"/>
        </w:rPr>
        <w:t> </w:t>
      </w:r>
      <w:r>
        <w:rPr/>
        <w:t>万股、</w:t>
      </w:r>
      <w:r>
        <w:rPr>
          <w:rFonts w:ascii="宋体" w:hAnsi="宋体" w:cs="宋体" w:eastAsia="宋体" w:hint="default"/>
        </w:rPr>
        <w:t>500</w:t>
      </w:r>
      <w:r>
        <w:rPr>
          <w:rFonts w:ascii="宋体" w:hAnsi="宋体" w:cs="宋体" w:eastAsia="宋体" w:hint="default"/>
          <w:spacing w:val="-57"/>
        </w:rPr>
        <w:t> </w:t>
      </w:r>
      <w:r>
        <w:rPr>
          <w:spacing w:val="-3"/>
        </w:rPr>
        <w:t>万股。</w:t>
      </w:r>
      <w:r>
        <w:rPr/>
      </w:r>
    </w:p>
    <w:p>
      <w:pPr>
        <w:pStyle w:val="BodyText"/>
        <w:spacing w:line="240" w:lineRule="auto" w:before="30"/>
        <w:ind w:left="652" w:right="606"/>
        <w:jc w:val="left"/>
      </w:pPr>
      <w:r>
        <w:rPr/>
        <w:t>（</w:t>
      </w:r>
      <w:r>
        <w:rPr>
          <w:rFonts w:ascii="宋体" w:hAnsi="宋体" w:cs="宋体" w:eastAsia="宋体" w:hint="default"/>
        </w:rPr>
        <w:t>2</w:t>
      </w:r>
      <w:r>
        <w:rPr/>
        <w:t>）上述抵押借款 </w:t>
      </w:r>
      <w:r>
        <w:rPr>
          <w:rFonts w:ascii="宋体" w:hAnsi="宋体" w:cs="宋体" w:eastAsia="宋体" w:hint="default"/>
        </w:rPr>
        <w:t>1,500</w:t>
      </w:r>
      <w:r>
        <w:rPr>
          <w:rFonts w:ascii="宋体" w:hAnsi="宋体" w:cs="宋体" w:eastAsia="宋体" w:hint="default"/>
          <w:spacing w:val="-20"/>
        </w:rPr>
        <w:t> </w:t>
      </w:r>
      <w:r>
        <w:rPr/>
        <w:t>万元，抵押物为子公司吉林草还丹药业有限公司的房屋产权及土地使用权，抵押价</w:t>
      </w:r>
    </w:p>
    <w:p>
      <w:pPr>
        <w:pStyle w:val="BodyText"/>
        <w:spacing w:line="240" w:lineRule="auto" w:before="135"/>
        <w:ind w:left="240" w:right="606"/>
        <w:jc w:val="left"/>
      </w:pPr>
      <w:r>
        <w:rPr/>
        <w:t>值总额为</w:t>
      </w:r>
      <w:r>
        <w:rPr>
          <w:spacing w:val="-51"/>
        </w:rPr>
        <w:t> </w:t>
      </w:r>
      <w:r>
        <w:rPr>
          <w:rFonts w:ascii="宋体" w:hAnsi="宋体" w:cs="宋体" w:eastAsia="宋体" w:hint="default"/>
        </w:rPr>
        <w:t>3,003</w:t>
      </w:r>
      <w:r>
        <w:rPr>
          <w:rFonts w:ascii="宋体" w:hAnsi="宋体" w:cs="宋体" w:eastAsia="宋体" w:hint="default"/>
          <w:spacing w:val="-54"/>
        </w:rPr>
        <w:t> </w:t>
      </w:r>
      <w:r>
        <w:rPr/>
        <w:t>万元。</w:t>
      </w:r>
    </w:p>
    <w:p>
      <w:pPr>
        <w:pStyle w:val="BodyText"/>
        <w:spacing w:line="355" w:lineRule="auto" w:before="133"/>
        <w:ind w:left="652" w:right="2551"/>
        <w:jc w:val="left"/>
        <w:rPr>
          <w:rFonts w:ascii="宋体" w:hAnsi="宋体" w:cs="宋体" w:eastAsia="宋体" w:hint="default"/>
        </w:rPr>
      </w:pPr>
      <w:r>
        <w:rPr>
          <w:spacing w:val="-2"/>
        </w:rPr>
        <w:t>（</w:t>
      </w:r>
      <w:r>
        <w:rPr>
          <w:rFonts w:ascii="宋体" w:hAnsi="宋体" w:cs="宋体" w:eastAsia="宋体" w:hint="default"/>
          <w:spacing w:val="-2"/>
        </w:rPr>
        <w:t>3</w:t>
      </w:r>
      <w:r>
        <w:rPr>
          <w:spacing w:val="-2"/>
        </w:rPr>
        <w:t>）上述短期借款期末数中无已到期未进行偿还、已到期进行展期的短期借款。</w:t>
      </w:r>
      <w:r>
        <w:rPr>
          <w:spacing w:val="-39"/>
        </w:rPr>
        <w:t> </w:t>
      </w:r>
      <w:r>
        <w:rPr>
          <w:spacing w:val="-39"/>
        </w:rPr>
      </w:r>
      <w:r>
        <w:rPr>
          <w:rFonts w:ascii="宋体" w:hAnsi="宋体" w:cs="宋体" w:eastAsia="宋体" w:hint="default"/>
          <w:b/>
          <w:bCs/>
        </w:rPr>
        <w:t>14</w:t>
      </w:r>
      <w:r>
        <w:rPr>
          <w:rFonts w:ascii="宋体" w:hAnsi="宋体" w:cs="宋体" w:eastAsia="宋体" w:hint="default"/>
          <w:b/>
          <w:bCs/>
        </w:rPr>
        <w:t>、应付账款</w:t>
      </w:r>
      <w:r>
        <w:rPr>
          <w:rFonts w:ascii="宋体" w:hAnsi="宋体" w:cs="宋体" w:eastAsia="宋体" w:hint="default"/>
        </w:rPr>
      </w:r>
    </w:p>
    <w:p>
      <w:pPr>
        <w:pStyle w:val="BodyText"/>
        <w:spacing w:line="240" w:lineRule="auto"/>
        <w:ind w:left="652" w:right="606"/>
        <w:jc w:val="left"/>
      </w:pPr>
      <w:r>
        <w:rPr/>
        <w:t>（</w:t>
      </w:r>
      <w:r>
        <w:rPr>
          <w:rFonts w:ascii="宋体" w:hAnsi="宋体" w:cs="宋体" w:eastAsia="宋体" w:hint="default"/>
        </w:rPr>
        <w:t>1</w:t>
      </w:r>
      <w:r>
        <w:rPr/>
        <w:t>）应付账款按账龄分类：</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577"/>
        <w:gridCol w:w="3562"/>
        <w:gridCol w:w="3560"/>
      </w:tblGrid>
      <w:tr>
        <w:trPr>
          <w:trHeight w:val="494" w:hRule="exact"/>
        </w:trPr>
        <w:tc>
          <w:tcPr>
            <w:tcW w:w="3577" w:type="dxa"/>
            <w:tcBorders>
              <w:top w:val="single" w:sz="12" w:space="0" w:color="000000"/>
              <w:left w:val="nil" w:sz="6" w:space="0" w:color="auto"/>
              <w:bottom w:val="single" w:sz="4" w:space="0" w:color="000000"/>
              <w:right w:val="single" w:sz="4" w:space="0" w:color="000000"/>
            </w:tcBorders>
          </w:tcPr>
          <w:p>
            <w:pPr>
              <w:pStyle w:val="TableParagraph"/>
              <w:tabs>
                <w:tab w:pos="472" w:val="left" w:leader="none"/>
              </w:tabs>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6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87" w:hRule="exact"/>
        </w:trPr>
        <w:tc>
          <w:tcPr>
            <w:tcW w:w="3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53,069,106.30</w:t>
            </w:r>
          </w:p>
        </w:tc>
        <w:tc>
          <w:tcPr>
            <w:tcW w:w="3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18,105,011.90</w:t>
            </w:r>
          </w:p>
        </w:tc>
      </w:tr>
      <w:tr>
        <w:trPr>
          <w:trHeight w:val="485" w:hRule="exact"/>
        </w:trPr>
        <w:tc>
          <w:tcPr>
            <w:tcW w:w="3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0"/>
              <w:ind w:left="19" w:right="0"/>
              <w:jc w:val="center"/>
              <w:rPr>
                <w:rFonts w:ascii="宋体" w:hAnsi="宋体" w:cs="宋体" w:eastAsia="宋体" w:hint="default"/>
                <w:sz w:val="18"/>
                <w:szCs w:val="18"/>
              </w:rPr>
            </w:pPr>
            <w:r>
              <w:rPr>
                <w:rFonts w:ascii="宋体" w:hAnsi="宋体" w:cs="宋体" w:eastAsia="宋体" w:hint="default"/>
                <w:sz w:val="18"/>
                <w:szCs w:val="18"/>
              </w:rPr>
              <w:t>一至二年</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1"/>
              <w:jc w:val="right"/>
              <w:rPr>
                <w:rFonts w:ascii="宋体" w:hAnsi="宋体" w:cs="宋体" w:eastAsia="宋体" w:hint="default"/>
                <w:sz w:val="18"/>
                <w:szCs w:val="18"/>
              </w:rPr>
            </w:pPr>
            <w:r>
              <w:rPr>
                <w:rFonts w:ascii="宋体"/>
                <w:spacing w:val="-1"/>
                <w:sz w:val="18"/>
              </w:rPr>
              <w:t>7,680,058.79</w:t>
            </w:r>
          </w:p>
        </w:tc>
        <w:tc>
          <w:tcPr>
            <w:tcW w:w="3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pacing w:val="-1"/>
                <w:sz w:val="18"/>
              </w:rPr>
              <w:t>987,998.11</w:t>
            </w:r>
          </w:p>
        </w:tc>
      </w:tr>
      <w:tr>
        <w:trPr>
          <w:trHeight w:val="487" w:hRule="exact"/>
        </w:trPr>
        <w:tc>
          <w:tcPr>
            <w:tcW w:w="3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二至三年</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742,613.05</w:t>
            </w:r>
          </w:p>
        </w:tc>
        <w:tc>
          <w:tcPr>
            <w:tcW w:w="3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2,439,098.82</w:t>
            </w:r>
          </w:p>
        </w:tc>
      </w:tr>
      <w:tr>
        <w:trPr>
          <w:trHeight w:val="485" w:hRule="exact"/>
        </w:trPr>
        <w:tc>
          <w:tcPr>
            <w:tcW w:w="35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三年以上</w:t>
            </w:r>
          </w:p>
        </w:tc>
        <w:tc>
          <w:tcPr>
            <w:tcW w:w="3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spacing w:val="-1"/>
                <w:sz w:val="18"/>
              </w:rPr>
              <w:t>4,549,454.74</w:t>
            </w:r>
          </w:p>
        </w:tc>
        <w:tc>
          <w:tcPr>
            <w:tcW w:w="35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2,439,697.82</w:t>
            </w:r>
          </w:p>
        </w:tc>
      </w:tr>
      <w:tr>
        <w:trPr>
          <w:trHeight w:val="497" w:hRule="exact"/>
        </w:trPr>
        <w:tc>
          <w:tcPr>
            <w:tcW w:w="3577" w:type="dxa"/>
            <w:tcBorders>
              <w:top w:val="single" w:sz="4" w:space="0" w:color="000000"/>
              <w:left w:val="nil" w:sz="6" w:space="0" w:color="auto"/>
              <w:bottom w:val="single" w:sz="12" w:space="0" w:color="000000"/>
              <w:right w:val="single" w:sz="4" w:space="0" w:color="000000"/>
            </w:tcBorders>
          </w:tcPr>
          <w:p>
            <w:pPr>
              <w:pStyle w:val="TableParagraph"/>
              <w:tabs>
                <w:tab w:pos="472" w:val="left" w:leader="none"/>
              </w:tabs>
              <w:spacing w:line="240" w:lineRule="auto" w:before="32"/>
              <w:ind w:left="19"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6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66,041,232.88</w:t>
            </w:r>
          </w:p>
        </w:tc>
        <w:tc>
          <w:tcPr>
            <w:tcW w:w="356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23,971,806.65</w:t>
            </w:r>
          </w:p>
        </w:tc>
      </w:tr>
    </w:tbl>
    <w:p>
      <w:pPr>
        <w:pStyle w:val="BodyText"/>
        <w:spacing w:line="240" w:lineRule="auto" w:before="86"/>
        <w:ind w:left="240" w:right="606"/>
        <w:jc w:val="left"/>
      </w:pPr>
      <w:r>
        <w:rPr/>
        <w:t>（</w:t>
      </w:r>
      <w:r>
        <w:rPr>
          <w:rFonts w:ascii="宋体" w:hAnsi="宋体" w:cs="宋体" w:eastAsia="宋体" w:hint="default"/>
        </w:rPr>
        <w:t>2</w:t>
      </w:r>
      <w:r>
        <w:rPr/>
        <w:t>）应付账款期末余额位列前五名的单位：</w:t>
      </w:r>
    </w:p>
    <w:p>
      <w:pPr>
        <w:spacing w:line="240" w:lineRule="auto" w:before="13"/>
        <w:rPr>
          <w:rFonts w:ascii="宋体" w:hAnsi="宋体" w:cs="宋体" w:eastAsia="宋体" w:hint="default"/>
          <w:sz w:val="12"/>
          <w:szCs w:val="12"/>
        </w:rPr>
      </w:pPr>
    </w:p>
    <w:tbl>
      <w:tblPr>
        <w:tblW w:w="0" w:type="auto"/>
        <w:jc w:val="left"/>
        <w:tblInd w:w="117" w:type="dxa"/>
        <w:tblLayout w:type="fixed"/>
        <w:tblCellMar>
          <w:top w:w="0" w:type="dxa"/>
          <w:left w:w="0" w:type="dxa"/>
          <w:bottom w:w="0" w:type="dxa"/>
          <w:right w:w="0" w:type="dxa"/>
        </w:tblCellMar>
        <w:tblLook w:val="01E0"/>
      </w:tblPr>
      <w:tblGrid>
        <w:gridCol w:w="3575"/>
        <w:gridCol w:w="2376"/>
        <w:gridCol w:w="2374"/>
        <w:gridCol w:w="2374"/>
      </w:tblGrid>
      <w:tr>
        <w:trPr>
          <w:trHeight w:val="542" w:hRule="exact"/>
        </w:trPr>
        <w:tc>
          <w:tcPr>
            <w:tcW w:w="3575" w:type="dxa"/>
            <w:tcBorders>
              <w:top w:val="single" w:sz="12" w:space="0" w:color="000000"/>
              <w:left w:val="nil" w:sz="6" w:space="0" w:color="auto"/>
              <w:bottom w:val="single" w:sz="12" w:space="0" w:color="000000"/>
              <w:right w:val="single" w:sz="4" w:space="0" w:color="000000"/>
            </w:tcBorders>
          </w:tcPr>
          <w:p>
            <w:pPr>
              <w:pStyle w:val="TableParagraph"/>
              <w:tabs>
                <w:tab w:pos="652" w:val="left" w:leader="none"/>
              </w:tabs>
              <w:spacing w:line="240" w:lineRule="auto" w:before="49"/>
              <w:ind w:left="201" w:right="0"/>
              <w:jc w:val="center"/>
              <w:rPr>
                <w:rFonts w:ascii="宋体" w:hAnsi="宋体" w:cs="宋体" w:eastAsia="宋体" w:hint="default"/>
                <w:sz w:val="18"/>
                <w:szCs w:val="18"/>
              </w:rPr>
            </w:pPr>
            <w:r>
              <w:rPr>
                <w:rFonts w:ascii="宋体" w:hAnsi="宋体" w:cs="宋体" w:eastAsia="宋体" w:hint="default"/>
                <w:sz w:val="18"/>
                <w:szCs w:val="18"/>
              </w:rPr>
              <w:t>单</w:t>
              <w:tab/>
              <w:t>位</w:t>
            </w:r>
          </w:p>
        </w:tc>
        <w:tc>
          <w:tcPr>
            <w:tcW w:w="2376" w:type="dxa"/>
            <w:tcBorders>
              <w:top w:val="single" w:sz="12" w:space="0" w:color="000000"/>
              <w:left w:val="single" w:sz="4" w:space="0" w:color="000000"/>
              <w:bottom w:val="single" w:sz="12" w:space="0" w:color="000000"/>
              <w:right w:val="single" w:sz="4" w:space="0" w:color="000000"/>
            </w:tcBorders>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与本公司的关系</w:t>
            </w:r>
          </w:p>
        </w:tc>
        <w:tc>
          <w:tcPr>
            <w:tcW w:w="2374" w:type="dxa"/>
            <w:tcBorders>
              <w:top w:val="single" w:sz="12" w:space="0" w:color="000000"/>
              <w:left w:val="single" w:sz="4" w:space="0" w:color="000000"/>
              <w:bottom w:val="single" w:sz="12" w:space="0" w:color="000000"/>
              <w:right w:val="single" w:sz="4" w:space="0" w:color="000000"/>
            </w:tcBorders>
          </w:tcPr>
          <w:p>
            <w:pPr>
              <w:pStyle w:val="TableParagraph"/>
              <w:tabs>
                <w:tab w:pos="453" w:val="left" w:leader="none"/>
              </w:tabs>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2374" w:type="dxa"/>
            <w:tcBorders>
              <w:top w:val="single" w:sz="12" w:space="0" w:color="000000"/>
              <w:left w:val="single" w:sz="4" w:space="0" w:color="000000"/>
              <w:bottom w:val="single" w:sz="12" w:space="0" w:color="000000"/>
              <w:right w:val="nil" w:sz="6" w:space="0" w:color="auto"/>
            </w:tcBorders>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占应付账款总额的比例</w:t>
            </w:r>
          </w:p>
        </w:tc>
      </w:tr>
    </w:tbl>
    <w:p>
      <w:pPr>
        <w:spacing w:after="0" w:line="240" w:lineRule="auto"/>
        <w:jc w:val="left"/>
        <w:rPr>
          <w:rFonts w:ascii="宋体" w:hAnsi="宋体" w:cs="宋体" w:eastAsia="宋体" w:hint="default"/>
          <w:sz w:val="18"/>
          <w:szCs w:val="18"/>
        </w:rPr>
        <w:sectPr>
          <w:pgSz w:w="11910" w:h="16840"/>
          <w:pgMar w:header="720" w:footer="956" w:top="1300" w:bottom="1140" w:left="480" w:right="0"/>
        </w:sectPr>
      </w:pPr>
    </w:p>
    <w:p>
      <w:pPr>
        <w:spacing w:line="240" w:lineRule="auto" w:before="7"/>
        <w:rPr>
          <w:rFonts w:ascii="宋体" w:hAnsi="宋体" w:cs="宋体" w:eastAsia="宋体" w:hint="default"/>
          <w:sz w:val="3"/>
          <w:szCs w:val="3"/>
        </w:rPr>
      </w:pPr>
      <w:r>
        <w:rPr/>
        <w:pict>
          <v:group style="position:absolute;margin-left:494.049988pt;margin-top:784.099731pt;width:101.25pt;height:57.75pt;mso-position-horizontal-relative:page;mso-position-vertical-relative:page;z-index:-533296" coordorigin="9881,15682" coordsize="2025,1155">
            <v:shape style="position:absolute;left:9881;top:15682;width:2025;height:1155" type="#_x0000_t75" stroked="false">
              <v:imagedata r:id="rId32" o:title=""/>
            </v:shape>
            <v:shape style="position:absolute;left:10828;top:15723;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87</w:t>
                    </w:r>
                  </w:p>
                </w:txbxContent>
              </v:textbox>
              <w10:wrap type="none"/>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3575"/>
        <w:gridCol w:w="2376"/>
        <w:gridCol w:w="2374"/>
        <w:gridCol w:w="2374"/>
      </w:tblGrid>
      <w:tr>
        <w:trPr>
          <w:trHeight w:val="540" w:hRule="exact"/>
        </w:trPr>
        <w:tc>
          <w:tcPr>
            <w:tcW w:w="357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亳州千草药业饮片厂</w:t>
            </w:r>
          </w:p>
        </w:tc>
        <w:tc>
          <w:tcPr>
            <w:tcW w:w="237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客户</w:t>
            </w:r>
          </w:p>
        </w:tc>
        <w:tc>
          <w:tcPr>
            <w:tcW w:w="237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6"/>
              <w:ind w:left="592" w:right="0"/>
              <w:jc w:val="left"/>
              <w:rPr>
                <w:rFonts w:ascii="宋体" w:hAnsi="宋体" w:cs="宋体" w:eastAsia="宋体" w:hint="default"/>
                <w:sz w:val="18"/>
                <w:szCs w:val="18"/>
              </w:rPr>
            </w:pPr>
            <w:r>
              <w:rPr>
                <w:rFonts w:ascii="宋体"/>
                <w:sz w:val="18"/>
              </w:rPr>
              <w:t>22,006,223.77</w:t>
            </w:r>
          </w:p>
        </w:tc>
        <w:tc>
          <w:tcPr>
            <w:tcW w:w="237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33.32%</w:t>
            </w:r>
          </w:p>
        </w:tc>
      </w:tr>
      <w:tr>
        <w:trPr>
          <w:trHeight w:val="523"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鸡西市宏利丰煤炭销售有限公司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客户</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8" w:right="0"/>
              <w:jc w:val="left"/>
              <w:rPr>
                <w:rFonts w:ascii="宋体" w:hAnsi="宋体" w:cs="宋体" w:eastAsia="宋体" w:hint="default"/>
                <w:sz w:val="18"/>
                <w:szCs w:val="18"/>
              </w:rPr>
            </w:pPr>
            <w:r>
              <w:rPr>
                <w:rFonts w:ascii="宋体"/>
                <w:sz w:val="18"/>
              </w:rPr>
              <w:t>4,052,870.82</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6.14%</w:t>
            </w:r>
          </w:p>
        </w:tc>
      </w:tr>
      <w:tr>
        <w:trPr>
          <w:trHeight w:val="526"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佛山市绿之彩印刷有限公司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客户</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8" w:right="0"/>
              <w:jc w:val="left"/>
              <w:rPr>
                <w:rFonts w:ascii="宋体" w:hAnsi="宋体" w:cs="宋体" w:eastAsia="宋体" w:hint="default"/>
                <w:sz w:val="18"/>
                <w:szCs w:val="18"/>
              </w:rPr>
            </w:pPr>
            <w:r>
              <w:rPr>
                <w:rFonts w:ascii="宋体"/>
                <w:sz w:val="18"/>
              </w:rPr>
              <w:t>2,758,622.40</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z w:val="18"/>
              </w:rPr>
              <w:t>4.18%</w:t>
            </w:r>
          </w:p>
        </w:tc>
      </w:tr>
      <w:tr>
        <w:trPr>
          <w:trHeight w:val="523"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亳州市沈飞药业有限责任公司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客户</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8" w:right="0"/>
              <w:jc w:val="left"/>
              <w:rPr>
                <w:rFonts w:ascii="宋体" w:hAnsi="宋体" w:cs="宋体" w:eastAsia="宋体" w:hint="default"/>
                <w:sz w:val="18"/>
                <w:szCs w:val="18"/>
              </w:rPr>
            </w:pPr>
            <w:r>
              <w:rPr>
                <w:rFonts w:ascii="宋体"/>
                <w:sz w:val="18"/>
              </w:rPr>
              <w:t>1,813,271.48</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2.74%</w:t>
            </w:r>
          </w:p>
        </w:tc>
      </w:tr>
      <w:tr>
        <w:trPr>
          <w:trHeight w:val="521" w:hRule="exact"/>
        </w:trPr>
        <w:tc>
          <w:tcPr>
            <w:tcW w:w="357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海门市永和药用包装材料有限公司</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客户</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38" w:right="0"/>
              <w:jc w:val="left"/>
              <w:rPr>
                <w:rFonts w:ascii="宋体" w:hAnsi="宋体" w:cs="宋体" w:eastAsia="宋体" w:hint="default"/>
                <w:sz w:val="18"/>
                <w:szCs w:val="18"/>
              </w:rPr>
            </w:pPr>
            <w:r>
              <w:rPr>
                <w:rFonts w:ascii="宋体"/>
                <w:sz w:val="18"/>
              </w:rPr>
              <w:t>1,758,911.98</w:t>
            </w:r>
          </w:p>
        </w:tc>
        <w:tc>
          <w:tcPr>
            <w:tcW w:w="23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z w:val="18"/>
              </w:rPr>
              <w:t>2.66%</w:t>
            </w:r>
          </w:p>
        </w:tc>
      </w:tr>
      <w:tr>
        <w:trPr>
          <w:trHeight w:val="535" w:hRule="exact"/>
        </w:trPr>
        <w:tc>
          <w:tcPr>
            <w:tcW w:w="3575" w:type="dxa"/>
            <w:tcBorders>
              <w:top w:val="single" w:sz="4" w:space="0" w:color="000000"/>
              <w:left w:val="nil" w:sz="6" w:space="0" w:color="auto"/>
              <w:bottom w:val="single" w:sz="12" w:space="0" w:color="000000"/>
              <w:right w:val="single" w:sz="4" w:space="0" w:color="000000"/>
            </w:tcBorders>
          </w:tcPr>
          <w:p>
            <w:pPr>
              <w:pStyle w:val="TableParagraph"/>
              <w:tabs>
                <w:tab w:pos="474" w:val="left" w:leader="none"/>
              </w:tabs>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376" w:type="dxa"/>
            <w:tcBorders>
              <w:top w:val="single" w:sz="4" w:space="0" w:color="000000"/>
              <w:left w:val="single" w:sz="4" w:space="0" w:color="000000"/>
              <w:bottom w:val="single" w:sz="12" w:space="0" w:color="000000"/>
              <w:right w:val="single" w:sz="4" w:space="0" w:color="000000"/>
            </w:tcBorders>
          </w:tcPr>
          <w:p>
            <w:pPr/>
          </w:p>
        </w:tc>
        <w:tc>
          <w:tcPr>
            <w:tcW w:w="23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sz w:val="18"/>
              </w:rPr>
              <w:t>32,389,900.45</w:t>
            </w:r>
          </w:p>
        </w:tc>
        <w:tc>
          <w:tcPr>
            <w:tcW w:w="237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49.04%</w:t>
            </w:r>
          </w:p>
        </w:tc>
      </w:tr>
    </w:tbl>
    <w:p>
      <w:pPr>
        <w:pStyle w:val="BodyText"/>
        <w:spacing w:line="240" w:lineRule="auto" w:before="86"/>
        <w:ind w:left="660" w:right="606"/>
        <w:jc w:val="left"/>
      </w:pPr>
      <w:r>
        <w:rPr/>
        <w:t>（</w:t>
      </w:r>
      <w:r>
        <w:rPr>
          <w:rFonts w:ascii="宋体" w:hAnsi="宋体" w:cs="宋体" w:eastAsia="宋体" w:hint="default"/>
        </w:rPr>
        <w:t>3</w:t>
      </w:r>
      <w:r>
        <w:rPr/>
        <w:t>）应付账款期末数较期初数增加 </w:t>
      </w:r>
      <w:r>
        <w:rPr>
          <w:rFonts w:ascii="宋体" w:hAnsi="宋体" w:cs="宋体" w:eastAsia="宋体" w:hint="default"/>
        </w:rPr>
        <w:t>4,207</w:t>
      </w:r>
      <w:r>
        <w:rPr>
          <w:rFonts w:ascii="宋体" w:hAnsi="宋体" w:cs="宋体" w:eastAsia="宋体" w:hint="default"/>
          <w:spacing w:val="-43"/>
        </w:rPr>
        <w:t> </w:t>
      </w:r>
      <w:r>
        <w:rPr/>
        <w:t>万元，主要原因是本公司本期采购的药材、原煤等款项尚未到付款</w:t>
      </w:r>
    </w:p>
    <w:p>
      <w:pPr>
        <w:pStyle w:val="BodyText"/>
        <w:spacing w:line="240" w:lineRule="auto" w:before="133"/>
        <w:ind w:left="240" w:right="606"/>
        <w:jc w:val="left"/>
      </w:pPr>
      <w:r>
        <w:rPr/>
        <w:t>期进行支付，其中：尚欠亳州千草药业饮片厂</w:t>
      </w:r>
      <w:r>
        <w:rPr>
          <w:spacing w:val="-54"/>
        </w:rPr>
        <w:t> </w:t>
      </w:r>
      <w:r>
        <w:rPr>
          <w:rFonts w:ascii="宋体" w:hAnsi="宋体" w:cs="宋体" w:eastAsia="宋体" w:hint="default"/>
        </w:rPr>
        <w:t>2,201</w:t>
      </w:r>
      <w:r>
        <w:rPr>
          <w:rFonts w:ascii="宋体" w:hAnsi="宋体" w:cs="宋体" w:eastAsia="宋体" w:hint="default"/>
          <w:spacing w:val="-55"/>
        </w:rPr>
        <w:t> </w:t>
      </w:r>
      <w:r>
        <w:rPr/>
        <w:t>万元、鸡西市宏利丰煤炭销售有限公司</w:t>
      </w:r>
      <w:r>
        <w:rPr>
          <w:spacing w:val="-54"/>
        </w:rPr>
        <w:t> </w:t>
      </w:r>
      <w:r>
        <w:rPr>
          <w:rFonts w:ascii="宋体" w:hAnsi="宋体" w:cs="宋体" w:eastAsia="宋体" w:hint="default"/>
        </w:rPr>
        <w:t>405</w:t>
      </w:r>
      <w:r>
        <w:rPr>
          <w:rFonts w:ascii="宋体" w:hAnsi="宋体" w:cs="宋体" w:eastAsia="宋体" w:hint="default"/>
          <w:spacing w:val="-57"/>
        </w:rPr>
        <w:t> </w:t>
      </w:r>
      <w:r>
        <w:rPr/>
        <w:t>万元。</w:t>
      </w:r>
    </w:p>
    <w:p>
      <w:pPr>
        <w:pStyle w:val="BodyText"/>
        <w:spacing w:line="240" w:lineRule="auto" w:before="136"/>
        <w:ind w:left="660" w:right="606"/>
        <w:jc w:val="left"/>
      </w:pPr>
      <w:r>
        <w:rPr/>
        <w:t>（</w:t>
      </w:r>
      <w:r>
        <w:rPr>
          <w:rFonts w:ascii="宋体" w:hAnsi="宋体" w:cs="宋体" w:eastAsia="宋体" w:hint="default"/>
        </w:rPr>
        <w:t>4</w:t>
      </w:r>
      <w:r>
        <w:rPr/>
        <w:t>）应付账款期末余额中无持有本公司</w:t>
      </w:r>
      <w:r>
        <w:rPr>
          <w:spacing w:val="-58"/>
        </w:rPr>
        <w:t> </w:t>
      </w:r>
      <w:r>
        <w:rPr>
          <w:rFonts w:ascii="宋体" w:hAnsi="宋体" w:cs="宋体" w:eastAsia="宋体" w:hint="default"/>
        </w:rPr>
        <w:t>5%(</w:t>
      </w:r>
      <w:r>
        <w:rPr/>
        <w:t>含</w:t>
      </w:r>
      <w:r>
        <w:rPr>
          <w:spacing w:val="-60"/>
        </w:rPr>
        <w:t> </w:t>
      </w:r>
      <w:r>
        <w:rPr>
          <w:rFonts w:ascii="宋体" w:hAnsi="宋体" w:cs="宋体" w:eastAsia="宋体" w:hint="default"/>
        </w:rPr>
        <w:t>5%)</w:t>
      </w:r>
      <w:r>
        <w:rPr/>
        <w:t>以上表决权股份的股东单位或关联方单位的款项。</w:t>
      </w:r>
    </w:p>
    <w:p>
      <w:pPr>
        <w:spacing w:line="355" w:lineRule="auto" w:before="133"/>
        <w:ind w:left="652" w:right="4341" w:firstLine="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）应付账款期末余额中无账龄超过一年以上的大额应付账款情况。</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b/>
          <w:bCs/>
          <w:sz w:val="21"/>
          <w:szCs w:val="21"/>
        </w:rPr>
        <w:t>15</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3113"/>
        <w:gridCol w:w="1897"/>
        <w:gridCol w:w="1896"/>
        <w:gridCol w:w="1894"/>
        <w:gridCol w:w="1898"/>
      </w:tblGrid>
      <w:tr>
        <w:trPr>
          <w:trHeight w:val="398" w:hRule="exact"/>
        </w:trPr>
        <w:tc>
          <w:tcPr>
            <w:tcW w:w="3113" w:type="dxa"/>
            <w:tcBorders>
              <w:top w:val="single" w:sz="12" w:space="0" w:color="000000"/>
              <w:left w:val="nil" w:sz="6" w:space="0" w:color="auto"/>
              <w:bottom w:val="single" w:sz="6" w:space="0" w:color="000000"/>
              <w:right w:val="single" w:sz="6" w:space="0" w:color="000000"/>
            </w:tcBorders>
          </w:tcPr>
          <w:p>
            <w:pPr>
              <w:pStyle w:val="TableParagraph"/>
              <w:tabs>
                <w:tab w:pos="564" w:val="left" w:leader="none"/>
              </w:tabs>
              <w:spacing w:line="217" w:lineRule="exact"/>
              <w:ind w:left="2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897"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96"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left="58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94" w:type="dxa"/>
            <w:tcBorders>
              <w:top w:val="single" w:sz="12" w:space="0" w:color="000000"/>
              <w:left w:val="single" w:sz="6" w:space="0" w:color="000000"/>
              <w:bottom w:val="single" w:sz="6" w:space="0" w:color="000000"/>
              <w:right w:val="single" w:sz="6" w:space="0" w:color="000000"/>
            </w:tcBorders>
          </w:tcPr>
          <w:p>
            <w:pPr>
              <w:pStyle w:val="TableParagraph"/>
              <w:spacing w:line="217" w:lineRule="exact"/>
              <w:ind w:left="58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98" w:type="dxa"/>
            <w:tcBorders>
              <w:top w:val="single" w:sz="12" w:space="0" w:color="000000"/>
              <w:left w:val="single" w:sz="6" w:space="0" w:color="000000"/>
              <w:bottom w:val="single" w:sz="6" w:space="0" w:color="000000"/>
              <w:right w:val="nil" w:sz="6" w:space="0" w:color="auto"/>
            </w:tcBorders>
          </w:tcPr>
          <w:p>
            <w:pPr>
              <w:pStyle w:val="TableParagraph"/>
              <w:spacing w:line="217" w:lineRule="exact"/>
              <w:ind w:right="1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91"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、工资、奖金、津贴和补贴</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9"/>
              <w:jc w:val="right"/>
              <w:rPr>
                <w:rFonts w:ascii="宋体" w:hAnsi="宋体" w:cs="宋体" w:eastAsia="宋体" w:hint="default"/>
                <w:sz w:val="18"/>
                <w:szCs w:val="18"/>
              </w:rPr>
            </w:pPr>
            <w:r>
              <w:rPr>
                <w:rFonts w:ascii="宋体"/>
                <w:spacing w:val="-1"/>
                <w:sz w:val="18"/>
              </w:rPr>
              <w:t>32,793,580.39</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6"/>
              <w:jc w:val="right"/>
              <w:rPr>
                <w:rFonts w:ascii="宋体" w:hAnsi="宋体" w:cs="宋体" w:eastAsia="宋体" w:hint="default"/>
                <w:sz w:val="18"/>
                <w:szCs w:val="18"/>
              </w:rPr>
            </w:pPr>
            <w:r>
              <w:rPr>
                <w:rFonts w:ascii="宋体"/>
                <w:spacing w:val="-1"/>
                <w:sz w:val="18"/>
              </w:rPr>
              <w:t>32,793,580.39</w:t>
            </w: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pacing w:val="-1"/>
                <w:sz w:val="18"/>
              </w:rPr>
              <w:t>828,226.32</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6"/>
              <w:jc w:val="right"/>
              <w:rPr>
                <w:rFonts w:ascii="宋体" w:hAnsi="宋体" w:cs="宋体" w:eastAsia="宋体" w:hint="default"/>
                <w:sz w:val="18"/>
                <w:szCs w:val="18"/>
              </w:rPr>
            </w:pPr>
            <w:r>
              <w:rPr>
                <w:rFonts w:ascii="宋体"/>
                <w:spacing w:val="-1"/>
                <w:sz w:val="18"/>
              </w:rPr>
              <w:t>828,226.32</w:t>
            </w: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89"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98"/>
              <w:jc w:val="right"/>
              <w:rPr>
                <w:rFonts w:ascii="宋体" w:hAnsi="宋体" w:cs="宋体" w:eastAsia="宋体" w:hint="default"/>
                <w:sz w:val="18"/>
                <w:szCs w:val="18"/>
              </w:rPr>
            </w:pPr>
            <w:r>
              <w:rPr>
                <w:rFonts w:ascii="宋体"/>
                <w:spacing w:val="-1"/>
                <w:sz w:val="18"/>
              </w:rPr>
              <w:t>332,724.89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98"/>
              <w:jc w:val="right"/>
              <w:rPr>
                <w:rFonts w:ascii="宋体" w:hAnsi="宋体" w:cs="宋体" w:eastAsia="宋体" w:hint="default"/>
                <w:sz w:val="18"/>
                <w:szCs w:val="18"/>
              </w:rPr>
            </w:pPr>
            <w:r>
              <w:rPr>
                <w:rFonts w:ascii="宋体"/>
                <w:spacing w:val="-1"/>
                <w:sz w:val="18"/>
              </w:rPr>
              <w:t>1,107,397.47</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96"/>
              <w:jc w:val="right"/>
              <w:rPr>
                <w:rFonts w:ascii="宋体" w:hAnsi="宋体" w:cs="宋体" w:eastAsia="宋体" w:hint="default"/>
                <w:sz w:val="18"/>
                <w:szCs w:val="18"/>
              </w:rPr>
            </w:pPr>
            <w:r>
              <w:rPr>
                <w:rFonts w:ascii="宋体"/>
                <w:spacing w:val="-1"/>
                <w:sz w:val="18"/>
              </w:rPr>
              <w:t>1,148,955.92</w:t>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15" w:lineRule="exact"/>
              <w:ind w:right="110"/>
              <w:jc w:val="right"/>
              <w:rPr>
                <w:rFonts w:ascii="宋体" w:hAnsi="宋体" w:cs="宋体" w:eastAsia="宋体" w:hint="default"/>
                <w:sz w:val="18"/>
                <w:szCs w:val="18"/>
              </w:rPr>
            </w:pPr>
            <w:r>
              <w:rPr>
                <w:rFonts w:ascii="宋体"/>
                <w:spacing w:val="-1"/>
                <w:sz w:val="18"/>
              </w:rPr>
              <w:t>291,166.44</w:t>
            </w:r>
          </w:p>
        </w:tc>
      </w:tr>
      <w:tr>
        <w:trPr>
          <w:trHeight w:val="391"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393"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1</w:t>
            </w:r>
            <w:r>
              <w:rPr>
                <w:rFonts w:ascii="宋体" w:hAnsi="宋体" w:cs="宋体" w:eastAsia="宋体" w:hint="default"/>
                <w:sz w:val="18"/>
                <w:szCs w:val="18"/>
              </w:rPr>
              <w:t>）养老保险费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pacing w:val="-1"/>
                <w:sz w:val="18"/>
              </w:rPr>
              <w:t>299,763.61</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pacing w:val="-1"/>
                <w:sz w:val="18"/>
              </w:rPr>
              <w:t>880,243.43</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6"/>
              <w:jc w:val="right"/>
              <w:rPr>
                <w:rFonts w:ascii="宋体" w:hAnsi="宋体" w:cs="宋体" w:eastAsia="宋体" w:hint="default"/>
                <w:sz w:val="18"/>
                <w:szCs w:val="18"/>
              </w:rPr>
            </w:pPr>
            <w:r>
              <w:rPr>
                <w:rFonts w:ascii="宋体"/>
                <w:spacing w:val="-1"/>
                <w:sz w:val="18"/>
              </w:rPr>
              <w:t>918,395.45</w:t>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17" w:lineRule="exact"/>
              <w:ind w:right="108"/>
              <w:jc w:val="right"/>
              <w:rPr>
                <w:rFonts w:ascii="宋体" w:hAnsi="宋体" w:cs="宋体" w:eastAsia="宋体" w:hint="default"/>
                <w:sz w:val="18"/>
                <w:szCs w:val="18"/>
              </w:rPr>
            </w:pPr>
            <w:r>
              <w:rPr>
                <w:rFonts w:ascii="宋体"/>
                <w:spacing w:val="-1"/>
                <w:sz w:val="18"/>
              </w:rPr>
              <w:t>261,611.59</w:t>
            </w:r>
          </w:p>
        </w:tc>
      </w:tr>
      <w:tr>
        <w:trPr>
          <w:trHeight w:val="392"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93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）医疗保险费</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pacing w:val="-1"/>
                <w:sz w:val="18"/>
              </w:rPr>
              <w:t>113,981.00</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6"/>
              <w:jc w:val="right"/>
              <w:rPr>
                <w:rFonts w:ascii="宋体" w:hAnsi="宋体" w:cs="宋体" w:eastAsia="宋体" w:hint="default"/>
                <w:sz w:val="18"/>
                <w:szCs w:val="18"/>
              </w:rPr>
            </w:pPr>
            <w:r>
              <w:rPr>
                <w:rFonts w:ascii="宋体"/>
                <w:spacing w:val="-1"/>
                <w:sz w:val="18"/>
              </w:rPr>
              <w:t>113,981.00</w:t>
            </w: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93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）失业保险费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pacing w:val="-1"/>
                <w:sz w:val="18"/>
              </w:rPr>
              <w:t>32,961.28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pacing w:val="-1"/>
                <w:sz w:val="18"/>
              </w:rPr>
              <w:t>84,035.70</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6"/>
              <w:jc w:val="right"/>
              <w:rPr>
                <w:rFonts w:ascii="宋体" w:hAnsi="宋体" w:cs="宋体" w:eastAsia="宋体" w:hint="default"/>
                <w:sz w:val="18"/>
                <w:szCs w:val="18"/>
              </w:rPr>
            </w:pPr>
            <w:r>
              <w:rPr>
                <w:rFonts w:ascii="宋体"/>
                <w:spacing w:val="-1"/>
                <w:sz w:val="18"/>
              </w:rPr>
              <w:t>87,442.13</w:t>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pacing w:val="-1"/>
                <w:sz w:val="18"/>
              </w:rPr>
              <w:t>29,554.85</w:t>
            </w:r>
          </w:p>
        </w:tc>
      </w:tr>
      <w:tr>
        <w:trPr>
          <w:trHeight w:val="391"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93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）工伤保险费</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98"/>
              <w:jc w:val="right"/>
              <w:rPr>
                <w:rFonts w:ascii="宋体" w:hAnsi="宋体" w:cs="宋体" w:eastAsia="宋体" w:hint="default"/>
                <w:sz w:val="18"/>
                <w:szCs w:val="18"/>
              </w:rPr>
            </w:pPr>
            <w:r>
              <w:rPr>
                <w:rFonts w:ascii="宋体"/>
                <w:spacing w:val="-1"/>
                <w:sz w:val="18"/>
              </w:rPr>
              <w:t>18,611.94</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96"/>
              <w:jc w:val="right"/>
              <w:rPr>
                <w:rFonts w:ascii="宋体" w:hAnsi="宋体" w:cs="宋体" w:eastAsia="宋体" w:hint="default"/>
                <w:sz w:val="18"/>
                <w:szCs w:val="18"/>
              </w:rPr>
            </w:pPr>
            <w:r>
              <w:rPr>
                <w:rFonts w:ascii="宋体"/>
                <w:spacing w:val="-1"/>
                <w:sz w:val="18"/>
              </w:rPr>
              <w:t>18,611.94</w:t>
            </w: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93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）生育保险费</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98"/>
              <w:jc w:val="right"/>
              <w:rPr>
                <w:rFonts w:ascii="宋体" w:hAnsi="宋体" w:cs="宋体" w:eastAsia="宋体" w:hint="default"/>
                <w:sz w:val="18"/>
                <w:szCs w:val="18"/>
              </w:rPr>
            </w:pPr>
            <w:r>
              <w:rPr>
                <w:rFonts w:ascii="宋体"/>
                <w:spacing w:val="-1"/>
                <w:sz w:val="18"/>
              </w:rPr>
              <w:t>10,525.40</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96"/>
              <w:jc w:val="right"/>
              <w:rPr>
                <w:rFonts w:ascii="宋体" w:hAnsi="宋体" w:cs="宋体" w:eastAsia="宋体" w:hint="default"/>
                <w:sz w:val="18"/>
                <w:szCs w:val="18"/>
              </w:rPr>
            </w:pPr>
            <w:r>
              <w:rPr>
                <w:rFonts w:ascii="宋体"/>
                <w:spacing w:val="-1"/>
                <w:sz w:val="18"/>
              </w:rPr>
              <w:t>10,525.40</w:t>
            </w: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89"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897"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00"/>
              <w:jc w:val="right"/>
              <w:rPr>
                <w:rFonts w:ascii="宋体" w:hAnsi="宋体" w:cs="宋体" w:eastAsia="宋体" w:hint="default"/>
                <w:sz w:val="18"/>
                <w:szCs w:val="18"/>
              </w:rPr>
            </w:pPr>
            <w:r>
              <w:rPr>
                <w:rFonts w:ascii="宋体"/>
                <w:spacing w:val="-1"/>
                <w:sz w:val="18"/>
              </w:rPr>
              <w:t>28,234.00</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98"/>
              <w:jc w:val="right"/>
              <w:rPr>
                <w:rFonts w:ascii="宋体" w:hAnsi="宋体" w:cs="宋体" w:eastAsia="宋体" w:hint="default"/>
                <w:sz w:val="18"/>
                <w:szCs w:val="18"/>
              </w:rPr>
            </w:pPr>
            <w:r>
              <w:rPr>
                <w:rFonts w:ascii="宋体"/>
                <w:spacing w:val="-1"/>
                <w:sz w:val="18"/>
              </w:rPr>
              <w:t>28,234.00</w:t>
            </w:r>
          </w:p>
        </w:tc>
        <w:tc>
          <w:tcPr>
            <w:tcW w:w="1898" w:type="dxa"/>
            <w:tcBorders>
              <w:top w:val="single" w:sz="6" w:space="0" w:color="000000"/>
              <w:left w:val="single" w:sz="6" w:space="0" w:color="000000"/>
              <w:bottom w:val="single" w:sz="6" w:space="0" w:color="000000"/>
              <w:right w:val="nil" w:sz="6" w:space="0" w:color="auto"/>
            </w:tcBorders>
          </w:tcPr>
          <w:p>
            <w:pPr/>
          </w:p>
        </w:tc>
      </w:tr>
      <w:tr>
        <w:trPr>
          <w:trHeight w:val="391" w:hRule="exact"/>
        </w:trPr>
        <w:tc>
          <w:tcPr>
            <w:tcW w:w="3113"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、工会及职工教育经费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pacing w:val="-1"/>
                <w:sz w:val="18"/>
              </w:rPr>
              <w:t>337,041.69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pacing w:val="-1"/>
                <w:sz w:val="18"/>
              </w:rPr>
              <w:t>344,378.63</w:t>
            </w:r>
          </w:p>
        </w:tc>
        <w:tc>
          <w:tcPr>
            <w:tcW w:w="189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96"/>
              <w:jc w:val="right"/>
              <w:rPr>
                <w:rFonts w:ascii="宋体" w:hAnsi="宋体" w:cs="宋体" w:eastAsia="宋体" w:hint="default"/>
                <w:sz w:val="18"/>
                <w:szCs w:val="18"/>
              </w:rPr>
            </w:pPr>
            <w:r>
              <w:rPr>
                <w:rFonts w:ascii="宋体"/>
                <w:spacing w:val="-1"/>
                <w:sz w:val="18"/>
              </w:rPr>
              <w:t>370,438.35</w:t>
            </w:r>
          </w:p>
        </w:tc>
        <w:tc>
          <w:tcPr>
            <w:tcW w:w="1898" w:type="dxa"/>
            <w:tcBorders>
              <w:top w:val="single" w:sz="6" w:space="0" w:color="000000"/>
              <w:left w:val="single" w:sz="6" w:space="0" w:color="000000"/>
              <w:bottom w:val="single" w:sz="6" w:space="0" w:color="000000"/>
              <w:right w:val="nil" w:sz="6" w:space="0" w:color="auto"/>
            </w:tcBorders>
          </w:tcPr>
          <w:p>
            <w:pPr>
              <w:pStyle w:val="TableParagraph"/>
              <w:spacing w:line="217" w:lineRule="exact"/>
              <w:ind w:right="110"/>
              <w:jc w:val="right"/>
              <w:rPr>
                <w:rFonts w:ascii="宋体" w:hAnsi="宋体" w:cs="宋体" w:eastAsia="宋体" w:hint="default"/>
                <w:sz w:val="18"/>
                <w:szCs w:val="18"/>
              </w:rPr>
            </w:pPr>
            <w:r>
              <w:rPr>
                <w:rFonts w:ascii="宋体"/>
                <w:spacing w:val="-1"/>
                <w:sz w:val="18"/>
              </w:rPr>
              <w:t>310,981.97</w:t>
            </w:r>
          </w:p>
        </w:tc>
      </w:tr>
      <w:tr>
        <w:trPr>
          <w:trHeight w:val="398" w:hRule="exact"/>
        </w:trPr>
        <w:tc>
          <w:tcPr>
            <w:tcW w:w="3113" w:type="dxa"/>
            <w:tcBorders>
              <w:top w:val="single" w:sz="6" w:space="0" w:color="000000"/>
              <w:left w:val="nil" w:sz="6" w:space="0" w:color="auto"/>
              <w:bottom w:val="single" w:sz="12" w:space="0" w:color="000000"/>
              <w:right w:val="single" w:sz="6" w:space="0" w:color="000000"/>
            </w:tcBorders>
          </w:tcPr>
          <w:p>
            <w:pPr>
              <w:pStyle w:val="TableParagraph"/>
              <w:tabs>
                <w:tab w:pos="564" w:val="left" w:leader="none"/>
              </w:tabs>
              <w:spacing w:line="217" w:lineRule="exact"/>
              <w:ind w:left="2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97"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98"/>
              <w:jc w:val="right"/>
              <w:rPr>
                <w:rFonts w:ascii="宋体" w:hAnsi="宋体" w:cs="宋体" w:eastAsia="宋体" w:hint="default"/>
                <w:sz w:val="18"/>
                <w:szCs w:val="18"/>
              </w:rPr>
            </w:pPr>
            <w:r>
              <w:rPr>
                <w:rFonts w:ascii="宋体"/>
                <w:spacing w:val="-1"/>
                <w:sz w:val="18"/>
              </w:rPr>
              <w:t>669,766.58</w:t>
            </w:r>
          </w:p>
        </w:tc>
        <w:tc>
          <w:tcPr>
            <w:tcW w:w="1896"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99"/>
              <w:jc w:val="right"/>
              <w:rPr>
                <w:rFonts w:ascii="宋体" w:hAnsi="宋体" w:cs="宋体" w:eastAsia="宋体" w:hint="default"/>
                <w:sz w:val="18"/>
                <w:szCs w:val="18"/>
              </w:rPr>
            </w:pPr>
            <w:r>
              <w:rPr>
                <w:rFonts w:ascii="宋体"/>
                <w:spacing w:val="-1"/>
                <w:sz w:val="18"/>
              </w:rPr>
              <w:t>35,101,816.81</w:t>
            </w:r>
          </w:p>
        </w:tc>
        <w:tc>
          <w:tcPr>
            <w:tcW w:w="1894"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96"/>
              <w:jc w:val="right"/>
              <w:rPr>
                <w:rFonts w:ascii="宋体" w:hAnsi="宋体" w:cs="宋体" w:eastAsia="宋体" w:hint="default"/>
                <w:sz w:val="18"/>
                <w:szCs w:val="18"/>
              </w:rPr>
            </w:pPr>
            <w:r>
              <w:rPr>
                <w:rFonts w:ascii="宋体"/>
                <w:spacing w:val="-1"/>
                <w:sz w:val="18"/>
              </w:rPr>
              <w:t>35,169,434.98</w:t>
            </w:r>
          </w:p>
        </w:tc>
        <w:tc>
          <w:tcPr>
            <w:tcW w:w="1898" w:type="dxa"/>
            <w:tcBorders>
              <w:top w:val="single" w:sz="6" w:space="0" w:color="000000"/>
              <w:left w:val="single" w:sz="6" w:space="0" w:color="000000"/>
              <w:bottom w:val="single" w:sz="12" w:space="0" w:color="000000"/>
              <w:right w:val="nil" w:sz="6" w:space="0" w:color="auto"/>
            </w:tcBorders>
          </w:tcPr>
          <w:p>
            <w:pPr>
              <w:pStyle w:val="TableParagraph"/>
              <w:spacing w:line="217" w:lineRule="exact"/>
              <w:ind w:right="108"/>
              <w:jc w:val="right"/>
              <w:rPr>
                <w:rFonts w:ascii="宋体" w:hAnsi="宋体" w:cs="宋体" w:eastAsia="宋体" w:hint="default"/>
                <w:sz w:val="18"/>
                <w:szCs w:val="18"/>
              </w:rPr>
            </w:pPr>
            <w:r>
              <w:rPr>
                <w:rFonts w:ascii="宋体"/>
                <w:spacing w:val="-1"/>
                <w:sz w:val="18"/>
              </w:rPr>
              <w:t>602,148.41</w:t>
            </w:r>
          </w:p>
        </w:tc>
      </w:tr>
    </w:tbl>
    <w:p>
      <w:pPr>
        <w:pStyle w:val="Heading4"/>
        <w:spacing w:line="240" w:lineRule="auto"/>
        <w:ind w:left="662" w:right="606"/>
        <w:jc w:val="left"/>
        <w:rPr>
          <w:b w:val="0"/>
          <w:bCs w:val="0"/>
        </w:rPr>
      </w:pPr>
      <w:r>
        <w:rPr>
          <w:rFonts w:ascii="宋体" w:hAnsi="宋体" w:cs="宋体" w:eastAsia="宋体" w:hint="default"/>
        </w:rPr>
        <w:t>16</w:t>
      </w:r>
      <w:r>
        <w:rPr/>
        <w:t>、应交税费</w:t>
      </w:r>
      <w:r>
        <w:rPr>
          <w:b w:val="0"/>
          <w:bCs w:val="0"/>
        </w:rPr>
      </w:r>
    </w:p>
    <w:p>
      <w:pPr>
        <w:spacing w:line="240" w:lineRule="auto" w:before="13"/>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094"/>
        <w:gridCol w:w="3803"/>
        <w:gridCol w:w="3802"/>
      </w:tblGrid>
      <w:tr>
        <w:trPr>
          <w:trHeight w:val="413" w:hRule="exact"/>
        </w:trPr>
        <w:tc>
          <w:tcPr>
            <w:tcW w:w="3094" w:type="dxa"/>
            <w:tcBorders>
              <w:top w:val="single" w:sz="12" w:space="0" w:color="000000"/>
              <w:left w:val="nil" w:sz="6" w:space="0" w:color="auto"/>
              <w:bottom w:val="single" w:sz="8" w:space="0" w:color="000000"/>
              <w:right w:val="single" w:sz="8" w:space="0" w:color="000000"/>
            </w:tcBorders>
          </w:tcPr>
          <w:p>
            <w:pPr>
              <w:pStyle w:val="TableParagraph"/>
              <w:tabs>
                <w:tab w:pos="480" w:val="left" w:leader="none"/>
              </w:tabs>
              <w:spacing w:line="222" w:lineRule="exact"/>
              <w:ind w:left="2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803" w:type="dxa"/>
            <w:tcBorders>
              <w:top w:val="single" w:sz="12" w:space="0" w:color="000000"/>
              <w:left w:val="single" w:sz="8" w:space="0" w:color="000000"/>
              <w:bottom w:val="single" w:sz="8" w:space="0" w:color="000000"/>
              <w:right w:val="single" w:sz="8" w:space="0" w:color="000000"/>
            </w:tcBorders>
          </w:tcPr>
          <w:p>
            <w:pPr>
              <w:pStyle w:val="TableParagraph"/>
              <w:spacing w:line="222"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02" w:type="dxa"/>
            <w:tcBorders>
              <w:top w:val="single" w:sz="12" w:space="0" w:color="000000"/>
              <w:left w:val="single" w:sz="8" w:space="0" w:color="000000"/>
              <w:bottom w:val="single" w:sz="8" w:space="0" w:color="000000"/>
              <w:right w:val="nil" w:sz="6" w:space="0" w:color="auto"/>
            </w:tcBorders>
          </w:tcPr>
          <w:p>
            <w:pPr>
              <w:pStyle w:val="TableParagraph"/>
              <w:spacing w:line="222" w:lineRule="exact"/>
              <w:ind w:right="9"/>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9" w:hRule="exact"/>
        </w:trPr>
        <w:tc>
          <w:tcPr>
            <w:tcW w:w="3094" w:type="dxa"/>
            <w:tcBorders>
              <w:top w:val="single" w:sz="8" w:space="0" w:color="000000"/>
              <w:left w:val="nil" w:sz="6" w:space="0" w:color="auto"/>
              <w:bottom w:val="single" w:sz="8" w:space="0" w:color="000000"/>
              <w:right w:val="single" w:sz="8" w:space="0" w:color="000000"/>
            </w:tcBorders>
          </w:tcPr>
          <w:p>
            <w:pPr>
              <w:pStyle w:val="TableParagraph"/>
              <w:spacing w:line="223" w:lineRule="exact"/>
              <w:ind w:left="1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803" w:type="dxa"/>
            <w:tcBorders>
              <w:top w:val="single" w:sz="8" w:space="0" w:color="000000"/>
              <w:left w:val="single" w:sz="8" w:space="0" w:color="000000"/>
              <w:bottom w:val="single" w:sz="8" w:space="0" w:color="000000"/>
              <w:right w:val="single" w:sz="8" w:space="0" w:color="000000"/>
            </w:tcBorders>
          </w:tcPr>
          <w:p>
            <w:pPr>
              <w:pStyle w:val="TableParagraph"/>
              <w:spacing w:line="223" w:lineRule="exact"/>
              <w:ind w:right="95"/>
              <w:jc w:val="right"/>
              <w:rPr>
                <w:rFonts w:ascii="宋体" w:hAnsi="宋体" w:cs="宋体" w:eastAsia="宋体" w:hint="default"/>
                <w:sz w:val="18"/>
                <w:szCs w:val="18"/>
              </w:rPr>
            </w:pPr>
            <w:r>
              <w:rPr>
                <w:rFonts w:ascii="宋体"/>
                <w:spacing w:val="-1"/>
                <w:sz w:val="18"/>
              </w:rPr>
              <w:t>-5,668,668.22</w:t>
            </w:r>
          </w:p>
        </w:tc>
        <w:tc>
          <w:tcPr>
            <w:tcW w:w="3802" w:type="dxa"/>
            <w:tcBorders>
              <w:top w:val="single" w:sz="8" w:space="0" w:color="000000"/>
              <w:left w:val="single" w:sz="8" w:space="0" w:color="000000"/>
              <w:bottom w:val="single" w:sz="8" w:space="0" w:color="000000"/>
              <w:right w:val="nil" w:sz="6" w:space="0" w:color="auto"/>
            </w:tcBorders>
          </w:tcPr>
          <w:p>
            <w:pPr>
              <w:pStyle w:val="TableParagraph"/>
              <w:spacing w:line="223" w:lineRule="exact"/>
              <w:ind w:right="105"/>
              <w:jc w:val="right"/>
              <w:rPr>
                <w:rFonts w:ascii="宋体" w:hAnsi="宋体" w:cs="宋体" w:eastAsia="宋体" w:hint="default"/>
                <w:sz w:val="18"/>
                <w:szCs w:val="18"/>
              </w:rPr>
            </w:pPr>
            <w:r>
              <w:rPr>
                <w:rFonts w:ascii="宋体"/>
                <w:spacing w:val="-1"/>
                <w:sz w:val="18"/>
              </w:rPr>
              <w:t>-2,702,495.06</w:t>
            </w:r>
          </w:p>
        </w:tc>
      </w:tr>
      <w:tr>
        <w:trPr>
          <w:trHeight w:val="408" w:hRule="exact"/>
        </w:trPr>
        <w:tc>
          <w:tcPr>
            <w:tcW w:w="3094" w:type="dxa"/>
            <w:tcBorders>
              <w:top w:val="single" w:sz="8" w:space="0" w:color="000000"/>
              <w:left w:val="nil" w:sz="6" w:space="0" w:color="auto"/>
              <w:bottom w:val="single" w:sz="8" w:space="0" w:color="000000"/>
              <w:right w:val="single" w:sz="8"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3803"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5"/>
              <w:jc w:val="right"/>
              <w:rPr>
                <w:rFonts w:ascii="宋体" w:hAnsi="宋体" w:cs="宋体" w:eastAsia="宋体" w:hint="default"/>
                <w:sz w:val="18"/>
                <w:szCs w:val="18"/>
              </w:rPr>
            </w:pPr>
            <w:r>
              <w:rPr>
                <w:rFonts w:ascii="宋体"/>
                <w:spacing w:val="-1"/>
                <w:sz w:val="18"/>
              </w:rPr>
              <w:t>2,214,169.23</w:t>
            </w:r>
          </w:p>
        </w:tc>
        <w:tc>
          <w:tcPr>
            <w:tcW w:w="3802" w:type="dxa"/>
            <w:tcBorders>
              <w:top w:val="single" w:sz="8" w:space="0" w:color="000000"/>
              <w:left w:val="single" w:sz="8" w:space="0" w:color="000000"/>
              <w:bottom w:val="single" w:sz="8" w:space="0" w:color="000000"/>
              <w:right w:val="nil" w:sz="6" w:space="0" w:color="auto"/>
            </w:tcBorders>
          </w:tcPr>
          <w:p>
            <w:pPr>
              <w:pStyle w:val="TableParagraph"/>
              <w:spacing w:line="222" w:lineRule="exact"/>
              <w:ind w:right="108"/>
              <w:jc w:val="right"/>
              <w:rPr>
                <w:rFonts w:ascii="宋体" w:hAnsi="宋体" w:cs="宋体" w:eastAsia="宋体" w:hint="default"/>
                <w:sz w:val="18"/>
                <w:szCs w:val="18"/>
              </w:rPr>
            </w:pPr>
            <w:r>
              <w:rPr>
                <w:rFonts w:ascii="宋体"/>
                <w:spacing w:val="-1"/>
                <w:sz w:val="18"/>
              </w:rPr>
              <w:t>1,198,829.29</w:t>
            </w:r>
          </w:p>
        </w:tc>
      </w:tr>
      <w:tr>
        <w:trPr>
          <w:trHeight w:val="408" w:hRule="exact"/>
        </w:trPr>
        <w:tc>
          <w:tcPr>
            <w:tcW w:w="3094" w:type="dxa"/>
            <w:tcBorders>
              <w:top w:val="single" w:sz="8" w:space="0" w:color="000000"/>
              <w:left w:val="nil" w:sz="6" w:space="0" w:color="auto"/>
              <w:bottom w:val="single" w:sz="8" w:space="0" w:color="000000"/>
              <w:right w:val="single" w:sz="8"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803"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5"/>
              <w:jc w:val="right"/>
              <w:rPr>
                <w:rFonts w:ascii="宋体" w:hAnsi="宋体" w:cs="宋体" w:eastAsia="宋体" w:hint="default"/>
                <w:sz w:val="18"/>
                <w:szCs w:val="18"/>
              </w:rPr>
            </w:pPr>
            <w:r>
              <w:rPr>
                <w:rFonts w:ascii="宋体"/>
                <w:spacing w:val="-1"/>
                <w:sz w:val="18"/>
              </w:rPr>
              <w:t>156,156.77</w:t>
            </w:r>
          </w:p>
        </w:tc>
        <w:tc>
          <w:tcPr>
            <w:tcW w:w="3802" w:type="dxa"/>
            <w:tcBorders>
              <w:top w:val="single" w:sz="8" w:space="0" w:color="000000"/>
              <w:left w:val="single" w:sz="8" w:space="0" w:color="000000"/>
              <w:bottom w:val="single" w:sz="8" w:space="0" w:color="000000"/>
              <w:right w:val="nil" w:sz="6" w:space="0" w:color="auto"/>
            </w:tcBorders>
          </w:tcPr>
          <w:p>
            <w:pPr>
              <w:pStyle w:val="TableParagraph"/>
              <w:spacing w:line="222" w:lineRule="exact"/>
              <w:ind w:right="105"/>
              <w:jc w:val="right"/>
              <w:rPr>
                <w:rFonts w:ascii="宋体" w:hAnsi="宋体" w:cs="宋体" w:eastAsia="宋体" w:hint="default"/>
                <w:sz w:val="18"/>
                <w:szCs w:val="18"/>
              </w:rPr>
            </w:pPr>
            <w:r>
              <w:rPr>
                <w:rFonts w:ascii="宋体"/>
                <w:spacing w:val="-1"/>
                <w:sz w:val="18"/>
              </w:rPr>
              <w:t>-155,787.55</w:t>
            </w:r>
          </w:p>
        </w:tc>
      </w:tr>
      <w:tr>
        <w:trPr>
          <w:trHeight w:val="408" w:hRule="exact"/>
        </w:trPr>
        <w:tc>
          <w:tcPr>
            <w:tcW w:w="3094" w:type="dxa"/>
            <w:tcBorders>
              <w:top w:val="single" w:sz="8" w:space="0" w:color="000000"/>
              <w:left w:val="nil" w:sz="6" w:space="0" w:color="auto"/>
              <w:bottom w:val="single" w:sz="8" w:space="0" w:color="000000"/>
              <w:right w:val="single" w:sz="8"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803"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5"/>
              <w:jc w:val="right"/>
              <w:rPr>
                <w:rFonts w:ascii="宋体" w:hAnsi="宋体" w:cs="宋体" w:eastAsia="宋体" w:hint="default"/>
                <w:sz w:val="18"/>
                <w:szCs w:val="18"/>
              </w:rPr>
            </w:pPr>
            <w:r>
              <w:rPr>
                <w:rFonts w:ascii="宋体"/>
                <w:spacing w:val="-1"/>
                <w:sz w:val="18"/>
              </w:rPr>
              <w:t>-7,603.55</w:t>
            </w:r>
          </w:p>
        </w:tc>
        <w:tc>
          <w:tcPr>
            <w:tcW w:w="3802" w:type="dxa"/>
            <w:tcBorders>
              <w:top w:val="single" w:sz="8" w:space="0" w:color="000000"/>
              <w:left w:val="single" w:sz="8" w:space="0" w:color="000000"/>
              <w:bottom w:val="single" w:sz="8" w:space="0" w:color="000000"/>
              <w:right w:val="nil" w:sz="6" w:space="0" w:color="auto"/>
            </w:tcBorders>
          </w:tcPr>
          <w:p>
            <w:pPr>
              <w:pStyle w:val="TableParagraph"/>
              <w:spacing w:line="222" w:lineRule="exact"/>
              <w:ind w:right="107"/>
              <w:jc w:val="right"/>
              <w:rPr>
                <w:rFonts w:ascii="宋体" w:hAnsi="宋体" w:cs="宋体" w:eastAsia="宋体" w:hint="default"/>
                <w:sz w:val="18"/>
                <w:szCs w:val="18"/>
              </w:rPr>
            </w:pPr>
            <w:r>
              <w:rPr>
                <w:rFonts w:ascii="宋体"/>
                <w:spacing w:val="-1"/>
                <w:sz w:val="18"/>
              </w:rPr>
              <w:t>-62,749.53</w:t>
            </w:r>
          </w:p>
        </w:tc>
      </w:tr>
      <w:tr>
        <w:trPr>
          <w:trHeight w:val="408" w:hRule="exact"/>
        </w:trPr>
        <w:tc>
          <w:tcPr>
            <w:tcW w:w="3094" w:type="dxa"/>
            <w:tcBorders>
              <w:top w:val="single" w:sz="8" w:space="0" w:color="000000"/>
              <w:left w:val="nil" w:sz="6" w:space="0" w:color="auto"/>
              <w:bottom w:val="single" w:sz="8" w:space="0" w:color="000000"/>
              <w:right w:val="single" w:sz="8"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803"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5"/>
              <w:jc w:val="right"/>
              <w:rPr>
                <w:rFonts w:ascii="宋体" w:hAnsi="宋体" w:cs="宋体" w:eastAsia="宋体" w:hint="default"/>
                <w:sz w:val="18"/>
                <w:szCs w:val="18"/>
              </w:rPr>
            </w:pPr>
            <w:r>
              <w:rPr>
                <w:rFonts w:ascii="宋体"/>
                <w:spacing w:val="-1"/>
                <w:sz w:val="18"/>
              </w:rPr>
              <w:t>93,694.06</w:t>
            </w:r>
          </w:p>
        </w:tc>
        <w:tc>
          <w:tcPr>
            <w:tcW w:w="3802" w:type="dxa"/>
            <w:tcBorders>
              <w:top w:val="single" w:sz="8" w:space="0" w:color="000000"/>
              <w:left w:val="single" w:sz="8" w:space="0" w:color="000000"/>
              <w:bottom w:val="single" w:sz="8" w:space="0" w:color="000000"/>
              <w:right w:val="nil" w:sz="6" w:space="0" w:color="auto"/>
            </w:tcBorders>
          </w:tcPr>
          <w:p>
            <w:pPr>
              <w:pStyle w:val="TableParagraph"/>
              <w:spacing w:line="222" w:lineRule="exact"/>
              <w:ind w:right="107"/>
              <w:jc w:val="right"/>
              <w:rPr>
                <w:rFonts w:ascii="宋体" w:hAnsi="宋体" w:cs="宋体" w:eastAsia="宋体" w:hint="default"/>
                <w:sz w:val="18"/>
                <w:szCs w:val="18"/>
              </w:rPr>
            </w:pPr>
            <w:r>
              <w:rPr>
                <w:rFonts w:ascii="宋体"/>
                <w:spacing w:val="-1"/>
                <w:sz w:val="18"/>
              </w:rPr>
              <w:t>-58,384.37</w:t>
            </w:r>
          </w:p>
        </w:tc>
      </w:tr>
      <w:tr>
        <w:trPr>
          <w:trHeight w:val="408" w:hRule="exact"/>
        </w:trPr>
        <w:tc>
          <w:tcPr>
            <w:tcW w:w="3094" w:type="dxa"/>
            <w:tcBorders>
              <w:top w:val="single" w:sz="8" w:space="0" w:color="000000"/>
              <w:left w:val="nil" w:sz="6" w:space="0" w:color="auto"/>
              <w:bottom w:val="single" w:sz="8" w:space="0" w:color="000000"/>
              <w:right w:val="single" w:sz="8"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803"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5"/>
              <w:jc w:val="right"/>
              <w:rPr>
                <w:rFonts w:ascii="宋体" w:hAnsi="宋体" w:cs="宋体" w:eastAsia="宋体" w:hint="default"/>
                <w:sz w:val="18"/>
                <w:szCs w:val="18"/>
              </w:rPr>
            </w:pPr>
            <w:r>
              <w:rPr>
                <w:rFonts w:ascii="宋体"/>
                <w:spacing w:val="-1"/>
                <w:sz w:val="18"/>
              </w:rPr>
              <w:t>51,032.99</w:t>
            </w:r>
          </w:p>
        </w:tc>
        <w:tc>
          <w:tcPr>
            <w:tcW w:w="3802" w:type="dxa"/>
            <w:tcBorders>
              <w:top w:val="single" w:sz="8" w:space="0" w:color="000000"/>
              <w:left w:val="single" w:sz="8" w:space="0" w:color="000000"/>
              <w:bottom w:val="single" w:sz="8" w:space="0" w:color="000000"/>
              <w:right w:val="nil" w:sz="6" w:space="0" w:color="auto"/>
            </w:tcBorders>
          </w:tcPr>
          <w:p>
            <w:pPr>
              <w:pStyle w:val="TableParagraph"/>
              <w:spacing w:line="222" w:lineRule="exact"/>
              <w:ind w:right="105"/>
              <w:jc w:val="right"/>
              <w:rPr>
                <w:rFonts w:ascii="宋体" w:hAnsi="宋体" w:cs="宋体" w:eastAsia="宋体" w:hint="default"/>
                <w:sz w:val="18"/>
                <w:szCs w:val="18"/>
              </w:rPr>
            </w:pPr>
            <w:r>
              <w:rPr>
                <w:rFonts w:ascii="宋体"/>
                <w:spacing w:val="-1"/>
                <w:sz w:val="18"/>
              </w:rPr>
              <w:t>14,124.10</w:t>
            </w:r>
          </w:p>
        </w:tc>
      </w:tr>
      <w:tr>
        <w:trPr>
          <w:trHeight w:val="408" w:hRule="exact"/>
        </w:trPr>
        <w:tc>
          <w:tcPr>
            <w:tcW w:w="3094" w:type="dxa"/>
            <w:tcBorders>
              <w:top w:val="single" w:sz="8" w:space="0" w:color="000000"/>
              <w:left w:val="nil" w:sz="6" w:space="0" w:color="auto"/>
              <w:bottom w:val="single" w:sz="8" w:space="0" w:color="000000"/>
              <w:right w:val="single" w:sz="8"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803"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5"/>
              <w:jc w:val="right"/>
              <w:rPr>
                <w:rFonts w:ascii="宋体" w:hAnsi="宋体" w:cs="宋体" w:eastAsia="宋体" w:hint="default"/>
                <w:sz w:val="18"/>
                <w:szCs w:val="18"/>
              </w:rPr>
            </w:pPr>
            <w:r>
              <w:rPr>
                <w:rFonts w:ascii="宋体"/>
                <w:spacing w:val="-1"/>
                <w:sz w:val="18"/>
              </w:rPr>
              <w:t>534,310.9</w:t>
            </w:r>
          </w:p>
        </w:tc>
        <w:tc>
          <w:tcPr>
            <w:tcW w:w="3802" w:type="dxa"/>
            <w:tcBorders>
              <w:top w:val="single" w:sz="8" w:space="0" w:color="000000"/>
              <w:left w:val="single" w:sz="8" w:space="0" w:color="000000"/>
              <w:bottom w:val="single" w:sz="8" w:space="0" w:color="000000"/>
              <w:right w:val="nil" w:sz="6" w:space="0" w:color="auto"/>
            </w:tcBorders>
          </w:tcPr>
          <w:p>
            <w:pPr>
              <w:pStyle w:val="TableParagraph"/>
              <w:spacing w:line="222" w:lineRule="exact"/>
              <w:ind w:right="105"/>
              <w:jc w:val="right"/>
              <w:rPr>
                <w:rFonts w:ascii="宋体" w:hAnsi="宋体" w:cs="宋体" w:eastAsia="宋体" w:hint="default"/>
                <w:sz w:val="18"/>
                <w:szCs w:val="18"/>
              </w:rPr>
            </w:pPr>
            <w:r>
              <w:rPr>
                <w:rFonts w:ascii="宋体"/>
                <w:spacing w:val="-1"/>
                <w:sz w:val="18"/>
              </w:rPr>
              <w:t>20,398.77</w:t>
            </w:r>
          </w:p>
        </w:tc>
      </w:tr>
      <w:tr>
        <w:trPr>
          <w:trHeight w:val="415" w:hRule="exact"/>
        </w:trPr>
        <w:tc>
          <w:tcPr>
            <w:tcW w:w="3094" w:type="dxa"/>
            <w:tcBorders>
              <w:top w:val="single" w:sz="8" w:space="0" w:color="000000"/>
              <w:left w:val="nil" w:sz="6" w:space="0" w:color="auto"/>
              <w:bottom w:val="single" w:sz="12" w:space="0" w:color="000000"/>
              <w:right w:val="single" w:sz="8" w:space="0" w:color="000000"/>
            </w:tcBorders>
          </w:tcPr>
          <w:p>
            <w:pPr>
              <w:pStyle w:val="TableParagraph"/>
              <w:spacing w:line="222" w:lineRule="exact"/>
              <w:ind w:left="1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803" w:type="dxa"/>
            <w:tcBorders>
              <w:top w:val="single" w:sz="8" w:space="0" w:color="000000"/>
              <w:left w:val="single" w:sz="8" w:space="0" w:color="000000"/>
              <w:bottom w:val="single" w:sz="12" w:space="0" w:color="000000"/>
              <w:right w:val="single" w:sz="8" w:space="0" w:color="000000"/>
            </w:tcBorders>
          </w:tcPr>
          <w:p>
            <w:pPr>
              <w:pStyle w:val="TableParagraph"/>
              <w:spacing w:line="222" w:lineRule="exact"/>
              <w:ind w:right="95"/>
              <w:jc w:val="right"/>
              <w:rPr>
                <w:rFonts w:ascii="宋体" w:hAnsi="宋体" w:cs="宋体" w:eastAsia="宋体" w:hint="default"/>
                <w:sz w:val="18"/>
                <w:szCs w:val="18"/>
              </w:rPr>
            </w:pPr>
            <w:r>
              <w:rPr>
                <w:rFonts w:ascii="宋体"/>
                <w:spacing w:val="-1"/>
                <w:sz w:val="18"/>
              </w:rPr>
              <w:t>8,251.16</w:t>
            </w:r>
          </w:p>
        </w:tc>
        <w:tc>
          <w:tcPr>
            <w:tcW w:w="3802" w:type="dxa"/>
            <w:tcBorders>
              <w:top w:val="single" w:sz="8" w:space="0" w:color="000000"/>
              <w:left w:val="single" w:sz="8" w:space="0" w:color="000000"/>
              <w:bottom w:val="single" w:sz="12" w:space="0" w:color="000000"/>
              <w:right w:val="nil" w:sz="6" w:space="0" w:color="auto"/>
            </w:tcBorders>
          </w:tcPr>
          <w:p>
            <w:pPr>
              <w:pStyle w:val="TableParagraph"/>
              <w:spacing w:line="222" w:lineRule="exact"/>
              <w:ind w:right="105"/>
              <w:jc w:val="right"/>
              <w:rPr>
                <w:rFonts w:ascii="宋体" w:hAnsi="宋体" w:cs="宋体" w:eastAsia="宋体" w:hint="default"/>
                <w:sz w:val="18"/>
                <w:szCs w:val="18"/>
              </w:rPr>
            </w:pPr>
            <w:r>
              <w:rPr>
                <w:rFonts w:ascii="宋体"/>
                <w:spacing w:val="-1"/>
                <w:sz w:val="18"/>
              </w:rPr>
              <w:t>13,803.76</w:t>
            </w:r>
          </w:p>
        </w:tc>
      </w:tr>
    </w:tbl>
    <w:p>
      <w:pPr>
        <w:spacing w:after="0" w:line="222" w:lineRule="exact"/>
        <w:jc w:val="right"/>
        <w:rPr>
          <w:rFonts w:ascii="宋体" w:hAnsi="宋体" w:cs="宋体" w:eastAsia="宋体" w:hint="default"/>
          <w:sz w:val="18"/>
          <w:szCs w:val="18"/>
        </w:rPr>
        <w:sectPr>
          <w:headerReference w:type="default" r:id="rId34"/>
          <w:footerReference w:type="default" r:id="rId35"/>
          <w:pgSz w:w="11910" w:h="16840"/>
          <w:pgMar w:header="720" w:footer="0" w:top="1300" w:bottom="0" w:left="480" w:right="0"/>
        </w:sectPr>
      </w:pPr>
    </w:p>
    <w:p>
      <w:pPr>
        <w:spacing w:line="240" w:lineRule="auto" w:before="7"/>
        <w:rPr>
          <w:rFonts w:ascii="宋体" w:hAnsi="宋体" w:cs="宋体" w:eastAsia="宋体"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3094"/>
        <w:gridCol w:w="3803"/>
        <w:gridCol w:w="3802"/>
      </w:tblGrid>
      <w:tr>
        <w:trPr>
          <w:trHeight w:val="428" w:hRule="exact"/>
        </w:trPr>
        <w:tc>
          <w:tcPr>
            <w:tcW w:w="3094" w:type="dxa"/>
            <w:tcBorders>
              <w:top w:val="single" w:sz="12" w:space="0" w:color="000000"/>
              <w:left w:val="nil" w:sz="6" w:space="0" w:color="auto"/>
              <w:bottom w:val="single" w:sz="12" w:space="0" w:color="000000"/>
              <w:right w:val="single" w:sz="8" w:space="0" w:color="000000"/>
            </w:tcBorders>
          </w:tcPr>
          <w:p>
            <w:pPr>
              <w:pStyle w:val="TableParagraph"/>
              <w:tabs>
                <w:tab w:pos="480" w:val="left" w:leader="none"/>
              </w:tabs>
              <w:spacing w:line="229" w:lineRule="exact"/>
              <w:ind w:left="2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803" w:type="dxa"/>
            <w:tcBorders>
              <w:top w:val="single" w:sz="12" w:space="0" w:color="000000"/>
              <w:left w:val="single" w:sz="8" w:space="0" w:color="000000"/>
              <w:bottom w:val="single" w:sz="12" w:space="0" w:color="000000"/>
              <w:right w:val="single" w:sz="8" w:space="0" w:color="000000"/>
            </w:tcBorders>
          </w:tcPr>
          <w:p>
            <w:pPr>
              <w:pStyle w:val="TableParagraph"/>
              <w:spacing w:line="229" w:lineRule="exact"/>
              <w:ind w:left="2513" w:right="0"/>
              <w:jc w:val="left"/>
              <w:rPr>
                <w:rFonts w:ascii="宋体" w:hAnsi="宋体" w:cs="宋体" w:eastAsia="宋体" w:hint="default"/>
                <w:sz w:val="18"/>
                <w:szCs w:val="18"/>
              </w:rPr>
            </w:pPr>
            <w:r>
              <w:rPr>
                <w:rFonts w:ascii="宋体"/>
                <w:sz w:val="18"/>
              </w:rPr>
              <w:t>-2,618,656.66</w:t>
            </w:r>
          </w:p>
        </w:tc>
        <w:tc>
          <w:tcPr>
            <w:tcW w:w="3802" w:type="dxa"/>
            <w:tcBorders>
              <w:top w:val="single" w:sz="12" w:space="0" w:color="000000"/>
              <w:left w:val="single" w:sz="8" w:space="0" w:color="000000"/>
              <w:bottom w:val="single" w:sz="12" w:space="0" w:color="000000"/>
              <w:right w:val="nil" w:sz="6" w:space="0" w:color="auto"/>
            </w:tcBorders>
          </w:tcPr>
          <w:p>
            <w:pPr>
              <w:pStyle w:val="TableParagraph"/>
              <w:spacing w:line="229" w:lineRule="exact"/>
              <w:ind w:left="2513" w:right="0"/>
              <w:jc w:val="left"/>
              <w:rPr>
                <w:rFonts w:ascii="宋体" w:hAnsi="宋体" w:cs="宋体" w:eastAsia="宋体" w:hint="default"/>
                <w:sz w:val="18"/>
                <w:szCs w:val="18"/>
              </w:rPr>
            </w:pPr>
            <w:r>
              <w:rPr>
                <w:rFonts w:ascii="宋体"/>
                <w:sz w:val="18"/>
              </w:rPr>
              <w:t>-1,732,260.59</w:t>
            </w:r>
          </w:p>
        </w:tc>
      </w:tr>
    </w:tbl>
    <w:p>
      <w:pPr>
        <w:pStyle w:val="Heading4"/>
        <w:spacing w:line="240" w:lineRule="auto"/>
        <w:ind w:right="606"/>
        <w:jc w:val="left"/>
        <w:rPr>
          <w:b w:val="0"/>
          <w:bCs w:val="0"/>
        </w:rPr>
      </w:pPr>
      <w:r>
        <w:rPr>
          <w:rFonts w:ascii="宋体" w:hAnsi="宋体" w:cs="宋体" w:eastAsia="宋体" w:hint="default"/>
        </w:rPr>
        <w:t>17</w:t>
      </w:r>
      <w:r>
        <w:rPr/>
        <w:t>、其他应付款</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094"/>
        <w:gridCol w:w="3803"/>
        <w:gridCol w:w="3802"/>
      </w:tblGrid>
      <w:tr>
        <w:trPr>
          <w:trHeight w:val="434" w:hRule="exact"/>
        </w:trPr>
        <w:tc>
          <w:tcPr>
            <w:tcW w:w="3094" w:type="dxa"/>
            <w:tcBorders>
              <w:top w:val="single" w:sz="12" w:space="0" w:color="000000"/>
              <w:left w:val="nil" w:sz="6" w:space="0" w:color="auto"/>
              <w:bottom w:val="single" w:sz="4" w:space="0" w:color="000000"/>
              <w:right w:val="single" w:sz="4" w:space="0" w:color="000000"/>
            </w:tcBorders>
          </w:tcPr>
          <w:p>
            <w:pPr>
              <w:pStyle w:val="TableParagraph"/>
              <w:tabs>
                <w:tab w:pos="453" w:val="left" w:leader="none"/>
              </w:tabs>
              <w:spacing w:line="240" w:lineRule="auto" w:before="1"/>
              <w:ind w:right="121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80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0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22"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1,658,548.13</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2,434,072.24</w:t>
            </w:r>
          </w:p>
        </w:tc>
      </w:tr>
      <w:tr>
        <w:trPr>
          <w:trHeight w:val="422"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0"/>
              <w:jc w:val="right"/>
              <w:rPr>
                <w:rFonts w:ascii="宋体" w:hAnsi="宋体" w:cs="宋体" w:eastAsia="宋体" w:hint="default"/>
                <w:sz w:val="18"/>
                <w:szCs w:val="18"/>
              </w:rPr>
            </w:pPr>
            <w:r>
              <w:rPr>
                <w:rFonts w:ascii="宋体"/>
                <w:spacing w:val="-1"/>
                <w:sz w:val="18"/>
              </w:rPr>
              <w:t>173,705.75</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1,932,261.63</w:t>
            </w:r>
          </w:p>
        </w:tc>
      </w:tr>
      <w:tr>
        <w:trPr>
          <w:trHeight w:val="422"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1,658,915.00</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76,100.00</w:t>
            </w:r>
          </w:p>
        </w:tc>
      </w:tr>
      <w:tr>
        <w:trPr>
          <w:trHeight w:val="425" w:hRule="exact"/>
        </w:trPr>
        <w:tc>
          <w:tcPr>
            <w:tcW w:w="30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185,883.14</w:t>
            </w:r>
          </w:p>
        </w:tc>
        <w:tc>
          <w:tcPr>
            <w:tcW w:w="380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105"/>
              <w:jc w:val="right"/>
              <w:rPr>
                <w:rFonts w:ascii="宋体" w:hAnsi="宋体" w:cs="宋体" w:eastAsia="宋体" w:hint="default"/>
                <w:sz w:val="18"/>
                <w:szCs w:val="18"/>
              </w:rPr>
            </w:pPr>
            <w:r>
              <w:rPr>
                <w:rFonts w:ascii="宋体"/>
                <w:spacing w:val="-1"/>
                <w:sz w:val="18"/>
              </w:rPr>
              <w:t>162,747.14</w:t>
            </w:r>
          </w:p>
        </w:tc>
      </w:tr>
      <w:tr>
        <w:trPr>
          <w:trHeight w:val="434" w:hRule="exact"/>
        </w:trPr>
        <w:tc>
          <w:tcPr>
            <w:tcW w:w="3094" w:type="dxa"/>
            <w:tcBorders>
              <w:top w:val="single" w:sz="4" w:space="0" w:color="000000"/>
              <w:left w:val="nil" w:sz="6" w:space="0" w:color="auto"/>
              <w:bottom w:val="single" w:sz="12" w:space="0" w:color="000000"/>
              <w:right w:val="single" w:sz="4" w:space="0" w:color="000000"/>
            </w:tcBorders>
          </w:tcPr>
          <w:p>
            <w:pPr>
              <w:pStyle w:val="TableParagraph"/>
              <w:tabs>
                <w:tab w:pos="453" w:val="left" w:leader="none"/>
              </w:tabs>
              <w:spacing w:line="234" w:lineRule="exact"/>
              <w:ind w:right="121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803" w:type="dxa"/>
            <w:tcBorders>
              <w:top w:val="single" w:sz="4" w:space="0" w:color="000000"/>
              <w:left w:val="single" w:sz="4" w:space="0" w:color="000000"/>
              <w:bottom w:val="single" w:sz="12"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3,677,052.02</w:t>
            </w:r>
          </w:p>
        </w:tc>
        <w:tc>
          <w:tcPr>
            <w:tcW w:w="3802" w:type="dxa"/>
            <w:tcBorders>
              <w:top w:val="single" w:sz="4" w:space="0" w:color="000000"/>
              <w:left w:val="single" w:sz="4" w:space="0" w:color="000000"/>
              <w:bottom w:val="single" w:sz="12"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4,605,181.01</w:t>
            </w:r>
          </w:p>
        </w:tc>
      </w:tr>
    </w:tbl>
    <w:p>
      <w:pPr>
        <w:pStyle w:val="BodyText"/>
        <w:spacing w:line="240" w:lineRule="auto" w:before="86"/>
        <w:ind w:left="660" w:right="606"/>
        <w:jc w:val="left"/>
      </w:pPr>
      <w:r>
        <w:rPr/>
        <w:t>（</w:t>
      </w:r>
      <w:r>
        <w:rPr>
          <w:rFonts w:ascii="宋体" w:hAnsi="宋体" w:cs="宋体" w:eastAsia="宋体" w:hint="default"/>
        </w:rPr>
        <w:t>1</w:t>
      </w:r>
      <w:r>
        <w:rPr/>
        <w:t>）其他应付款期末余额中无持有本公司</w:t>
      </w:r>
      <w:r>
        <w:rPr>
          <w:spacing w:val="-58"/>
        </w:rPr>
        <w:t> </w:t>
      </w:r>
      <w:r>
        <w:rPr>
          <w:rFonts w:ascii="宋体" w:hAnsi="宋体" w:cs="宋体" w:eastAsia="宋体" w:hint="default"/>
        </w:rPr>
        <w:t>5%(</w:t>
      </w:r>
      <w:r>
        <w:rPr/>
        <w:t>含</w:t>
      </w:r>
      <w:r>
        <w:rPr>
          <w:spacing w:val="-58"/>
        </w:rPr>
        <w:t> </w:t>
      </w:r>
      <w:r>
        <w:rPr>
          <w:rFonts w:ascii="宋体" w:hAnsi="宋体" w:cs="宋体" w:eastAsia="宋体" w:hint="default"/>
        </w:rPr>
        <w:t>5%)</w:t>
      </w:r>
      <w:r>
        <w:rPr/>
        <w:t>以上表决权股份的股东单位或关联方的款项情况。</w:t>
      </w:r>
    </w:p>
    <w:p>
      <w:pPr>
        <w:pStyle w:val="BodyText"/>
        <w:spacing w:line="355" w:lineRule="auto" w:before="133"/>
        <w:ind w:left="652" w:right="2551" w:firstLine="7"/>
        <w:jc w:val="left"/>
        <w:rPr>
          <w:rFonts w:ascii="宋体" w:hAnsi="宋体" w:cs="宋体" w:eastAsia="宋体" w:hint="default"/>
        </w:rPr>
      </w:pPr>
      <w:r>
        <w:rPr>
          <w:spacing w:val="-2"/>
        </w:rPr>
        <w:t>（</w:t>
      </w:r>
      <w:r>
        <w:rPr>
          <w:rFonts w:ascii="宋体" w:hAnsi="宋体" w:cs="宋体" w:eastAsia="宋体" w:hint="default"/>
          <w:spacing w:val="-2"/>
        </w:rPr>
        <w:t>2</w:t>
      </w:r>
      <w:r>
        <w:rPr>
          <w:spacing w:val="-2"/>
        </w:rPr>
        <w:t>）其他应付款期末余额中无账龄超过一年以上的大额其他应付款情况。</w:t>
      </w:r>
      <w:r>
        <w:rPr>
          <w:spacing w:val="-52"/>
        </w:rPr>
        <w:t> </w:t>
      </w:r>
      <w:r>
        <w:rPr>
          <w:spacing w:val="-52"/>
        </w:rPr>
      </w:r>
      <w:r>
        <w:rPr>
          <w:rFonts w:ascii="宋体" w:hAnsi="宋体" w:cs="宋体" w:eastAsia="宋体" w:hint="default"/>
          <w:b/>
          <w:bCs/>
        </w:rPr>
        <w:t>18</w:t>
      </w:r>
      <w:r>
        <w:rPr>
          <w:rFonts w:ascii="宋体" w:hAnsi="宋体" w:cs="宋体" w:eastAsia="宋体" w:hint="default"/>
          <w:b/>
          <w:bCs/>
        </w:rPr>
        <w:t>、专项应付款</w:t>
      </w:r>
      <w:r>
        <w:rPr>
          <w:rFonts w:ascii="宋体" w:hAnsi="宋体" w:cs="宋体" w:eastAsia="宋体" w:hint="default"/>
        </w:rPr>
      </w:r>
    </w:p>
    <w:p>
      <w:pPr>
        <w:spacing w:line="240" w:lineRule="auto" w:before="1"/>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3577"/>
        <w:gridCol w:w="3562"/>
        <w:gridCol w:w="3560"/>
      </w:tblGrid>
      <w:tr>
        <w:trPr>
          <w:trHeight w:val="653" w:hRule="exact"/>
        </w:trPr>
        <w:tc>
          <w:tcPr>
            <w:tcW w:w="3577" w:type="dxa"/>
            <w:tcBorders>
              <w:top w:val="single" w:sz="12" w:space="0" w:color="000000"/>
              <w:left w:val="nil" w:sz="6" w:space="0" w:color="auto"/>
              <w:bottom w:val="single" w:sz="8" w:space="0" w:color="000000"/>
              <w:right w:val="single" w:sz="8" w:space="0" w:color="000000"/>
            </w:tcBorders>
          </w:tcPr>
          <w:p>
            <w:pPr>
              <w:pStyle w:val="TableParagraph"/>
              <w:tabs>
                <w:tab w:pos="477" w:val="left" w:leader="none"/>
              </w:tabs>
              <w:spacing w:line="240" w:lineRule="auto" w:before="106"/>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6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06"/>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46" w:hRule="exact"/>
        </w:trPr>
        <w:tc>
          <w:tcPr>
            <w:tcW w:w="357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调整改造项目转贷资金</w:t>
            </w:r>
          </w:p>
        </w:tc>
        <w:tc>
          <w:tcPr>
            <w:tcW w:w="3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6"/>
              <w:ind w:right="96"/>
              <w:jc w:val="right"/>
              <w:rPr>
                <w:rFonts w:ascii="宋体" w:hAnsi="宋体" w:cs="宋体" w:eastAsia="宋体" w:hint="default"/>
                <w:sz w:val="18"/>
                <w:szCs w:val="18"/>
              </w:rPr>
            </w:pPr>
            <w:r>
              <w:rPr>
                <w:rFonts w:ascii="宋体"/>
                <w:spacing w:val="-1"/>
                <w:sz w:val="18"/>
              </w:rPr>
              <w:t>1,320,000.00</w:t>
            </w:r>
          </w:p>
        </w:tc>
        <w:tc>
          <w:tcPr>
            <w:tcW w:w="35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6"/>
              <w:ind w:right="105"/>
              <w:jc w:val="right"/>
              <w:rPr>
                <w:rFonts w:ascii="宋体" w:hAnsi="宋体" w:cs="宋体" w:eastAsia="宋体" w:hint="default"/>
                <w:sz w:val="18"/>
                <w:szCs w:val="18"/>
              </w:rPr>
            </w:pPr>
            <w:r>
              <w:rPr>
                <w:rFonts w:ascii="宋体"/>
                <w:spacing w:val="-1"/>
                <w:sz w:val="18"/>
              </w:rPr>
              <w:t>1,460,000.00</w:t>
            </w:r>
          </w:p>
        </w:tc>
      </w:tr>
      <w:tr>
        <w:trPr>
          <w:trHeight w:val="646" w:hRule="exact"/>
        </w:trPr>
        <w:tc>
          <w:tcPr>
            <w:tcW w:w="357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6"/>
              <w:ind w:left="1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z w:val="18"/>
                <w:szCs w:val="18"/>
              </w:rPr>
              <w:t>2</w:t>
            </w:r>
            <w:r>
              <w:rPr>
                <w:rFonts w:ascii="宋体" w:hAnsi="宋体" w:cs="宋体" w:eastAsia="宋体" w:hint="default"/>
                <w:sz w:val="18"/>
                <w:szCs w:val="18"/>
              </w:rPr>
              <w:t>亿粒藿香祛暑软胶囊</w:t>
            </w:r>
          </w:p>
        </w:tc>
        <w:tc>
          <w:tcPr>
            <w:tcW w:w="3562" w:type="dxa"/>
            <w:tcBorders>
              <w:top w:val="single" w:sz="8" w:space="0" w:color="000000"/>
              <w:left w:val="single" w:sz="8" w:space="0" w:color="000000"/>
              <w:bottom w:val="single" w:sz="8" w:space="0" w:color="000000"/>
              <w:right w:val="single" w:sz="8" w:space="0" w:color="000000"/>
            </w:tcBorders>
          </w:tcPr>
          <w:p>
            <w:pPr/>
          </w:p>
        </w:tc>
        <w:tc>
          <w:tcPr>
            <w:tcW w:w="356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06"/>
              <w:ind w:right="105"/>
              <w:jc w:val="right"/>
              <w:rPr>
                <w:rFonts w:ascii="宋体" w:hAnsi="宋体" w:cs="宋体" w:eastAsia="宋体" w:hint="default"/>
                <w:sz w:val="18"/>
                <w:szCs w:val="18"/>
              </w:rPr>
            </w:pPr>
            <w:r>
              <w:rPr>
                <w:rFonts w:ascii="宋体"/>
                <w:spacing w:val="-1"/>
                <w:sz w:val="18"/>
              </w:rPr>
              <w:t>5,060,000.00</w:t>
            </w:r>
          </w:p>
        </w:tc>
      </w:tr>
      <w:tr>
        <w:trPr>
          <w:trHeight w:val="653" w:hRule="exact"/>
        </w:trPr>
        <w:tc>
          <w:tcPr>
            <w:tcW w:w="3577" w:type="dxa"/>
            <w:tcBorders>
              <w:top w:val="single" w:sz="8" w:space="0" w:color="000000"/>
              <w:left w:val="nil" w:sz="6" w:space="0" w:color="auto"/>
              <w:bottom w:val="single" w:sz="12" w:space="0" w:color="000000"/>
              <w:right w:val="single" w:sz="8" w:space="0" w:color="000000"/>
            </w:tcBorders>
          </w:tcPr>
          <w:p>
            <w:pPr>
              <w:pStyle w:val="TableParagraph"/>
              <w:tabs>
                <w:tab w:pos="477" w:val="left" w:leader="none"/>
              </w:tabs>
              <w:spacing w:line="240" w:lineRule="auto" w:before="106"/>
              <w:ind w:left="2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06"/>
              <w:ind w:right="96"/>
              <w:jc w:val="right"/>
              <w:rPr>
                <w:rFonts w:ascii="宋体" w:hAnsi="宋体" w:cs="宋体" w:eastAsia="宋体" w:hint="default"/>
                <w:sz w:val="18"/>
                <w:szCs w:val="18"/>
              </w:rPr>
            </w:pPr>
            <w:r>
              <w:rPr>
                <w:rFonts w:ascii="宋体"/>
                <w:spacing w:val="-1"/>
                <w:sz w:val="18"/>
              </w:rPr>
              <w:t>1,320,000.00</w:t>
            </w:r>
          </w:p>
        </w:tc>
        <w:tc>
          <w:tcPr>
            <w:tcW w:w="3560"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06"/>
              <w:ind w:right="105"/>
              <w:jc w:val="right"/>
              <w:rPr>
                <w:rFonts w:ascii="宋体" w:hAnsi="宋体" w:cs="宋体" w:eastAsia="宋体" w:hint="default"/>
                <w:sz w:val="18"/>
                <w:szCs w:val="18"/>
              </w:rPr>
            </w:pPr>
            <w:r>
              <w:rPr>
                <w:rFonts w:ascii="宋体"/>
                <w:spacing w:val="-1"/>
                <w:sz w:val="18"/>
              </w:rPr>
              <w:t>6,520,000.00</w:t>
            </w:r>
          </w:p>
        </w:tc>
      </w:tr>
    </w:tbl>
    <w:p>
      <w:pPr>
        <w:pStyle w:val="BodyText"/>
        <w:spacing w:line="240" w:lineRule="auto" w:before="86"/>
        <w:ind w:left="660" w:right="606"/>
        <w:jc w:val="left"/>
      </w:pPr>
      <w:r>
        <w:rPr>
          <w:w w:val="100"/>
        </w:rPr>
        <w:t>根据</w:t>
      </w:r>
      <w:r>
        <w:rPr>
          <w:spacing w:val="-3"/>
          <w:w w:val="100"/>
        </w:rPr>
        <w:t>国</w:t>
      </w:r>
      <w:r>
        <w:rPr>
          <w:w w:val="100"/>
        </w:rPr>
        <w:t>家</w:t>
      </w:r>
      <w:r>
        <w:rPr>
          <w:spacing w:val="-3"/>
          <w:w w:val="100"/>
        </w:rPr>
        <w:t>发</w:t>
      </w:r>
      <w:r>
        <w:rPr>
          <w:w w:val="100"/>
        </w:rPr>
        <w:t>改</w:t>
      </w:r>
      <w:r>
        <w:rPr>
          <w:spacing w:val="-3"/>
          <w:w w:val="100"/>
        </w:rPr>
        <w:t>委</w:t>
      </w:r>
      <w:r>
        <w:rPr>
          <w:w w:val="100"/>
        </w:rPr>
        <w:t>下</w:t>
      </w:r>
      <w:r>
        <w:rPr>
          <w:spacing w:val="-3"/>
          <w:w w:val="100"/>
        </w:rPr>
        <w:t>达</w:t>
      </w:r>
      <w:r>
        <w:rPr>
          <w:w w:val="100"/>
        </w:rPr>
        <w:t>的</w:t>
      </w:r>
      <w:r>
        <w:rPr>
          <w:spacing w:val="-3"/>
          <w:w w:val="100"/>
        </w:rPr>
        <w:t>发</w:t>
      </w:r>
      <w:r>
        <w:rPr>
          <w:w w:val="100"/>
        </w:rPr>
        <w:t>改投</w:t>
      </w:r>
      <w:r>
        <w:rPr>
          <w:spacing w:val="-2"/>
          <w:w w:val="100"/>
        </w:rPr>
        <w:t>资</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7]3</w:t>
      </w:r>
      <w:r>
        <w:rPr>
          <w:rFonts w:ascii="宋体" w:hAnsi="宋体" w:cs="宋体" w:eastAsia="宋体" w:hint="default"/>
          <w:spacing w:val="-3"/>
          <w:w w:val="100"/>
        </w:rPr>
        <w:t>0</w:t>
      </w:r>
      <w:r>
        <w:rPr>
          <w:rFonts w:ascii="宋体" w:hAnsi="宋体" w:cs="宋体" w:eastAsia="宋体" w:hint="default"/>
          <w:w w:val="100"/>
        </w:rPr>
        <w:t>6</w:t>
      </w:r>
      <w:r>
        <w:rPr>
          <w:rFonts w:ascii="宋体" w:hAnsi="宋体" w:cs="宋体" w:eastAsia="宋体" w:hint="default"/>
          <w:spacing w:val="-53"/>
        </w:rPr>
        <w:t> </w:t>
      </w:r>
      <w:r>
        <w:rPr>
          <w:spacing w:val="-89"/>
          <w:w w:val="100"/>
        </w:rPr>
        <w:t>号</w:t>
      </w:r>
      <w:r>
        <w:rPr>
          <w:w w:val="100"/>
        </w:rPr>
        <w:t>“</w:t>
      </w:r>
      <w:r>
        <w:rPr>
          <w:spacing w:val="-3"/>
          <w:w w:val="100"/>
        </w:rPr>
        <w:t>国家</w:t>
      </w:r>
      <w:r>
        <w:rPr>
          <w:w w:val="100"/>
        </w:rPr>
        <w:t>发展</w:t>
      </w:r>
      <w:r>
        <w:rPr>
          <w:spacing w:val="-3"/>
          <w:w w:val="100"/>
        </w:rPr>
        <w:t>改</w:t>
      </w:r>
      <w:r>
        <w:rPr>
          <w:w w:val="100"/>
        </w:rPr>
        <w:t>革</w:t>
      </w:r>
      <w:r>
        <w:rPr>
          <w:spacing w:val="-3"/>
          <w:w w:val="100"/>
        </w:rPr>
        <w:t>委</w:t>
      </w:r>
      <w:r>
        <w:rPr>
          <w:w w:val="100"/>
        </w:rPr>
        <w:t>员</w:t>
      </w:r>
      <w:r>
        <w:rPr>
          <w:spacing w:val="-3"/>
          <w:w w:val="100"/>
        </w:rPr>
        <w:t>会</w:t>
      </w:r>
      <w:r>
        <w:rPr>
          <w:w w:val="100"/>
        </w:rPr>
        <w:t>关</w:t>
      </w:r>
      <w:r>
        <w:rPr>
          <w:spacing w:val="-3"/>
          <w:w w:val="100"/>
        </w:rPr>
        <w:t>于下</w:t>
      </w:r>
      <w:r>
        <w:rPr>
          <w:w w:val="100"/>
        </w:rPr>
        <w:t>达</w:t>
      </w:r>
      <w:r>
        <w:rPr>
          <w:spacing w:val="-55"/>
        </w:rPr>
        <w:t> </w:t>
      </w:r>
      <w:r>
        <w:rPr>
          <w:rFonts w:ascii="宋体" w:hAnsi="宋体" w:cs="宋体" w:eastAsia="宋体" w:hint="default"/>
          <w:w w:val="100"/>
        </w:rPr>
        <w:t>2007</w:t>
      </w:r>
      <w:r>
        <w:rPr>
          <w:rFonts w:ascii="宋体" w:hAnsi="宋体" w:cs="宋体" w:eastAsia="宋体" w:hint="default"/>
          <w:spacing w:val="-55"/>
        </w:rPr>
        <w:t> </w:t>
      </w:r>
      <w:r>
        <w:rPr>
          <w:w w:val="100"/>
        </w:rPr>
        <w:t>年</w:t>
      </w:r>
      <w:r>
        <w:rPr>
          <w:spacing w:val="-3"/>
          <w:w w:val="100"/>
        </w:rPr>
        <w:t>东</w:t>
      </w:r>
      <w:r>
        <w:rPr>
          <w:w w:val="100"/>
        </w:rPr>
        <w:t>北</w:t>
      </w:r>
      <w:r>
        <w:rPr>
          <w:spacing w:val="-3"/>
          <w:w w:val="100"/>
        </w:rPr>
        <w:t>等</w:t>
      </w:r>
      <w:r>
        <w:rPr>
          <w:w w:val="100"/>
        </w:rPr>
        <w:t>老</w:t>
      </w:r>
      <w:r>
        <w:rPr>
          <w:spacing w:val="-3"/>
          <w:w w:val="100"/>
        </w:rPr>
        <w:t>工</w:t>
      </w:r>
      <w:r>
        <w:rPr>
          <w:w w:val="100"/>
        </w:rPr>
        <w:t>业</w:t>
      </w:r>
      <w:r>
        <w:rPr>
          <w:spacing w:val="-3"/>
          <w:w w:val="100"/>
        </w:rPr>
        <w:t>基地</w:t>
      </w:r>
      <w:r>
        <w:rPr>
          <w:w w:val="100"/>
        </w:rPr>
        <w:t>调整改</w:t>
      </w:r>
    </w:p>
    <w:p>
      <w:pPr>
        <w:pStyle w:val="BodyText"/>
        <w:spacing w:line="357" w:lineRule="auto" w:before="133"/>
        <w:ind w:left="240" w:right="711"/>
        <w:jc w:val="both"/>
      </w:pPr>
      <w:r>
        <w:rPr/>
        <w:t>造专项（第七批）中央预算内投资计划的通知”以及吉林省发改委下达的吉发改投字</w:t>
      </w:r>
      <w:r>
        <w:rPr>
          <w:rFonts w:ascii="宋体" w:hAnsi="宋体" w:cs="宋体" w:eastAsia="宋体" w:hint="default"/>
        </w:rPr>
        <w:t>[2008]203</w:t>
      </w:r>
      <w:r>
        <w:rPr>
          <w:rFonts w:ascii="宋体" w:hAnsi="宋体" w:cs="宋体" w:eastAsia="宋体" w:hint="default"/>
          <w:spacing w:val="-65"/>
        </w:rPr>
        <w:t> </w:t>
      </w:r>
      <w:r>
        <w:rPr>
          <w:spacing w:val="-3"/>
        </w:rPr>
        <w:t>号“关于下达</w:t>
      </w:r>
      <w:r>
        <w:rPr>
          <w:spacing w:val="-64"/>
        </w:rPr>
        <w:t> </w:t>
      </w:r>
      <w:r>
        <w:rPr>
          <w:rFonts w:ascii="宋体" w:hAnsi="宋体" w:cs="宋体" w:eastAsia="宋体" w:hint="default"/>
        </w:rPr>
        <w:t>2008</w:t>
      </w:r>
      <w:r>
        <w:rPr>
          <w:rFonts w:ascii="宋体" w:hAnsi="宋体" w:cs="宋体" w:eastAsia="宋体" w:hint="default"/>
          <w:w w:val="100"/>
        </w:rPr>
        <w:t> </w:t>
      </w:r>
      <w:r>
        <w:rPr>
          <w:spacing w:val="-2"/>
          <w:w w:val="100"/>
        </w:rPr>
        <w:t>年全省重大装备本地化、东北地区等老工业基地调整改造及工业结构调整中央预算内投资计划的通知”，子公司吉</w:t>
      </w:r>
      <w:r>
        <w:rPr>
          <w:spacing w:val="-100"/>
          <w:w w:val="100"/>
        </w:rPr>
        <w:t> </w:t>
      </w:r>
      <w:r>
        <w:rPr>
          <w:spacing w:val="-100"/>
          <w:w w:val="100"/>
        </w:rPr>
      </w:r>
      <w:r>
        <w:rPr/>
        <w:t>林草还丹药业有限公司共计收到“年产</w:t>
      </w:r>
      <w:r>
        <w:rPr>
          <w:spacing w:val="-41"/>
        </w:rPr>
        <w:t> </w:t>
      </w:r>
      <w:r>
        <w:rPr>
          <w:rFonts w:ascii="宋体" w:hAnsi="宋体" w:cs="宋体" w:eastAsia="宋体" w:hint="default"/>
        </w:rPr>
        <w:t>2</w:t>
      </w:r>
      <w:r>
        <w:rPr>
          <w:rFonts w:ascii="宋体" w:hAnsi="宋体" w:cs="宋体" w:eastAsia="宋体" w:hint="default"/>
          <w:spacing w:val="-44"/>
        </w:rPr>
        <w:t> </w:t>
      </w:r>
      <w:r>
        <w:rPr>
          <w:spacing w:val="-3"/>
        </w:rPr>
        <w:t>亿粒藿香祛暑软胶囊”项目政府补助</w:t>
      </w:r>
      <w:r>
        <w:rPr>
          <w:spacing w:val="-42"/>
        </w:rPr>
        <w:t> </w:t>
      </w:r>
      <w:r>
        <w:rPr>
          <w:rFonts w:ascii="宋体" w:hAnsi="宋体" w:cs="宋体" w:eastAsia="宋体" w:hint="default"/>
        </w:rPr>
        <w:t>506</w:t>
      </w:r>
      <w:r>
        <w:rPr>
          <w:rFonts w:ascii="宋体" w:hAnsi="宋体" w:cs="宋体" w:eastAsia="宋体" w:hint="default"/>
          <w:spacing w:val="-44"/>
        </w:rPr>
        <w:t> </w:t>
      </w:r>
      <w:r>
        <w:rPr>
          <w:spacing w:val="-3"/>
        </w:rPr>
        <w:t>万元，该项目在本期已经吉林省</w:t>
      </w:r>
      <w:r>
        <w:rPr>
          <w:spacing w:val="-100"/>
        </w:rPr>
        <w:t> </w:t>
      </w:r>
      <w:r>
        <w:rPr>
          <w:spacing w:val="-100"/>
        </w:rPr>
      </w:r>
      <w:r>
        <w:rPr/>
        <w:t>发改委验收通过，根据文件规定项目验收合格后转为资本公积处理。</w:t>
      </w:r>
    </w:p>
    <w:p>
      <w:pPr>
        <w:pStyle w:val="BodyText"/>
        <w:spacing w:line="355" w:lineRule="auto" w:before="30"/>
        <w:ind w:left="240" w:right="711" w:firstLine="420"/>
        <w:jc w:val="both"/>
      </w:pPr>
      <w:r>
        <w:rPr/>
        <w:t>根据通化市财政局文件通市财建</w:t>
      </w:r>
      <w:r>
        <w:rPr>
          <w:rFonts w:ascii="宋体" w:hAnsi="宋体" w:cs="宋体" w:eastAsia="宋体" w:hint="default"/>
        </w:rPr>
        <w:t>[2004]61</w:t>
      </w:r>
      <w:r>
        <w:rPr>
          <w:rFonts w:ascii="宋体" w:hAnsi="宋体" w:cs="宋体" w:eastAsia="宋体" w:hint="default"/>
          <w:spacing w:val="-48"/>
        </w:rPr>
        <w:t> </w:t>
      </w:r>
      <w:r>
        <w:rPr/>
        <w:t>号“关于下达</w:t>
      </w:r>
      <w:r>
        <w:rPr>
          <w:spacing w:val="-48"/>
        </w:rPr>
        <w:t> </w:t>
      </w:r>
      <w:r>
        <w:rPr>
          <w:rFonts w:ascii="宋体" w:hAnsi="宋体" w:cs="宋体" w:eastAsia="宋体" w:hint="default"/>
        </w:rPr>
        <w:t>2004</w:t>
      </w:r>
      <w:r>
        <w:rPr>
          <w:rFonts w:ascii="宋体" w:hAnsi="宋体" w:cs="宋体" w:eastAsia="宋体" w:hint="default"/>
          <w:spacing w:val="-50"/>
        </w:rPr>
        <w:t> </w:t>
      </w:r>
      <w:r>
        <w:rPr/>
        <w:t>年东北老工业基地调整改造国债转贷支出计划的</w:t>
      </w:r>
      <w:r>
        <w:rPr>
          <w:w w:val="100"/>
        </w:rPr>
        <w:t> </w:t>
      </w:r>
      <w:r>
        <w:rPr>
          <w:spacing w:val="-14"/>
          <w:w w:val="100"/>
        </w:rPr>
        <w:t>通知”，</w:t>
      </w:r>
      <w:r>
        <w:rPr>
          <w:rFonts w:ascii="宋体" w:hAnsi="宋体" w:cs="宋体" w:eastAsia="宋体" w:hint="default"/>
          <w:spacing w:val="-14"/>
          <w:w w:val="100"/>
        </w:rPr>
        <w:t>2005</w:t>
      </w:r>
      <w:r>
        <w:rPr>
          <w:rFonts w:ascii="宋体" w:hAnsi="宋体" w:cs="宋体" w:eastAsia="宋体" w:hint="default"/>
          <w:spacing w:val="-41"/>
          <w:w w:val="100"/>
        </w:rPr>
        <w:t> </w:t>
      </w:r>
      <w:r>
        <w:rPr>
          <w:spacing w:val="-2"/>
          <w:w w:val="100"/>
        </w:rPr>
        <w:t>年柳河县财政局拨入本公司</w:t>
      </w:r>
      <w:r>
        <w:rPr>
          <w:spacing w:val="-39"/>
          <w:w w:val="100"/>
        </w:rPr>
        <w:t> </w:t>
      </w:r>
      <w:r>
        <w:rPr>
          <w:rFonts w:ascii="宋体" w:hAnsi="宋体" w:cs="宋体" w:eastAsia="宋体" w:hint="default"/>
          <w:w w:val="100"/>
        </w:rPr>
        <w:t>160</w:t>
      </w:r>
      <w:r>
        <w:rPr>
          <w:rFonts w:ascii="宋体" w:hAnsi="宋体" w:cs="宋体" w:eastAsia="宋体" w:hint="default"/>
          <w:spacing w:val="-41"/>
          <w:w w:val="100"/>
        </w:rPr>
        <w:t> </w:t>
      </w:r>
      <w:r>
        <w:rPr>
          <w:spacing w:val="-2"/>
          <w:w w:val="100"/>
        </w:rPr>
        <w:t>万元中央国债地方转贷资金，专项用于东北地区等老工业基地调整改</w:t>
      </w:r>
      <w:r>
        <w:rPr>
          <w:spacing w:val="-103"/>
          <w:w w:val="100"/>
        </w:rPr>
        <w:t> </w:t>
      </w:r>
      <w:r>
        <w:rPr>
          <w:spacing w:val="-103"/>
          <w:w w:val="100"/>
        </w:rPr>
      </w:r>
      <w:r>
        <w:rPr/>
        <w:t>造项目建设，本公司本期偿还上述转贷资金</w:t>
      </w:r>
      <w:r>
        <w:rPr>
          <w:spacing w:val="-52"/>
        </w:rPr>
        <w:t> </w:t>
      </w:r>
      <w:r>
        <w:rPr>
          <w:rFonts w:ascii="宋体" w:hAnsi="宋体" w:cs="宋体" w:eastAsia="宋体" w:hint="default"/>
        </w:rPr>
        <w:t>14</w:t>
      </w:r>
      <w:r>
        <w:rPr>
          <w:rFonts w:ascii="宋体" w:hAnsi="宋体" w:cs="宋体" w:eastAsia="宋体" w:hint="default"/>
          <w:spacing w:val="-53"/>
        </w:rPr>
        <w:t> </w:t>
      </w:r>
      <w:r>
        <w:rPr>
          <w:spacing w:val="-3"/>
        </w:rPr>
        <w:t>万元。</w:t>
      </w:r>
      <w:r>
        <w:rPr/>
      </w:r>
    </w:p>
    <w:p>
      <w:pPr>
        <w:pStyle w:val="Heading4"/>
        <w:spacing w:line="240" w:lineRule="auto" w:before="33"/>
        <w:ind w:right="606"/>
        <w:jc w:val="left"/>
        <w:rPr>
          <w:b w:val="0"/>
          <w:bCs w:val="0"/>
        </w:rPr>
      </w:pPr>
      <w:r>
        <w:rPr>
          <w:rFonts w:ascii="宋体" w:hAnsi="宋体" w:cs="宋体" w:eastAsia="宋体" w:hint="default"/>
        </w:rPr>
        <w:t>19</w:t>
      </w:r>
      <w:r>
        <w:rPr/>
        <w:t>、递延所得税负债</w:t>
      </w:r>
      <w:r>
        <w:rPr>
          <w:b w:val="0"/>
          <w:bCs w:val="0"/>
        </w:rPr>
      </w:r>
    </w:p>
    <w:p>
      <w:pPr>
        <w:spacing w:line="240" w:lineRule="auto" w:before="13"/>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577"/>
        <w:gridCol w:w="3562"/>
        <w:gridCol w:w="3560"/>
      </w:tblGrid>
      <w:tr>
        <w:trPr>
          <w:trHeight w:val="674" w:hRule="exact"/>
        </w:trPr>
        <w:tc>
          <w:tcPr>
            <w:tcW w:w="3577" w:type="dxa"/>
            <w:tcBorders>
              <w:top w:val="single" w:sz="12" w:space="0" w:color="000000"/>
              <w:left w:val="nil" w:sz="6" w:space="0" w:color="auto"/>
              <w:bottom w:val="single" w:sz="8" w:space="0" w:color="000000"/>
              <w:right w:val="single" w:sz="8" w:space="0" w:color="000000"/>
            </w:tcBorders>
          </w:tcPr>
          <w:p>
            <w:pPr>
              <w:pStyle w:val="TableParagraph"/>
              <w:tabs>
                <w:tab w:pos="477" w:val="left" w:leader="none"/>
              </w:tabs>
              <w:spacing w:line="240" w:lineRule="auto" w:before="118"/>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6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0"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18"/>
              <w:ind w:right="6"/>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72" w:hRule="exact"/>
        </w:trPr>
        <w:tc>
          <w:tcPr>
            <w:tcW w:w="3577"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8"/>
              <w:ind w:left="122" w:right="0"/>
              <w:jc w:val="left"/>
              <w:rPr>
                <w:rFonts w:ascii="宋体" w:hAnsi="宋体" w:cs="宋体" w:eastAsia="宋体" w:hint="default"/>
                <w:sz w:val="18"/>
                <w:szCs w:val="18"/>
              </w:rPr>
            </w:pPr>
            <w:r>
              <w:rPr>
                <w:rFonts w:ascii="宋体" w:hAnsi="宋体" w:cs="宋体" w:eastAsia="宋体" w:hint="default"/>
                <w:sz w:val="18"/>
                <w:szCs w:val="18"/>
              </w:rPr>
              <w:t>直接计入所有者权益的资本公积</w:t>
            </w:r>
          </w:p>
        </w:tc>
        <w:tc>
          <w:tcPr>
            <w:tcW w:w="3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宋体" w:hAnsi="宋体" w:cs="宋体" w:eastAsia="宋体" w:hint="default"/>
                <w:sz w:val="18"/>
                <w:szCs w:val="18"/>
              </w:rPr>
            </w:pPr>
            <w:r>
              <w:rPr>
                <w:rFonts w:ascii="宋体"/>
                <w:spacing w:val="-1"/>
                <w:sz w:val="18"/>
              </w:rPr>
              <w:t>725,266.67</w:t>
            </w:r>
          </w:p>
        </w:tc>
        <w:tc>
          <w:tcPr>
            <w:tcW w:w="3560" w:type="dxa"/>
            <w:tcBorders>
              <w:top w:val="single" w:sz="8" w:space="0" w:color="000000"/>
              <w:left w:val="single" w:sz="8" w:space="0" w:color="000000"/>
              <w:bottom w:val="single" w:sz="8" w:space="0" w:color="000000"/>
              <w:right w:val="nil" w:sz="6" w:space="0" w:color="auto"/>
            </w:tcBorders>
          </w:tcPr>
          <w:p>
            <w:pPr/>
          </w:p>
        </w:tc>
      </w:tr>
      <w:tr>
        <w:trPr>
          <w:trHeight w:val="677" w:hRule="exact"/>
        </w:trPr>
        <w:tc>
          <w:tcPr>
            <w:tcW w:w="3577" w:type="dxa"/>
            <w:tcBorders>
              <w:top w:val="single" w:sz="8" w:space="0" w:color="000000"/>
              <w:left w:val="nil" w:sz="6" w:space="0" w:color="auto"/>
              <w:bottom w:val="single" w:sz="12" w:space="0" w:color="000000"/>
              <w:right w:val="single" w:sz="8" w:space="0" w:color="000000"/>
            </w:tcBorders>
          </w:tcPr>
          <w:p>
            <w:pPr>
              <w:pStyle w:val="TableParagraph"/>
              <w:tabs>
                <w:tab w:pos="477" w:val="left" w:leader="none"/>
              </w:tabs>
              <w:spacing w:line="240" w:lineRule="auto" w:before="118"/>
              <w:ind w:left="23"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18"/>
              <w:ind w:right="96"/>
              <w:jc w:val="right"/>
              <w:rPr>
                <w:rFonts w:ascii="宋体" w:hAnsi="宋体" w:cs="宋体" w:eastAsia="宋体" w:hint="default"/>
                <w:sz w:val="18"/>
                <w:szCs w:val="18"/>
              </w:rPr>
            </w:pPr>
            <w:r>
              <w:rPr>
                <w:rFonts w:ascii="宋体"/>
                <w:spacing w:val="-1"/>
                <w:sz w:val="18"/>
              </w:rPr>
              <w:t>725,266.67</w:t>
            </w:r>
          </w:p>
        </w:tc>
        <w:tc>
          <w:tcPr>
            <w:tcW w:w="3560" w:type="dxa"/>
            <w:tcBorders>
              <w:top w:val="single" w:sz="8" w:space="0" w:color="000000"/>
              <w:left w:val="single" w:sz="8" w:space="0" w:color="000000"/>
              <w:bottom w:val="single" w:sz="12" w:space="0" w:color="000000"/>
              <w:right w:val="nil" w:sz="6" w:space="0" w:color="auto"/>
            </w:tcBorders>
          </w:tcPr>
          <w:p>
            <w:pPr/>
          </w:p>
        </w:tc>
      </w:tr>
    </w:tbl>
    <w:p>
      <w:pPr>
        <w:pStyle w:val="BodyText"/>
        <w:spacing w:line="355" w:lineRule="auto" w:before="86"/>
        <w:ind w:left="240" w:right="606" w:firstLine="420"/>
        <w:jc w:val="left"/>
      </w:pPr>
      <w:r>
        <w:rPr/>
        <w:t>子公司吉林草还丹药业有限公司“年产</w:t>
      </w:r>
      <w:r>
        <w:rPr>
          <w:spacing w:val="-42"/>
        </w:rPr>
        <w:t> </w:t>
      </w:r>
      <w:r>
        <w:rPr>
          <w:rFonts w:ascii="宋体" w:hAnsi="宋体" w:cs="宋体" w:eastAsia="宋体" w:hint="default"/>
        </w:rPr>
        <w:t>2</w:t>
      </w:r>
      <w:r>
        <w:rPr>
          <w:rFonts w:ascii="宋体" w:hAnsi="宋体" w:cs="宋体" w:eastAsia="宋体" w:hint="default"/>
          <w:spacing w:val="-45"/>
        </w:rPr>
        <w:t> </w:t>
      </w:r>
      <w:r>
        <w:rPr>
          <w:spacing w:val="-3"/>
        </w:rPr>
        <w:t>亿粒藿香祛暑软胶囊”项目政府补助</w:t>
      </w:r>
      <w:r>
        <w:rPr>
          <w:spacing w:val="-43"/>
        </w:rPr>
        <w:t> </w:t>
      </w:r>
      <w:r>
        <w:rPr>
          <w:rFonts w:ascii="宋体" w:hAnsi="宋体" w:cs="宋体" w:eastAsia="宋体" w:hint="default"/>
        </w:rPr>
        <w:t>506</w:t>
      </w:r>
      <w:r>
        <w:rPr>
          <w:rFonts w:ascii="宋体" w:hAnsi="宋体" w:cs="宋体" w:eastAsia="宋体" w:hint="default"/>
          <w:spacing w:val="-45"/>
        </w:rPr>
        <w:t> </w:t>
      </w:r>
      <w:r>
        <w:rPr>
          <w:spacing w:val="-3"/>
        </w:rPr>
        <w:t>万元，该项目在本期已经吉</w:t>
      </w:r>
      <w:r>
        <w:rPr>
          <w:w w:val="100"/>
        </w:rPr>
        <w:t> </w:t>
      </w:r>
      <w:r>
        <w:rPr>
          <w:spacing w:val="-3"/>
        </w:rPr>
        <w:t>林省发改委验收通过，根据文件规定项目验收合格后转为资本公积处理。根据吉林草还丹药业有限公司主管税务机</w:t>
      </w:r>
    </w:p>
    <w:p>
      <w:pPr>
        <w:spacing w:after="0" w:line="355" w:lineRule="auto"/>
        <w:jc w:val="left"/>
        <w:sectPr>
          <w:footerReference w:type="default" r:id="rId36"/>
          <w:pgSz w:w="11910" w:h="16840"/>
          <w:pgMar w:footer="956" w:header="720" w:top="1300" w:bottom="1140" w:left="480" w:right="0"/>
          <w:pgNumType w:start="88"/>
        </w:sectPr>
      </w:pPr>
    </w:p>
    <w:p>
      <w:pPr>
        <w:pStyle w:val="BodyText"/>
        <w:spacing w:line="240" w:lineRule="auto" w:before="19"/>
        <w:ind w:left="220" w:right="0"/>
        <w:jc w:val="left"/>
      </w:pPr>
      <w:r>
        <w:rPr/>
        <w:pict>
          <v:group style="position:absolute;margin-left:34.560001pt;margin-top:2.293643pt;width:508.3pt;height:.1pt;mso-position-horizontal-relative:page;mso-position-vertical-relative:paragraph;z-index:-533272" coordorigin="691,46" coordsize="10166,2">
            <v:shape style="position:absolute;left:691;top:46;width:10166;height:2" coordorigin="691,46" coordsize="10166,0" path="m691,46l10857,46e" filled="false" stroked="true" strokeweight=".72pt" strokecolor="#000000">
              <v:path arrowok="t"/>
            </v:shape>
            <w10:wrap type="none"/>
          </v:group>
        </w:pict>
      </w:r>
      <w:r>
        <w:rPr/>
        <w:t>关认定，该项目补助形成固定资产金额</w:t>
      </w:r>
      <w:r>
        <w:rPr>
          <w:spacing w:val="-47"/>
        </w:rPr>
        <w:t> </w:t>
      </w:r>
      <w:r>
        <w:rPr>
          <w:rFonts w:ascii="宋体" w:hAnsi="宋体" w:cs="宋体" w:eastAsia="宋体" w:hint="default"/>
        </w:rPr>
        <w:t>506</w:t>
      </w:r>
      <w:r>
        <w:rPr>
          <w:rFonts w:ascii="宋体" w:hAnsi="宋体" w:cs="宋体" w:eastAsia="宋体" w:hint="default"/>
          <w:spacing w:val="-48"/>
        </w:rPr>
        <w:t> </w:t>
      </w:r>
      <w:r>
        <w:rPr/>
        <w:t>万元，每年在计算所得税时其当期计提的折旧不予抵扣，</w:t>
      </w:r>
      <w:r>
        <w:rPr>
          <w:spacing w:val="-5"/>
        </w:rPr>
        <w:t> </w:t>
      </w:r>
      <w:r>
        <w:rPr>
          <w:rFonts w:ascii="宋体" w:hAnsi="宋体" w:cs="宋体" w:eastAsia="宋体" w:hint="default"/>
        </w:rPr>
        <w:t>2010</w:t>
      </w:r>
      <w:r>
        <w:rPr>
          <w:rFonts w:ascii="宋体" w:hAnsi="宋体" w:cs="宋体" w:eastAsia="宋体" w:hint="default"/>
          <w:spacing w:val="-48"/>
        </w:rPr>
        <w:t> </w:t>
      </w:r>
      <w:r>
        <w:rPr/>
        <w:t>年该固</w:t>
      </w:r>
    </w:p>
    <w:p>
      <w:pPr>
        <w:pStyle w:val="BodyText"/>
        <w:spacing w:line="355" w:lineRule="auto" w:before="133"/>
        <w:ind w:left="220" w:right="0"/>
        <w:jc w:val="left"/>
      </w:pPr>
      <w:r>
        <w:rPr/>
        <w:t>定资产当期计提折旧额为</w:t>
      </w:r>
      <w:r>
        <w:rPr>
          <w:spacing w:val="-47"/>
        </w:rPr>
        <w:t> </w:t>
      </w:r>
      <w:r>
        <w:rPr>
          <w:rFonts w:ascii="宋体" w:hAnsi="宋体" w:cs="宋体" w:eastAsia="宋体" w:hint="default"/>
        </w:rPr>
        <w:t>224,889.89</w:t>
      </w:r>
      <w:r>
        <w:rPr>
          <w:rFonts w:ascii="宋体" w:hAnsi="宋体" w:cs="宋体" w:eastAsia="宋体" w:hint="default"/>
          <w:spacing w:val="-43"/>
        </w:rPr>
        <w:t> </w:t>
      </w:r>
      <w:r>
        <w:rPr>
          <w:spacing w:val="-3"/>
        </w:rPr>
        <w:t>元不予抵扣，以后年度应纳税所得额为</w:t>
      </w:r>
      <w:r>
        <w:rPr>
          <w:spacing w:val="-47"/>
        </w:rPr>
        <w:t> </w:t>
      </w:r>
      <w:r>
        <w:rPr>
          <w:rFonts w:ascii="宋体" w:hAnsi="宋体" w:cs="宋体" w:eastAsia="宋体" w:hint="default"/>
        </w:rPr>
        <w:t>4,835,111.11</w:t>
      </w:r>
      <w:r>
        <w:rPr>
          <w:rFonts w:ascii="宋体" w:hAnsi="宋体" w:cs="宋体" w:eastAsia="宋体" w:hint="default"/>
          <w:spacing w:val="-47"/>
        </w:rPr>
        <w:t> </w:t>
      </w:r>
      <w:r>
        <w:rPr>
          <w:spacing w:val="-3"/>
        </w:rPr>
        <w:t>元，按照其所执行的所</w:t>
      </w:r>
      <w:r>
        <w:rPr>
          <w:spacing w:val="-101"/>
        </w:rPr>
        <w:t> </w:t>
      </w:r>
      <w:r>
        <w:rPr>
          <w:spacing w:val="-101"/>
        </w:rPr>
      </w:r>
      <w:r>
        <w:rPr/>
        <w:t>得税税率为</w:t>
      </w:r>
      <w:r>
        <w:rPr>
          <w:spacing w:val="-53"/>
        </w:rPr>
        <w:t> </w:t>
      </w:r>
      <w:r>
        <w:rPr>
          <w:rFonts w:ascii="宋体" w:hAnsi="宋体" w:cs="宋体" w:eastAsia="宋体" w:hint="default"/>
        </w:rPr>
        <w:t>15%</w:t>
      </w:r>
      <w:r>
        <w:rPr/>
        <w:t>，计算的递延所得税负债为</w:t>
      </w:r>
      <w:r>
        <w:rPr>
          <w:spacing w:val="-53"/>
        </w:rPr>
        <w:t> </w:t>
      </w:r>
      <w:r>
        <w:rPr>
          <w:rFonts w:ascii="宋体" w:hAnsi="宋体" w:cs="宋体" w:eastAsia="宋体" w:hint="default"/>
        </w:rPr>
        <w:t>725,266.67</w:t>
      </w:r>
      <w:r>
        <w:rPr>
          <w:rFonts w:ascii="宋体" w:hAnsi="宋体" w:cs="宋体" w:eastAsia="宋体" w:hint="default"/>
          <w:spacing w:val="-56"/>
        </w:rPr>
        <w:t> </w:t>
      </w:r>
      <w:r>
        <w:rPr/>
        <w:t>元。</w:t>
      </w:r>
    </w:p>
    <w:p>
      <w:pPr>
        <w:pStyle w:val="Heading4"/>
        <w:spacing w:line="240" w:lineRule="auto" w:before="32"/>
        <w:ind w:left="632" w:right="0"/>
        <w:jc w:val="left"/>
        <w:rPr>
          <w:b w:val="0"/>
          <w:bCs w:val="0"/>
        </w:rPr>
      </w:pPr>
      <w:r>
        <w:rPr>
          <w:rFonts w:ascii="宋体" w:hAnsi="宋体" w:cs="宋体" w:eastAsia="宋体" w:hint="default"/>
        </w:rPr>
        <w:t>20</w:t>
      </w:r>
      <w:r>
        <w:rPr/>
        <w:t>、股本</w:t>
      </w:r>
      <w:r>
        <w:rPr>
          <w:b w:val="0"/>
          <w:bCs w:val="0"/>
        </w:rPr>
      </w:r>
    </w:p>
    <w:p>
      <w:pPr>
        <w:pStyle w:val="BodyText"/>
        <w:spacing w:line="240" w:lineRule="auto" w:before="135"/>
        <w:ind w:left="640" w:right="0"/>
        <w:jc w:val="left"/>
        <w:rPr>
          <w:rFonts w:ascii="宋体" w:hAnsi="宋体" w:cs="宋体" w:eastAsia="宋体" w:hint="default"/>
        </w:rPr>
      </w:pPr>
      <w:r>
        <w:rPr/>
        <w:t>（</w:t>
      </w:r>
      <w:r>
        <w:rPr>
          <w:rFonts w:ascii="宋体" w:hAnsi="宋体" w:cs="宋体" w:eastAsia="宋体" w:hint="default"/>
        </w:rPr>
        <w:t>1</w:t>
      </w:r>
      <w:r>
        <w:rPr/>
        <w:t>）变动明细</w:t>
      </w:r>
      <w:r>
        <w:rPr>
          <w:rFonts w:ascii="宋体" w:hAnsi="宋体" w:cs="宋体" w:eastAsia="宋体" w:hint="default"/>
        </w:rPr>
        <w:t>:</w:t>
      </w:r>
    </w:p>
    <w:p>
      <w:pPr>
        <w:spacing w:before="134"/>
        <w:ind w:left="0" w:right="713" w:firstLine="0"/>
        <w:jc w:val="right"/>
        <w:rPr>
          <w:rFonts w:ascii="宋体" w:hAnsi="宋体" w:cs="宋体" w:eastAsia="宋体" w:hint="default"/>
          <w:sz w:val="18"/>
          <w:szCs w:val="18"/>
        </w:rPr>
      </w:pPr>
      <w:r>
        <w:rPr/>
        <w:pict>
          <v:shape style="position:absolute;margin-left:30.360001pt;margin-top:27.291729pt;width:.48pt;height:.12pt;mso-position-horizontal-relative:page;mso-position-vertical-relative:paragraph;z-index:-533248" type="#_x0000_t75" stroked="false">
            <v:imagedata r:id="rId38" o:title=""/>
          </v:shape>
        </w:pict>
      </w:r>
      <w:r>
        <w:rPr/>
        <w:pict>
          <v:shape style="position:absolute;margin-left:564.580017pt;margin-top:27.291729pt;width:.48004pt;height:.12pt;mso-position-horizontal-relative:page;mso-position-vertical-relative:paragraph;z-index:-533224" type="#_x0000_t75" stroked="false">
            <v:imagedata r:id="rId38" o:title=""/>
          </v:shape>
        </w:pict>
      </w:r>
      <w:r>
        <w:rPr/>
        <w:pict>
          <v:shape style="position:absolute;margin-left:30.360001pt;margin-top:44.691727pt;width:.48pt;height:.12pt;mso-position-horizontal-relative:page;mso-position-vertical-relative:paragraph;z-index:-533200" type="#_x0000_t75" stroked="false">
            <v:imagedata r:id="rId38" o:title=""/>
          </v:shape>
        </w:pict>
      </w:r>
      <w:r>
        <w:rPr/>
        <w:pict>
          <v:shape style="position:absolute;margin-left:564.580017pt;margin-top:44.691727pt;width:.48004pt;height:.12pt;mso-position-horizontal-relative:page;mso-position-vertical-relative:paragraph;z-index:-533176" type="#_x0000_t75" stroked="false">
            <v:imagedata r:id="rId38" o:title=""/>
          </v:shape>
        </w:pict>
      </w:r>
      <w:r>
        <w:rPr/>
        <w:pict>
          <v:shape style="position:absolute;margin-left:30.360001pt;margin-top:80.811707pt;width:.47999pt;height:.96pt;mso-position-horizontal-relative:page;mso-position-vertical-relative:paragraph;z-index:3016" type="#_x0000_t75" stroked="false">
            <v:imagedata r:id="rId39" o:title=""/>
          </v:shape>
        </w:pict>
      </w:r>
      <w:r>
        <w:rPr/>
        <w:pict>
          <v:shape style="position:absolute;margin-left:564.580017pt;margin-top:80.811707pt;width:.48003pt;height:.96pt;mso-position-horizontal-relative:page;mso-position-vertical-relative:paragraph;z-index:3040" type="#_x0000_t75" stroked="false">
            <v:imagedata r:id="rId39" o:title=""/>
          </v:shape>
        </w:pict>
      </w:r>
      <w:r>
        <w:rPr/>
        <w:pict>
          <v:shape style="position:absolute;margin-left:30.360001pt;margin-top:116.841766pt;width:.48002pt;height:.96pt;mso-position-horizontal-relative:page;mso-position-vertical-relative:paragraph;z-index:3064" type="#_x0000_t75" stroked="false">
            <v:imagedata r:id="rId39" o:title=""/>
          </v:shape>
        </w:pict>
      </w:r>
      <w:r>
        <w:rPr/>
        <w:pict>
          <v:shape style="position:absolute;margin-left:564.580017pt;margin-top:116.841766pt;width:.48006pt;height:.96pt;mso-position-horizontal-relative:page;mso-position-vertical-relative:paragraph;z-index:3088" type="#_x0000_t75" stroked="false">
            <v:imagedata r:id="rId39" o:title=""/>
          </v:shape>
        </w:pict>
      </w:r>
      <w:r>
        <w:rPr/>
        <w:pict>
          <v:shape style="position:absolute;margin-left:30.360001pt;margin-top:135.441772pt;width:.48002pt;height:.96pt;mso-position-horizontal-relative:page;mso-position-vertical-relative:paragraph;z-index:3112" type="#_x0000_t75" stroked="false">
            <v:imagedata r:id="rId40" o:title=""/>
          </v:shape>
        </w:pict>
      </w:r>
      <w:r>
        <w:rPr/>
        <w:pict>
          <v:shape style="position:absolute;margin-left:564.580017pt;margin-top:135.441772pt;width:.48006pt;height:.96pt;mso-position-horizontal-relative:page;mso-position-vertical-relative:paragraph;z-index:3136" type="#_x0000_t75" stroked="false">
            <v:imagedata r:id="rId40" o:title=""/>
          </v:shape>
        </w:pict>
      </w:r>
      <w:r>
        <w:rPr/>
        <w:pict>
          <v:shape style="position:absolute;margin-left:30.360001pt;margin-top:153.681732pt;width:.480004pt;height:1.2pt;mso-position-horizontal-relative:page;mso-position-vertical-relative:paragraph;z-index:3160" type="#_x0000_t75" stroked="false">
            <v:imagedata r:id="rId41" o:title=""/>
          </v:shape>
        </w:pict>
      </w:r>
      <w:r>
        <w:rPr/>
        <w:pict>
          <v:shape style="position:absolute;margin-left:564.580017pt;margin-top:153.681732pt;width:.480044pt;height:1.2pt;mso-position-horizontal-relative:page;mso-position-vertical-relative:paragraph;z-index:3184" type="#_x0000_t75" stroked="false">
            <v:imagedata r:id="rId42" o:title=""/>
          </v:shape>
        </w:pict>
      </w:r>
      <w:r>
        <w:rPr/>
        <w:pict>
          <v:shape style="position:absolute;margin-left:30.360001pt;margin-top:172.161743pt;width:.480004pt;height:1.2pt;mso-position-horizontal-relative:page;mso-position-vertical-relative:paragraph;z-index:3208" type="#_x0000_t75" stroked="false">
            <v:imagedata r:id="rId41" o:title=""/>
          </v:shape>
        </w:pict>
      </w:r>
      <w:r>
        <w:rPr/>
        <w:pict>
          <v:shape style="position:absolute;margin-left:564.580017pt;margin-top:172.161743pt;width:.480044pt;height:1.2pt;mso-position-horizontal-relative:page;mso-position-vertical-relative:paragraph;z-index:3232" type="#_x0000_t75" stroked="false">
            <v:imagedata r:id="rId42" o:title=""/>
          </v:shape>
        </w:pict>
      </w:r>
      <w:r>
        <w:rPr/>
        <w:pict>
          <v:shape style="position:absolute;margin-left:30.360001pt;margin-top:190.641739pt;width:.480004pt;height:1.2pt;mso-position-horizontal-relative:page;mso-position-vertical-relative:paragraph;z-index:3256" type="#_x0000_t75" stroked="false">
            <v:imagedata r:id="rId41" o:title=""/>
          </v:shape>
        </w:pict>
      </w:r>
      <w:r>
        <w:rPr/>
        <w:pict>
          <v:shape style="position:absolute;margin-left:564.580017pt;margin-top:190.641739pt;width:.480044pt;height:1.2pt;mso-position-horizontal-relative:page;mso-position-vertical-relative:paragraph;z-index:3280" type="#_x0000_t75" stroked="false">
            <v:imagedata r:id="rId43" o:title=""/>
          </v:shape>
        </w:pict>
      </w:r>
      <w:r>
        <w:rPr/>
        <w:pict>
          <v:shape style="position:absolute;margin-left:30.360001pt;margin-top:226.881744pt;width:.480005pt;height:.96pt;mso-position-horizontal-relative:page;mso-position-vertical-relative:paragraph;z-index:3304" type="#_x0000_t75" stroked="false">
            <v:imagedata r:id="rId44" o:title=""/>
          </v:shape>
        </w:pict>
      </w:r>
      <w:r>
        <w:rPr/>
        <w:pict>
          <v:shape style="position:absolute;margin-left:564.580017pt;margin-top:226.881744pt;width:.480045pt;height:.96pt;mso-position-horizontal-relative:page;mso-position-vertical-relative:paragraph;z-index:3328" type="#_x0000_t75" stroked="false">
            <v:imagedata r:id="rId44" o:title=""/>
          </v:shape>
        </w:pict>
      </w:r>
      <w:r>
        <w:rPr>
          <w:rFonts w:ascii="宋体" w:hAnsi="宋体" w:cs="宋体" w:eastAsia="宋体" w:hint="default"/>
          <w:sz w:val="18"/>
          <w:szCs w:val="18"/>
        </w:rPr>
        <w:t>单位</w:t>
      </w:r>
      <w:r>
        <w:rPr>
          <w:rFonts w:ascii="宋体" w:hAnsi="宋体" w:cs="宋体" w:eastAsia="宋体" w:hint="default"/>
          <w:sz w:val="18"/>
          <w:szCs w:val="18"/>
        </w:rPr>
        <w:t>:</w:t>
      </w:r>
      <w:r>
        <w:rPr>
          <w:rFonts w:ascii="宋体" w:hAnsi="宋体" w:cs="宋体" w:eastAsia="宋体" w:hint="default"/>
          <w:sz w:val="18"/>
          <w:szCs w:val="18"/>
        </w:rPr>
        <w:t>股</w:t>
      </w:r>
    </w:p>
    <w:p>
      <w:pPr>
        <w:spacing w:line="240" w:lineRule="auto" w:before="4"/>
        <w:rPr>
          <w:rFonts w:ascii="宋体" w:hAnsi="宋体" w:cs="宋体" w:eastAsia="宋体" w:hint="default"/>
          <w:sz w:val="11"/>
          <w:szCs w:val="11"/>
        </w:rPr>
      </w:pPr>
    </w:p>
    <w:tbl>
      <w:tblPr>
        <w:tblW w:w="0" w:type="auto"/>
        <w:jc w:val="left"/>
        <w:tblInd w:w="107" w:type="dxa"/>
        <w:tblLayout w:type="fixed"/>
        <w:tblCellMar>
          <w:top w:w="0" w:type="dxa"/>
          <w:left w:w="0" w:type="dxa"/>
          <w:bottom w:w="0" w:type="dxa"/>
          <w:right w:w="0" w:type="dxa"/>
        </w:tblCellMar>
        <w:tblLook w:val="01E0"/>
      </w:tblPr>
      <w:tblGrid>
        <w:gridCol w:w="1812"/>
        <w:gridCol w:w="1284"/>
        <w:gridCol w:w="1133"/>
        <w:gridCol w:w="425"/>
        <w:gridCol w:w="1133"/>
        <w:gridCol w:w="1133"/>
        <w:gridCol w:w="1272"/>
        <w:gridCol w:w="1275"/>
        <w:gridCol w:w="1217"/>
      </w:tblGrid>
      <w:tr>
        <w:trPr>
          <w:trHeight w:val="374" w:hRule="exact"/>
        </w:trPr>
        <w:tc>
          <w:tcPr>
            <w:tcW w:w="1812" w:type="dxa"/>
            <w:vMerge w:val="restart"/>
            <w:tcBorders>
              <w:top w:val="single" w:sz="12" w:space="0" w:color="000000"/>
              <w:left w:val="single" w:sz="4"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股本结构</w:t>
            </w:r>
          </w:p>
        </w:tc>
        <w:tc>
          <w:tcPr>
            <w:tcW w:w="1284" w:type="dxa"/>
            <w:vMerge w:val="restart"/>
            <w:tcBorders>
              <w:top w:val="single" w:sz="12" w:space="0" w:color="000000"/>
              <w:left w:val="single" w:sz="8" w:space="0" w:color="000000"/>
              <w:right w:val="single" w:sz="8"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6371" w:type="dxa"/>
            <w:gridSpan w:val="6"/>
            <w:tcBorders>
              <w:top w:val="single" w:sz="12" w:space="0" w:color="000000"/>
              <w:left w:val="single" w:sz="8" w:space="0" w:color="000000"/>
              <w:bottom w:val="single" w:sz="8" w:space="0" w:color="000000"/>
              <w:right w:val="single" w:sz="8" w:space="0" w:color="000000"/>
            </w:tcBorders>
          </w:tcPr>
          <w:p>
            <w:pPr>
              <w:pStyle w:val="TableParagraph"/>
              <w:spacing w:line="203" w:lineRule="exact"/>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p>
        </w:tc>
        <w:tc>
          <w:tcPr>
            <w:tcW w:w="1217" w:type="dxa"/>
            <w:vMerge w:val="restart"/>
            <w:tcBorders>
              <w:top w:val="single" w:sz="12" w:space="0" w:color="000000"/>
              <w:left w:val="single" w:sz="8" w:space="0" w:color="000000"/>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720" w:hRule="exact"/>
        </w:trPr>
        <w:tc>
          <w:tcPr>
            <w:tcW w:w="1812" w:type="dxa"/>
            <w:vMerge/>
            <w:tcBorders>
              <w:left w:val="single" w:sz="4" w:space="0" w:color="000000"/>
              <w:bottom w:val="single" w:sz="8" w:space="0" w:color="000000"/>
              <w:right w:val="single" w:sz="8" w:space="0" w:color="000000"/>
            </w:tcBorders>
          </w:tcPr>
          <w:p>
            <w:pPr/>
          </w:p>
        </w:tc>
        <w:tc>
          <w:tcPr>
            <w:tcW w:w="1284" w:type="dxa"/>
            <w:vMerge/>
            <w:tcBorders>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197"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42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112" w:right="0"/>
              <w:jc w:val="left"/>
              <w:rPr>
                <w:rFonts w:ascii="宋体" w:hAnsi="宋体" w:cs="宋体" w:eastAsia="宋体" w:hint="default"/>
                <w:sz w:val="18"/>
                <w:szCs w:val="18"/>
              </w:rPr>
            </w:pPr>
            <w:r>
              <w:rPr>
                <w:rFonts w:ascii="宋体" w:hAnsi="宋体" w:cs="宋体" w:eastAsia="宋体" w:hint="default"/>
                <w:sz w:val="18"/>
                <w:szCs w:val="18"/>
              </w:rPr>
              <w:t>配</w:t>
            </w:r>
          </w:p>
          <w:p>
            <w:pPr>
              <w:pStyle w:val="TableParagraph"/>
              <w:spacing w:line="240" w:lineRule="auto" w:before="115"/>
              <w:ind w:left="1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公积金转股</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17" w:type="dxa"/>
            <w:vMerge/>
            <w:tcBorders>
              <w:left w:val="single" w:sz="8" w:space="0" w:color="000000"/>
              <w:bottom w:val="single" w:sz="8" w:space="0" w:color="000000"/>
              <w:right w:val="single" w:sz="4" w:space="0" w:color="000000"/>
            </w:tcBorders>
          </w:tcPr>
          <w:p>
            <w:pPr/>
          </w:p>
        </w:tc>
      </w:tr>
      <w:tr>
        <w:trPr>
          <w:trHeight w:val="721"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一、有限售条件的股</w:t>
            </w: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pacing w:val="-1"/>
                <w:sz w:val="18"/>
              </w:rPr>
              <w:t>83,075,380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49,875,311</w:t>
            </w: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16" w:right="0"/>
              <w:jc w:val="center"/>
              <w:rPr>
                <w:rFonts w:ascii="宋体" w:hAnsi="宋体" w:cs="宋体" w:eastAsia="宋体" w:hint="default"/>
                <w:sz w:val="18"/>
                <w:szCs w:val="18"/>
              </w:rPr>
            </w:pPr>
            <w:r>
              <w:rPr>
                <w:rFonts w:ascii="宋体"/>
                <w:sz w:val="18"/>
              </w:rPr>
              <w:t>16,615,076</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17" w:right="0"/>
              <w:jc w:val="center"/>
              <w:rPr>
                <w:rFonts w:ascii="宋体" w:hAnsi="宋体" w:cs="宋体" w:eastAsia="宋体" w:hint="default"/>
                <w:sz w:val="18"/>
                <w:szCs w:val="18"/>
              </w:rPr>
            </w:pPr>
            <w:r>
              <w:rPr>
                <w:rFonts w:ascii="宋体"/>
                <w:sz w:val="18"/>
              </w:rPr>
              <w:t>41,537,690</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pacing w:val="-1"/>
                <w:sz w:val="18"/>
              </w:rPr>
              <w:t>-15,490,638</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92,537,439</w:t>
            </w: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2"/>
              <w:ind w:left="5" w:right="0"/>
              <w:jc w:val="center"/>
              <w:rPr>
                <w:rFonts w:ascii="宋体" w:hAnsi="宋体" w:cs="宋体" w:eastAsia="宋体" w:hint="default"/>
                <w:sz w:val="18"/>
                <w:szCs w:val="18"/>
              </w:rPr>
            </w:pPr>
            <w:r>
              <w:rPr>
                <w:rFonts w:ascii="宋体"/>
                <w:sz w:val="18"/>
              </w:rPr>
              <w:t>175,612,819</w:t>
            </w:r>
          </w:p>
        </w:tc>
      </w:tr>
      <w:tr>
        <w:trPr>
          <w:trHeight w:val="372"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84"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272"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r>
      <w:tr>
        <w:trPr>
          <w:trHeight w:val="370"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84"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13,000,000</w:t>
            </w: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272"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5"/>
              <w:jc w:val="right"/>
              <w:rPr>
                <w:rFonts w:ascii="宋体" w:hAnsi="宋体" w:cs="宋体" w:eastAsia="宋体" w:hint="default"/>
                <w:sz w:val="18"/>
                <w:szCs w:val="18"/>
              </w:rPr>
            </w:pPr>
            <w:r>
              <w:rPr>
                <w:rFonts w:ascii="宋体"/>
                <w:spacing w:val="-1"/>
                <w:sz w:val="18"/>
              </w:rPr>
              <w:t>1,300,000</w:t>
            </w: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03" w:lineRule="exact"/>
              <w:ind w:left="185" w:right="0"/>
              <w:jc w:val="center"/>
              <w:rPr>
                <w:rFonts w:ascii="宋体" w:hAnsi="宋体" w:cs="宋体" w:eastAsia="宋体" w:hint="default"/>
                <w:sz w:val="18"/>
                <w:szCs w:val="18"/>
              </w:rPr>
            </w:pPr>
            <w:r>
              <w:rPr>
                <w:rFonts w:ascii="宋体"/>
                <w:sz w:val="18"/>
              </w:rPr>
              <w:t>1,300,000</w:t>
            </w:r>
          </w:p>
        </w:tc>
      </w:tr>
      <w:tr>
        <w:trPr>
          <w:trHeight w:val="370"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83,075,380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36,875,311</w:t>
            </w: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sz w:val="18"/>
              </w:rPr>
              <w:t>16,615,076</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17" w:right="0"/>
              <w:jc w:val="center"/>
              <w:rPr>
                <w:rFonts w:ascii="宋体" w:hAnsi="宋体" w:cs="宋体" w:eastAsia="宋体" w:hint="default"/>
                <w:sz w:val="18"/>
                <w:szCs w:val="18"/>
              </w:rPr>
            </w:pPr>
            <w:r>
              <w:rPr>
                <w:rFonts w:ascii="宋体"/>
                <w:sz w:val="18"/>
              </w:rPr>
              <w:t>41,537,690</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-15,490,638</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92,537,439</w:t>
            </w: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03" w:lineRule="exact"/>
              <w:ind w:left="5" w:right="0"/>
              <w:jc w:val="center"/>
              <w:rPr>
                <w:rFonts w:ascii="宋体" w:hAnsi="宋体" w:cs="宋体" w:eastAsia="宋体" w:hint="default"/>
                <w:sz w:val="18"/>
                <w:szCs w:val="18"/>
              </w:rPr>
            </w:pPr>
            <w:r>
              <w:rPr>
                <w:rFonts w:ascii="宋体"/>
                <w:sz w:val="18"/>
              </w:rPr>
              <w:t>162,612,819</w:t>
            </w:r>
          </w:p>
        </w:tc>
      </w:tr>
      <w:tr>
        <w:trPr>
          <w:trHeight w:val="370"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8"/>
              <w:jc w:val="right"/>
              <w:rPr>
                <w:rFonts w:ascii="宋体" w:hAnsi="宋体" w:cs="宋体" w:eastAsia="宋体" w:hint="default"/>
                <w:sz w:val="18"/>
                <w:szCs w:val="18"/>
              </w:rPr>
            </w:pPr>
            <w:r>
              <w:rPr>
                <w:rFonts w:ascii="宋体"/>
                <w:spacing w:val="-1"/>
                <w:sz w:val="18"/>
              </w:rPr>
              <w:t>73,963,240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33,000,000</w:t>
            </w: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16" w:right="0"/>
              <w:jc w:val="center"/>
              <w:rPr>
                <w:rFonts w:ascii="宋体" w:hAnsi="宋体" w:cs="宋体" w:eastAsia="宋体" w:hint="default"/>
                <w:sz w:val="18"/>
                <w:szCs w:val="18"/>
              </w:rPr>
            </w:pPr>
            <w:r>
              <w:rPr>
                <w:rFonts w:ascii="宋体"/>
                <w:sz w:val="18"/>
              </w:rPr>
              <w:t>14,792,648</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left="17" w:right="0"/>
              <w:jc w:val="center"/>
              <w:rPr>
                <w:rFonts w:ascii="宋体" w:hAnsi="宋体" w:cs="宋体" w:eastAsia="宋体" w:hint="default"/>
                <w:sz w:val="18"/>
                <w:szCs w:val="18"/>
              </w:rPr>
            </w:pPr>
            <w:r>
              <w:rPr>
                <w:rFonts w:ascii="宋体"/>
                <w:sz w:val="18"/>
              </w:rPr>
              <w:t>36,981,620</w:t>
            </w:r>
          </w:p>
        </w:tc>
        <w:tc>
          <w:tcPr>
            <w:tcW w:w="1272"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03" w:lineRule="exact"/>
              <w:ind w:right="96"/>
              <w:jc w:val="right"/>
              <w:rPr>
                <w:rFonts w:ascii="宋体" w:hAnsi="宋体" w:cs="宋体" w:eastAsia="宋体" w:hint="default"/>
                <w:sz w:val="18"/>
                <w:szCs w:val="18"/>
              </w:rPr>
            </w:pPr>
            <w:r>
              <w:rPr>
                <w:rFonts w:ascii="宋体"/>
                <w:spacing w:val="-1"/>
                <w:sz w:val="18"/>
              </w:rPr>
              <w:t>84,774,268</w:t>
            </w: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03" w:lineRule="exact"/>
              <w:ind w:left="5" w:right="0"/>
              <w:jc w:val="center"/>
              <w:rPr>
                <w:rFonts w:ascii="宋体" w:hAnsi="宋体" w:cs="宋体" w:eastAsia="宋体" w:hint="default"/>
                <w:sz w:val="18"/>
                <w:szCs w:val="18"/>
              </w:rPr>
            </w:pPr>
            <w:r>
              <w:rPr>
                <w:rFonts w:ascii="宋体"/>
                <w:sz w:val="18"/>
              </w:rPr>
              <w:t>158,737,508</w:t>
            </w:r>
          </w:p>
        </w:tc>
      </w:tr>
      <w:tr>
        <w:trPr>
          <w:trHeight w:val="720"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646"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9,112,140</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5"/>
              <w:jc w:val="right"/>
              <w:rPr>
                <w:rFonts w:ascii="宋体" w:hAnsi="宋体" w:cs="宋体" w:eastAsia="宋体" w:hint="default"/>
                <w:sz w:val="18"/>
                <w:szCs w:val="18"/>
              </w:rPr>
            </w:pPr>
            <w:r>
              <w:rPr>
                <w:rFonts w:ascii="宋体"/>
                <w:spacing w:val="-1"/>
                <w:sz w:val="18"/>
              </w:rPr>
              <w:t>3,875,311</w:t>
            </w: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105" w:right="0"/>
              <w:jc w:val="center"/>
              <w:rPr>
                <w:rFonts w:ascii="宋体" w:hAnsi="宋体" w:cs="宋体" w:eastAsia="宋体" w:hint="default"/>
                <w:sz w:val="18"/>
                <w:szCs w:val="18"/>
              </w:rPr>
            </w:pPr>
            <w:r>
              <w:rPr>
                <w:rFonts w:ascii="宋体"/>
                <w:sz w:val="18"/>
              </w:rPr>
              <w:t>1,822,428</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106" w:right="0"/>
              <w:jc w:val="center"/>
              <w:rPr>
                <w:rFonts w:ascii="宋体" w:hAnsi="宋体" w:cs="宋体" w:eastAsia="宋体" w:hint="default"/>
                <w:sz w:val="18"/>
                <w:szCs w:val="18"/>
              </w:rPr>
            </w:pPr>
            <w:r>
              <w:rPr>
                <w:rFonts w:ascii="宋体"/>
                <w:sz w:val="18"/>
              </w:rPr>
              <w:t>4,556,070</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-15,490,638</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5"/>
              <w:jc w:val="right"/>
              <w:rPr>
                <w:rFonts w:ascii="宋体" w:hAnsi="宋体" w:cs="宋体" w:eastAsia="宋体" w:hint="default"/>
                <w:sz w:val="18"/>
                <w:szCs w:val="18"/>
              </w:rPr>
            </w:pPr>
            <w:r>
              <w:rPr>
                <w:rFonts w:ascii="宋体"/>
                <w:spacing w:val="-1"/>
                <w:sz w:val="18"/>
              </w:rPr>
              <w:t>-5,236,829</w:t>
            </w: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5"/>
              <w:ind w:left="185" w:right="0"/>
              <w:jc w:val="center"/>
              <w:rPr>
                <w:rFonts w:ascii="宋体" w:hAnsi="宋体" w:cs="宋体" w:eastAsia="宋体" w:hint="default"/>
                <w:sz w:val="18"/>
                <w:szCs w:val="18"/>
              </w:rPr>
            </w:pPr>
            <w:r>
              <w:rPr>
                <w:rFonts w:ascii="宋体"/>
                <w:sz w:val="18"/>
              </w:rPr>
              <w:t>3,875,311</w:t>
            </w:r>
          </w:p>
        </w:tc>
      </w:tr>
      <w:tr>
        <w:trPr>
          <w:trHeight w:val="372"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84"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272"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tc>
      </w:tr>
      <w:tr>
        <w:trPr>
          <w:trHeight w:val="370"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1284"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272"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tc>
      </w:tr>
      <w:tr>
        <w:trPr>
          <w:trHeight w:val="370"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84"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272"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tc>
      </w:tr>
      <w:tr>
        <w:trPr>
          <w:trHeight w:val="370"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1284"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272"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tc>
      </w:tr>
      <w:tr>
        <w:trPr>
          <w:trHeight w:val="720"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二、无有限售条件的</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股份</w:t>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38,466,020</w:t>
            </w:r>
          </w:p>
        </w:tc>
        <w:tc>
          <w:tcPr>
            <w:tcW w:w="1133"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105" w:right="0"/>
              <w:jc w:val="center"/>
              <w:rPr>
                <w:rFonts w:ascii="宋体" w:hAnsi="宋体" w:cs="宋体" w:eastAsia="宋体" w:hint="default"/>
                <w:sz w:val="18"/>
                <w:szCs w:val="18"/>
              </w:rPr>
            </w:pPr>
            <w:r>
              <w:rPr>
                <w:rFonts w:ascii="宋体"/>
                <w:sz w:val="18"/>
              </w:rPr>
              <w:t>7,693,204</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17" w:right="0"/>
              <w:jc w:val="center"/>
              <w:rPr>
                <w:rFonts w:ascii="宋体" w:hAnsi="宋体" w:cs="宋体" w:eastAsia="宋体" w:hint="default"/>
                <w:sz w:val="18"/>
                <w:szCs w:val="18"/>
              </w:rPr>
            </w:pPr>
            <w:r>
              <w:rPr>
                <w:rFonts w:ascii="宋体"/>
                <w:sz w:val="18"/>
              </w:rPr>
              <w:t>19,233,010</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15,490,638</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6"/>
              <w:jc w:val="right"/>
              <w:rPr>
                <w:rFonts w:ascii="宋体" w:hAnsi="宋体" w:cs="宋体" w:eastAsia="宋体" w:hint="default"/>
                <w:sz w:val="18"/>
                <w:szCs w:val="18"/>
              </w:rPr>
            </w:pPr>
            <w:r>
              <w:rPr>
                <w:rFonts w:ascii="宋体"/>
                <w:spacing w:val="-1"/>
                <w:sz w:val="18"/>
              </w:rPr>
              <w:t>42,416,852</w:t>
            </w: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5"/>
              <w:ind w:left="96" w:right="0"/>
              <w:jc w:val="center"/>
              <w:rPr>
                <w:rFonts w:ascii="宋体" w:hAnsi="宋体" w:cs="宋体" w:eastAsia="宋体" w:hint="default"/>
                <w:sz w:val="18"/>
                <w:szCs w:val="18"/>
              </w:rPr>
            </w:pPr>
            <w:r>
              <w:rPr>
                <w:rFonts w:ascii="宋体"/>
                <w:sz w:val="18"/>
              </w:rPr>
              <w:t>80,882,872</w:t>
            </w:r>
          </w:p>
        </w:tc>
      </w:tr>
      <w:tr>
        <w:trPr>
          <w:trHeight w:val="372"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84"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38,466,020</w:t>
            </w:r>
          </w:p>
        </w:tc>
        <w:tc>
          <w:tcPr>
            <w:tcW w:w="1133"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05" w:right="0"/>
              <w:jc w:val="center"/>
              <w:rPr>
                <w:rFonts w:ascii="宋体" w:hAnsi="宋体" w:cs="宋体" w:eastAsia="宋体" w:hint="default"/>
                <w:sz w:val="18"/>
                <w:szCs w:val="18"/>
              </w:rPr>
            </w:pPr>
            <w:r>
              <w:rPr>
                <w:rFonts w:ascii="宋体"/>
                <w:sz w:val="18"/>
              </w:rPr>
              <w:t>7,693,204</w:t>
            </w:r>
          </w:p>
        </w:tc>
        <w:tc>
          <w:tcPr>
            <w:tcW w:w="113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19,233,010</w:t>
            </w:r>
          </w:p>
        </w:tc>
        <w:tc>
          <w:tcPr>
            <w:tcW w:w="127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8"/>
              <w:jc w:val="right"/>
              <w:rPr>
                <w:rFonts w:ascii="宋体" w:hAnsi="宋体" w:cs="宋体" w:eastAsia="宋体" w:hint="default"/>
                <w:sz w:val="18"/>
                <w:szCs w:val="18"/>
              </w:rPr>
            </w:pPr>
            <w:r>
              <w:rPr>
                <w:rFonts w:ascii="宋体"/>
                <w:spacing w:val="-1"/>
                <w:sz w:val="18"/>
              </w:rPr>
              <w:t>15,490,638</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spacing w:val="-1"/>
                <w:sz w:val="18"/>
              </w:rPr>
              <w:t>42,416,852</w:t>
            </w: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05" w:lineRule="exact"/>
              <w:ind w:left="96" w:right="0"/>
              <w:jc w:val="center"/>
              <w:rPr>
                <w:rFonts w:ascii="宋体" w:hAnsi="宋体" w:cs="宋体" w:eastAsia="宋体" w:hint="default"/>
                <w:sz w:val="18"/>
                <w:szCs w:val="18"/>
              </w:rPr>
            </w:pPr>
            <w:r>
              <w:rPr>
                <w:rFonts w:ascii="宋体"/>
                <w:sz w:val="18"/>
              </w:rPr>
              <w:t>80,882,872</w:t>
            </w:r>
          </w:p>
        </w:tc>
      </w:tr>
      <w:tr>
        <w:trPr>
          <w:trHeight w:val="370"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、境内上市外资股</w:t>
            </w:r>
          </w:p>
        </w:tc>
        <w:tc>
          <w:tcPr>
            <w:tcW w:w="1284"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272"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tc>
      </w:tr>
      <w:tr>
        <w:trPr>
          <w:trHeight w:val="370"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、境外上市外资股</w:t>
            </w:r>
          </w:p>
        </w:tc>
        <w:tc>
          <w:tcPr>
            <w:tcW w:w="1284"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272"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tc>
      </w:tr>
      <w:tr>
        <w:trPr>
          <w:trHeight w:val="370" w:hRule="exact"/>
        </w:trPr>
        <w:tc>
          <w:tcPr>
            <w:tcW w:w="1812" w:type="dxa"/>
            <w:tcBorders>
              <w:top w:val="single" w:sz="8" w:space="0" w:color="000000"/>
              <w:left w:val="single" w:sz="4" w:space="0" w:color="000000"/>
              <w:bottom w:val="single" w:sz="8" w:space="0" w:color="000000"/>
              <w:right w:val="single" w:sz="8"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84"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425"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133" w:type="dxa"/>
            <w:tcBorders>
              <w:top w:val="single" w:sz="8" w:space="0" w:color="000000"/>
              <w:left w:val="single" w:sz="8" w:space="0" w:color="000000"/>
              <w:bottom w:val="single" w:sz="8" w:space="0" w:color="000000"/>
              <w:right w:val="single" w:sz="8" w:space="0" w:color="000000"/>
            </w:tcBorders>
          </w:tcPr>
          <w:p>
            <w:pPr/>
          </w:p>
        </w:tc>
        <w:tc>
          <w:tcPr>
            <w:tcW w:w="1272" w:type="dxa"/>
            <w:tcBorders>
              <w:top w:val="single" w:sz="8" w:space="0" w:color="000000"/>
              <w:left w:val="single" w:sz="8" w:space="0" w:color="000000"/>
              <w:bottom w:val="single" w:sz="8" w:space="0" w:color="000000"/>
              <w:right w:val="single" w:sz="8" w:space="0" w:color="000000"/>
            </w:tcBorders>
          </w:tcPr>
          <w:p>
            <w:pPr/>
          </w:p>
        </w:tc>
        <w:tc>
          <w:tcPr>
            <w:tcW w:w="1275" w:type="dxa"/>
            <w:tcBorders>
              <w:top w:val="single" w:sz="8" w:space="0" w:color="000000"/>
              <w:left w:val="single" w:sz="8" w:space="0" w:color="000000"/>
              <w:bottom w:val="single" w:sz="8" w:space="0" w:color="000000"/>
              <w:right w:val="single" w:sz="8" w:space="0" w:color="000000"/>
            </w:tcBorders>
          </w:tcPr>
          <w:p>
            <w:pPr/>
          </w:p>
        </w:tc>
        <w:tc>
          <w:tcPr>
            <w:tcW w:w="1217"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tc>
      </w:tr>
      <w:tr>
        <w:trPr>
          <w:trHeight w:val="504" w:hRule="exact"/>
        </w:trPr>
        <w:tc>
          <w:tcPr>
            <w:tcW w:w="1812" w:type="dxa"/>
            <w:tcBorders>
              <w:top w:val="single" w:sz="8" w:space="0" w:color="000000"/>
              <w:left w:val="single" w:sz="4" w:space="0" w:color="000000"/>
              <w:bottom w:val="single" w:sz="12" w:space="0" w:color="000000"/>
              <w:right w:val="single" w:sz="8"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8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pacing w:val="-1"/>
                <w:sz w:val="18"/>
              </w:rPr>
              <w:t>121,541,400</w:t>
            </w:r>
          </w:p>
        </w:tc>
        <w:tc>
          <w:tcPr>
            <w:tcW w:w="113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2"/>
              <w:ind w:right="96"/>
              <w:jc w:val="right"/>
              <w:rPr>
                <w:rFonts w:ascii="宋体" w:hAnsi="宋体" w:cs="宋体" w:eastAsia="宋体" w:hint="default"/>
                <w:sz w:val="18"/>
                <w:szCs w:val="18"/>
              </w:rPr>
            </w:pPr>
            <w:r>
              <w:rPr>
                <w:rFonts w:ascii="宋体"/>
                <w:spacing w:val="-1"/>
                <w:sz w:val="18"/>
              </w:rPr>
              <w:t>49,875,311</w:t>
            </w:r>
          </w:p>
        </w:tc>
        <w:tc>
          <w:tcPr>
            <w:tcW w:w="425" w:type="dxa"/>
            <w:tcBorders>
              <w:top w:val="single" w:sz="8" w:space="0" w:color="000000"/>
              <w:left w:val="single" w:sz="8" w:space="0" w:color="000000"/>
              <w:bottom w:val="single" w:sz="12" w:space="0" w:color="000000"/>
              <w:right w:val="single" w:sz="8" w:space="0" w:color="000000"/>
            </w:tcBorders>
          </w:tcPr>
          <w:p>
            <w:pPr/>
          </w:p>
        </w:tc>
        <w:tc>
          <w:tcPr>
            <w:tcW w:w="113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2"/>
              <w:ind w:left="16" w:right="0"/>
              <w:jc w:val="center"/>
              <w:rPr>
                <w:rFonts w:ascii="宋体" w:hAnsi="宋体" w:cs="宋体" w:eastAsia="宋体" w:hint="default"/>
                <w:sz w:val="18"/>
                <w:szCs w:val="18"/>
              </w:rPr>
            </w:pPr>
            <w:r>
              <w:rPr>
                <w:rFonts w:ascii="宋体"/>
                <w:sz w:val="18"/>
              </w:rPr>
              <w:t>24,308,280</w:t>
            </w:r>
          </w:p>
        </w:tc>
        <w:tc>
          <w:tcPr>
            <w:tcW w:w="113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2"/>
              <w:ind w:left="17" w:right="0"/>
              <w:jc w:val="center"/>
              <w:rPr>
                <w:rFonts w:ascii="宋体" w:hAnsi="宋体" w:cs="宋体" w:eastAsia="宋体" w:hint="default"/>
                <w:sz w:val="18"/>
                <w:szCs w:val="18"/>
              </w:rPr>
            </w:pPr>
            <w:r>
              <w:rPr>
                <w:rFonts w:ascii="宋体"/>
                <w:sz w:val="18"/>
              </w:rPr>
              <w:t>60,770,700</w:t>
            </w:r>
          </w:p>
        </w:tc>
        <w:tc>
          <w:tcPr>
            <w:tcW w:w="1272" w:type="dxa"/>
            <w:tcBorders>
              <w:top w:val="single" w:sz="8" w:space="0" w:color="000000"/>
              <w:left w:val="single" w:sz="8" w:space="0" w:color="000000"/>
              <w:bottom w:val="single" w:sz="12" w:space="0" w:color="000000"/>
              <w:right w:val="single" w:sz="8" w:space="0" w:color="000000"/>
            </w:tcBorders>
          </w:tcPr>
          <w:p>
            <w:pPr/>
          </w:p>
        </w:tc>
        <w:tc>
          <w:tcPr>
            <w:tcW w:w="127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32"/>
              <w:ind w:right="96"/>
              <w:jc w:val="right"/>
              <w:rPr>
                <w:rFonts w:ascii="宋体" w:hAnsi="宋体" w:cs="宋体" w:eastAsia="宋体" w:hint="default"/>
                <w:sz w:val="18"/>
                <w:szCs w:val="18"/>
              </w:rPr>
            </w:pPr>
            <w:r>
              <w:rPr>
                <w:rFonts w:ascii="宋体"/>
                <w:spacing w:val="-1"/>
                <w:sz w:val="18"/>
              </w:rPr>
              <w:t>134,954,291</w:t>
            </w:r>
          </w:p>
        </w:tc>
        <w:tc>
          <w:tcPr>
            <w:tcW w:w="1217" w:type="dxa"/>
            <w:tcBorders>
              <w:top w:val="single" w:sz="8" w:space="0" w:color="000000"/>
              <w:left w:val="single" w:sz="8" w:space="0" w:color="000000"/>
              <w:bottom w:val="single" w:sz="12" w:space="0" w:color="000000"/>
              <w:right w:val="single" w:sz="4" w:space="0" w:color="000000"/>
            </w:tcBorders>
          </w:tcPr>
          <w:p>
            <w:pPr>
              <w:pStyle w:val="TableParagraph"/>
              <w:spacing w:line="240" w:lineRule="auto" w:before="32"/>
              <w:ind w:left="5" w:right="0"/>
              <w:jc w:val="center"/>
              <w:rPr>
                <w:rFonts w:ascii="宋体" w:hAnsi="宋体" w:cs="宋体" w:eastAsia="宋体" w:hint="default"/>
                <w:sz w:val="18"/>
                <w:szCs w:val="18"/>
              </w:rPr>
            </w:pPr>
            <w:r>
              <w:rPr>
                <w:rFonts w:ascii="宋体"/>
                <w:sz w:val="18"/>
              </w:rPr>
              <w:t>256,495,691</w:t>
            </w:r>
          </w:p>
        </w:tc>
      </w:tr>
    </w:tbl>
    <w:p>
      <w:pPr>
        <w:pStyle w:val="BodyText"/>
        <w:spacing w:line="357" w:lineRule="auto" w:before="86"/>
        <w:ind w:left="220" w:right="713" w:firstLine="420"/>
        <w:jc w:val="both"/>
      </w:pPr>
      <w:r>
        <w:rPr/>
        <w:pict>
          <v:shape style="position:absolute;margin-left:30.360001pt;margin-top:-191.896317pt;width:.480005pt;height:.96pt;mso-position-horizontal-relative:page;mso-position-vertical-relative:paragraph;z-index:3352" type="#_x0000_t75" stroked="false">
            <v:imagedata r:id="rId45" o:title=""/>
          </v:shape>
        </w:pict>
      </w:r>
      <w:r>
        <w:rPr/>
        <w:pict>
          <v:shape style="position:absolute;margin-left:564.580017pt;margin-top:-191.896317pt;width:.480045pt;height:.96pt;mso-position-horizontal-relative:page;mso-position-vertical-relative:paragraph;z-index:3376" type="#_x0000_t75" stroked="false">
            <v:imagedata r:id="rId45" o:title=""/>
          </v:shape>
        </w:pict>
      </w:r>
      <w:r>
        <w:rPr/>
        <w:pict>
          <v:shape style="position:absolute;margin-left:30.360001pt;margin-top:-173.656326pt;width:.480004pt;height:1.2pt;mso-position-horizontal-relative:page;mso-position-vertical-relative:paragraph;z-index:3400" type="#_x0000_t75" stroked="false">
            <v:imagedata r:id="rId41" o:title=""/>
          </v:shape>
        </w:pict>
      </w:r>
      <w:r>
        <w:rPr/>
        <w:pict>
          <v:shape style="position:absolute;margin-left:564.580017pt;margin-top:-173.656326pt;width:.480044pt;height:1.2pt;mso-position-horizontal-relative:page;mso-position-vertical-relative:paragraph;z-index:3424" type="#_x0000_t75" stroked="false">
            <v:imagedata r:id="rId43" o:title=""/>
          </v:shape>
        </w:pict>
      </w:r>
      <w:r>
        <w:rPr/>
        <w:pict>
          <v:shape style="position:absolute;margin-left:30.360001pt;margin-top:-155.176315pt;width:.486889pt;height:1.2375pt;mso-position-horizontal-relative:page;mso-position-vertical-relative:paragraph;z-index:3448" type="#_x0000_t75" stroked="false">
            <v:imagedata r:id="rId41" o:title=""/>
          </v:shape>
        </w:pict>
      </w:r>
      <w:r>
        <w:rPr/>
        <w:pict>
          <v:shape style="position:absolute;margin-left:564.580017pt;margin-top:-155.176315pt;width:.48693pt;height:1.2375pt;mso-position-horizontal-relative:page;mso-position-vertical-relative:paragraph;z-index:3472" type="#_x0000_t75" stroked="false">
            <v:imagedata r:id="rId46" o:title=""/>
          </v:shape>
        </w:pict>
      </w:r>
      <w:r>
        <w:rPr/>
        <w:pict>
          <v:shape style="position:absolute;margin-left:30.360001pt;margin-top:-136.676315pt;width:.480004pt;height:1.2pt;mso-position-horizontal-relative:page;mso-position-vertical-relative:paragraph;z-index:3496" type="#_x0000_t75" stroked="false">
            <v:imagedata r:id="rId41" o:title=""/>
          </v:shape>
        </w:pict>
      </w:r>
      <w:r>
        <w:rPr/>
        <w:pict>
          <v:shape style="position:absolute;margin-left:564.580017pt;margin-top:-136.676315pt;width:.480044pt;height:1.2pt;mso-position-horizontal-relative:page;mso-position-vertical-relative:paragraph;z-index:3520" type="#_x0000_t75" stroked="false">
            <v:imagedata r:id="rId47" o:title=""/>
          </v:shape>
        </w:pict>
      </w:r>
      <w:r>
        <w:rPr/>
        <w:pict>
          <v:shape style="position:absolute;margin-left:30.360001pt;margin-top:-100.436317pt;width:.480005pt;height:.96pt;mso-position-horizontal-relative:page;mso-position-vertical-relative:paragraph;z-index:3544" type="#_x0000_t75" stroked="false">
            <v:imagedata r:id="rId48" o:title=""/>
          </v:shape>
        </w:pict>
      </w:r>
      <w:r>
        <w:rPr/>
        <w:pict>
          <v:shape style="position:absolute;margin-left:564.580017pt;margin-top:-100.436317pt;width:.480045pt;height:.96pt;mso-position-horizontal-relative:page;mso-position-vertical-relative:paragraph;z-index:3568" type="#_x0000_t75" stroked="false">
            <v:imagedata r:id="rId48" o:title=""/>
          </v:shape>
        </w:pict>
      </w:r>
      <w:r>
        <w:rPr/>
        <w:pict>
          <v:shape style="position:absolute;margin-left:30.360001pt;margin-top:-81.836349pt;width:.47999pt;height:.96pt;mso-position-horizontal-relative:page;mso-position-vertical-relative:paragraph;z-index:3592" type="#_x0000_t75" stroked="false">
            <v:imagedata r:id="rId49" o:title=""/>
          </v:shape>
        </w:pict>
      </w:r>
      <w:r>
        <w:rPr/>
        <w:pict>
          <v:shape style="position:absolute;margin-left:564.580017pt;margin-top:-81.836349pt;width:.48003pt;height:.96pt;mso-position-horizontal-relative:page;mso-position-vertical-relative:paragraph;z-index:3616" type="#_x0000_t75" stroked="false">
            <v:imagedata r:id="rId49" o:title=""/>
          </v:shape>
        </w:pict>
      </w:r>
      <w:r>
        <w:rPr/>
        <w:pict>
          <v:shape style="position:absolute;margin-left:30.360001pt;margin-top:-63.596321pt;width:.480004pt;height:1.2pt;mso-position-horizontal-relative:page;mso-position-vertical-relative:paragraph;z-index:3640" type="#_x0000_t75" stroked="false">
            <v:imagedata r:id="rId41" o:title=""/>
          </v:shape>
        </w:pict>
      </w:r>
      <w:r>
        <w:rPr/>
        <w:pict>
          <v:shape style="position:absolute;margin-left:564.580017pt;margin-top:-63.596321pt;width:.480044pt;height:1.2pt;mso-position-horizontal-relative:page;mso-position-vertical-relative:paragraph;z-index:3664" type="#_x0000_t75" stroked="false">
            <v:imagedata r:id="rId47" o:title=""/>
          </v:shape>
        </w:pict>
      </w:r>
      <w:r>
        <w:rPr/>
        <w:pict>
          <v:shape style="position:absolute;margin-left:30.360001pt;margin-top:-44.876289pt;width:.48002pt;height:.96pt;mso-position-horizontal-relative:page;mso-position-vertical-relative:paragraph;z-index:3688" type="#_x0000_t75" stroked="false">
            <v:imagedata r:id="rId50" o:title=""/>
          </v:shape>
        </w:pict>
      </w:r>
      <w:r>
        <w:rPr/>
        <w:pict>
          <v:shape style="position:absolute;margin-left:564.580017pt;margin-top:-44.876289pt;width:.48006pt;height:.96pt;mso-position-horizontal-relative:page;mso-position-vertical-relative:paragraph;z-index:3712" type="#_x0000_t75" stroked="false">
            <v:imagedata r:id="rId50" o:title=""/>
          </v:shape>
        </w:pict>
      </w:r>
      <w:r>
        <w:rPr/>
        <w:pict>
          <v:shape style="position:absolute;margin-left:30.360001pt;margin-top:-26.63632pt;width:.480004pt;height:1.2pt;mso-position-horizontal-relative:page;mso-position-vertical-relative:paragraph;z-index:3736" type="#_x0000_t75" stroked="false">
            <v:imagedata r:id="rId41" o:title=""/>
          </v:shape>
        </w:pict>
      </w:r>
      <w:r>
        <w:rPr/>
        <w:pict>
          <v:shape style="position:absolute;margin-left:564.580017pt;margin-top:-26.63632pt;width:.480044pt;height:1.2pt;mso-position-horizontal-relative:page;mso-position-vertical-relative:paragraph;z-index:3760" type="#_x0000_t75" stroked="false">
            <v:imagedata r:id="rId51" o:title=""/>
          </v:shape>
        </w:pict>
      </w:r>
      <w:r>
        <w:rPr>
          <w:spacing w:val="-4"/>
          <w:w w:val="100"/>
        </w:rPr>
        <w:t>（</w:t>
      </w:r>
      <w:r>
        <w:rPr>
          <w:rFonts w:ascii="宋体" w:hAnsi="宋体" w:cs="宋体" w:eastAsia="宋体" w:hint="default"/>
          <w:spacing w:val="-4"/>
          <w:w w:val="100"/>
        </w:rPr>
        <w:t>2</w:t>
      </w:r>
      <w:r>
        <w:rPr>
          <w:spacing w:val="-4"/>
          <w:w w:val="100"/>
        </w:rPr>
        <w:t>）上述“送股”、“公积金转股”项目中</w:t>
      </w:r>
      <w:r>
        <w:rPr>
          <w:rFonts w:ascii="宋体" w:hAnsi="宋体" w:cs="宋体" w:eastAsia="宋体" w:hint="default"/>
          <w:spacing w:val="-4"/>
          <w:w w:val="100"/>
        </w:rPr>
        <w:t>24,308,280</w:t>
      </w:r>
      <w:r>
        <w:rPr>
          <w:spacing w:val="-4"/>
          <w:w w:val="100"/>
        </w:rPr>
        <w:t>股、</w:t>
      </w:r>
      <w:r>
        <w:rPr>
          <w:rFonts w:ascii="宋体" w:hAnsi="宋体" w:cs="宋体" w:eastAsia="宋体" w:hint="default"/>
          <w:spacing w:val="-4"/>
          <w:w w:val="100"/>
        </w:rPr>
        <w:t>60,770,700</w:t>
      </w:r>
      <w:r>
        <w:rPr>
          <w:spacing w:val="-4"/>
          <w:w w:val="100"/>
        </w:rPr>
        <w:t>股，是根据本公司</w:t>
      </w:r>
      <w:r>
        <w:rPr>
          <w:rFonts w:ascii="宋体" w:hAnsi="宋体" w:cs="宋体" w:eastAsia="宋体" w:hint="default"/>
          <w:spacing w:val="-4"/>
          <w:w w:val="100"/>
        </w:rPr>
        <w:t>2009</w:t>
      </w:r>
      <w:r>
        <w:rPr>
          <w:spacing w:val="-4"/>
          <w:w w:val="100"/>
        </w:rPr>
        <w:t>年度股东大会决</w:t>
      </w:r>
      <w:r>
        <w:rPr>
          <w:w w:val="100"/>
        </w:rPr>
        <w:t> </w:t>
      </w:r>
      <w:r>
        <w:rPr>
          <w:spacing w:val="-2"/>
        </w:rPr>
        <w:t>议和修改后章程的规定，贵公司申请增加注册资本人民币</w:t>
      </w:r>
      <w:r>
        <w:rPr>
          <w:rFonts w:ascii="宋体" w:hAnsi="宋体" w:cs="宋体" w:eastAsia="宋体" w:hint="default"/>
          <w:spacing w:val="-2"/>
        </w:rPr>
        <w:t>85,078,980.00</w:t>
      </w:r>
      <w:r>
        <w:rPr>
          <w:spacing w:val="-2"/>
        </w:rPr>
        <w:t>元，以</w:t>
      </w:r>
      <w:r>
        <w:rPr>
          <w:rFonts w:ascii="宋体" w:hAnsi="宋体" w:cs="宋体" w:eastAsia="宋体" w:hint="default"/>
          <w:spacing w:val="-2"/>
        </w:rPr>
        <w:t>2009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日总股本</w:t>
      </w:r>
      <w:r>
        <w:rPr>
          <w:rFonts w:ascii="宋体" w:hAnsi="宋体" w:cs="宋体" w:eastAsia="宋体" w:hint="default"/>
          <w:spacing w:val="-2"/>
        </w:rPr>
        <w:t>121,541,400</w:t>
      </w:r>
      <w:r>
        <w:rPr>
          <w:rFonts w:ascii="宋体" w:hAnsi="宋体" w:cs="宋体" w:eastAsia="宋体" w:hint="default"/>
          <w:spacing w:val="-19"/>
        </w:rPr>
        <w:t> </w:t>
      </w:r>
      <w:r>
        <w:rPr>
          <w:rFonts w:ascii="宋体" w:hAnsi="宋体" w:cs="宋体" w:eastAsia="宋体" w:hint="default"/>
          <w:spacing w:val="-19"/>
        </w:rPr>
      </w:r>
      <w:r>
        <w:rPr>
          <w:spacing w:val="-2"/>
          <w:w w:val="100"/>
        </w:rPr>
        <w:t>股为基数，向全体股东每</w:t>
      </w:r>
      <w:r>
        <w:rPr>
          <w:rFonts w:ascii="宋体" w:hAnsi="宋体" w:cs="宋体" w:eastAsia="宋体" w:hint="default"/>
          <w:spacing w:val="-2"/>
          <w:w w:val="100"/>
        </w:rPr>
        <w:t>10</w:t>
      </w:r>
      <w:r>
        <w:rPr>
          <w:spacing w:val="-2"/>
          <w:w w:val="100"/>
        </w:rPr>
        <w:t>股送</w:t>
      </w:r>
      <w:r>
        <w:rPr>
          <w:rFonts w:ascii="宋体" w:hAnsi="宋体" w:cs="宋体" w:eastAsia="宋体" w:hint="default"/>
          <w:spacing w:val="-2"/>
          <w:w w:val="100"/>
        </w:rPr>
        <w:t>2</w:t>
      </w:r>
      <w:r>
        <w:rPr>
          <w:spacing w:val="-2"/>
          <w:w w:val="100"/>
        </w:rPr>
        <w:t>股、派发现金红利</w:t>
      </w:r>
      <w:r>
        <w:rPr>
          <w:rFonts w:ascii="宋体" w:hAnsi="宋体" w:cs="宋体" w:eastAsia="宋体" w:hint="default"/>
          <w:spacing w:val="-2"/>
          <w:w w:val="100"/>
        </w:rPr>
        <w:t>0.23</w:t>
      </w:r>
      <w:r>
        <w:rPr>
          <w:spacing w:val="-2"/>
          <w:w w:val="100"/>
        </w:rPr>
        <w:t>元（含税），同时以资本公积转增股本，每</w:t>
      </w:r>
      <w:r>
        <w:rPr>
          <w:rFonts w:ascii="宋体" w:hAnsi="宋体" w:cs="宋体" w:eastAsia="宋体" w:hint="default"/>
          <w:spacing w:val="-2"/>
          <w:w w:val="100"/>
        </w:rPr>
        <w:t>10</w:t>
      </w:r>
      <w:r>
        <w:rPr>
          <w:spacing w:val="-2"/>
          <w:w w:val="100"/>
        </w:rPr>
        <w:t>股转增</w:t>
      </w:r>
      <w:r>
        <w:rPr>
          <w:rFonts w:ascii="宋体" w:hAnsi="宋体" w:cs="宋体" w:eastAsia="宋体" w:hint="default"/>
          <w:spacing w:val="-2"/>
          <w:w w:val="100"/>
        </w:rPr>
        <w:t>5</w:t>
      </w:r>
      <w:r>
        <w:rPr>
          <w:spacing w:val="-2"/>
          <w:w w:val="100"/>
        </w:rPr>
        <w:t>股，</w:t>
      </w:r>
      <w:r>
        <w:rPr>
          <w:spacing w:val="-92"/>
          <w:w w:val="100"/>
        </w:rPr>
        <w:t> </w:t>
      </w:r>
      <w:r>
        <w:rPr/>
        <w:t>每股面值</w:t>
      </w:r>
      <w:r>
        <w:rPr>
          <w:rFonts w:ascii="宋体" w:hAnsi="宋体" w:cs="宋体" w:eastAsia="宋体" w:hint="default"/>
        </w:rPr>
        <w:t>1</w:t>
      </w:r>
      <w:r>
        <w:rPr/>
        <w:t>元，变更后的股本总额为人民币</w:t>
      </w:r>
      <w:r>
        <w:rPr>
          <w:rFonts w:ascii="宋体" w:hAnsi="宋体" w:cs="宋体" w:eastAsia="宋体" w:hint="default"/>
        </w:rPr>
        <w:t>206,620,380.00</w:t>
      </w:r>
      <w:r>
        <w:rPr/>
        <w:t>元。此次股本变更事宜，经中准会计师事务所有限公司</w:t>
      </w:r>
      <w:r>
        <w:rPr>
          <w:spacing w:val="-38"/>
        </w:rPr>
        <w:t> </w:t>
      </w:r>
      <w:r>
        <w:rPr>
          <w:spacing w:val="-38"/>
        </w:rPr>
      </w:r>
      <w:r>
        <w:rPr>
          <w:spacing w:val="-2"/>
        </w:rPr>
        <w:t>于</w:t>
      </w:r>
      <w:r>
        <w:rPr>
          <w:rFonts w:ascii="宋体" w:hAnsi="宋体" w:cs="宋体" w:eastAsia="宋体" w:hint="default"/>
          <w:spacing w:val="-2"/>
        </w:rPr>
        <w:t>2010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19</w:t>
      </w:r>
      <w:r>
        <w:rPr>
          <w:spacing w:val="-2"/>
        </w:rPr>
        <w:t>日出具的中准验字</w:t>
      </w:r>
      <w:r>
        <w:rPr>
          <w:rFonts w:ascii="宋体" w:hAnsi="宋体" w:cs="宋体" w:eastAsia="宋体" w:hint="default"/>
          <w:spacing w:val="-2"/>
        </w:rPr>
        <w:t>[2010]</w:t>
      </w:r>
      <w:r>
        <w:rPr>
          <w:spacing w:val="-2"/>
        </w:rPr>
        <w:t>第</w:t>
      </w:r>
      <w:r>
        <w:rPr>
          <w:rFonts w:ascii="宋体" w:hAnsi="宋体" w:cs="宋体" w:eastAsia="宋体" w:hint="default"/>
          <w:spacing w:val="-2"/>
        </w:rPr>
        <w:t>2012</w:t>
      </w:r>
      <w:r>
        <w:rPr>
          <w:spacing w:val="-2"/>
        </w:rPr>
        <w:t>号验资报告予以验证，本公司已于</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29</w:t>
      </w:r>
      <w:r>
        <w:rPr>
          <w:spacing w:val="-2"/>
        </w:rPr>
        <w:t>日取得了吉林省工商</w:t>
      </w:r>
      <w:r>
        <w:rPr>
          <w:spacing w:val="-27"/>
        </w:rPr>
        <w:t> </w:t>
      </w:r>
      <w:r>
        <w:rPr>
          <w:spacing w:val="-27"/>
        </w:rPr>
      </w:r>
      <w:r>
        <w:rPr/>
        <w:t>行政管理局核发的新的企业法人营业执照，注册号为</w:t>
      </w:r>
      <w:r>
        <w:rPr>
          <w:rFonts w:ascii="宋体" w:hAnsi="宋体" w:cs="宋体" w:eastAsia="宋体" w:hint="default"/>
        </w:rPr>
        <w:t>220000000052632</w:t>
      </w:r>
      <w:r>
        <w:rPr/>
        <w:t>。</w:t>
      </w:r>
    </w:p>
    <w:p>
      <w:pPr>
        <w:pStyle w:val="BodyText"/>
        <w:spacing w:line="355" w:lineRule="auto" w:before="30"/>
        <w:ind w:left="220" w:right="711" w:firstLine="420"/>
        <w:jc w:val="both"/>
      </w:pPr>
      <w:r>
        <w:rPr/>
        <w:t>（</w:t>
      </w:r>
      <w:r>
        <w:rPr>
          <w:rFonts w:ascii="宋体" w:hAnsi="宋体" w:cs="宋体" w:eastAsia="宋体" w:hint="default"/>
        </w:rPr>
        <w:t>3</w:t>
      </w:r>
      <w:r>
        <w:rPr/>
        <w:t>）上述“发行新股”项目中</w:t>
      </w:r>
      <w:r>
        <w:rPr>
          <w:rFonts w:ascii="宋体" w:hAnsi="宋体" w:cs="宋体" w:eastAsia="宋体" w:hint="default"/>
        </w:rPr>
        <w:t>49,875,311</w:t>
      </w:r>
      <w:r>
        <w:rPr/>
        <w:t>股，是本公司经中国证券监督管理委员会《关于核准吉林紫鑫药业</w:t>
      </w:r>
      <w:r>
        <w:rPr>
          <w:w w:val="100"/>
        </w:rPr>
        <w:t> </w:t>
      </w:r>
      <w:r>
        <w:rPr>
          <w:spacing w:val="-2"/>
        </w:rPr>
        <w:t>股份有限公司非公开发行股票的批复》（证监许可</w:t>
      </w:r>
      <w:r>
        <w:rPr>
          <w:rFonts w:ascii="宋体" w:hAnsi="宋体" w:cs="宋体" w:eastAsia="宋体" w:hint="default"/>
          <w:spacing w:val="-2"/>
        </w:rPr>
        <w:t>[2010]1815</w:t>
      </w:r>
      <w:r>
        <w:rPr>
          <w:spacing w:val="-2"/>
        </w:rPr>
        <w:t>号），核准本公司非公开发行</w:t>
      </w:r>
      <w:r>
        <w:rPr>
          <w:rFonts w:ascii="宋体" w:hAnsi="宋体" w:cs="宋体" w:eastAsia="宋体" w:hint="default"/>
          <w:spacing w:val="-2"/>
        </w:rPr>
        <w:t>A</w:t>
      </w:r>
      <w:r>
        <w:rPr>
          <w:spacing w:val="-2"/>
        </w:rPr>
        <w:t>股股票不超过</w:t>
      </w:r>
      <w:r>
        <w:rPr>
          <w:rFonts w:ascii="宋体" w:hAnsi="宋体" w:cs="宋体" w:eastAsia="宋体" w:hint="default"/>
          <w:spacing w:val="-2"/>
        </w:rPr>
        <w:t>9,000</w:t>
      </w:r>
      <w:r>
        <w:rPr>
          <w:spacing w:val="-2"/>
        </w:rPr>
        <w:t>万</w:t>
      </w:r>
    </w:p>
    <w:p>
      <w:pPr>
        <w:pStyle w:val="BodyText"/>
        <w:spacing w:line="240" w:lineRule="auto" w:before="34"/>
        <w:ind w:left="220" w:right="0"/>
        <w:jc w:val="left"/>
      </w:pPr>
      <w:r>
        <w:rPr>
          <w:spacing w:val="-3"/>
        </w:rPr>
        <w:t>股，由保荐机构东北证券股份有限公司作为主承销商，通过非公开发行方式向特定投资者发行。通过本次发行的认</w:t>
      </w:r>
    </w:p>
    <w:p>
      <w:pPr>
        <w:spacing w:after="0" w:line="240" w:lineRule="auto"/>
        <w:jc w:val="left"/>
        <w:sectPr>
          <w:footerReference w:type="default" r:id="rId37"/>
          <w:pgSz w:w="11910" w:h="16840"/>
          <w:pgMar w:footer="956" w:header="720" w:top="1300" w:bottom="1140" w:left="500" w:right="0"/>
          <w:pgNumType w:start="89"/>
        </w:sectPr>
      </w:pPr>
    </w:p>
    <w:p>
      <w:pPr>
        <w:pStyle w:val="BodyText"/>
        <w:spacing w:line="357" w:lineRule="auto" w:before="19"/>
        <w:ind w:left="240" w:right="711"/>
        <w:jc w:val="both"/>
      </w:pPr>
      <w:r>
        <w:rPr/>
        <w:pict>
          <v:group style="position:absolute;margin-left:34.560001pt;margin-top:2.293643pt;width:508.3pt;height:.1pt;mso-position-horizontal-relative:page;mso-position-vertical-relative:paragraph;z-index:-532384" coordorigin="691,46" coordsize="10166,2">
            <v:shape style="position:absolute;left:691;top:46;width:10166;height:2" coordorigin="691,46" coordsize="10166,0" path="m691,46l10857,46e" filled="false" stroked="true" strokeweight=".72pt" strokecolor="#000000">
              <v:path arrowok="t"/>
            </v:shape>
            <w10:wrap type="none"/>
          </v:group>
        </w:pict>
      </w:r>
      <w:r>
        <w:rPr>
          <w:spacing w:val="-2"/>
        </w:rPr>
        <w:t>购询价、申购过程，本公司最终确定本次发行数量为</w:t>
      </w:r>
      <w:r>
        <w:rPr>
          <w:rFonts w:ascii="宋体" w:hAnsi="宋体" w:cs="宋体" w:eastAsia="宋体" w:hint="default"/>
          <w:spacing w:val="-2"/>
        </w:rPr>
        <w:t>49,875,311</w:t>
      </w:r>
      <w:r>
        <w:rPr>
          <w:spacing w:val="-2"/>
        </w:rPr>
        <w:t>股，每股面值为人民币</w:t>
      </w:r>
      <w:r>
        <w:rPr>
          <w:rFonts w:ascii="宋体" w:hAnsi="宋体" w:cs="宋体" w:eastAsia="宋体" w:hint="default"/>
          <w:spacing w:val="-2"/>
        </w:rPr>
        <w:t>1.00</w:t>
      </w:r>
      <w:r>
        <w:rPr>
          <w:spacing w:val="-2"/>
        </w:rPr>
        <w:t>元、每股发行价格为人</w:t>
      </w:r>
      <w:r>
        <w:rPr>
          <w:spacing w:val="-37"/>
        </w:rPr>
        <w:t> </w:t>
      </w:r>
      <w:r>
        <w:rPr>
          <w:spacing w:val="-37"/>
        </w:rPr>
      </w:r>
      <w:r>
        <w:rPr>
          <w:spacing w:val="-2"/>
        </w:rPr>
        <w:t>民币</w:t>
      </w:r>
      <w:r>
        <w:rPr>
          <w:rFonts w:ascii="宋体" w:hAnsi="宋体" w:cs="宋体" w:eastAsia="宋体" w:hint="default"/>
          <w:spacing w:val="-2"/>
        </w:rPr>
        <w:t>20.05</w:t>
      </w:r>
      <w:r>
        <w:rPr>
          <w:spacing w:val="-2"/>
        </w:rPr>
        <w:t>元，申请增加注册资本人民币</w:t>
      </w:r>
      <w:r>
        <w:rPr>
          <w:rFonts w:ascii="宋体" w:hAnsi="宋体" w:cs="宋体" w:eastAsia="宋体" w:hint="default"/>
          <w:spacing w:val="-2"/>
        </w:rPr>
        <w:t>49,875,311.00</w:t>
      </w:r>
      <w:r>
        <w:rPr>
          <w:spacing w:val="-2"/>
        </w:rPr>
        <w:t>元，由吉林长白山股权投资管理有限公司、兴业全球基金管</w:t>
      </w:r>
      <w:r>
        <w:rPr>
          <w:spacing w:val="-30"/>
        </w:rPr>
        <w:t> </w:t>
      </w:r>
      <w:r>
        <w:rPr>
          <w:spacing w:val="-30"/>
        </w:rPr>
      </w:r>
      <w:r>
        <w:rPr>
          <w:spacing w:val="-3"/>
        </w:rPr>
        <w:t>理有限公司、太平资产管理有限公司、百年化妆护理品有限公司、天津硅谷天堂鲲鹏股权投资基金合伙企业（有限</w:t>
      </w:r>
      <w:r>
        <w:rPr>
          <w:spacing w:val="2"/>
        </w:rPr>
        <w:t> </w:t>
      </w:r>
      <w:r>
        <w:rPr>
          <w:spacing w:val="2"/>
        </w:rPr>
      </w:r>
      <w:r>
        <w:rPr>
          <w:spacing w:val="-2"/>
        </w:rPr>
        <w:t>合伙）、杨录军于</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日前一次性缴足，变更后的注册资本为人民币</w:t>
      </w:r>
      <w:r>
        <w:rPr>
          <w:rFonts w:ascii="宋体" w:hAnsi="宋体" w:cs="宋体" w:eastAsia="宋体" w:hint="default"/>
          <w:spacing w:val="-2"/>
        </w:rPr>
        <w:t>256,495,691.00</w:t>
      </w:r>
      <w:r>
        <w:rPr>
          <w:spacing w:val="-2"/>
        </w:rPr>
        <w:t>元。此次股本变更事</w:t>
      </w:r>
      <w:r>
        <w:rPr>
          <w:spacing w:val="-29"/>
        </w:rPr>
        <w:t> </w:t>
      </w:r>
      <w:r>
        <w:rPr>
          <w:spacing w:val="-29"/>
        </w:rPr>
      </w:r>
      <w:r>
        <w:rPr>
          <w:spacing w:val="-2"/>
        </w:rPr>
        <w:t>宜，经中准会计师事务所有限公司于</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29</w:t>
      </w:r>
      <w:r>
        <w:rPr>
          <w:spacing w:val="-2"/>
        </w:rPr>
        <w:t>日出具的中准验字</w:t>
      </w:r>
      <w:r>
        <w:rPr>
          <w:rFonts w:ascii="宋体" w:hAnsi="宋体" w:cs="宋体" w:eastAsia="宋体" w:hint="default"/>
          <w:spacing w:val="-2"/>
        </w:rPr>
        <w:t>[2010]2068</w:t>
      </w:r>
      <w:r>
        <w:rPr>
          <w:spacing w:val="-2"/>
        </w:rPr>
        <w:t>号验资报告予以验证，本公司已于</w:t>
      </w:r>
      <w:r>
        <w:rPr>
          <w:spacing w:val="-33"/>
        </w:rPr>
        <w:t> </w:t>
      </w:r>
      <w:r>
        <w:rPr>
          <w:spacing w:val="-33"/>
        </w:rPr>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12</w:t>
      </w:r>
      <w:r>
        <w:rPr/>
        <w:t>日取得了吉林省工商行政管理局核发的新的企业法人营业执照，注册号为</w:t>
      </w:r>
      <w:r>
        <w:rPr>
          <w:rFonts w:ascii="宋体" w:hAnsi="宋体" w:cs="宋体" w:eastAsia="宋体" w:hint="default"/>
        </w:rPr>
        <w:t>220000000052632</w:t>
      </w:r>
      <w:r>
        <w:rPr/>
        <w:t>。</w:t>
      </w:r>
    </w:p>
    <w:p>
      <w:pPr>
        <w:pStyle w:val="BodyText"/>
        <w:spacing w:line="355" w:lineRule="auto" w:before="30"/>
        <w:ind w:left="240" w:right="606" w:firstLine="412"/>
        <w:jc w:val="left"/>
      </w:pPr>
      <w:r>
        <w:rPr/>
        <w:t>（</w:t>
      </w:r>
      <w:r>
        <w:rPr>
          <w:rFonts w:ascii="宋体" w:hAnsi="宋体" w:cs="宋体" w:eastAsia="宋体" w:hint="default"/>
        </w:rPr>
        <w:t>4</w:t>
      </w:r>
      <w:r>
        <w:rPr/>
        <w:t>）上述“其他”项目中</w:t>
      </w:r>
      <w:r>
        <w:rPr>
          <w:rFonts w:ascii="宋体" w:hAnsi="宋体" w:cs="宋体" w:eastAsia="宋体" w:hint="default"/>
        </w:rPr>
        <w:t>15,490,638</w:t>
      </w:r>
      <w:r>
        <w:rPr/>
        <w:t>股，是本公司发起人股东仲维光先生所持股份于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3</w:t>
      </w:r>
      <w:r>
        <w:rPr/>
        <w:t>日后全部解</w:t>
      </w:r>
      <w:r>
        <w:rPr>
          <w:w w:val="100"/>
        </w:rPr>
        <w:t> </w:t>
      </w:r>
      <w:r>
        <w:rPr/>
        <w:t>限售，变更为无有限售条件的股份。</w:t>
      </w:r>
    </w:p>
    <w:p>
      <w:pPr>
        <w:pStyle w:val="BodyText"/>
        <w:spacing w:line="357" w:lineRule="auto"/>
        <w:ind w:left="240" w:right="606" w:firstLine="412"/>
        <w:jc w:val="left"/>
      </w:pPr>
      <w:r>
        <w:rPr>
          <w:spacing w:val="-2"/>
        </w:rPr>
        <w:t>（</w:t>
      </w:r>
      <w:r>
        <w:rPr>
          <w:rFonts w:ascii="宋体" w:hAnsi="宋体" w:cs="宋体" w:eastAsia="宋体" w:hint="default"/>
          <w:spacing w:val="-2"/>
        </w:rPr>
        <w:t>5</w:t>
      </w:r>
      <w:r>
        <w:rPr>
          <w:spacing w:val="-2"/>
        </w:rPr>
        <w:t>）根据本公司</w:t>
      </w:r>
      <w:r>
        <w:rPr>
          <w:rFonts w:ascii="宋体" w:hAnsi="宋体" w:cs="宋体" w:eastAsia="宋体" w:hint="default"/>
          <w:spacing w:val="-2"/>
        </w:rPr>
        <w:t>2010</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w:t>
      </w:r>
      <w:r>
        <w:rPr>
          <w:spacing w:val="-2"/>
        </w:rPr>
        <w:t>日公告，控股股东敦化市康平投资有限责任公司通过继续锁定本公司股份的议案，</w:t>
      </w:r>
      <w:r>
        <w:rPr>
          <w:w w:val="100"/>
        </w:rPr>
        <w:t> </w:t>
      </w:r>
      <w:r>
        <w:rPr>
          <w:spacing w:val="-3"/>
          <w:w w:val="100"/>
        </w:rPr>
        <w:t>锁定期一年（自</w:t>
      </w:r>
      <w:r>
        <w:rPr>
          <w:rFonts w:ascii="宋体" w:hAnsi="宋体" w:cs="宋体" w:eastAsia="宋体" w:hint="default"/>
          <w:spacing w:val="-3"/>
          <w:w w:val="100"/>
        </w:rPr>
        <w:t>2010</w:t>
      </w:r>
      <w:r>
        <w:rPr>
          <w:spacing w:val="-3"/>
          <w:w w:val="100"/>
        </w:rPr>
        <w:t>年</w:t>
      </w:r>
      <w:r>
        <w:rPr>
          <w:rFonts w:ascii="宋体" w:hAnsi="宋体" w:cs="宋体" w:eastAsia="宋体" w:hint="default"/>
          <w:spacing w:val="-3"/>
          <w:w w:val="100"/>
        </w:rPr>
        <w:t>4</w:t>
      </w:r>
      <w:r>
        <w:rPr>
          <w:spacing w:val="-3"/>
          <w:w w:val="100"/>
        </w:rPr>
        <w:t>月</w:t>
      </w:r>
      <w:r>
        <w:rPr>
          <w:rFonts w:ascii="宋体" w:hAnsi="宋体" w:cs="宋体" w:eastAsia="宋体" w:hint="default"/>
          <w:spacing w:val="-3"/>
          <w:w w:val="100"/>
        </w:rPr>
        <w:t>23</w:t>
      </w:r>
      <w:r>
        <w:rPr>
          <w:spacing w:val="-3"/>
          <w:w w:val="100"/>
        </w:rPr>
        <w:t>日至</w:t>
      </w:r>
      <w:r>
        <w:rPr>
          <w:rFonts w:ascii="宋体" w:hAnsi="宋体" w:cs="宋体" w:eastAsia="宋体" w:hint="default"/>
          <w:spacing w:val="-3"/>
          <w:w w:val="100"/>
        </w:rPr>
        <w:t>2011</w:t>
      </w:r>
      <w:r>
        <w:rPr>
          <w:spacing w:val="-3"/>
          <w:w w:val="100"/>
        </w:rPr>
        <w:t>年</w:t>
      </w:r>
      <w:r>
        <w:rPr>
          <w:rFonts w:ascii="宋体" w:hAnsi="宋体" w:cs="宋体" w:eastAsia="宋体" w:hint="default"/>
          <w:spacing w:val="-3"/>
          <w:w w:val="100"/>
        </w:rPr>
        <w:t>4</w:t>
      </w:r>
      <w:r>
        <w:rPr>
          <w:spacing w:val="-3"/>
          <w:w w:val="100"/>
        </w:rPr>
        <w:t>月</w:t>
      </w:r>
      <w:r>
        <w:rPr>
          <w:rFonts w:ascii="宋体" w:hAnsi="宋体" w:cs="宋体" w:eastAsia="宋体" w:hint="default"/>
          <w:spacing w:val="-3"/>
          <w:w w:val="100"/>
        </w:rPr>
        <w:t>22</w:t>
      </w:r>
      <w:r>
        <w:rPr>
          <w:spacing w:val="-3"/>
          <w:w w:val="100"/>
        </w:rPr>
        <w:t>日），敦化市康平投资有限责任公司持有本公司股份</w:t>
      </w:r>
      <w:r>
        <w:rPr>
          <w:rFonts w:ascii="宋体" w:hAnsi="宋体" w:cs="宋体" w:eastAsia="宋体" w:hint="default"/>
          <w:spacing w:val="-3"/>
          <w:w w:val="100"/>
        </w:rPr>
        <w:t>125,737,508</w:t>
      </w:r>
      <w:r>
        <w:rPr>
          <w:spacing w:val="-3"/>
          <w:w w:val="100"/>
        </w:rPr>
        <w:t>股，</w:t>
      </w:r>
      <w:r>
        <w:rPr>
          <w:spacing w:val="-97"/>
          <w:w w:val="100"/>
        </w:rPr>
        <w:t> </w:t>
      </w:r>
      <w:r>
        <w:rPr/>
        <w:t>占总股本的</w:t>
      </w:r>
      <w:r>
        <w:rPr>
          <w:rFonts w:ascii="宋体" w:hAnsi="宋体" w:cs="宋体" w:eastAsia="宋体" w:hint="default"/>
        </w:rPr>
        <w:t>49.02%</w:t>
      </w:r>
      <w:r>
        <w:rPr/>
        <w:t>。</w:t>
      </w:r>
    </w:p>
    <w:p>
      <w:pPr>
        <w:pStyle w:val="BodyText"/>
        <w:spacing w:line="460" w:lineRule="auto" w:before="30"/>
        <w:ind w:left="652" w:right="2362"/>
        <w:jc w:val="left"/>
        <w:rPr>
          <w:rFonts w:ascii="宋体" w:hAnsi="宋体" w:cs="宋体" w:eastAsia="宋体" w:hint="default"/>
        </w:rPr>
      </w:pPr>
      <w:r>
        <w:rPr/>
        <w:pict>
          <v:shape style="position:absolute;margin-left:29.16pt;margin-top:50.0037pt;width:537.1pt;height:118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51"/>
                    <w:gridCol w:w="2139"/>
                    <w:gridCol w:w="2136"/>
                    <w:gridCol w:w="2137"/>
                    <w:gridCol w:w="2136"/>
                  </w:tblGrid>
                  <w:tr>
                    <w:trPr>
                      <w:trHeight w:val="588" w:hRule="exact"/>
                    </w:trPr>
                    <w:tc>
                      <w:tcPr>
                        <w:tcW w:w="2151" w:type="dxa"/>
                        <w:tcBorders>
                          <w:top w:val="single" w:sz="12" w:space="0" w:color="000000"/>
                          <w:left w:val="nil" w:sz="6" w:space="0" w:color="auto"/>
                          <w:bottom w:val="single" w:sz="6" w:space="0" w:color="000000"/>
                          <w:right w:val="single" w:sz="4" w:space="0" w:color="000000"/>
                        </w:tcBorders>
                      </w:tcPr>
                      <w:p>
                        <w:pPr>
                          <w:pStyle w:val="TableParagraph"/>
                          <w:tabs>
                            <w:tab w:pos="542" w:val="left" w:leader="none"/>
                          </w:tabs>
                          <w:spacing w:line="240" w:lineRule="auto" w:before="75"/>
                          <w:ind w:right="645"/>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139"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75"/>
                          <w:ind w:left="7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21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7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37"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75"/>
                          <w:ind w:left="6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6"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75"/>
                          <w:ind w:right="11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78" w:hRule="exact"/>
                    </w:trPr>
                    <w:tc>
                      <w:tcPr>
                        <w:tcW w:w="215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资本溢价</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3"/>
                          <w:ind w:left="760" w:right="0"/>
                          <w:jc w:val="left"/>
                          <w:rPr>
                            <w:rFonts w:ascii="宋体" w:hAnsi="宋体" w:cs="宋体" w:eastAsia="宋体" w:hint="default"/>
                            <w:sz w:val="18"/>
                            <w:szCs w:val="18"/>
                          </w:rPr>
                        </w:pPr>
                        <w:r>
                          <w:rPr>
                            <w:rFonts w:ascii="宋体"/>
                            <w:sz w:val="18"/>
                          </w:rPr>
                          <w:t>100,173,875.66</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pacing w:val="-1"/>
                            <w:sz w:val="18"/>
                          </w:rPr>
                          <w:t>936,574,799.24</w:t>
                        </w:r>
                      </w:p>
                    </w:tc>
                    <w:tc>
                      <w:tcPr>
                        <w:tcW w:w="213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60,770,700.00</w:t>
                        </w:r>
                      </w:p>
                    </w:tc>
                    <w:tc>
                      <w:tcPr>
                        <w:tcW w:w="21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pacing w:val="-1"/>
                            <w:sz w:val="18"/>
                          </w:rPr>
                          <w:t>975,977,974.90</w:t>
                        </w:r>
                      </w:p>
                    </w:tc>
                  </w:tr>
                  <w:tr>
                    <w:trPr>
                      <w:trHeight w:val="578" w:hRule="exact"/>
                    </w:trPr>
                    <w:tc>
                      <w:tcPr>
                        <w:tcW w:w="215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73"/>
                          <w:ind w:left="1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2139" w:type="dxa"/>
                        <w:tcBorders>
                          <w:top w:val="single" w:sz="6" w:space="0" w:color="000000"/>
                          <w:left w:val="single" w:sz="4" w:space="0" w:color="000000"/>
                          <w:bottom w:val="single" w:sz="6" w:space="0" w:color="000000"/>
                          <w:right w:val="single" w:sz="6" w:space="0" w:color="000000"/>
                        </w:tcBorders>
                      </w:tcPr>
                      <w:p>
                        <w:pP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pacing w:val="-1"/>
                            <w:sz w:val="18"/>
                          </w:rPr>
                          <w:t>4,334,733.33</w:t>
                        </w:r>
                      </w:p>
                    </w:tc>
                    <w:tc>
                      <w:tcPr>
                        <w:tcW w:w="2137" w:type="dxa"/>
                        <w:tcBorders>
                          <w:top w:val="single" w:sz="6" w:space="0" w:color="000000"/>
                          <w:left w:val="single" w:sz="6" w:space="0" w:color="000000"/>
                          <w:bottom w:val="single" w:sz="6" w:space="0" w:color="000000"/>
                          <w:right w:val="single" w:sz="4" w:space="0" w:color="000000"/>
                        </w:tcBorders>
                      </w:tcPr>
                      <w:p>
                        <w:pPr/>
                      </w:p>
                    </w:tc>
                    <w:tc>
                      <w:tcPr>
                        <w:tcW w:w="21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73"/>
                          <w:ind w:right="105"/>
                          <w:jc w:val="right"/>
                          <w:rPr>
                            <w:rFonts w:ascii="宋体" w:hAnsi="宋体" w:cs="宋体" w:eastAsia="宋体" w:hint="default"/>
                            <w:sz w:val="18"/>
                            <w:szCs w:val="18"/>
                          </w:rPr>
                        </w:pPr>
                        <w:r>
                          <w:rPr>
                            <w:rFonts w:ascii="宋体"/>
                            <w:spacing w:val="-1"/>
                            <w:sz w:val="18"/>
                          </w:rPr>
                          <w:t>4,334,733.33</w:t>
                        </w:r>
                      </w:p>
                    </w:tc>
                  </w:tr>
                  <w:tr>
                    <w:trPr>
                      <w:trHeight w:val="586" w:hRule="exact"/>
                    </w:trPr>
                    <w:tc>
                      <w:tcPr>
                        <w:tcW w:w="2151" w:type="dxa"/>
                        <w:tcBorders>
                          <w:top w:val="single" w:sz="6" w:space="0" w:color="000000"/>
                          <w:left w:val="nil" w:sz="6" w:space="0" w:color="auto"/>
                          <w:bottom w:val="single" w:sz="12" w:space="0" w:color="000000"/>
                          <w:right w:val="single" w:sz="4" w:space="0" w:color="000000"/>
                        </w:tcBorders>
                      </w:tcPr>
                      <w:p>
                        <w:pPr>
                          <w:pStyle w:val="TableParagraph"/>
                          <w:tabs>
                            <w:tab w:pos="542" w:val="left" w:leader="none"/>
                          </w:tabs>
                          <w:spacing w:line="240" w:lineRule="auto" w:before="73"/>
                          <w:ind w:right="667"/>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139"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73"/>
                          <w:ind w:left="763" w:right="0"/>
                          <w:jc w:val="left"/>
                          <w:rPr>
                            <w:rFonts w:ascii="宋体" w:hAnsi="宋体" w:cs="宋体" w:eastAsia="宋体" w:hint="default"/>
                            <w:sz w:val="18"/>
                            <w:szCs w:val="18"/>
                          </w:rPr>
                        </w:pPr>
                        <w:r>
                          <w:rPr>
                            <w:rFonts w:ascii="宋体"/>
                            <w:sz w:val="18"/>
                          </w:rPr>
                          <w:t>100,173,875.66</w:t>
                        </w:r>
                      </w:p>
                    </w:tc>
                    <w:tc>
                      <w:tcPr>
                        <w:tcW w:w="2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3"/>
                          <w:ind w:right="99"/>
                          <w:jc w:val="right"/>
                          <w:rPr>
                            <w:rFonts w:ascii="宋体" w:hAnsi="宋体" w:cs="宋体" w:eastAsia="宋体" w:hint="default"/>
                            <w:sz w:val="18"/>
                            <w:szCs w:val="18"/>
                          </w:rPr>
                        </w:pPr>
                        <w:r>
                          <w:rPr>
                            <w:rFonts w:ascii="宋体"/>
                            <w:spacing w:val="-1"/>
                            <w:sz w:val="18"/>
                          </w:rPr>
                          <w:t>940,909,532.57</w:t>
                        </w:r>
                      </w:p>
                    </w:tc>
                    <w:tc>
                      <w:tcPr>
                        <w:tcW w:w="213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73"/>
                          <w:ind w:right="101"/>
                          <w:jc w:val="right"/>
                          <w:rPr>
                            <w:rFonts w:ascii="宋体" w:hAnsi="宋体" w:cs="宋体" w:eastAsia="宋体" w:hint="default"/>
                            <w:sz w:val="18"/>
                            <w:szCs w:val="18"/>
                          </w:rPr>
                        </w:pPr>
                        <w:r>
                          <w:rPr>
                            <w:rFonts w:ascii="宋体"/>
                            <w:spacing w:val="-1"/>
                            <w:sz w:val="18"/>
                          </w:rPr>
                          <w:t>60,770,700.00</w:t>
                        </w:r>
                      </w:p>
                    </w:tc>
                    <w:tc>
                      <w:tcPr>
                        <w:tcW w:w="213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73"/>
                          <w:ind w:right="107"/>
                          <w:jc w:val="right"/>
                          <w:rPr>
                            <w:rFonts w:ascii="宋体" w:hAnsi="宋体" w:cs="宋体" w:eastAsia="宋体" w:hint="default"/>
                            <w:sz w:val="18"/>
                            <w:szCs w:val="18"/>
                          </w:rPr>
                        </w:pPr>
                        <w:r>
                          <w:rPr>
                            <w:rFonts w:ascii="宋体"/>
                            <w:spacing w:val="-1"/>
                            <w:sz w:val="18"/>
                          </w:rPr>
                          <w:t>980,312,708.23</w:t>
                        </w:r>
                      </w:p>
                    </w:tc>
                  </w:tr>
                </w:tbl>
                <w:p>
                  <w:pPr/>
                </w:p>
              </w:txbxContent>
            </v:textbox>
            <w10:wrap type="none"/>
          </v:shape>
        </w:pict>
      </w:r>
      <w:r>
        <w:rPr>
          <w:spacing w:val="-3"/>
          <w:w w:val="100"/>
        </w:rPr>
        <w:t>（</w:t>
      </w:r>
      <w:r>
        <w:rPr>
          <w:rFonts w:ascii="宋体" w:hAnsi="宋体" w:cs="宋体" w:eastAsia="宋体" w:hint="default"/>
          <w:spacing w:val="-3"/>
          <w:w w:val="100"/>
        </w:rPr>
        <w:t>6</w:t>
      </w:r>
      <w:r>
        <w:rPr>
          <w:spacing w:val="-3"/>
          <w:w w:val="100"/>
        </w:rPr>
        <w:t>）“投资者配售股份”</w:t>
      </w:r>
      <w:r>
        <w:rPr>
          <w:rFonts w:ascii="宋体" w:hAnsi="宋体" w:cs="宋体" w:eastAsia="宋体" w:hint="default"/>
          <w:spacing w:val="-3"/>
          <w:w w:val="100"/>
        </w:rPr>
        <w:t>49,875,311</w:t>
      </w:r>
      <w:r>
        <w:rPr>
          <w:spacing w:val="-3"/>
          <w:w w:val="100"/>
        </w:rPr>
        <w:t>股锁定期一年，即</w:t>
      </w:r>
      <w:r>
        <w:rPr>
          <w:rFonts w:ascii="宋体" w:hAnsi="宋体" w:cs="宋体" w:eastAsia="宋体" w:hint="default"/>
          <w:spacing w:val="-3"/>
          <w:w w:val="100"/>
        </w:rPr>
        <w:t>2010</w:t>
      </w:r>
      <w:r>
        <w:rPr>
          <w:spacing w:val="-3"/>
          <w:w w:val="100"/>
        </w:rPr>
        <w:t>年</w:t>
      </w:r>
      <w:r>
        <w:rPr>
          <w:rFonts w:ascii="宋体" w:hAnsi="宋体" w:cs="宋体" w:eastAsia="宋体" w:hint="default"/>
          <w:spacing w:val="-3"/>
          <w:w w:val="100"/>
        </w:rPr>
        <w:t>12</w:t>
      </w:r>
      <w:r>
        <w:rPr>
          <w:spacing w:val="-3"/>
          <w:w w:val="100"/>
        </w:rPr>
        <w:t>月</w:t>
      </w:r>
      <w:r>
        <w:rPr>
          <w:rFonts w:ascii="宋体" w:hAnsi="宋体" w:cs="宋体" w:eastAsia="宋体" w:hint="default"/>
          <w:spacing w:val="-3"/>
          <w:w w:val="100"/>
        </w:rPr>
        <w:t>30</w:t>
      </w:r>
      <w:r>
        <w:rPr>
          <w:spacing w:val="-3"/>
          <w:w w:val="100"/>
        </w:rPr>
        <w:t>日至</w:t>
      </w:r>
      <w:r>
        <w:rPr>
          <w:rFonts w:ascii="宋体" w:hAnsi="宋体" w:cs="宋体" w:eastAsia="宋体" w:hint="default"/>
          <w:spacing w:val="-3"/>
          <w:w w:val="100"/>
        </w:rPr>
        <w:t>2011</w:t>
      </w:r>
      <w:r>
        <w:rPr>
          <w:spacing w:val="-3"/>
          <w:w w:val="100"/>
        </w:rPr>
        <w:t>年</w:t>
      </w:r>
      <w:r>
        <w:rPr>
          <w:rFonts w:ascii="宋体" w:hAnsi="宋体" w:cs="宋体" w:eastAsia="宋体" w:hint="default"/>
          <w:spacing w:val="-3"/>
          <w:w w:val="100"/>
        </w:rPr>
        <w:t>12</w:t>
      </w:r>
      <w:r>
        <w:rPr>
          <w:spacing w:val="-3"/>
          <w:w w:val="100"/>
        </w:rPr>
        <w:t>月</w:t>
      </w:r>
      <w:r>
        <w:rPr>
          <w:rFonts w:ascii="宋体" w:hAnsi="宋体" w:cs="宋体" w:eastAsia="宋体" w:hint="default"/>
          <w:spacing w:val="-3"/>
          <w:w w:val="100"/>
        </w:rPr>
        <w:t>29</w:t>
      </w:r>
      <w:r>
        <w:rPr>
          <w:spacing w:val="-3"/>
          <w:w w:val="100"/>
        </w:rPr>
        <w:t>日。 </w:t>
      </w:r>
      <w:r>
        <w:rPr>
          <w:rFonts w:ascii="宋体" w:hAnsi="宋体" w:cs="宋体" w:eastAsia="宋体" w:hint="default"/>
          <w:b/>
          <w:bCs/>
        </w:rPr>
        <w:t>21</w:t>
      </w:r>
      <w:r>
        <w:rPr>
          <w:rFonts w:ascii="宋体" w:hAnsi="宋体" w:cs="宋体" w:eastAsia="宋体" w:hint="default"/>
          <w:b/>
          <w:bCs/>
        </w:rPr>
        <w:t>、资本公积</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2"/>
          <w:szCs w:val="22"/>
        </w:rPr>
      </w:pPr>
    </w:p>
    <w:p>
      <w:pPr>
        <w:pStyle w:val="BodyText"/>
        <w:spacing w:line="357" w:lineRule="auto" w:before="36"/>
        <w:ind w:left="240" w:right="606" w:firstLine="412"/>
        <w:jc w:val="left"/>
      </w:pPr>
      <w:r>
        <w:rPr>
          <w:spacing w:val="-2"/>
        </w:rPr>
        <w:t>（</w:t>
      </w:r>
      <w:r>
        <w:rPr>
          <w:rFonts w:ascii="宋体" w:hAnsi="宋体" w:cs="宋体" w:eastAsia="宋体" w:hint="default"/>
          <w:spacing w:val="-2"/>
        </w:rPr>
        <w:t>1</w:t>
      </w:r>
      <w:r>
        <w:rPr>
          <w:spacing w:val="-2"/>
        </w:rPr>
        <w:t>）上述“资本溢价—本期增加”项目中</w:t>
      </w:r>
      <w:r>
        <w:rPr>
          <w:rFonts w:ascii="宋体" w:hAnsi="宋体" w:cs="宋体" w:eastAsia="宋体" w:hint="default"/>
          <w:spacing w:val="-2"/>
        </w:rPr>
        <w:t>936,574,799.24</w:t>
      </w:r>
      <w:r>
        <w:rPr>
          <w:spacing w:val="-2"/>
        </w:rPr>
        <w:t>元是本公司本期非公开发行股票实际募集资金净额</w:t>
      </w:r>
      <w:r>
        <w:rPr>
          <w:w w:val="100"/>
        </w:rPr>
        <w:t> </w:t>
      </w:r>
      <w:r>
        <w:rPr>
          <w:rFonts w:ascii="宋体" w:hAnsi="宋体" w:cs="宋体" w:eastAsia="宋体" w:hint="default"/>
        </w:rPr>
        <w:t>986,450,110.24</w:t>
      </w:r>
      <w:r>
        <w:rPr/>
        <w:t>元扣除新增股份</w:t>
      </w:r>
      <w:r>
        <w:rPr>
          <w:rFonts w:ascii="宋体" w:hAnsi="宋体" w:cs="宋体" w:eastAsia="宋体" w:hint="default"/>
        </w:rPr>
        <w:t>49,875,311</w:t>
      </w:r>
      <w:r>
        <w:rPr/>
        <w:t>股后形成的资本溢价。</w:t>
      </w:r>
    </w:p>
    <w:p>
      <w:pPr>
        <w:pStyle w:val="BodyText"/>
        <w:spacing w:line="355" w:lineRule="auto" w:before="30"/>
        <w:ind w:left="240" w:right="606" w:firstLine="412"/>
        <w:jc w:val="left"/>
      </w:pPr>
      <w:r>
        <w:rPr>
          <w:spacing w:val="-2"/>
        </w:rPr>
        <w:t>（</w:t>
      </w:r>
      <w:r>
        <w:rPr>
          <w:rFonts w:ascii="宋体" w:hAnsi="宋体" w:cs="宋体" w:eastAsia="宋体" w:hint="default"/>
          <w:spacing w:val="-2"/>
        </w:rPr>
        <w:t>2</w:t>
      </w:r>
      <w:r>
        <w:rPr>
          <w:spacing w:val="-2"/>
        </w:rPr>
        <w:t>）上述“其他资本公积—本期增加”项目中</w:t>
      </w:r>
      <w:r>
        <w:rPr>
          <w:rFonts w:ascii="宋体" w:hAnsi="宋体" w:cs="宋体" w:eastAsia="宋体" w:hint="default"/>
          <w:spacing w:val="-2"/>
        </w:rPr>
        <w:t>4,334,733.33</w:t>
      </w:r>
      <w:r>
        <w:rPr>
          <w:spacing w:val="-2"/>
        </w:rPr>
        <w:t>元是子公司吉林草还丹药业有限公司“年产</w:t>
      </w:r>
      <w:r>
        <w:rPr>
          <w:rFonts w:ascii="宋体" w:hAnsi="宋体" w:cs="宋体" w:eastAsia="宋体" w:hint="default"/>
          <w:spacing w:val="-2"/>
        </w:rPr>
        <w:t>2</w:t>
      </w:r>
      <w:r>
        <w:rPr>
          <w:spacing w:val="-2"/>
        </w:rPr>
        <w:t>亿粒</w:t>
      </w:r>
      <w:r>
        <w:rPr>
          <w:w w:val="100"/>
        </w:rPr>
        <w:t> </w:t>
      </w:r>
      <w:r>
        <w:rPr>
          <w:spacing w:val="-2"/>
        </w:rPr>
        <w:t>藿香祛暑软胶囊”项目政府补助</w:t>
      </w:r>
      <w:r>
        <w:rPr>
          <w:rFonts w:ascii="宋体" w:hAnsi="宋体" w:cs="宋体" w:eastAsia="宋体" w:hint="default"/>
          <w:spacing w:val="-2"/>
        </w:rPr>
        <w:t>506</w:t>
      </w:r>
      <w:r>
        <w:rPr>
          <w:spacing w:val="-2"/>
        </w:rPr>
        <w:t>万元本期经吉林省发改委验收通过，根据文件规定项目验收合格后扣除递延所</w:t>
      </w:r>
      <w:r>
        <w:rPr>
          <w:spacing w:val="-9"/>
        </w:rPr>
        <w:t> </w:t>
      </w:r>
      <w:r>
        <w:rPr>
          <w:spacing w:val="-9"/>
        </w:rPr>
      </w:r>
      <w:r>
        <w:rPr/>
        <w:t>得税负债</w:t>
      </w:r>
      <w:r>
        <w:rPr>
          <w:rFonts w:ascii="宋体" w:hAnsi="宋体" w:cs="宋体" w:eastAsia="宋体" w:hint="default"/>
        </w:rPr>
        <w:t>725,266.67</w:t>
      </w:r>
      <w:r>
        <w:rPr/>
        <w:t>元后转为其他资本公积。</w:t>
      </w:r>
    </w:p>
    <w:p>
      <w:pPr>
        <w:pStyle w:val="BodyText"/>
        <w:spacing w:line="357" w:lineRule="auto"/>
        <w:ind w:left="240" w:right="606" w:firstLine="412"/>
        <w:jc w:val="left"/>
      </w:pPr>
      <w:r>
        <w:rPr>
          <w:spacing w:val="-2"/>
        </w:rPr>
        <w:t>（</w:t>
      </w:r>
      <w:r>
        <w:rPr>
          <w:rFonts w:ascii="宋体" w:hAnsi="宋体" w:cs="宋体" w:eastAsia="宋体" w:hint="default"/>
          <w:spacing w:val="-2"/>
        </w:rPr>
        <w:t>3</w:t>
      </w:r>
      <w:r>
        <w:rPr>
          <w:spacing w:val="-2"/>
        </w:rPr>
        <w:t>）上述“资本溢价—本期减少”项目中</w:t>
      </w:r>
      <w:r>
        <w:rPr>
          <w:rFonts w:ascii="宋体" w:hAnsi="宋体" w:cs="宋体" w:eastAsia="宋体" w:hint="default"/>
          <w:spacing w:val="-2"/>
        </w:rPr>
        <w:t>60,770,700.00</w:t>
      </w:r>
      <w:r>
        <w:rPr>
          <w:spacing w:val="-2"/>
        </w:rPr>
        <w:t>元是根据本公司</w:t>
      </w:r>
      <w:r>
        <w:rPr>
          <w:rFonts w:ascii="宋体" w:hAnsi="宋体" w:cs="宋体" w:eastAsia="宋体" w:hint="default"/>
          <w:spacing w:val="-2"/>
        </w:rPr>
        <w:t>2009</w:t>
      </w:r>
      <w:r>
        <w:rPr>
          <w:spacing w:val="-2"/>
        </w:rPr>
        <w:t>年度股东大会决议，由资本溢价</w:t>
      </w:r>
      <w:r>
        <w:rPr>
          <w:w w:val="100"/>
        </w:rPr>
        <w:t> </w:t>
      </w:r>
      <w:r>
        <w:rPr/>
        <w:t>转增股本的部分。</w:t>
      </w:r>
    </w:p>
    <w:p>
      <w:pPr>
        <w:pStyle w:val="Heading4"/>
        <w:spacing w:line="240" w:lineRule="auto" w:before="30"/>
        <w:ind w:right="606"/>
        <w:jc w:val="left"/>
        <w:rPr>
          <w:b w:val="0"/>
          <w:bCs w:val="0"/>
        </w:rPr>
      </w:pPr>
      <w:r>
        <w:rPr>
          <w:rFonts w:ascii="宋体" w:hAnsi="宋体" w:cs="宋体" w:eastAsia="宋体" w:hint="default"/>
        </w:rPr>
        <w:t>22</w:t>
      </w:r>
      <w:r>
        <w:rPr/>
        <w:t>、盈余公积</w:t>
      </w:r>
      <w:r>
        <w:rPr>
          <w:b w:val="0"/>
          <w:bCs w:val="0"/>
        </w:rPr>
      </w:r>
    </w:p>
    <w:p>
      <w:pPr>
        <w:spacing w:line="240" w:lineRule="auto" w:before="11"/>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2151"/>
        <w:gridCol w:w="2139"/>
        <w:gridCol w:w="2136"/>
        <w:gridCol w:w="2137"/>
        <w:gridCol w:w="2136"/>
      </w:tblGrid>
      <w:tr>
        <w:trPr>
          <w:trHeight w:val="535" w:hRule="exact"/>
        </w:trPr>
        <w:tc>
          <w:tcPr>
            <w:tcW w:w="2151" w:type="dxa"/>
            <w:tcBorders>
              <w:top w:val="single" w:sz="12" w:space="0" w:color="000000"/>
              <w:left w:val="nil" w:sz="6" w:space="0" w:color="auto"/>
              <w:bottom w:val="single" w:sz="6" w:space="0" w:color="000000"/>
              <w:right w:val="single" w:sz="4" w:space="0" w:color="000000"/>
            </w:tcBorders>
          </w:tcPr>
          <w:p>
            <w:pPr>
              <w:pStyle w:val="TableParagraph"/>
              <w:tabs>
                <w:tab w:pos="564" w:val="left" w:leader="none"/>
              </w:tabs>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39"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1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37"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6"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51"/>
              <w:ind w:right="11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28" w:hRule="exact"/>
        </w:trPr>
        <w:tc>
          <w:tcPr>
            <w:tcW w:w="2151"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法定盈余公积金</w:t>
            </w:r>
          </w:p>
        </w:tc>
        <w:tc>
          <w:tcPr>
            <w:tcW w:w="2139"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38,667,258.62</w:t>
            </w:r>
          </w:p>
        </w:tc>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4,786,001.34</w:t>
            </w:r>
          </w:p>
        </w:tc>
        <w:tc>
          <w:tcPr>
            <w:tcW w:w="2137" w:type="dxa"/>
            <w:tcBorders>
              <w:top w:val="single" w:sz="6" w:space="0" w:color="000000"/>
              <w:left w:val="single" w:sz="6" w:space="0" w:color="000000"/>
              <w:bottom w:val="single" w:sz="6" w:space="0" w:color="000000"/>
              <w:right w:val="single" w:sz="4" w:space="0" w:color="000000"/>
            </w:tcBorders>
          </w:tcPr>
          <w:p>
            <w:pPr/>
          </w:p>
        </w:tc>
        <w:tc>
          <w:tcPr>
            <w:tcW w:w="2136"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43,453,259.96</w:t>
            </w:r>
          </w:p>
        </w:tc>
      </w:tr>
      <w:tr>
        <w:trPr>
          <w:trHeight w:val="538" w:hRule="exact"/>
        </w:trPr>
        <w:tc>
          <w:tcPr>
            <w:tcW w:w="2151" w:type="dxa"/>
            <w:tcBorders>
              <w:top w:val="single" w:sz="6" w:space="0" w:color="000000"/>
              <w:left w:val="nil" w:sz="6" w:space="0" w:color="auto"/>
              <w:bottom w:val="single" w:sz="12" w:space="0" w:color="000000"/>
              <w:right w:val="single" w:sz="4" w:space="0" w:color="000000"/>
            </w:tcBorders>
          </w:tcPr>
          <w:p>
            <w:pPr>
              <w:pStyle w:val="TableParagraph"/>
              <w:tabs>
                <w:tab w:pos="564" w:val="left" w:leader="none"/>
              </w:tabs>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139" w:type="dxa"/>
            <w:tcBorders>
              <w:top w:val="single" w:sz="6" w:space="0" w:color="000000"/>
              <w:left w:val="single" w:sz="4" w:space="0" w:color="000000"/>
              <w:bottom w:val="single" w:sz="12" w:space="0" w:color="000000"/>
              <w:right w:val="single" w:sz="6"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38,667,258.62</w:t>
            </w:r>
          </w:p>
        </w:tc>
        <w:tc>
          <w:tcPr>
            <w:tcW w:w="2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right="99"/>
              <w:jc w:val="right"/>
              <w:rPr>
                <w:rFonts w:ascii="宋体" w:hAnsi="宋体" w:cs="宋体" w:eastAsia="宋体" w:hint="default"/>
                <w:sz w:val="18"/>
                <w:szCs w:val="18"/>
              </w:rPr>
            </w:pPr>
            <w:r>
              <w:rPr>
                <w:rFonts w:ascii="宋体"/>
                <w:spacing w:val="-1"/>
                <w:sz w:val="18"/>
              </w:rPr>
              <w:t>4,786,001.34</w:t>
            </w:r>
          </w:p>
        </w:tc>
        <w:tc>
          <w:tcPr>
            <w:tcW w:w="2137" w:type="dxa"/>
            <w:tcBorders>
              <w:top w:val="single" w:sz="6" w:space="0" w:color="000000"/>
              <w:left w:val="single" w:sz="6" w:space="0" w:color="000000"/>
              <w:bottom w:val="single" w:sz="12" w:space="0" w:color="000000"/>
              <w:right w:val="single" w:sz="4" w:space="0" w:color="000000"/>
            </w:tcBorders>
          </w:tcPr>
          <w:p>
            <w:pPr/>
          </w:p>
        </w:tc>
        <w:tc>
          <w:tcPr>
            <w:tcW w:w="2136"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43,453,259.96</w:t>
            </w:r>
          </w:p>
        </w:tc>
      </w:tr>
    </w:tbl>
    <w:p>
      <w:pPr>
        <w:pStyle w:val="Heading4"/>
        <w:spacing w:line="240" w:lineRule="auto"/>
        <w:ind w:right="606"/>
        <w:jc w:val="left"/>
        <w:rPr>
          <w:b w:val="0"/>
          <w:bCs w:val="0"/>
        </w:rPr>
      </w:pPr>
      <w:r>
        <w:rPr>
          <w:rFonts w:ascii="宋体" w:hAnsi="宋体" w:cs="宋体" w:eastAsia="宋体" w:hint="default"/>
        </w:rPr>
        <w:t>23</w:t>
      </w:r>
      <w:r>
        <w:rPr/>
        <w:t>、未分配利润</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4739"/>
        <w:gridCol w:w="2979"/>
        <w:gridCol w:w="2981"/>
      </w:tblGrid>
      <w:tr>
        <w:trPr>
          <w:trHeight w:val="439" w:hRule="exact"/>
        </w:trPr>
        <w:tc>
          <w:tcPr>
            <w:tcW w:w="4739" w:type="dxa"/>
            <w:tcBorders>
              <w:top w:val="single" w:sz="12" w:space="0" w:color="000000"/>
              <w:left w:val="nil" w:sz="6" w:space="0" w:color="auto"/>
              <w:bottom w:val="single" w:sz="8" w:space="0" w:color="000000"/>
              <w:right w:val="single" w:sz="8" w:space="0" w:color="000000"/>
            </w:tcBorders>
          </w:tcPr>
          <w:p>
            <w:pPr>
              <w:pStyle w:val="TableParagraph"/>
              <w:tabs>
                <w:tab w:pos="674" w:val="left" w:leader="none"/>
              </w:tabs>
              <w:spacing w:line="240" w:lineRule="auto" w:before="1"/>
              <w:ind w:left="13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979" w:type="dxa"/>
            <w:tcBorders>
              <w:top w:val="single" w:sz="12" w:space="0" w:color="000000"/>
              <w:left w:val="single" w:sz="8" w:space="0" w:color="000000"/>
              <w:bottom w:val="single" w:sz="8" w:space="0" w:color="000000"/>
              <w:right w:val="single" w:sz="8" w:space="0" w:color="000000"/>
            </w:tcBorders>
          </w:tcPr>
          <w:p>
            <w:pPr>
              <w:pStyle w:val="TableParagraph"/>
              <w:tabs>
                <w:tab w:pos="542" w:val="left" w:leader="none"/>
              </w:tabs>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金</w:t>
              <w:tab/>
              <w:t>额</w:t>
            </w:r>
          </w:p>
        </w:tc>
        <w:tc>
          <w:tcPr>
            <w:tcW w:w="2981"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
              <w:ind w:left="79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39" w:hRule="exact"/>
        </w:trPr>
        <w:tc>
          <w:tcPr>
            <w:tcW w:w="4739" w:type="dxa"/>
            <w:tcBorders>
              <w:top w:val="single" w:sz="8" w:space="0" w:color="000000"/>
              <w:left w:val="nil" w:sz="6" w:space="0" w:color="auto"/>
              <w:bottom w:val="single" w:sz="12" w:space="0" w:color="000000"/>
              <w:right w:val="single" w:sz="8"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2979" w:type="dxa"/>
            <w:tcBorders>
              <w:top w:val="single" w:sz="8" w:space="0" w:color="000000"/>
              <w:left w:val="single" w:sz="8" w:space="0" w:color="000000"/>
              <w:bottom w:val="single" w:sz="12" w:space="0" w:color="000000"/>
              <w:right w:val="single" w:sz="8" w:space="0" w:color="000000"/>
            </w:tcBorders>
          </w:tcPr>
          <w:p>
            <w:pPr>
              <w:pStyle w:val="TableParagraph"/>
              <w:spacing w:line="234" w:lineRule="exact"/>
              <w:ind w:left="1601" w:right="0"/>
              <w:jc w:val="left"/>
              <w:rPr>
                <w:rFonts w:ascii="宋体" w:hAnsi="宋体" w:cs="宋体" w:eastAsia="宋体" w:hint="default"/>
                <w:sz w:val="18"/>
                <w:szCs w:val="18"/>
              </w:rPr>
            </w:pPr>
            <w:r>
              <w:rPr>
                <w:rFonts w:ascii="宋体"/>
                <w:sz w:val="18"/>
              </w:rPr>
              <w:t>170,219,503.10</w:t>
            </w:r>
          </w:p>
        </w:tc>
        <w:tc>
          <w:tcPr>
            <w:tcW w:w="2981" w:type="dxa"/>
            <w:tcBorders>
              <w:top w:val="single" w:sz="8" w:space="0" w:color="000000"/>
              <w:left w:val="single" w:sz="8" w:space="0" w:color="000000"/>
              <w:bottom w:val="single" w:sz="12" w:space="0" w:color="000000"/>
              <w:right w:val="nil" w:sz="6" w:space="0" w:color="auto"/>
            </w:tcBorders>
          </w:tcPr>
          <w:p>
            <w:pPr/>
          </w:p>
        </w:tc>
      </w:tr>
    </w:tbl>
    <w:p>
      <w:pPr>
        <w:spacing w:after="0"/>
        <w:sectPr>
          <w:pgSz w:w="11910" w:h="16840"/>
          <w:pgMar w:header="720" w:footer="956" w:top="1300" w:bottom="1140" w:left="480" w:right="0"/>
        </w:sectPr>
      </w:pPr>
    </w:p>
    <w:p>
      <w:pPr>
        <w:spacing w:line="240" w:lineRule="auto" w:before="6"/>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4739"/>
        <w:gridCol w:w="2979"/>
        <w:gridCol w:w="2981"/>
      </w:tblGrid>
      <w:tr>
        <w:trPr>
          <w:trHeight w:val="459" w:hRule="exact"/>
        </w:trPr>
        <w:tc>
          <w:tcPr>
            <w:tcW w:w="4739"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20"/>
              <w:ind w:left="1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r>
              <w:rPr>
                <w:rFonts w:ascii="宋体" w:hAnsi="宋体" w:cs="宋体" w:eastAsia="宋体" w:hint="default"/>
                <w:sz w:val="18"/>
                <w:szCs w:val="18"/>
              </w:rPr>
              <w:t>-</w:t>
            </w:r>
            <w:r>
              <w:rPr>
                <w:rFonts w:ascii="宋体" w:hAnsi="宋体" w:cs="宋体" w:eastAsia="宋体" w:hint="default"/>
                <w:sz w:val="18"/>
                <w:szCs w:val="18"/>
              </w:rPr>
              <w:t>）</w:t>
            </w:r>
          </w:p>
        </w:tc>
        <w:tc>
          <w:tcPr>
            <w:tcW w:w="2979" w:type="dxa"/>
            <w:tcBorders>
              <w:top w:val="single" w:sz="12" w:space="0" w:color="000000"/>
              <w:left w:val="single" w:sz="8" w:space="0" w:color="000000"/>
              <w:bottom w:val="single" w:sz="8" w:space="0" w:color="000000"/>
              <w:right w:val="single" w:sz="8" w:space="0" w:color="000000"/>
            </w:tcBorders>
          </w:tcPr>
          <w:p>
            <w:pPr/>
          </w:p>
        </w:tc>
        <w:tc>
          <w:tcPr>
            <w:tcW w:w="2981" w:type="dxa"/>
            <w:tcBorders>
              <w:top w:val="single" w:sz="12" w:space="0" w:color="000000"/>
              <w:left w:val="single" w:sz="8" w:space="0" w:color="000000"/>
              <w:bottom w:val="single" w:sz="8" w:space="0" w:color="000000"/>
              <w:right w:val="nil" w:sz="6" w:space="0" w:color="auto"/>
            </w:tcBorders>
          </w:tcPr>
          <w:p>
            <w:pPr/>
          </w:p>
        </w:tc>
      </w:tr>
      <w:tr>
        <w:trPr>
          <w:trHeight w:val="434"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年初未分配利润</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96"/>
              <w:jc w:val="right"/>
              <w:rPr>
                <w:rFonts w:ascii="宋体" w:hAnsi="宋体" w:cs="宋体" w:eastAsia="宋体" w:hint="default"/>
                <w:sz w:val="18"/>
                <w:szCs w:val="18"/>
              </w:rPr>
            </w:pPr>
            <w:r>
              <w:rPr>
                <w:rFonts w:ascii="宋体"/>
                <w:spacing w:val="-1"/>
                <w:sz w:val="18"/>
              </w:rPr>
              <w:t>170,219,503.10</w:t>
            </w: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34"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加：本期归属于母公司股东的净利润</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96"/>
              <w:jc w:val="right"/>
              <w:rPr>
                <w:rFonts w:ascii="宋体" w:hAnsi="宋体" w:cs="宋体" w:eastAsia="宋体" w:hint="default"/>
                <w:sz w:val="18"/>
                <w:szCs w:val="18"/>
              </w:rPr>
            </w:pPr>
            <w:r>
              <w:rPr>
                <w:rFonts w:ascii="宋体"/>
                <w:spacing w:val="-1"/>
                <w:sz w:val="18"/>
              </w:rPr>
              <w:t>173,173,606.20</w:t>
            </w: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32"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34" w:lineRule="exact"/>
              <w:ind w:left="484" w:right="0"/>
              <w:jc w:val="left"/>
              <w:rPr>
                <w:rFonts w:ascii="宋体" w:hAnsi="宋体" w:cs="宋体" w:eastAsia="宋体" w:hint="default"/>
                <w:sz w:val="18"/>
                <w:szCs w:val="18"/>
              </w:rPr>
            </w:pPr>
            <w:r>
              <w:rPr>
                <w:rFonts w:ascii="宋体" w:hAnsi="宋体" w:cs="宋体" w:eastAsia="宋体" w:hint="default"/>
                <w:sz w:val="18"/>
                <w:szCs w:val="18"/>
              </w:rPr>
              <w:t>盈余公积转入</w:t>
            </w:r>
          </w:p>
        </w:tc>
        <w:tc>
          <w:tcPr>
            <w:tcW w:w="2979" w:type="dxa"/>
            <w:tcBorders>
              <w:top w:val="single" w:sz="8" w:space="0" w:color="000000"/>
              <w:left w:val="single" w:sz="8" w:space="0" w:color="000000"/>
              <w:bottom w:val="single" w:sz="8" w:space="0" w:color="000000"/>
              <w:right w:val="single" w:sz="8" w:space="0" w:color="000000"/>
            </w:tcBorders>
          </w:tcPr>
          <w:p>
            <w:pP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32"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34" w:lineRule="exact"/>
              <w:ind w:left="484"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979" w:type="dxa"/>
            <w:tcBorders>
              <w:top w:val="single" w:sz="8" w:space="0" w:color="000000"/>
              <w:left w:val="single" w:sz="8" w:space="0" w:color="000000"/>
              <w:bottom w:val="single" w:sz="8" w:space="0" w:color="000000"/>
              <w:right w:val="single" w:sz="8" w:space="0" w:color="000000"/>
            </w:tcBorders>
          </w:tcPr>
          <w:p>
            <w:pP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34"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96"/>
              <w:jc w:val="right"/>
              <w:rPr>
                <w:rFonts w:ascii="宋体" w:hAnsi="宋体" w:cs="宋体" w:eastAsia="宋体" w:hint="default"/>
                <w:sz w:val="18"/>
                <w:szCs w:val="18"/>
              </w:rPr>
            </w:pPr>
            <w:r>
              <w:rPr>
                <w:rFonts w:ascii="宋体"/>
                <w:spacing w:val="-1"/>
                <w:sz w:val="18"/>
              </w:rPr>
              <w:t>4,786,001.34</w:t>
            </w:r>
          </w:p>
        </w:tc>
        <w:tc>
          <w:tcPr>
            <w:tcW w:w="29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
              <w:ind w:left="98" w:right="0"/>
              <w:jc w:val="left"/>
              <w:rPr>
                <w:rFonts w:ascii="宋体" w:hAnsi="宋体" w:cs="宋体" w:eastAsia="宋体" w:hint="default"/>
                <w:sz w:val="18"/>
                <w:szCs w:val="18"/>
              </w:rPr>
            </w:pPr>
            <w:r>
              <w:rPr>
                <w:rFonts w:ascii="宋体"/>
                <w:sz w:val="18"/>
              </w:rPr>
              <w:t>10%</w:t>
            </w:r>
          </w:p>
        </w:tc>
      </w:tr>
      <w:tr>
        <w:trPr>
          <w:trHeight w:val="434"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34" w:lineRule="exact"/>
              <w:ind w:left="48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79" w:type="dxa"/>
            <w:tcBorders>
              <w:top w:val="single" w:sz="8" w:space="0" w:color="000000"/>
              <w:left w:val="single" w:sz="8" w:space="0" w:color="000000"/>
              <w:bottom w:val="single" w:sz="8" w:space="0" w:color="000000"/>
              <w:right w:val="single" w:sz="8" w:space="0" w:color="000000"/>
            </w:tcBorders>
          </w:tcPr>
          <w:p>
            <w:pP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32"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34" w:lineRule="exact"/>
              <w:ind w:left="4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96"/>
              <w:jc w:val="right"/>
              <w:rPr>
                <w:rFonts w:ascii="宋体" w:hAnsi="宋体" w:cs="宋体" w:eastAsia="宋体" w:hint="default"/>
                <w:sz w:val="18"/>
                <w:szCs w:val="18"/>
              </w:rPr>
            </w:pPr>
            <w:r>
              <w:rPr>
                <w:rFonts w:ascii="宋体"/>
                <w:spacing w:val="-1"/>
                <w:sz w:val="18"/>
              </w:rPr>
              <w:t>2,795,452.20</w:t>
            </w:r>
          </w:p>
        </w:tc>
        <w:tc>
          <w:tcPr>
            <w:tcW w:w="2981" w:type="dxa"/>
            <w:tcBorders>
              <w:top w:val="single" w:sz="8" w:space="0" w:color="000000"/>
              <w:left w:val="single" w:sz="8" w:space="0" w:color="000000"/>
              <w:bottom w:val="single" w:sz="8" w:space="0" w:color="000000"/>
              <w:right w:val="nil" w:sz="6" w:space="0" w:color="auto"/>
            </w:tcBorders>
          </w:tcPr>
          <w:p>
            <w:pPr>
              <w:pStyle w:val="TableParagraph"/>
              <w:spacing w:line="234" w:lineRule="exact"/>
              <w:ind w:left="309"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股派送</w:t>
            </w:r>
            <w:r>
              <w:rPr>
                <w:rFonts w:ascii="宋体" w:hAnsi="宋体" w:cs="宋体" w:eastAsia="宋体" w:hint="default"/>
                <w:spacing w:val="-47"/>
                <w:sz w:val="18"/>
                <w:szCs w:val="18"/>
              </w:rPr>
              <w:t> </w:t>
            </w:r>
            <w:r>
              <w:rPr>
                <w:rFonts w:ascii="宋体" w:hAnsi="宋体" w:cs="宋体" w:eastAsia="宋体" w:hint="default"/>
                <w:sz w:val="18"/>
                <w:szCs w:val="18"/>
              </w:rPr>
              <w:t>0.23</w:t>
            </w:r>
            <w:r>
              <w:rPr>
                <w:rFonts w:ascii="宋体" w:hAnsi="宋体" w:cs="宋体" w:eastAsia="宋体" w:hint="default"/>
                <w:spacing w:val="-45"/>
                <w:sz w:val="18"/>
                <w:szCs w:val="18"/>
              </w:rPr>
              <w:t> </w:t>
            </w:r>
            <w:r>
              <w:rPr>
                <w:rFonts w:ascii="宋体" w:hAnsi="宋体" w:cs="宋体" w:eastAsia="宋体" w:hint="default"/>
                <w:sz w:val="18"/>
                <w:szCs w:val="18"/>
              </w:rPr>
              <w:t>元（含税）</w:t>
            </w:r>
          </w:p>
        </w:tc>
      </w:tr>
      <w:tr>
        <w:trPr>
          <w:trHeight w:val="432"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34" w:lineRule="exact"/>
              <w:ind w:right="96"/>
              <w:jc w:val="right"/>
              <w:rPr>
                <w:rFonts w:ascii="宋体" w:hAnsi="宋体" w:cs="宋体" w:eastAsia="宋体" w:hint="default"/>
                <w:sz w:val="18"/>
                <w:szCs w:val="18"/>
              </w:rPr>
            </w:pPr>
            <w:r>
              <w:rPr>
                <w:rFonts w:ascii="宋体"/>
                <w:spacing w:val="-1"/>
                <w:sz w:val="18"/>
              </w:rPr>
              <w:t>24,308,280.00</w:t>
            </w:r>
          </w:p>
        </w:tc>
        <w:tc>
          <w:tcPr>
            <w:tcW w:w="2981" w:type="dxa"/>
            <w:tcBorders>
              <w:top w:val="single" w:sz="8" w:space="0" w:color="000000"/>
              <w:left w:val="single" w:sz="8" w:space="0" w:color="000000"/>
              <w:bottom w:val="single" w:sz="8" w:space="0" w:color="000000"/>
              <w:right w:val="nil" w:sz="6" w:space="0" w:color="auto"/>
            </w:tcBorders>
          </w:tcPr>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股送</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股</w:t>
            </w:r>
          </w:p>
        </w:tc>
      </w:tr>
      <w:tr>
        <w:trPr>
          <w:trHeight w:val="435"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
              <w:ind w:left="48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979" w:type="dxa"/>
            <w:tcBorders>
              <w:top w:val="single" w:sz="8" w:space="0" w:color="000000"/>
              <w:left w:val="single" w:sz="8" w:space="0" w:color="000000"/>
              <w:bottom w:val="single" w:sz="8" w:space="0" w:color="000000"/>
              <w:right w:val="single" w:sz="8" w:space="0" w:color="000000"/>
            </w:tcBorders>
          </w:tcPr>
          <w:p>
            <w:pP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39" w:hRule="exact"/>
        </w:trPr>
        <w:tc>
          <w:tcPr>
            <w:tcW w:w="4739" w:type="dxa"/>
            <w:tcBorders>
              <w:top w:val="single" w:sz="8" w:space="0" w:color="000000"/>
              <w:left w:val="nil" w:sz="6" w:space="0" w:color="auto"/>
              <w:bottom w:val="single" w:sz="12" w:space="0" w:color="000000"/>
              <w:right w:val="single" w:sz="8"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79" w:type="dxa"/>
            <w:tcBorders>
              <w:top w:val="single" w:sz="8" w:space="0" w:color="000000"/>
              <w:left w:val="single" w:sz="8" w:space="0" w:color="000000"/>
              <w:bottom w:val="single" w:sz="12" w:space="0" w:color="000000"/>
              <w:right w:val="single" w:sz="8" w:space="0" w:color="000000"/>
            </w:tcBorders>
          </w:tcPr>
          <w:p>
            <w:pPr>
              <w:pStyle w:val="TableParagraph"/>
              <w:spacing w:line="234" w:lineRule="exact"/>
              <w:ind w:right="96"/>
              <w:jc w:val="right"/>
              <w:rPr>
                <w:rFonts w:ascii="宋体" w:hAnsi="宋体" w:cs="宋体" w:eastAsia="宋体" w:hint="default"/>
                <w:sz w:val="18"/>
                <w:szCs w:val="18"/>
              </w:rPr>
            </w:pPr>
            <w:r>
              <w:rPr>
                <w:rFonts w:ascii="宋体"/>
                <w:spacing w:val="-1"/>
                <w:sz w:val="18"/>
              </w:rPr>
              <w:t>311,503,375.76</w:t>
            </w:r>
          </w:p>
        </w:tc>
        <w:tc>
          <w:tcPr>
            <w:tcW w:w="2981" w:type="dxa"/>
            <w:tcBorders>
              <w:top w:val="single" w:sz="8" w:space="0" w:color="000000"/>
              <w:left w:val="single" w:sz="8" w:space="0" w:color="000000"/>
              <w:bottom w:val="single" w:sz="12" w:space="0" w:color="000000"/>
              <w:right w:val="nil" w:sz="6" w:space="0" w:color="auto"/>
            </w:tcBorders>
          </w:tcPr>
          <w:p>
            <w:pPr/>
          </w:p>
        </w:tc>
      </w:tr>
    </w:tbl>
    <w:p>
      <w:pPr>
        <w:pStyle w:val="BodyText"/>
        <w:spacing w:line="357" w:lineRule="auto" w:before="86"/>
        <w:ind w:left="240" w:right="711" w:firstLine="412"/>
        <w:jc w:val="both"/>
      </w:pPr>
      <w:r>
        <w:rPr/>
        <w:t>根据本公司</w:t>
      </w:r>
      <w:r>
        <w:rPr>
          <w:rFonts w:ascii="宋体" w:hAnsi="宋体" w:cs="宋体" w:eastAsia="宋体" w:hint="default"/>
        </w:rPr>
        <w:t>2009</w:t>
      </w:r>
      <w:r>
        <w:rPr/>
        <w:t>年度股东大会决议和修改后章程的规定，贵公司申请增加注册资本人民币</w:t>
      </w:r>
      <w:r>
        <w:rPr>
          <w:rFonts w:ascii="宋体" w:hAnsi="宋体" w:cs="宋体" w:eastAsia="宋体" w:hint="default"/>
        </w:rPr>
        <w:t>85,078,980.00</w:t>
      </w:r>
      <w:r>
        <w:rPr/>
        <w:t>元，</w:t>
      </w:r>
      <w:r>
        <w:rPr>
          <w:w w:val="100"/>
        </w:rPr>
        <w:t> </w:t>
      </w:r>
      <w:r>
        <w:rPr>
          <w:spacing w:val="-2"/>
          <w:w w:val="100"/>
        </w:rPr>
        <w:t>以</w:t>
      </w:r>
      <w:r>
        <w:rPr>
          <w:rFonts w:ascii="宋体" w:hAnsi="宋体" w:cs="宋体" w:eastAsia="宋体" w:hint="default"/>
          <w:spacing w:val="-2"/>
          <w:w w:val="100"/>
        </w:rPr>
        <w:t>2009</w:t>
      </w:r>
      <w:r>
        <w:rPr>
          <w:spacing w:val="-2"/>
          <w:w w:val="100"/>
        </w:rPr>
        <w:t>年</w:t>
      </w:r>
      <w:r>
        <w:rPr>
          <w:rFonts w:ascii="宋体" w:hAnsi="宋体" w:cs="宋体" w:eastAsia="宋体" w:hint="default"/>
          <w:spacing w:val="-2"/>
          <w:w w:val="100"/>
        </w:rPr>
        <w:t>12</w:t>
      </w:r>
      <w:r>
        <w:rPr>
          <w:spacing w:val="-2"/>
          <w:w w:val="100"/>
        </w:rPr>
        <w:t>月</w:t>
      </w:r>
      <w:r>
        <w:rPr>
          <w:rFonts w:ascii="宋体" w:hAnsi="宋体" w:cs="宋体" w:eastAsia="宋体" w:hint="default"/>
          <w:spacing w:val="-2"/>
          <w:w w:val="100"/>
        </w:rPr>
        <w:t>31</w:t>
      </w:r>
      <w:r>
        <w:rPr>
          <w:spacing w:val="-2"/>
          <w:w w:val="100"/>
        </w:rPr>
        <w:t>日总股本</w:t>
      </w:r>
      <w:r>
        <w:rPr>
          <w:rFonts w:ascii="宋体" w:hAnsi="宋体" w:cs="宋体" w:eastAsia="宋体" w:hint="default"/>
          <w:spacing w:val="-2"/>
          <w:w w:val="100"/>
        </w:rPr>
        <w:t>121,541,400</w:t>
      </w:r>
      <w:r>
        <w:rPr>
          <w:spacing w:val="-2"/>
          <w:w w:val="100"/>
        </w:rPr>
        <w:t>股为基数，向全体股东每</w:t>
      </w:r>
      <w:r>
        <w:rPr>
          <w:rFonts w:ascii="宋体" w:hAnsi="宋体" w:cs="宋体" w:eastAsia="宋体" w:hint="default"/>
          <w:spacing w:val="-2"/>
          <w:w w:val="100"/>
        </w:rPr>
        <w:t>10</w:t>
      </w:r>
      <w:r>
        <w:rPr>
          <w:spacing w:val="-2"/>
          <w:w w:val="100"/>
        </w:rPr>
        <w:t>股送</w:t>
      </w:r>
      <w:r>
        <w:rPr>
          <w:rFonts w:ascii="宋体" w:hAnsi="宋体" w:cs="宋体" w:eastAsia="宋体" w:hint="default"/>
          <w:spacing w:val="-2"/>
          <w:w w:val="100"/>
        </w:rPr>
        <w:t>2</w:t>
      </w:r>
      <w:r>
        <w:rPr>
          <w:spacing w:val="-2"/>
          <w:w w:val="100"/>
        </w:rPr>
        <w:t>股、派发现金红利</w:t>
      </w:r>
      <w:r>
        <w:rPr>
          <w:rFonts w:ascii="宋体" w:hAnsi="宋体" w:cs="宋体" w:eastAsia="宋体" w:hint="default"/>
          <w:spacing w:val="-2"/>
          <w:w w:val="100"/>
        </w:rPr>
        <w:t>0.23</w:t>
      </w:r>
      <w:r>
        <w:rPr>
          <w:spacing w:val="-2"/>
          <w:w w:val="100"/>
        </w:rPr>
        <w:t>元（含税），同时以</w:t>
      </w:r>
      <w:r>
        <w:rPr>
          <w:spacing w:val="-81"/>
          <w:w w:val="100"/>
        </w:rPr>
        <w:t> </w:t>
      </w:r>
      <w:r>
        <w:rPr>
          <w:spacing w:val="-81"/>
          <w:w w:val="100"/>
        </w:rPr>
      </w:r>
      <w:r>
        <w:rPr>
          <w:spacing w:val="-2"/>
        </w:rPr>
        <w:t>资本公积转增股本，每</w:t>
      </w:r>
      <w:r>
        <w:rPr>
          <w:rFonts w:ascii="宋体" w:hAnsi="宋体" w:cs="宋体" w:eastAsia="宋体" w:hint="default"/>
          <w:spacing w:val="-2"/>
        </w:rPr>
        <w:t>10</w:t>
      </w:r>
      <w:r>
        <w:rPr>
          <w:spacing w:val="-2"/>
        </w:rPr>
        <w:t>股转增</w:t>
      </w:r>
      <w:r>
        <w:rPr>
          <w:rFonts w:ascii="宋体" w:hAnsi="宋体" w:cs="宋体" w:eastAsia="宋体" w:hint="default"/>
          <w:spacing w:val="-2"/>
        </w:rPr>
        <w:t>5</w:t>
      </w:r>
      <w:r>
        <w:rPr>
          <w:spacing w:val="-2"/>
        </w:rPr>
        <w:t>股，每股面值</w:t>
      </w:r>
      <w:r>
        <w:rPr>
          <w:rFonts w:ascii="宋体" w:hAnsi="宋体" w:cs="宋体" w:eastAsia="宋体" w:hint="default"/>
          <w:spacing w:val="-2"/>
        </w:rPr>
        <w:t>1</w:t>
      </w:r>
      <w:r>
        <w:rPr>
          <w:spacing w:val="-2"/>
        </w:rPr>
        <w:t>元，变更后的股本总额为人民币</w:t>
      </w:r>
      <w:r>
        <w:rPr>
          <w:rFonts w:ascii="宋体" w:hAnsi="宋体" w:cs="宋体" w:eastAsia="宋体" w:hint="default"/>
          <w:spacing w:val="-2"/>
        </w:rPr>
        <w:t>206,620,380.00</w:t>
      </w:r>
      <w:r>
        <w:rPr>
          <w:spacing w:val="-2"/>
        </w:rPr>
        <w:t>元。此次股本变更</w:t>
      </w:r>
      <w:r>
        <w:rPr>
          <w:spacing w:val="-33"/>
        </w:rPr>
        <w:t> </w:t>
      </w:r>
      <w:r>
        <w:rPr>
          <w:spacing w:val="-33"/>
        </w:rPr>
      </w:r>
      <w:r>
        <w:rPr/>
        <w:t>事宜，经中准会计师事务所有限公司于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19</w:t>
      </w:r>
      <w:r>
        <w:rPr/>
        <w:t>日出具的中准验字</w:t>
      </w:r>
      <w:r>
        <w:rPr>
          <w:rFonts w:ascii="宋体" w:hAnsi="宋体" w:cs="宋体" w:eastAsia="宋体" w:hint="default"/>
        </w:rPr>
        <w:t>[2010]</w:t>
      </w:r>
      <w:r>
        <w:rPr/>
        <w:t>第</w:t>
      </w:r>
      <w:r>
        <w:rPr>
          <w:rFonts w:ascii="宋体" w:hAnsi="宋体" w:cs="宋体" w:eastAsia="宋体" w:hint="default"/>
        </w:rPr>
        <w:t>2012</w:t>
      </w:r>
      <w:r>
        <w:rPr/>
        <w:t>号验资报告予以验证。</w:t>
      </w:r>
    </w:p>
    <w:p>
      <w:pPr>
        <w:pStyle w:val="Heading4"/>
        <w:spacing w:line="240" w:lineRule="auto" w:before="30"/>
        <w:ind w:right="606"/>
        <w:jc w:val="left"/>
        <w:rPr>
          <w:b w:val="0"/>
          <w:bCs w:val="0"/>
        </w:rPr>
      </w:pPr>
      <w:r>
        <w:rPr>
          <w:rFonts w:ascii="宋体" w:hAnsi="宋体" w:cs="宋体" w:eastAsia="宋体" w:hint="default"/>
        </w:rPr>
        <w:t>24</w:t>
      </w:r>
      <w:r>
        <w:rPr/>
        <w:t>、营业收入</w:t>
      </w:r>
      <w:r>
        <w:rPr>
          <w:rFonts w:ascii="宋体" w:hAnsi="宋体" w:cs="宋体" w:eastAsia="宋体" w:hint="default"/>
        </w:rPr>
        <w:t>/</w:t>
      </w:r>
      <w:r>
        <w:rPr/>
        <w:t>营业成本</w:t>
      </w:r>
      <w:r>
        <w:rPr>
          <w:b w:val="0"/>
          <w:bCs w:val="0"/>
        </w:rPr>
      </w:r>
    </w:p>
    <w:p>
      <w:pPr>
        <w:pStyle w:val="BodyText"/>
        <w:spacing w:line="240" w:lineRule="auto" w:before="133"/>
        <w:ind w:left="660" w:right="606"/>
        <w:jc w:val="left"/>
      </w:pPr>
      <w:r>
        <w:rPr/>
        <w:t>（</w:t>
      </w:r>
      <w:r>
        <w:rPr>
          <w:rFonts w:ascii="宋体" w:hAnsi="宋体" w:cs="宋体" w:eastAsia="宋体" w:hint="default"/>
        </w:rPr>
        <w:t>1</w:t>
      </w:r>
      <w:r>
        <w:rPr/>
        <w:t>）营业收入、营业成本明细情况：</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895"/>
        <w:gridCol w:w="2902"/>
        <w:gridCol w:w="2902"/>
      </w:tblGrid>
      <w:tr>
        <w:trPr>
          <w:trHeight w:val="540" w:hRule="exact"/>
        </w:trPr>
        <w:tc>
          <w:tcPr>
            <w:tcW w:w="4895" w:type="dxa"/>
            <w:tcBorders>
              <w:top w:val="single" w:sz="12" w:space="0" w:color="000000"/>
              <w:left w:val="nil" w:sz="6" w:space="0" w:color="auto"/>
              <w:bottom w:val="single" w:sz="8" w:space="0" w:color="000000"/>
              <w:right w:val="single" w:sz="8" w:space="0" w:color="000000"/>
            </w:tcBorders>
          </w:tcPr>
          <w:p>
            <w:pPr>
              <w:pStyle w:val="TableParagraph"/>
              <w:tabs>
                <w:tab w:pos="1199" w:val="left" w:leader="none"/>
              </w:tabs>
              <w:spacing w:line="240" w:lineRule="auto" w:before="51"/>
              <w:ind w:left="65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90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0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33" w:hRule="exact"/>
        </w:trPr>
        <w:tc>
          <w:tcPr>
            <w:tcW w:w="48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642,417,445.93</w:t>
            </w:r>
          </w:p>
        </w:tc>
        <w:tc>
          <w:tcPr>
            <w:tcW w:w="29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256,287,604.81</w:t>
            </w:r>
          </w:p>
        </w:tc>
      </w:tr>
      <w:tr>
        <w:trPr>
          <w:trHeight w:val="533" w:hRule="exact"/>
        </w:trPr>
        <w:tc>
          <w:tcPr>
            <w:tcW w:w="48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2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640,265,407.33</w:t>
            </w:r>
          </w:p>
        </w:tc>
        <w:tc>
          <w:tcPr>
            <w:tcW w:w="29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252,639,545.91</w:t>
            </w:r>
          </w:p>
        </w:tc>
      </w:tr>
      <w:tr>
        <w:trPr>
          <w:trHeight w:val="533" w:hRule="exact"/>
        </w:trPr>
        <w:tc>
          <w:tcPr>
            <w:tcW w:w="48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66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00"/>
              <w:jc w:val="right"/>
              <w:rPr>
                <w:rFonts w:ascii="宋体" w:hAnsi="宋体" w:cs="宋体" w:eastAsia="宋体" w:hint="default"/>
                <w:sz w:val="18"/>
                <w:szCs w:val="18"/>
              </w:rPr>
            </w:pPr>
            <w:r>
              <w:rPr>
                <w:rFonts w:ascii="宋体"/>
                <w:spacing w:val="-1"/>
                <w:sz w:val="18"/>
              </w:rPr>
              <w:t>2,152,038.60</w:t>
            </w:r>
          </w:p>
        </w:tc>
        <w:tc>
          <w:tcPr>
            <w:tcW w:w="29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3,648,058.90</w:t>
            </w:r>
          </w:p>
        </w:tc>
      </w:tr>
      <w:tr>
        <w:trPr>
          <w:trHeight w:val="535" w:hRule="exact"/>
        </w:trPr>
        <w:tc>
          <w:tcPr>
            <w:tcW w:w="48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spacing w:val="-1"/>
                <w:sz w:val="18"/>
              </w:rPr>
              <w:t>289,944,994.08</w:t>
            </w:r>
          </w:p>
        </w:tc>
        <w:tc>
          <w:tcPr>
            <w:tcW w:w="29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59,852,901.18</w:t>
            </w:r>
          </w:p>
        </w:tc>
      </w:tr>
      <w:tr>
        <w:trPr>
          <w:trHeight w:val="533" w:hRule="exact"/>
        </w:trPr>
        <w:tc>
          <w:tcPr>
            <w:tcW w:w="489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9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101"/>
              <w:jc w:val="right"/>
              <w:rPr>
                <w:rFonts w:ascii="宋体" w:hAnsi="宋体" w:cs="宋体" w:eastAsia="宋体" w:hint="default"/>
                <w:sz w:val="18"/>
                <w:szCs w:val="18"/>
              </w:rPr>
            </w:pPr>
            <w:r>
              <w:rPr>
                <w:rFonts w:ascii="宋体"/>
                <w:spacing w:val="-1"/>
                <w:sz w:val="18"/>
              </w:rPr>
              <w:t>287,829,325.03</w:t>
            </w:r>
          </w:p>
        </w:tc>
        <w:tc>
          <w:tcPr>
            <w:tcW w:w="290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56,691,595.00</w:t>
            </w:r>
          </w:p>
        </w:tc>
      </w:tr>
      <w:tr>
        <w:trPr>
          <w:trHeight w:val="541" w:hRule="exact"/>
        </w:trPr>
        <w:tc>
          <w:tcPr>
            <w:tcW w:w="489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49"/>
              <w:ind w:left="662"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290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9"/>
              <w:ind w:right="100"/>
              <w:jc w:val="right"/>
              <w:rPr>
                <w:rFonts w:ascii="宋体" w:hAnsi="宋体" w:cs="宋体" w:eastAsia="宋体" w:hint="default"/>
                <w:sz w:val="18"/>
                <w:szCs w:val="18"/>
              </w:rPr>
            </w:pPr>
            <w:r>
              <w:rPr>
                <w:rFonts w:ascii="宋体"/>
                <w:spacing w:val="-1"/>
                <w:sz w:val="18"/>
              </w:rPr>
              <w:t>2,115,669.05</w:t>
            </w:r>
          </w:p>
        </w:tc>
        <w:tc>
          <w:tcPr>
            <w:tcW w:w="290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3,161,306.18</w:t>
            </w:r>
          </w:p>
        </w:tc>
      </w:tr>
    </w:tbl>
    <w:p>
      <w:pPr>
        <w:pStyle w:val="BodyText"/>
        <w:spacing w:line="240" w:lineRule="auto" w:before="86"/>
        <w:ind w:left="660" w:right="606"/>
        <w:jc w:val="left"/>
      </w:pPr>
      <w:r>
        <w:rPr/>
        <w:t>（</w:t>
      </w:r>
      <w:r>
        <w:rPr>
          <w:rFonts w:ascii="宋体" w:hAnsi="宋体" w:cs="宋体" w:eastAsia="宋体" w:hint="default"/>
        </w:rPr>
        <w:t>2</w:t>
      </w:r>
      <w:r>
        <w:rPr/>
        <w:t>）按主要品种分类：</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431"/>
        <w:gridCol w:w="1476"/>
        <w:gridCol w:w="1592"/>
        <w:gridCol w:w="1481"/>
        <w:gridCol w:w="1620"/>
        <w:gridCol w:w="1561"/>
        <w:gridCol w:w="1538"/>
      </w:tblGrid>
      <w:tr>
        <w:trPr>
          <w:trHeight w:val="413" w:hRule="exact"/>
        </w:trPr>
        <w:tc>
          <w:tcPr>
            <w:tcW w:w="1431" w:type="dxa"/>
            <w:vMerge w:val="restart"/>
            <w:tcBorders>
              <w:top w:val="single" w:sz="12" w:space="0" w:color="000000"/>
              <w:left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品  种</w:t>
            </w:r>
          </w:p>
        </w:tc>
        <w:tc>
          <w:tcPr>
            <w:tcW w:w="4549" w:type="dxa"/>
            <w:gridSpan w:val="3"/>
            <w:tcBorders>
              <w:top w:val="single" w:sz="12" w:space="0" w:color="000000"/>
              <w:left w:val="single" w:sz="8" w:space="0" w:color="000000"/>
              <w:bottom w:val="single" w:sz="8" w:space="0" w:color="000000"/>
              <w:right w:val="single" w:sz="8"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719" w:type="dxa"/>
            <w:gridSpan w:val="3"/>
            <w:tcBorders>
              <w:top w:val="single" w:sz="12" w:space="0" w:color="000000"/>
              <w:left w:val="single" w:sz="8" w:space="0" w:color="000000"/>
              <w:bottom w:val="single" w:sz="8" w:space="0" w:color="000000"/>
              <w:right w:val="nil" w:sz="6" w:space="0" w:color="auto"/>
            </w:tcBorders>
          </w:tcPr>
          <w:p>
            <w:pPr>
              <w:pStyle w:val="TableParagraph"/>
              <w:spacing w:line="225" w:lineRule="exact"/>
              <w:ind w:right="1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8" w:hRule="exact"/>
        </w:trPr>
        <w:tc>
          <w:tcPr>
            <w:tcW w:w="1431" w:type="dxa"/>
            <w:vMerge/>
            <w:tcBorders>
              <w:left w:val="nil" w:sz="6" w:space="0" w:color="auto"/>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592" w:type="dxa"/>
            <w:tcBorders>
              <w:top w:val="single" w:sz="8" w:space="0" w:color="000000"/>
              <w:left w:val="single" w:sz="8" w:space="0" w:color="000000"/>
              <w:bottom w:val="single" w:sz="8" w:space="0" w:color="000000"/>
              <w:right w:val="single" w:sz="8" w:space="0" w:color="000000"/>
            </w:tcBorders>
          </w:tcPr>
          <w:p>
            <w:pPr>
              <w:pStyle w:val="TableParagraph"/>
              <w:spacing w:line="225" w:lineRule="exact"/>
              <w:ind w:left="42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25" w:lineRule="exact"/>
              <w:ind w:left="369"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25" w:lineRule="exact"/>
              <w:ind w:left="43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25" w:lineRule="exact"/>
              <w:ind w:left="40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38" w:type="dxa"/>
            <w:tcBorders>
              <w:top w:val="single" w:sz="8" w:space="0" w:color="000000"/>
              <w:left w:val="single" w:sz="8" w:space="0" w:color="000000"/>
              <w:bottom w:val="single" w:sz="8" w:space="0" w:color="000000"/>
              <w:right w:val="nil" w:sz="6" w:space="0" w:color="auto"/>
            </w:tcBorders>
          </w:tcPr>
          <w:p>
            <w:pPr>
              <w:pStyle w:val="TableParagraph"/>
              <w:spacing w:line="225" w:lineRule="exact"/>
              <w:ind w:left="398"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720" w:hRule="exact"/>
        </w:trPr>
        <w:tc>
          <w:tcPr>
            <w:tcW w:w="14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四妙丸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91" w:right="0"/>
              <w:jc w:val="center"/>
              <w:rPr>
                <w:rFonts w:ascii="宋体" w:hAnsi="宋体" w:cs="宋体" w:eastAsia="宋体" w:hint="default"/>
                <w:sz w:val="18"/>
                <w:szCs w:val="18"/>
              </w:rPr>
            </w:pPr>
            <w:r>
              <w:rPr>
                <w:rFonts w:ascii="宋体"/>
                <w:sz w:val="18"/>
              </w:rPr>
              <w:t>58,841,017.86</w:t>
            </w:r>
          </w:p>
        </w:tc>
        <w:tc>
          <w:tcPr>
            <w:tcW w:w="15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8,374,934.79</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50,466,083.07</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6"/>
              <w:jc w:val="right"/>
              <w:rPr>
                <w:rFonts w:ascii="宋体" w:hAnsi="宋体" w:cs="宋体" w:eastAsia="宋体" w:hint="default"/>
                <w:sz w:val="18"/>
                <w:szCs w:val="18"/>
              </w:rPr>
            </w:pPr>
            <w:r>
              <w:rPr>
                <w:rFonts w:ascii="宋体"/>
                <w:spacing w:val="-1"/>
                <w:sz w:val="18"/>
              </w:rPr>
              <w:t>50,312,291.71</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357" w:right="0"/>
              <w:jc w:val="left"/>
              <w:rPr>
                <w:rFonts w:ascii="宋体" w:hAnsi="宋体" w:cs="宋体" w:eastAsia="宋体" w:hint="default"/>
                <w:sz w:val="18"/>
                <w:szCs w:val="18"/>
              </w:rPr>
            </w:pPr>
            <w:r>
              <w:rPr>
                <w:rFonts w:ascii="宋体"/>
                <w:sz w:val="18"/>
              </w:rPr>
              <w:t>5,928,774.72</w:t>
            </w:r>
          </w:p>
        </w:tc>
        <w:tc>
          <w:tcPr>
            <w:tcW w:w="15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5"/>
              <w:ind w:right="105"/>
              <w:jc w:val="right"/>
              <w:rPr>
                <w:rFonts w:ascii="宋体" w:hAnsi="宋体" w:cs="宋体" w:eastAsia="宋体" w:hint="default"/>
                <w:sz w:val="18"/>
                <w:szCs w:val="18"/>
              </w:rPr>
            </w:pPr>
            <w:r>
              <w:rPr>
                <w:rFonts w:ascii="宋体"/>
                <w:spacing w:val="-1"/>
                <w:sz w:val="18"/>
              </w:rPr>
              <w:t>44,383,516.99</w:t>
            </w:r>
          </w:p>
        </w:tc>
      </w:tr>
      <w:tr>
        <w:trPr>
          <w:trHeight w:val="727" w:hRule="exact"/>
        </w:trPr>
        <w:tc>
          <w:tcPr>
            <w:tcW w:w="143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活血通脉片</w:t>
            </w: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5"/>
              <w:ind w:left="91" w:right="0"/>
              <w:jc w:val="center"/>
              <w:rPr>
                <w:rFonts w:ascii="宋体" w:hAnsi="宋体" w:cs="宋体" w:eastAsia="宋体" w:hint="default"/>
                <w:sz w:val="18"/>
                <w:szCs w:val="18"/>
              </w:rPr>
            </w:pPr>
            <w:r>
              <w:rPr>
                <w:rFonts w:ascii="宋体"/>
                <w:sz w:val="18"/>
              </w:rPr>
              <w:t>40,709,125.10</w:t>
            </w:r>
          </w:p>
        </w:tc>
        <w:tc>
          <w:tcPr>
            <w:tcW w:w="15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14,823,007.31</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25,886,117.79</w:t>
            </w:r>
          </w:p>
        </w:tc>
        <w:tc>
          <w:tcPr>
            <w:tcW w:w="16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5"/>
              <w:ind w:right="96"/>
              <w:jc w:val="right"/>
              <w:rPr>
                <w:rFonts w:ascii="宋体" w:hAnsi="宋体" w:cs="宋体" w:eastAsia="宋体" w:hint="default"/>
                <w:sz w:val="18"/>
                <w:szCs w:val="18"/>
              </w:rPr>
            </w:pPr>
            <w:r>
              <w:rPr>
                <w:rFonts w:ascii="宋体"/>
                <w:spacing w:val="-1"/>
                <w:sz w:val="18"/>
              </w:rPr>
              <w:t>36,979,973.43</w:t>
            </w:r>
          </w:p>
        </w:tc>
        <w:tc>
          <w:tcPr>
            <w:tcW w:w="156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5"/>
              <w:ind w:left="357" w:right="0"/>
              <w:jc w:val="left"/>
              <w:rPr>
                <w:rFonts w:ascii="宋体" w:hAnsi="宋体" w:cs="宋体" w:eastAsia="宋体" w:hint="default"/>
                <w:sz w:val="18"/>
                <w:szCs w:val="18"/>
              </w:rPr>
            </w:pPr>
            <w:r>
              <w:rPr>
                <w:rFonts w:ascii="宋体"/>
                <w:sz w:val="18"/>
              </w:rPr>
              <w:t>9,708,735.80</w:t>
            </w:r>
          </w:p>
        </w:tc>
        <w:tc>
          <w:tcPr>
            <w:tcW w:w="153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45"/>
              <w:ind w:right="105"/>
              <w:jc w:val="right"/>
              <w:rPr>
                <w:rFonts w:ascii="宋体" w:hAnsi="宋体" w:cs="宋体" w:eastAsia="宋体" w:hint="default"/>
                <w:sz w:val="18"/>
                <w:szCs w:val="18"/>
              </w:rPr>
            </w:pPr>
            <w:r>
              <w:rPr>
                <w:rFonts w:ascii="宋体"/>
                <w:spacing w:val="-1"/>
                <w:sz w:val="18"/>
              </w:rPr>
              <w:t>27,271,237.63</w:t>
            </w:r>
          </w:p>
        </w:tc>
      </w:tr>
    </w:tbl>
    <w:p>
      <w:pPr>
        <w:spacing w:after="0" w:line="240" w:lineRule="auto"/>
        <w:jc w:val="right"/>
        <w:rPr>
          <w:rFonts w:ascii="宋体" w:hAnsi="宋体" w:cs="宋体" w:eastAsia="宋体" w:hint="default"/>
          <w:sz w:val="18"/>
          <w:szCs w:val="18"/>
        </w:rPr>
        <w:sectPr>
          <w:pgSz w:w="11910" w:h="16840"/>
          <w:pgMar w:header="720" w:footer="956" w:top="1300" w:bottom="1140" w:left="480" w:right="0"/>
        </w:sectPr>
      </w:pPr>
    </w:p>
    <w:p>
      <w:pPr>
        <w:spacing w:line="240" w:lineRule="auto" w:before="7"/>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431"/>
        <w:gridCol w:w="1476"/>
        <w:gridCol w:w="1592"/>
        <w:gridCol w:w="1481"/>
        <w:gridCol w:w="1620"/>
        <w:gridCol w:w="1561"/>
        <w:gridCol w:w="1538"/>
      </w:tblGrid>
      <w:tr>
        <w:trPr>
          <w:trHeight w:val="732" w:hRule="exact"/>
        </w:trPr>
        <w:tc>
          <w:tcPr>
            <w:tcW w:w="1431"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49"/>
              <w:ind w:left="122" w:right="0"/>
              <w:jc w:val="left"/>
              <w:rPr>
                <w:rFonts w:ascii="宋体" w:hAnsi="宋体" w:cs="宋体" w:eastAsia="宋体" w:hint="default"/>
                <w:sz w:val="18"/>
                <w:szCs w:val="18"/>
              </w:rPr>
            </w:pPr>
            <w:r>
              <w:rPr>
                <w:rFonts w:ascii="宋体" w:hAnsi="宋体" w:cs="宋体" w:eastAsia="宋体" w:hint="default"/>
                <w:sz w:val="18"/>
                <w:szCs w:val="18"/>
              </w:rPr>
              <w:t>醒脑再造胶囊</w:t>
            </w:r>
          </w:p>
        </w:tc>
        <w:tc>
          <w:tcPr>
            <w:tcW w:w="14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9"/>
              <w:ind w:left="91" w:right="0"/>
              <w:jc w:val="center"/>
              <w:rPr>
                <w:rFonts w:ascii="宋体" w:hAnsi="宋体" w:cs="宋体" w:eastAsia="宋体" w:hint="default"/>
                <w:sz w:val="18"/>
                <w:szCs w:val="18"/>
              </w:rPr>
            </w:pPr>
            <w:r>
              <w:rPr>
                <w:rFonts w:ascii="宋体"/>
                <w:sz w:val="18"/>
              </w:rPr>
              <w:t>28,854,989.24</w:t>
            </w:r>
          </w:p>
        </w:tc>
        <w:tc>
          <w:tcPr>
            <w:tcW w:w="159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5,436,231.09</w:t>
            </w:r>
          </w:p>
        </w:tc>
        <w:tc>
          <w:tcPr>
            <w:tcW w:w="14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23,418,758.15</w:t>
            </w:r>
          </w:p>
        </w:tc>
        <w:tc>
          <w:tcPr>
            <w:tcW w:w="162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9"/>
              <w:ind w:right="96"/>
              <w:jc w:val="right"/>
              <w:rPr>
                <w:rFonts w:ascii="宋体" w:hAnsi="宋体" w:cs="宋体" w:eastAsia="宋体" w:hint="default"/>
                <w:sz w:val="18"/>
                <w:szCs w:val="18"/>
              </w:rPr>
            </w:pPr>
            <w:r>
              <w:rPr>
                <w:rFonts w:ascii="宋体"/>
                <w:spacing w:val="-1"/>
                <w:sz w:val="18"/>
              </w:rPr>
              <w:t>29,237,643.89</w:t>
            </w:r>
          </w:p>
        </w:tc>
        <w:tc>
          <w:tcPr>
            <w:tcW w:w="156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5,007,604.01</w:t>
            </w:r>
          </w:p>
        </w:tc>
        <w:tc>
          <w:tcPr>
            <w:tcW w:w="1538"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149"/>
              <w:ind w:right="105"/>
              <w:jc w:val="right"/>
              <w:rPr>
                <w:rFonts w:ascii="宋体" w:hAnsi="宋体" w:cs="宋体" w:eastAsia="宋体" w:hint="default"/>
                <w:sz w:val="18"/>
                <w:szCs w:val="18"/>
              </w:rPr>
            </w:pPr>
            <w:r>
              <w:rPr>
                <w:rFonts w:ascii="宋体"/>
                <w:spacing w:val="-1"/>
                <w:sz w:val="18"/>
              </w:rPr>
              <w:t>24,230,039.88</w:t>
            </w:r>
          </w:p>
        </w:tc>
      </w:tr>
      <w:tr>
        <w:trPr>
          <w:trHeight w:val="720" w:hRule="exact"/>
        </w:trPr>
        <w:tc>
          <w:tcPr>
            <w:tcW w:w="14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肾复康胶囊</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91" w:right="0"/>
              <w:jc w:val="center"/>
              <w:rPr>
                <w:rFonts w:ascii="宋体" w:hAnsi="宋体" w:cs="宋体" w:eastAsia="宋体" w:hint="default"/>
                <w:sz w:val="18"/>
                <w:szCs w:val="18"/>
              </w:rPr>
            </w:pPr>
            <w:r>
              <w:rPr>
                <w:rFonts w:ascii="宋体"/>
                <w:sz w:val="18"/>
              </w:rPr>
              <w:t>23,626,917.03</w:t>
            </w:r>
          </w:p>
        </w:tc>
        <w:tc>
          <w:tcPr>
            <w:tcW w:w="15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4,437,777.22</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19,189,139.81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19,899,993.23</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3,695,987.42</w:t>
            </w:r>
          </w:p>
        </w:tc>
        <w:tc>
          <w:tcPr>
            <w:tcW w:w="15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16,204,005.81</w:t>
            </w:r>
          </w:p>
        </w:tc>
      </w:tr>
      <w:tr>
        <w:trPr>
          <w:trHeight w:val="720" w:hRule="exact"/>
        </w:trPr>
        <w:tc>
          <w:tcPr>
            <w:tcW w:w="1431"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六味地黄软胶</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囊</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91" w:right="0"/>
              <w:jc w:val="center"/>
              <w:rPr>
                <w:rFonts w:ascii="宋体" w:hAnsi="宋体" w:cs="宋体" w:eastAsia="宋体" w:hint="default"/>
                <w:sz w:val="18"/>
                <w:szCs w:val="18"/>
              </w:rPr>
            </w:pPr>
            <w:r>
              <w:rPr>
                <w:rFonts w:ascii="宋体"/>
                <w:sz w:val="18"/>
              </w:rPr>
              <w:t>22,278,400.42</w:t>
            </w:r>
          </w:p>
        </w:tc>
        <w:tc>
          <w:tcPr>
            <w:tcW w:w="15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4,271,921.55</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18,006,478.87</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20,837,295.93</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5,452,528.41</w:t>
            </w:r>
          </w:p>
        </w:tc>
        <w:tc>
          <w:tcPr>
            <w:tcW w:w="15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15,384,767.52</w:t>
            </w:r>
          </w:p>
        </w:tc>
      </w:tr>
      <w:tr>
        <w:trPr>
          <w:trHeight w:val="720" w:hRule="exact"/>
        </w:trPr>
        <w:tc>
          <w:tcPr>
            <w:tcW w:w="1431"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20"/>
                <w:sz w:val="18"/>
                <w:szCs w:val="18"/>
              </w:rPr>
              <w:t>补肾安神口服</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112"/>
              <w:ind w:left="122" w:right="0"/>
              <w:jc w:val="left"/>
              <w:rPr>
                <w:rFonts w:ascii="宋体" w:hAnsi="宋体" w:cs="宋体" w:eastAsia="宋体" w:hint="default"/>
                <w:sz w:val="18"/>
                <w:szCs w:val="18"/>
              </w:rPr>
            </w:pPr>
            <w:r>
              <w:rPr>
                <w:rFonts w:ascii="宋体" w:hAnsi="宋体" w:cs="宋体" w:eastAsia="宋体" w:hint="default"/>
                <w:sz w:val="18"/>
                <w:szCs w:val="18"/>
              </w:rPr>
              <w:t>液</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91" w:right="0"/>
              <w:jc w:val="center"/>
              <w:rPr>
                <w:rFonts w:ascii="宋体" w:hAnsi="宋体" w:cs="宋体" w:eastAsia="宋体" w:hint="default"/>
                <w:sz w:val="18"/>
                <w:szCs w:val="18"/>
              </w:rPr>
            </w:pPr>
            <w:r>
              <w:rPr>
                <w:rFonts w:ascii="宋体"/>
                <w:sz w:val="18"/>
              </w:rPr>
              <w:t>21,996,267.63</w:t>
            </w:r>
          </w:p>
        </w:tc>
        <w:tc>
          <w:tcPr>
            <w:tcW w:w="15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5,156,037.98</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16,840,229.65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6"/>
              <w:jc w:val="right"/>
              <w:rPr>
                <w:rFonts w:ascii="宋体" w:hAnsi="宋体" w:cs="宋体" w:eastAsia="宋体" w:hint="default"/>
                <w:sz w:val="18"/>
                <w:szCs w:val="18"/>
              </w:rPr>
            </w:pPr>
            <w:r>
              <w:rPr>
                <w:rFonts w:ascii="宋体"/>
                <w:spacing w:val="-1"/>
                <w:sz w:val="18"/>
              </w:rPr>
              <w:t>19,977,980.72</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6,074,773.05</w:t>
            </w:r>
          </w:p>
        </w:tc>
        <w:tc>
          <w:tcPr>
            <w:tcW w:w="15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5"/>
              <w:ind w:right="105"/>
              <w:jc w:val="right"/>
              <w:rPr>
                <w:rFonts w:ascii="宋体" w:hAnsi="宋体" w:cs="宋体" w:eastAsia="宋体" w:hint="default"/>
                <w:sz w:val="18"/>
                <w:szCs w:val="18"/>
              </w:rPr>
            </w:pPr>
            <w:r>
              <w:rPr>
                <w:rFonts w:ascii="宋体"/>
                <w:spacing w:val="-1"/>
                <w:sz w:val="18"/>
              </w:rPr>
              <w:t>13,903,207.67</w:t>
            </w:r>
          </w:p>
        </w:tc>
      </w:tr>
      <w:tr>
        <w:trPr>
          <w:trHeight w:val="720" w:hRule="exact"/>
        </w:trPr>
        <w:tc>
          <w:tcPr>
            <w:tcW w:w="14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复方益肝灵片</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91" w:right="0"/>
              <w:jc w:val="center"/>
              <w:rPr>
                <w:rFonts w:ascii="宋体" w:hAnsi="宋体" w:cs="宋体" w:eastAsia="宋体" w:hint="default"/>
                <w:sz w:val="18"/>
                <w:szCs w:val="18"/>
              </w:rPr>
            </w:pPr>
            <w:r>
              <w:rPr>
                <w:rFonts w:ascii="宋体"/>
                <w:sz w:val="18"/>
              </w:rPr>
              <w:t>20,868,470.00</w:t>
            </w:r>
          </w:p>
        </w:tc>
        <w:tc>
          <w:tcPr>
            <w:tcW w:w="15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4,478,078.54</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16,390,391.46</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6"/>
              <w:jc w:val="right"/>
              <w:rPr>
                <w:rFonts w:ascii="宋体" w:hAnsi="宋体" w:cs="宋体" w:eastAsia="宋体" w:hint="default"/>
                <w:sz w:val="18"/>
                <w:szCs w:val="18"/>
              </w:rPr>
            </w:pPr>
            <w:r>
              <w:rPr>
                <w:rFonts w:ascii="宋体"/>
                <w:spacing w:val="-1"/>
                <w:sz w:val="18"/>
              </w:rPr>
              <w:t>20,187,329.76</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4,063,449.33</w:t>
            </w:r>
          </w:p>
        </w:tc>
        <w:tc>
          <w:tcPr>
            <w:tcW w:w="15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5"/>
              <w:ind w:right="105"/>
              <w:jc w:val="right"/>
              <w:rPr>
                <w:rFonts w:ascii="宋体" w:hAnsi="宋体" w:cs="宋体" w:eastAsia="宋体" w:hint="default"/>
                <w:sz w:val="18"/>
                <w:szCs w:val="18"/>
              </w:rPr>
            </w:pPr>
            <w:r>
              <w:rPr>
                <w:rFonts w:ascii="宋体"/>
                <w:spacing w:val="-1"/>
                <w:sz w:val="18"/>
              </w:rPr>
              <w:t>16,123,880.43</w:t>
            </w:r>
          </w:p>
        </w:tc>
      </w:tr>
      <w:tr>
        <w:trPr>
          <w:trHeight w:val="723" w:hRule="exact"/>
        </w:trPr>
        <w:tc>
          <w:tcPr>
            <w:tcW w:w="14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5"/>
              <w:ind w:left="122" w:right="0"/>
              <w:jc w:val="left"/>
              <w:rPr>
                <w:rFonts w:ascii="宋体" w:hAnsi="宋体" w:cs="宋体" w:eastAsia="宋体" w:hint="default"/>
                <w:sz w:val="18"/>
                <w:szCs w:val="18"/>
              </w:rPr>
            </w:pPr>
            <w:r>
              <w:rPr>
                <w:rFonts w:ascii="宋体" w:hAnsi="宋体" w:cs="宋体" w:eastAsia="宋体" w:hint="default"/>
                <w:sz w:val="18"/>
                <w:szCs w:val="18"/>
              </w:rPr>
              <w:t>萆薢分清丸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left="182" w:right="0"/>
              <w:jc w:val="center"/>
              <w:rPr>
                <w:rFonts w:ascii="宋体" w:hAnsi="宋体" w:cs="宋体" w:eastAsia="宋体" w:hint="default"/>
                <w:sz w:val="18"/>
                <w:szCs w:val="18"/>
              </w:rPr>
            </w:pPr>
            <w:r>
              <w:rPr>
                <w:rFonts w:ascii="宋体"/>
                <w:sz w:val="18"/>
              </w:rPr>
              <w:t>9,402,727.70</w:t>
            </w:r>
          </w:p>
        </w:tc>
        <w:tc>
          <w:tcPr>
            <w:tcW w:w="15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1,231,194.05</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8,171,533.65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98"/>
              <w:jc w:val="right"/>
              <w:rPr>
                <w:rFonts w:ascii="宋体" w:hAnsi="宋体" w:cs="宋体" w:eastAsia="宋体" w:hint="default"/>
                <w:sz w:val="18"/>
                <w:szCs w:val="18"/>
              </w:rPr>
            </w:pPr>
            <w:r>
              <w:rPr>
                <w:rFonts w:ascii="宋体"/>
                <w:spacing w:val="-1"/>
                <w:sz w:val="18"/>
              </w:rPr>
              <w:t>8,680,949.01</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101"/>
              <w:jc w:val="right"/>
              <w:rPr>
                <w:rFonts w:ascii="宋体" w:hAnsi="宋体" w:cs="宋体" w:eastAsia="宋体" w:hint="default"/>
                <w:sz w:val="18"/>
                <w:szCs w:val="18"/>
              </w:rPr>
            </w:pPr>
            <w:r>
              <w:rPr>
                <w:rFonts w:ascii="宋体"/>
                <w:spacing w:val="-1"/>
                <w:sz w:val="18"/>
              </w:rPr>
              <w:t>1,193,394.05</w:t>
            </w:r>
          </w:p>
        </w:tc>
        <w:tc>
          <w:tcPr>
            <w:tcW w:w="15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5"/>
              <w:ind w:right="108"/>
              <w:jc w:val="right"/>
              <w:rPr>
                <w:rFonts w:ascii="宋体" w:hAnsi="宋体" w:cs="宋体" w:eastAsia="宋体" w:hint="default"/>
                <w:sz w:val="18"/>
                <w:szCs w:val="18"/>
              </w:rPr>
            </w:pPr>
            <w:r>
              <w:rPr>
                <w:rFonts w:ascii="宋体"/>
                <w:spacing w:val="-1"/>
                <w:sz w:val="18"/>
              </w:rPr>
              <w:t>7,487,554.96</w:t>
            </w:r>
          </w:p>
        </w:tc>
      </w:tr>
      <w:tr>
        <w:trPr>
          <w:trHeight w:val="720" w:hRule="exact"/>
        </w:trPr>
        <w:tc>
          <w:tcPr>
            <w:tcW w:w="14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当归补血丸</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182" w:right="0"/>
              <w:jc w:val="center"/>
              <w:rPr>
                <w:rFonts w:ascii="宋体" w:hAnsi="宋体" w:cs="宋体" w:eastAsia="宋体" w:hint="default"/>
                <w:sz w:val="18"/>
                <w:szCs w:val="18"/>
              </w:rPr>
            </w:pPr>
            <w:r>
              <w:rPr>
                <w:rFonts w:ascii="宋体"/>
                <w:sz w:val="18"/>
              </w:rPr>
              <w:t>8,099,637.44</w:t>
            </w:r>
          </w:p>
        </w:tc>
        <w:tc>
          <w:tcPr>
            <w:tcW w:w="15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1,033,229.26</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7,066,408.18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pacing w:val="-1"/>
                <w:sz w:val="18"/>
              </w:rPr>
              <w:t>6,734,831.04</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955,486.65</w:t>
            </w:r>
          </w:p>
        </w:tc>
        <w:tc>
          <w:tcPr>
            <w:tcW w:w="15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2"/>
              <w:ind w:right="108"/>
              <w:jc w:val="right"/>
              <w:rPr>
                <w:rFonts w:ascii="宋体" w:hAnsi="宋体" w:cs="宋体" w:eastAsia="宋体" w:hint="default"/>
                <w:sz w:val="18"/>
                <w:szCs w:val="18"/>
              </w:rPr>
            </w:pPr>
            <w:r>
              <w:rPr>
                <w:rFonts w:ascii="宋体"/>
                <w:spacing w:val="-1"/>
                <w:sz w:val="18"/>
              </w:rPr>
              <w:t>5,779,344.39</w:t>
            </w:r>
          </w:p>
        </w:tc>
      </w:tr>
      <w:tr>
        <w:trPr>
          <w:trHeight w:val="720" w:hRule="exact"/>
        </w:trPr>
        <w:tc>
          <w:tcPr>
            <w:tcW w:w="14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人参系列产品</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359,228,086.93</w:t>
            </w:r>
          </w:p>
        </w:tc>
        <w:tc>
          <w:tcPr>
            <w:tcW w:w="15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223,693,698.79</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135,534,388.14</w:t>
            </w:r>
          </w:p>
        </w:tc>
        <w:tc>
          <w:tcPr>
            <w:tcW w:w="1620" w:type="dxa"/>
            <w:tcBorders>
              <w:top w:val="single" w:sz="8" w:space="0" w:color="000000"/>
              <w:left w:val="single" w:sz="8" w:space="0" w:color="000000"/>
              <w:bottom w:val="single" w:sz="8" w:space="0" w:color="000000"/>
              <w:right w:val="single" w:sz="8" w:space="0" w:color="000000"/>
            </w:tcBorders>
          </w:tcPr>
          <w:p>
            <w:pPr/>
          </w:p>
        </w:tc>
        <w:tc>
          <w:tcPr>
            <w:tcW w:w="156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nil" w:sz="6" w:space="0" w:color="auto"/>
            </w:tcBorders>
          </w:tcPr>
          <w:p>
            <w:pPr/>
          </w:p>
        </w:tc>
      </w:tr>
      <w:tr>
        <w:trPr>
          <w:trHeight w:val="720" w:hRule="exact"/>
        </w:trPr>
        <w:tc>
          <w:tcPr>
            <w:tcW w:w="1431"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91" w:right="0"/>
              <w:jc w:val="center"/>
              <w:rPr>
                <w:rFonts w:ascii="宋体" w:hAnsi="宋体" w:cs="宋体" w:eastAsia="宋体" w:hint="default"/>
                <w:sz w:val="18"/>
                <w:szCs w:val="18"/>
              </w:rPr>
            </w:pPr>
            <w:r>
              <w:rPr>
                <w:rFonts w:ascii="宋体"/>
                <w:sz w:val="18"/>
              </w:rPr>
              <w:t>48,511,806.58</w:t>
            </w:r>
          </w:p>
        </w:tc>
        <w:tc>
          <w:tcPr>
            <w:tcW w:w="15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17,008,883.50</w:t>
            </w:r>
          </w:p>
        </w:tc>
        <w:tc>
          <w:tcPr>
            <w:tcW w:w="14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31,502,923.08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43,439,316.09</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9"/>
              <w:jc w:val="right"/>
              <w:rPr>
                <w:rFonts w:ascii="宋体" w:hAnsi="宋体" w:cs="宋体" w:eastAsia="宋体" w:hint="default"/>
                <w:sz w:val="18"/>
                <w:szCs w:val="18"/>
              </w:rPr>
            </w:pPr>
            <w:r>
              <w:rPr>
                <w:rFonts w:ascii="宋体"/>
                <w:spacing w:val="-1"/>
                <w:sz w:val="18"/>
              </w:rPr>
              <w:t>17,772,167.74</w:t>
            </w:r>
          </w:p>
        </w:tc>
        <w:tc>
          <w:tcPr>
            <w:tcW w:w="153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25,667,148.35</w:t>
            </w:r>
          </w:p>
        </w:tc>
      </w:tr>
      <w:tr>
        <w:trPr>
          <w:trHeight w:val="727" w:hRule="exact"/>
        </w:trPr>
        <w:tc>
          <w:tcPr>
            <w:tcW w:w="1431"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42"/>
              <w:ind w:left="451"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sz w:val="18"/>
              </w:rPr>
              <w:t>642,417,445.93</w:t>
            </w:r>
          </w:p>
        </w:tc>
        <w:tc>
          <w:tcPr>
            <w:tcW w:w="159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289,944,994.08</w:t>
            </w:r>
          </w:p>
        </w:tc>
        <w:tc>
          <w:tcPr>
            <w:tcW w:w="148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352,472,451.85</w:t>
            </w:r>
          </w:p>
        </w:tc>
        <w:tc>
          <w:tcPr>
            <w:tcW w:w="1620"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pacing w:val="-1"/>
                <w:sz w:val="18"/>
              </w:rPr>
              <w:t>256,287,604.81</w:t>
            </w:r>
          </w:p>
        </w:tc>
        <w:tc>
          <w:tcPr>
            <w:tcW w:w="1561"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2"/>
              <w:ind w:right="99"/>
              <w:jc w:val="right"/>
              <w:rPr>
                <w:rFonts w:ascii="宋体" w:hAnsi="宋体" w:cs="宋体" w:eastAsia="宋体" w:hint="default"/>
                <w:sz w:val="18"/>
                <w:szCs w:val="18"/>
              </w:rPr>
            </w:pPr>
            <w:r>
              <w:rPr>
                <w:rFonts w:ascii="宋体"/>
                <w:spacing w:val="-1"/>
                <w:sz w:val="18"/>
              </w:rPr>
              <w:t>59,852,901.18</w:t>
            </w:r>
          </w:p>
        </w:tc>
        <w:tc>
          <w:tcPr>
            <w:tcW w:w="153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42"/>
              <w:ind w:right="108"/>
              <w:jc w:val="right"/>
              <w:rPr>
                <w:rFonts w:ascii="宋体" w:hAnsi="宋体" w:cs="宋体" w:eastAsia="宋体" w:hint="default"/>
                <w:sz w:val="18"/>
                <w:szCs w:val="18"/>
              </w:rPr>
            </w:pPr>
            <w:r>
              <w:rPr>
                <w:rFonts w:ascii="宋体"/>
                <w:spacing w:val="-1"/>
                <w:sz w:val="18"/>
              </w:rPr>
              <w:t>196,434,703.63</w:t>
            </w:r>
          </w:p>
        </w:tc>
      </w:tr>
    </w:tbl>
    <w:p>
      <w:pPr>
        <w:pStyle w:val="BodyText"/>
        <w:spacing w:line="355" w:lineRule="auto" w:before="86"/>
        <w:ind w:left="240" w:right="711" w:firstLine="420"/>
        <w:jc w:val="both"/>
      </w:pPr>
      <w:r>
        <w:rPr>
          <w:spacing w:val="-2"/>
        </w:rPr>
        <w:t>营业收入本期发生额较上期发生额增加</w:t>
      </w:r>
      <w:r>
        <w:rPr>
          <w:rFonts w:ascii="宋体" w:hAnsi="宋体" w:cs="宋体" w:eastAsia="宋体" w:hint="default"/>
          <w:spacing w:val="-2"/>
        </w:rPr>
        <w:t>3.86</w:t>
      </w:r>
      <w:r>
        <w:rPr>
          <w:spacing w:val="-2"/>
        </w:rPr>
        <w:t>亿元，主要原因是本公司</w:t>
      </w:r>
      <w:r>
        <w:rPr>
          <w:rFonts w:ascii="宋体" w:hAnsi="宋体" w:cs="宋体" w:eastAsia="宋体" w:hint="default"/>
          <w:spacing w:val="-2"/>
        </w:rPr>
        <w:t>2010</w:t>
      </w:r>
      <w:r>
        <w:rPr>
          <w:spacing w:val="-2"/>
        </w:rPr>
        <w:t>年中成药销售稳定增长的基础上，公</w:t>
      </w:r>
      <w:r>
        <w:rPr>
          <w:w w:val="100"/>
        </w:rPr>
        <w:t> </w:t>
      </w:r>
      <w:r>
        <w:rPr>
          <w:spacing w:val="-2"/>
        </w:rPr>
        <w:t>司积极参与吉林省人参产业开发，把握机遇，</w:t>
      </w:r>
      <w:r>
        <w:rPr>
          <w:rFonts w:ascii="宋体" w:hAnsi="宋体" w:cs="宋体" w:eastAsia="宋体" w:hint="default"/>
          <w:spacing w:val="-2"/>
        </w:rPr>
        <w:t>2010</w:t>
      </w:r>
      <w:r>
        <w:rPr>
          <w:spacing w:val="-2"/>
        </w:rPr>
        <w:t>年度投入大量资金收购人参，对所采购的人参进行了粗加工并实</w:t>
      </w:r>
      <w:r>
        <w:rPr>
          <w:spacing w:val="-45"/>
        </w:rPr>
        <w:t> </w:t>
      </w:r>
      <w:r>
        <w:rPr>
          <w:spacing w:val="-45"/>
        </w:rPr>
      </w:r>
      <w:r>
        <w:rPr/>
        <w:t>现了对外销售，致使“人参系列产品”销售增加</w:t>
      </w:r>
      <w:r>
        <w:rPr>
          <w:rFonts w:ascii="宋体" w:hAnsi="宋体" w:cs="宋体" w:eastAsia="宋体" w:hint="default"/>
        </w:rPr>
        <w:t>3.60</w:t>
      </w:r>
      <w:r>
        <w:rPr/>
        <w:t>亿元。</w:t>
      </w:r>
    </w:p>
    <w:p>
      <w:pPr>
        <w:pStyle w:val="BodyText"/>
        <w:spacing w:line="240" w:lineRule="auto"/>
        <w:ind w:left="660" w:right="606"/>
        <w:jc w:val="left"/>
      </w:pPr>
      <w:r>
        <w:rPr/>
        <w:t>（</w:t>
      </w:r>
      <w:r>
        <w:rPr>
          <w:rFonts w:ascii="宋体" w:hAnsi="宋体" w:cs="宋体" w:eastAsia="宋体" w:hint="default"/>
        </w:rPr>
        <w:t>3</w:t>
      </w:r>
      <w:r>
        <w:rPr/>
        <w:t>）按业务地区分类：</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294"/>
        <w:gridCol w:w="1572"/>
        <w:gridCol w:w="1597"/>
        <w:gridCol w:w="1493"/>
        <w:gridCol w:w="1630"/>
        <w:gridCol w:w="1565"/>
        <w:gridCol w:w="1548"/>
      </w:tblGrid>
      <w:tr>
        <w:trPr>
          <w:trHeight w:val="410" w:hRule="exact"/>
        </w:trPr>
        <w:tc>
          <w:tcPr>
            <w:tcW w:w="1294" w:type="dxa"/>
            <w:vMerge w:val="restart"/>
            <w:tcBorders>
              <w:top w:val="single" w:sz="12" w:space="0" w:color="000000"/>
              <w:left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地 </w:t>
            </w:r>
            <w:r>
              <w:rPr>
                <w:rFonts w:ascii="宋体" w:hAnsi="宋体" w:cs="宋体" w:eastAsia="宋体" w:hint="default"/>
                <w:spacing w:val="2"/>
                <w:sz w:val="18"/>
                <w:szCs w:val="18"/>
              </w:rPr>
              <w:t> </w:t>
            </w:r>
            <w:r>
              <w:rPr>
                <w:rFonts w:ascii="宋体" w:hAnsi="宋体" w:cs="宋体" w:eastAsia="宋体" w:hint="default"/>
                <w:sz w:val="18"/>
                <w:szCs w:val="18"/>
              </w:rPr>
              <w:t>区</w:t>
            </w:r>
          </w:p>
        </w:tc>
        <w:tc>
          <w:tcPr>
            <w:tcW w:w="4662" w:type="dxa"/>
            <w:gridSpan w:val="3"/>
            <w:tcBorders>
              <w:top w:val="single" w:sz="12" w:space="0" w:color="000000"/>
              <w:left w:val="single" w:sz="6" w:space="0" w:color="000000"/>
              <w:bottom w:val="single" w:sz="6" w:space="0" w:color="000000"/>
              <w:right w:val="single" w:sz="6" w:space="0" w:color="000000"/>
            </w:tcBorders>
          </w:tcPr>
          <w:p>
            <w:pPr>
              <w:pStyle w:val="TableParagraph"/>
              <w:spacing w:line="222" w:lineRule="exact"/>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743" w:type="dxa"/>
            <w:gridSpan w:val="3"/>
            <w:tcBorders>
              <w:top w:val="single" w:sz="12" w:space="0" w:color="000000"/>
              <w:left w:val="single" w:sz="6" w:space="0" w:color="000000"/>
              <w:bottom w:val="single" w:sz="6" w:space="0" w:color="000000"/>
              <w:right w:val="nil" w:sz="6" w:space="0" w:color="auto"/>
            </w:tcBorders>
          </w:tcPr>
          <w:p>
            <w:pPr>
              <w:pStyle w:val="TableParagraph"/>
              <w:spacing w:line="222" w:lineRule="exact"/>
              <w:ind w:right="8"/>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294" w:type="dxa"/>
            <w:vMerge/>
            <w:tcBorders>
              <w:left w:val="nil" w:sz="6" w:space="0" w:color="auto"/>
              <w:bottom w:val="single" w:sz="6" w:space="0" w:color="000000"/>
              <w:right w:val="single" w:sz="6" w:space="0" w:color="000000"/>
            </w:tcBorders>
          </w:tcPr>
          <w:p>
            <w:pP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4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43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379"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44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4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22" w:lineRule="exact"/>
              <w:ind w:left="405"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715" w:hRule="exact"/>
        </w:trPr>
        <w:tc>
          <w:tcPr>
            <w:tcW w:w="1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435,592,578.43</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252,336,042.44</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183,256,535.99</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3"/>
              <w:jc w:val="right"/>
              <w:rPr>
                <w:rFonts w:ascii="宋体" w:hAnsi="宋体" w:cs="宋体" w:eastAsia="宋体" w:hint="default"/>
                <w:sz w:val="18"/>
                <w:szCs w:val="18"/>
              </w:rPr>
            </w:pPr>
            <w:r>
              <w:rPr>
                <w:rFonts w:ascii="宋体"/>
                <w:spacing w:val="-1"/>
                <w:sz w:val="18"/>
              </w:rPr>
              <w:t>140,724,861.22</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54,354,258.54</w:t>
            </w: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7"/>
              <w:jc w:val="right"/>
              <w:rPr>
                <w:rFonts w:ascii="宋体" w:hAnsi="宋体" w:cs="宋体" w:eastAsia="宋体" w:hint="default"/>
                <w:sz w:val="18"/>
                <w:szCs w:val="18"/>
              </w:rPr>
            </w:pPr>
            <w:r>
              <w:rPr>
                <w:rFonts w:ascii="宋体"/>
                <w:spacing w:val="-1"/>
                <w:sz w:val="18"/>
              </w:rPr>
              <w:t>86,370,602.68</w:t>
            </w:r>
          </w:p>
        </w:tc>
      </w:tr>
      <w:tr>
        <w:trPr>
          <w:trHeight w:val="716" w:hRule="exact"/>
        </w:trPr>
        <w:tc>
          <w:tcPr>
            <w:tcW w:w="1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99,827,640.40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43,367,503.96</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56,460,136.44</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55,105,530.25</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21,563,335.59</w:t>
            </w: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8"/>
              <w:jc w:val="right"/>
              <w:rPr>
                <w:rFonts w:ascii="宋体" w:hAnsi="宋体" w:cs="宋体" w:eastAsia="宋体" w:hint="default"/>
                <w:sz w:val="18"/>
                <w:szCs w:val="18"/>
              </w:rPr>
            </w:pPr>
            <w:r>
              <w:rPr>
                <w:rFonts w:ascii="宋体"/>
                <w:spacing w:val="-1"/>
                <w:sz w:val="18"/>
              </w:rPr>
              <w:t>33,542,194.66</w:t>
            </w:r>
          </w:p>
        </w:tc>
      </w:tr>
      <w:tr>
        <w:trPr>
          <w:trHeight w:val="715" w:hRule="exact"/>
        </w:trPr>
        <w:tc>
          <w:tcPr>
            <w:tcW w:w="1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86,175,603.30</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51,629,898.33</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34,545,704.97</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10,637,460.39</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5,803,872.96</w:t>
            </w: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4,833,587.43</w:t>
            </w:r>
          </w:p>
        </w:tc>
      </w:tr>
      <w:tr>
        <w:trPr>
          <w:trHeight w:val="715" w:hRule="exact"/>
        </w:trPr>
        <w:tc>
          <w:tcPr>
            <w:tcW w:w="1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78,141,483.59</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34,113,543.62</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44,027,939.97</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68,474,831.01</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21,786,969.78</w:t>
            </w: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46,687,861.23</w:t>
            </w:r>
          </w:p>
        </w:tc>
      </w:tr>
      <w:tr>
        <w:trPr>
          <w:trHeight w:val="715" w:hRule="exact"/>
        </w:trPr>
        <w:tc>
          <w:tcPr>
            <w:tcW w:w="1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40,811,172.78</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14,745,564.90</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26,065,607.88</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25,464,245.13</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7,495,076.64</w:t>
            </w: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5"/>
              <w:jc w:val="right"/>
              <w:rPr>
                <w:rFonts w:ascii="宋体" w:hAnsi="宋体" w:cs="宋体" w:eastAsia="宋体" w:hint="default"/>
                <w:sz w:val="18"/>
                <w:szCs w:val="18"/>
              </w:rPr>
            </w:pPr>
            <w:r>
              <w:rPr>
                <w:rFonts w:ascii="宋体"/>
                <w:spacing w:val="-1"/>
                <w:sz w:val="18"/>
              </w:rPr>
              <w:t>17,969,168.49</w:t>
            </w:r>
          </w:p>
        </w:tc>
      </w:tr>
      <w:tr>
        <w:trPr>
          <w:trHeight w:val="715" w:hRule="exact"/>
        </w:trPr>
        <w:tc>
          <w:tcPr>
            <w:tcW w:w="1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11,590,194.18</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3,816,491.26</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7,773,702.92</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9,426,540.82</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5"/>
              <w:jc w:val="right"/>
              <w:rPr>
                <w:rFonts w:ascii="宋体" w:hAnsi="宋体" w:cs="宋体" w:eastAsia="宋体" w:hint="default"/>
                <w:sz w:val="18"/>
                <w:szCs w:val="18"/>
              </w:rPr>
            </w:pPr>
            <w:r>
              <w:rPr>
                <w:rFonts w:ascii="宋体"/>
                <w:spacing w:val="-1"/>
                <w:sz w:val="18"/>
              </w:rPr>
              <w:t>2,630,905.06</w:t>
            </w: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6,795,635.76</w:t>
            </w:r>
          </w:p>
        </w:tc>
      </w:tr>
    </w:tbl>
    <w:p>
      <w:pPr>
        <w:spacing w:after="0" w:line="240" w:lineRule="auto"/>
        <w:jc w:val="right"/>
        <w:rPr>
          <w:rFonts w:ascii="宋体" w:hAnsi="宋体" w:cs="宋体" w:eastAsia="宋体" w:hint="default"/>
          <w:sz w:val="18"/>
          <w:szCs w:val="18"/>
        </w:rPr>
        <w:sectPr>
          <w:pgSz w:w="11910" w:h="16840"/>
          <w:pgMar w:header="720" w:footer="956" w:top="1300" w:bottom="1140" w:left="480" w:right="0"/>
        </w:sectPr>
      </w:pP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94"/>
        <w:gridCol w:w="1572"/>
        <w:gridCol w:w="1597"/>
        <w:gridCol w:w="1493"/>
        <w:gridCol w:w="1630"/>
        <w:gridCol w:w="1565"/>
        <w:gridCol w:w="1548"/>
      </w:tblGrid>
      <w:tr>
        <w:trPr>
          <w:trHeight w:val="730" w:hRule="exact"/>
        </w:trPr>
        <w:tc>
          <w:tcPr>
            <w:tcW w:w="1294"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9"/>
              <w:ind w:right="359"/>
              <w:jc w:val="righ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752,138,672.68</w:t>
            </w:r>
          </w:p>
        </w:tc>
        <w:tc>
          <w:tcPr>
            <w:tcW w:w="15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400,009,044.51</w:t>
            </w:r>
          </w:p>
        </w:tc>
        <w:tc>
          <w:tcPr>
            <w:tcW w:w="14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352,129,628.17</w:t>
            </w:r>
          </w:p>
        </w:tc>
        <w:tc>
          <w:tcPr>
            <w:tcW w:w="16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9"/>
              <w:ind w:right="101"/>
              <w:jc w:val="right"/>
              <w:rPr>
                <w:rFonts w:ascii="宋体" w:hAnsi="宋体" w:cs="宋体" w:eastAsia="宋体" w:hint="default"/>
                <w:sz w:val="18"/>
                <w:szCs w:val="18"/>
              </w:rPr>
            </w:pPr>
            <w:r>
              <w:rPr>
                <w:rFonts w:ascii="宋体"/>
                <w:spacing w:val="-1"/>
                <w:sz w:val="18"/>
              </w:rPr>
              <w:t>309,833,468.82</w:t>
            </w:r>
          </w:p>
        </w:tc>
        <w:tc>
          <w:tcPr>
            <w:tcW w:w="1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宋体" w:hAnsi="宋体" w:cs="宋体" w:eastAsia="宋体" w:hint="default"/>
                <w:sz w:val="18"/>
                <w:szCs w:val="18"/>
              </w:rPr>
            </w:pPr>
            <w:r>
              <w:rPr>
                <w:rFonts w:ascii="宋体"/>
                <w:spacing w:val="-1"/>
                <w:sz w:val="18"/>
              </w:rPr>
              <w:t>113,634,418.57</w:t>
            </w:r>
          </w:p>
        </w:tc>
        <w:tc>
          <w:tcPr>
            <w:tcW w:w="154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49"/>
              <w:ind w:right="107"/>
              <w:jc w:val="right"/>
              <w:rPr>
                <w:rFonts w:ascii="宋体" w:hAnsi="宋体" w:cs="宋体" w:eastAsia="宋体" w:hint="default"/>
                <w:sz w:val="18"/>
                <w:szCs w:val="18"/>
              </w:rPr>
            </w:pPr>
            <w:r>
              <w:rPr>
                <w:rFonts w:ascii="宋体"/>
                <w:spacing w:val="-1"/>
                <w:sz w:val="18"/>
              </w:rPr>
              <w:t>196,199,050.25</w:t>
            </w:r>
          </w:p>
        </w:tc>
      </w:tr>
      <w:tr>
        <w:trPr>
          <w:trHeight w:val="715" w:hRule="exact"/>
        </w:trPr>
        <w:tc>
          <w:tcPr>
            <w:tcW w:w="129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42"/>
              <w:ind w:left="122" w:right="0"/>
              <w:jc w:val="left"/>
              <w:rPr>
                <w:rFonts w:ascii="宋体" w:hAnsi="宋体" w:cs="宋体" w:eastAsia="宋体" w:hint="default"/>
                <w:sz w:val="18"/>
                <w:szCs w:val="18"/>
              </w:rPr>
            </w:pPr>
            <w:r>
              <w:rPr>
                <w:rFonts w:ascii="宋体" w:hAnsi="宋体" w:cs="宋体" w:eastAsia="宋体" w:hint="default"/>
                <w:sz w:val="18"/>
                <w:szCs w:val="18"/>
              </w:rPr>
              <w:t>内部抵销</w:t>
            </w:r>
          </w:p>
        </w:tc>
        <w:tc>
          <w:tcPr>
            <w:tcW w:w="15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109,721,226.75</w:t>
            </w:r>
          </w:p>
        </w:tc>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pacing w:val="-1"/>
                <w:sz w:val="18"/>
              </w:rPr>
              <w:t>110,064,050.43</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-342,823.68</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53,545,864.01</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53,781,517.39</w:t>
            </w:r>
          </w:p>
        </w:tc>
        <w:tc>
          <w:tcPr>
            <w:tcW w:w="154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-235,653.38</w:t>
            </w:r>
          </w:p>
        </w:tc>
      </w:tr>
      <w:tr>
        <w:trPr>
          <w:trHeight w:val="722" w:hRule="exact"/>
        </w:trPr>
        <w:tc>
          <w:tcPr>
            <w:tcW w:w="1294"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42"/>
              <w:ind w:right="359"/>
              <w:jc w:val="righ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642,417,445.93</w:t>
            </w:r>
          </w:p>
        </w:tc>
        <w:tc>
          <w:tcPr>
            <w:tcW w:w="15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pacing w:val="-1"/>
                <w:sz w:val="18"/>
              </w:rPr>
              <w:t>289,944,994.08</w:t>
            </w:r>
          </w:p>
        </w:tc>
        <w:tc>
          <w:tcPr>
            <w:tcW w:w="14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pacing w:val="-1"/>
                <w:sz w:val="18"/>
              </w:rPr>
              <w:t>352,472,451.85</w:t>
            </w:r>
          </w:p>
        </w:tc>
        <w:tc>
          <w:tcPr>
            <w:tcW w:w="16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256,287,604.81</w:t>
            </w:r>
          </w:p>
        </w:tc>
        <w:tc>
          <w:tcPr>
            <w:tcW w:w="156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2"/>
              <w:ind w:right="96"/>
              <w:jc w:val="right"/>
              <w:rPr>
                <w:rFonts w:ascii="宋体" w:hAnsi="宋体" w:cs="宋体" w:eastAsia="宋体" w:hint="default"/>
                <w:sz w:val="18"/>
                <w:szCs w:val="18"/>
              </w:rPr>
            </w:pPr>
            <w:r>
              <w:rPr>
                <w:rFonts w:ascii="宋体"/>
                <w:spacing w:val="-1"/>
                <w:sz w:val="18"/>
              </w:rPr>
              <w:t>59,852,901.18</w:t>
            </w:r>
          </w:p>
        </w:tc>
        <w:tc>
          <w:tcPr>
            <w:tcW w:w="154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2"/>
              <w:ind w:right="107"/>
              <w:jc w:val="right"/>
              <w:rPr>
                <w:rFonts w:ascii="宋体" w:hAnsi="宋体" w:cs="宋体" w:eastAsia="宋体" w:hint="default"/>
                <w:sz w:val="18"/>
                <w:szCs w:val="18"/>
              </w:rPr>
            </w:pPr>
            <w:r>
              <w:rPr>
                <w:rFonts w:ascii="宋体"/>
                <w:spacing w:val="-1"/>
                <w:sz w:val="18"/>
              </w:rPr>
              <w:t>196,434,703.63</w:t>
            </w:r>
          </w:p>
        </w:tc>
      </w:tr>
    </w:tbl>
    <w:p>
      <w:pPr>
        <w:spacing w:line="240" w:lineRule="auto" w:before="7"/>
        <w:rPr>
          <w:rFonts w:ascii="宋体" w:hAnsi="宋体" w:cs="宋体" w:eastAsia="宋体" w:hint="default"/>
          <w:sz w:val="6"/>
          <w:szCs w:val="6"/>
        </w:rPr>
      </w:pPr>
    </w:p>
    <w:p>
      <w:pPr>
        <w:pStyle w:val="BodyText"/>
        <w:spacing w:line="240" w:lineRule="auto" w:before="36"/>
        <w:ind w:left="660" w:right="606"/>
        <w:jc w:val="left"/>
      </w:pPr>
      <w:r>
        <w:rPr/>
        <w:t>（</w:t>
      </w:r>
      <w:r>
        <w:rPr>
          <w:rFonts w:ascii="宋体" w:hAnsi="宋体" w:cs="宋体" w:eastAsia="宋体" w:hint="default"/>
        </w:rPr>
        <w:t>4</w:t>
      </w:r>
      <w:r>
        <w:rPr/>
        <w:t>）本公司前五名客户的营业收入情况：</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575"/>
        <w:gridCol w:w="3562"/>
        <w:gridCol w:w="3562"/>
      </w:tblGrid>
      <w:tr>
        <w:trPr>
          <w:trHeight w:val="497" w:hRule="exact"/>
        </w:trPr>
        <w:tc>
          <w:tcPr>
            <w:tcW w:w="357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9"/>
              <w:ind w:left="19"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56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29"/>
              <w:ind w:right="5"/>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56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29"/>
              <w:ind w:left="604" w:right="0"/>
              <w:jc w:val="left"/>
              <w:rPr>
                <w:rFonts w:ascii="宋体" w:hAnsi="宋体" w:cs="宋体" w:eastAsia="宋体" w:hint="default"/>
                <w:sz w:val="18"/>
                <w:szCs w:val="18"/>
              </w:rPr>
            </w:pPr>
            <w:r>
              <w:rPr>
                <w:rFonts w:ascii="宋体" w:hAnsi="宋体" w:cs="宋体" w:eastAsia="宋体" w:hint="default"/>
                <w:sz w:val="18"/>
                <w:szCs w:val="18"/>
              </w:rPr>
              <w:t>占本公司全部营业收入的比例</w:t>
            </w:r>
          </w:p>
        </w:tc>
      </w:tr>
      <w:tr>
        <w:trPr>
          <w:trHeight w:val="492"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四川平大生物制品有限责任公司</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70,685,840.71</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11.00%</w:t>
            </w:r>
          </w:p>
        </w:tc>
      </w:tr>
      <w:tr>
        <w:trPr>
          <w:trHeight w:val="490"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0"/>
              <w:ind w:left="122" w:right="0"/>
              <w:jc w:val="left"/>
              <w:rPr>
                <w:rFonts w:ascii="宋体" w:hAnsi="宋体" w:cs="宋体" w:eastAsia="宋体" w:hint="default"/>
                <w:sz w:val="18"/>
                <w:szCs w:val="18"/>
              </w:rPr>
            </w:pPr>
            <w:r>
              <w:rPr>
                <w:rFonts w:ascii="宋体" w:hAnsi="宋体" w:cs="宋体" w:eastAsia="宋体" w:hint="default"/>
                <w:sz w:val="18"/>
                <w:szCs w:val="18"/>
              </w:rPr>
              <w:t>亳州千草药业饮片厂</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0"/>
              <w:ind w:right="103"/>
              <w:jc w:val="right"/>
              <w:rPr>
                <w:rFonts w:ascii="宋体" w:hAnsi="宋体" w:cs="宋体" w:eastAsia="宋体" w:hint="default"/>
                <w:sz w:val="18"/>
                <w:szCs w:val="18"/>
              </w:rPr>
            </w:pPr>
            <w:r>
              <w:rPr>
                <w:rFonts w:ascii="宋体"/>
                <w:spacing w:val="-1"/>
                <w:sz w:val="18"/>
              </w:rPr>
              <w:t>68,906,024.00</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0"/>
              <w:ind w:right="105"/>
              <w:jc w:val="right"/>
              <w:rPr>
                <w:rFonts w:ascii="宋体" w:hAnsi="宋体" w:cs="宋体" w:eastAsia="宋体" w:hint="default"/>
                <w:sz w:val="18"/>
                <w:szCs w:val="18"/>
              </w:rPr>
            </w:pPr>
            <w:r>
              <w:rPr>
                <w:rFonts w:ascii="宋体"/>
                <w:spacing w:val="-1"/>
                <w:sz w:val="18"/>
              </w:rPr>
              <w:t>10.73%</w:t>
            </w:r>
          </w:p>
        </w:tc>
      </w:tr>
      <w:tr>
        <w:trPr>
          <w:trHeight w:val="492"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吉林正德药业有限公司</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61,130,030.60</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z w:val="18"/>
              </w:rPr>
              <w:t>9.52%</w:t>
            </w:r>
          </w:p>
        </w:tc>
      </w:tr>
      <w:tr>
        <w:trPr>
          <w:trHeight w:val="490"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通化立发人参贸易有限公司</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9"/>
              <w:ind w:right="102"/>
              <w:jc w:val="right"/>
              <w:rPr>
                <w:rFonts w:ascii="宋体" w:hAnsi="宋体" w:cs="宋体" w:eastAsia="宋体" w:hint="default"/>
                <w:sz w:val="18"/>
                <w:szCs w:val="18"/>
              </w:rPr>
            </w:pPr>
            <w:r>
              <w:rPr>
                <w:rFonts w:ascii="宋体"/>
                <w:spacing w:val="-1"/>
                <w:sz w:val="18"/>
              </w:rPr>
              <w:t>16,028,761.06</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z w:val="18"/>
              </w:rPr>
              <w:t>2.49%</w:t>
            </w:r>
          </w:p>
        </w:tc>
      </w:tr>
      <w:tr>
        <w:trPr>
          <w:trHeight w:val="492"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通化文博人参贸易有限公司</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2"/>
              <w:ind w:right="103"/>
              <w:jc w:val="right"/>
              <w:rPr>
                <w:rFonts w:ascii="宋体" w:hAnsi="宋体" w:cs="宋体" w:eastAsia="宋体" w:hint="default"/>
                <w:sz w:val="18"/>
                <w:szCs w:val="18"/>
              </w:rPr>
            </w:pPr>
            <w:r>
              <w:rPr>
                <w:rFonts w:ascii="宋体"/>
                <w:spacing w:val="-1"/>
                <w:sz w:val="18"/>
              </w:rPr>
              <w:t>15,829,646.02</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z w:val="18"/>
              </w:rPr>
              <w:t>2.46%</w:t>
            </w:r>
          </w:p>
        </w:tc>
      </w:tr>
      <w:tr>
        <w:trPr>
          <w:trHeight w:val="499" w:hRule="exact"/>
        </w:trPr>
        <w:tc>
          <w:tcPr>
            <w:tcW w:w="3575" w:type="dxa"/>
            <w:tcBorders>
              <w:top w:val="single" w:sz="6" w:space="0" w:color="000000"/>
              <w:left w:val="nil" w:sz="6" w:space="0" w:color="auto"/>
              <w:bottom w:val="single" w:sz="12" w:space="0" w:color="000000"/>
              <w:right w:val="single" w:sz="6" w:space="0" w:color="000000"/>
            </w:tcBorders>
          </w:tcPr>
          <w:p>
            <w:pPr>
              <w:pStyle w:val="TableParagraph"/>
              <w:tabs>
                <w:tab w:pos="563" w:val="left" w:leader="none"/>
              </w:tabs>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6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9"/>
              <w:ind w:right="103"/>
              <w:jc w:val="right"/>
              <w:rPr>
                <w:rFonts w:ascii="宋体" w:hAnsi="宋体" w:cs="宋体" w:eastAsia="宋体" w:hint="default"/>
                <w:sz w:val="18"/>
                <w:szCs w:val="18"/>
              </w:rPr>
            </w:pPr>
            <w:r>
              <w:rPr>
                <w:rFonts w:ascii="宋体"/>
                <w:spacing w:val="-1"/>
                <w:sz w:val="18"/>
              </w:rPr>
              <w:t>232,580,302.39</w:t>
            </w:r>
          </w:p>
        </w:tc>
        <w:tc>
          <w:tcPr>
            <w:tcW w:w="356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36.20%</w:t>
            </w:r>
          </w:p>
        </w:tc>
      </w:tr>
    </w:tbl>
    <w:p>
      <w:pPr>
        <w:pStyle w:val="Heading4"/>
        <w:spacing w:line="240" w:lineRule="auto"/>
        <w:ind w:right="606"/>
        <w:jc w:val="left"/>
        <w:rPr>
          <w:b w:val="0"/>
          <w:bCs w:val="0"/>
        </w:rPr>
      </w:pPr>
      <w:r>
        <w:rPr>
          <w:rFonts w:ascii="宋体" w:hAnsi="宋体" w:cs="宋体" w:eastAsia="宋体" w:hint="default"/>
        </w:rPr>
        <w:t>25</w:t>
      </w:r>
      <w:r>
        <w:rPr/>
        <w:t>、营业税金及附加</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575"/>
        <w:gridCol w:w="3562"/>
        <w:gridCol w:w="3562"/>
      </w:tblGrid>
      <w:tr>
        <w:trPr>
          <w:trHeight w:val="511" w:hRule="exact"/>
        </w:trPr>
        <w:tc>
          <w:tcPr>
            <w:tcW w:w="3575"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37"/>
              <w:ind w:right="1409"/>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356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37"/>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6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37"/>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04"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3,006,914.28</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7"/>
              <w:ind w:right="108"/>
              <w:jc w:val="right"/>
              <w:rPr>
                <w:rFonts w:ascii="宋体" w:hAnsi="宋体" w:cs="宋体" w:eastAsia="宋体" w:hint="default"/>
                <w:sz w:val="18"/>
                <w:szCs w:val="18"/>
              </w:rPr>
            </w:pPr>
            <w:r>
              <w:rPr>
                <w:rFonts w:ascii="宋体"/>
                <w:spacing w:val="-1"/>
                <w:sz w:val="18"/>
              </w:rPr>
              <w:t>1,735,039.44</w:t>
            </w:r>
          </w:p>
        </w:tc>
      </w:tr>
      <w:tr>
        <w:trPr>
          <w:trHeight w:val="502"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1,543,543.61</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37"/>
              <w:ind w:right="107"/>
              <w:jc w:val="right"/>
              <w:rPr>
                <w:rFonts w:ascii="宋体" w:hAnsi="宋体" w:cs="宋体" w:eastAsia="宋体" w:hint="default"/>
                <w:sz w:val="18"/>
                <w:szCs w:val="18"/>
              </w:rPr>
            </w:pPr>
            <w:r>
              <w:rPr>
                <w:rFonts w:ascii="宋体"/>
                <w:spacing w:val="-1"/>
                <w:sz w:val="18"/>
              </w:rPr>
              <w:t>965,470.10</w:t>
            </w:r>
          </w:p>
        </w:tc>
      </w:tr>
      <w:tr>
        <w:trPr>
          <w:trHeight w:val="514" w:hRule="exact"/>
        </w:trPr>
        <w:tc>
          <w:tcPr>
            <w:tcW w:w="3575"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37"/>
              <w:ind w:right="1409"/>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356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37"/>
              <w:ind w:right="100"/>
              <w:jc w:val="right"/>
              <w:rPr>
                <w:rFonts w:ascii="宋体" w:hAnsi="宋体" w:cs="宋体" w:eastAsia="宋体" w:hint="default"/>
                <w:sz w:val="18"/>
                <w:szCs w:val="18"/>
              </w:rPr>
            </w:pPr>
            <w:r>
              <w:rPr>
                <w:rFonts w:ascii="宋体"/>
                <w:spacing w:val="-1"/>
                <w:sz w:val="18"/>
              </w:rPr>
              <w:t>4,550,457.89</w:t>
            </w:r>
          </w:p>
        </w:tc>
        <w:tc>
          <w:tcPr>
            <w:tcW w:w="356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37"/>
              <w:ind w:right="108"/>
              <w:jc w:val="right"/>
              <w:rPr>
                <w:rFonts w:ascii="宋体" w:hAnsi="宋体" w:cs="宋体" w:eastAsia="宋体" w:hint="default"/>
                <w:sz w:val="18"/>
                <w:szCs w:val="18"/>
              </w:rPr>
            </w:pPr>
            <w:r>
              <w:rPr>
                <w:rFonts w:ascii="宋体"/>
                <w:spacing w:val="-1"/>
                <w:sz w:val="18"/>
              </w:rPr>
              <w:t>2,700,509.54</w:t>
            </w:r>
          </w:p>
        </w:tc>
      </w:tr>
    </w:tbl>
    <w:p>
      <w:pPr>
        <w:pStyle w:val="BodyText"/>
        <w:spacing w:line="355" w:lineRule="auto" w:before="86"/>
        <w:ind w:left="240" w:right="606" w:firstLine="412"/>
        <w:jc w:val="left"/>
      </w:pPr>
      <w:r>
        <w:rPr>
          <w:spacing w:val="-2"/>
        </w:rPr>
        <w:t>营业税金及附加本期发生额较上期发生额增长</w:t>
      </w:r>
      <w:r>
        <w:rPr>
          <w:rFonts w:ascii="宋体" w:hAnsi="宋体" w:cs="宋体" w:eastAsia="宋体" w:hint="default"/>
          <w:spacing w:val="-2"/>
        </w:rPr>
        <w:t>68.50%</w:t>
      </w:r>
      <w:r>
        <w:rPr>
          <w:spacing w:val="-2"/>
        </w:rPr>
        <w:t>，原因是随着本公司营业收入的增长，致使以增值税为计</w:t>
      </w:r>
      <w:r>
        <w:rPr>
          <w:w w:val="100"/>
        </w:rPr>
        <w:t> </w:t>
      </w:r>
      <w:r>
        <w:rPr/>
        <w:t>提基数的城建税、教育费附加较上期增长较大。</w:t>
      </w:r>
    </w:p>
    <w:p>
      <w:pPr>
        <w:pStyle w:val="Heading4"/>
        <w:spacing w:line="240" w:lineRule="auto" w:before="32"/>
        <w:ind w:right="606"/>
        <w:jc w:val="left"/>
        <w:rPr>
          <w:b w:val="0"/>
          <w:bCs w:val="0"/>
        </w:rPr>
      </w:pPr>
      <w:r>
        <w:rPr>
          <w:rFonts w:ascii="宋体" w:hAnsi="宋体" w:cs="宋体" w:eastAsia="宋体" w:hint="default"/>
        </w:rPr>
        <w:t>26</w:t>
      </w:r>
      <w:r>
        <w:rPr/>
        <w:t>、销售费用</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577"/>
        <w:gridCol w:w="3562"/>
        <w:gridCol w:w="3560"/>
      </w:tblGrid>
      <w:tr>
        <w:trPr>
          <w:trHeight w:val="550" w:hRule="exact"/>
        </w:trPr>
        <w:tc>
          <w:tcPr>
            <w:tcW w:w="3577"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56"/>
              <w:ind w:right="1409"/>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356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6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41" w:hRule="exact"/>
        </w:trPr>
        <w:tc>
          <w:tcPr>
            <w:tcW w:w="35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各项销售费用</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6"/>
              <w:ind w:right="103"/>
              <w:jc w:val="right"/>
              <w:rPr>
                <w:rFonts w:ascii="宋体" w:hAnsi="宋体" w:cs="宋体" w:eastAsia="宋体" w:hint="default"/>
                <w:sz w:val="18"/>
                <w:szCs w:val="18"/>
              </w:rPr>
            </w:pPr>
            <w:r>
              <w:rPr>
                <w:rFonts w:ascii="宋体"/>
                <w:spacing w:val="-1"/>
                <w:sz w:val="18"/>
              </w:rPr>
              <w:t>101,349,691.66</w:t>
            </w:r>
          </w:p>
        </w:tc>
        <w:tc>
          <w:tcPr>
            <w:tcW w:w="35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85,685,352.36</w:t>
            </w:r>
          </w:p>
        </w:tc>
      </w:tr>
      <w:tr>
        <w:trPr>
          <w:trHeight w:val="550" w:hRule="exact"/>
        </w:trPr>
        <w:tc>
          <w:tcPr>
            <w:tcW w:w="3577"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56"/>
              <w:ind w:right="1409"/>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356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101,349,691.66</w:t>
            </w:r>
          </w:p>
        </w:tc>
        <w:tc>
          <w:tcPr>
            <w:tcW w:w="356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85,685,352.36</w:t>
            </w:r>
          </w:p>
        </w:tc>
      </w:tr>
    </w:tbl>
    <w:p>
      <w:pPr>
        <w:pStyle w:val="Heading4"/>
        <w:spacing w:line="240" w:lineRule="auto"/>
        <w:ind w:right="606"/>
        <w:jc w:val="left"/>
        <w:rPr>
          <w:b w:val="0"/>
          <w:bCs w:val="0"/>
        </w:rPr>
      </w:pPr>
      <w:r>
        <w:rPr>
          <w:rFonts w:ascii="宋体" w:hAnsi="宋体" w:cs="宋体" w:eastAsia="宋体" w:hint="default"/>
        </w:rPr>
        <w:t>27</w:t>
      </w:r>
      <w:r>
        <w:rPr/>
        <w:t>、管理费用</w:t>
      </w:r>
      <w:r>
        <w:rPr>
          <w:b w:val="0"/>
          <w:bCs w:val="0"/>
        </w:rPr>
      </w:r>
    </w:p>
    <w:p>
      <w:pPr>
        <w:spacing w:line="240" w:lineRule="auto" w:before="13"/>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575"/>
        <w:gridCol w:w="3562"/>
        <w:gridCol w:w="3562"/>
      </w:tblGrid>
      <w:tr>
        <w:trPr>
          <w:trHeight w:val="547" w:hRule="exact"/>
        </w:trPr>
        <w:tc>
          <w:tcPr>
            <w:tcW w:w="3575"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56"/>
              <w:ind w:right="1409"/>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356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6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42"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6"/>
              <w:ind w:left="122" w:right="0"/>
              <w:jc w:val="left"/>
              <w:rPr>
                <w:rFonts w:ascii="宋体" w:hAnsi="宋体" w:cs="宋体" w:eastAsia="宋体" w:hint="default"/>
                <w:sz w:val="18"/>
                <w:szCs w:val="18"/>
              </w:rPr>
            </w:pPr>
            <w:r>
              <w:rPr>
                <w:rFonts w:ascii="宋体" w:hAnsi="宋体" w:cs="宋体" w:eastAsia="宋体" w:hint="default"/>
                <w:sz w:val="18"/>
                <w:szCs w:val="18"/>
              </w:rPr>
              <w:t>各项管理费用</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6"/>
              <w:ind w:right="101"/>
              <w:jc w:val="right"/>
              <w:rPr>
                <w:rFonts w:ascii="宋体" w:hAnsi="宋体" w:cs="宋体" w:eastAsia="宋体" w:hint="default"/>
                <w:sz w:val="18"/>
                <w:szCs w:val="18"/>
              </w:rPr>
            </w:pPr>
            <w:r>
              <w:rPr>
                <w:rFonts w:ascii="宋体"/>
                <w:spacing w:val="-1"/>
                <w:sz w:val="18"/>
              </w:rPr>
              <w:t>42,778,133.40</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6"/>
              <w:ind w:right="105"/>
              <w:jc w:val="right"/>
              <w:rPr>
                <w:rFonts w:ascii="宋体" w:hAnsi="宋体" w:cs="宋体" w:eastAsia="宋体" w:hint="default"/>
                <w:sz w:val="18"/>
                <w:szCs w:val="18"/>
              </w:rPr>
            </w:pPr>
            <w:r>
              <w:rPr>
                <w:rFonts w:ascii="宋体"/>
                <w:spacing w:val="-1"/>
                <w:sz w:val="18"/>
              </w:rPr>
              <w:t>25,697,360.68</w:t>
            </w:r>
          </w:p>
        </w:tc>
      </w:tr>
      <w:tr>
        <w:trPr>
          <w:trHeight w:val="550" w:hRule="exact"/>
        </w:trPr>
        <w:tc>
          <w:tcPr>
            <w:tcW w:w="3575"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53"/>
              <w:ind w:right="1409"/>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356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pacing w:val="-1"/>
                <w:sz w:val="18"/>
              </w:rPr>
              <w:t>42,778,133.40</w:t>
            </w:r>
          </w:p>
        </w:tc>
        <w:tc>
          <w:tcPr>
            <w:tcW w:w="356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pacing w:val="-1"/>
                <w:sz w:val="18"/>
              </w:rPr>
              <w:t>25,697,360.68</w:t>
            </w:r>
          </w:p>
        </w:tc>
      </w:tr>
    </w:tbl>
    <w:p>
      <w:pPr>
        <w:spacing w:after="0" w:line="240" w:lineRule="auto"/>
        <w:jc w:val="right"/>
        <w:rPr>
          <w:rFonts w:ascii="宋体" w:hAnsi="宋体" w:cs="宋体" w:eastAsia="宋体" w:hint="default"/>
          <w:sz w:val="18"/>
          <w:szCs w:val="18"/>
        </w:rPr>
        <w:sectPr>
          <w:pgSz w:w="11910" w:h="16840"/>
          <w:pgMar w:header="720" w:footer="956" w:top="1300" w:bottom="1140" w:left="480" w:right="0"/>
        </w:sectPr>
      </w:pPr>
    </w:p>
    <w:p>
      <w:pPr>
        <w:pStyle w:val="BodyText"/>
        <w:spacing w:line="357" w:lineRule="auto" w:before="19"/>
        <w:ind w:left="240" w:right="711" w:firstLine="412"/>
        <w:jc w:val="both"/>
      </w:pPr>
      <w:r>
        <w:rPr/>
        <w:pict>
          <v:group style="position:absolute;margin-left:34.560001pt;margin-top:2.293643pt;width:508.3pt;height:.1pt;mso-position-horizontal-relative:page;mso-position-vertical-relative:paragraph;z-index:-532336" coordorigin="691,46" coordsize="10166,2">
            <v:shape style="position:absolute;left:691;top:46;width:10166;height:2" coordorigin="691,46" coordsize="10166,0" path="m691,46l10857,46e" filled="false" stroked="true" strokeweight=".72pt" strokecolor="#000000">
              <v:path arrowok="t"/>
            </v:shape>
            <w10:wrap type="none"/>
          </v:group>
        </w:pict>
      </w:r>
      <w:r>
        <w:rPr>
          <w:spacing w:val="-2"/>
        </w:rPr>
        <w:t>管理费用本期发生额较上期发生额增长</w:t>
      </w:r>
      <w:r>
        <w:rPr>
          <w:rFonts w:ascii="宋体" w:hAnsi="宋体" w:cs="宋体" w:eastAsia="宋体" w:hint="default"/>
          <w:spacing w:val="-2"/>
        </w:rPr>
        <w:t>66.47%</w:t>
      </w:r>
      <w:r>
        <w:rPr>
          <w:spacing w:val="-2"/>
        </w:rPr>
        <w:t>，主要原因是随着本公司业务规模的扩大，与之相关的各项管理</w:t>
      </w:r>
      <w:r>
        <w:rPr>
          <w:w w:val="100"/>
        </w:rPr>
        <w:t> </w:t>
      </w:r>
      <w:r>
        <w:rPr>
          <w:spacing w:val="-21"/>
          <w:w w:val="100"/>
        </w:rPr>
        <w:t>费用如“人员工资”、“差旅费”、“办公费”、“业务招待费”、“折旧费”、“无形资产摊销”等较上年同期增长较大所</w:t>
      </w:r>
      <w:r>
        <w:rPr>
          <w:w w:val="100"/>
        </w:rPr>
        <w:t> </w:t>
      </w:r>
      <w:r>
        <w:rPr/>
        <w:t>致。</w:t>
      </w:r>
    </w:p>
    <w:p>
      <w:pPr>
        <w:pStyle w:val="Heading4"/>
        <w:spacing w:line="240" w:lineRule="auto" w:before="30"/>
        <w:ind w:right="606"/>
        <w:jc w:val="left"/>
        <w:rPr>
          <w:b w:val="0"/>
          <w:bCs w:val="0"/>
        </w:rPr>
      </w:pPr>
      <w:r>
        <w:rPr>
          <w:rFonts w:ascii="宋体" w:hAnsi="宋体" w:cs="宋体" w:eastAsia="宋体" w:hint="default"/>
        </w:rPr>
        <w:t>28</w:t>
      </w:r>
      <w:r>
        <w:rPr/>
        <w:t>、财务费用</w:t>
      </w:r>
      <w:r>
        <w:rPr>
          <w:b w:val="0"/>
          <w:bCs w:val="0"/>
        </w:rPr>
      </w:r>
    </w:p>
    <w:p>
      <w:pPr>
        <w:spacing w:line="240" w:lineRule="auto" w:before="13"/>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575"/>
        <w:gridCol w:w="3562"/>
        <w:gridCol w:w="3562"/>
      </w:tblGrid>
      <w:tr>
        <w:trPr>
          <w:trHeight w:val="473" w:hRule="exact"/>
        </w:trPr>
        <w:tc>
          <w:tcPr>
            <w:tcW w:w="3575"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17"/>
              <w:ind w:right="1409"/>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35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6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7"/>
              <w:ind w:right="6"/>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26,072,289.94</w:t>
            </w:r>
          </w:p>
        </w:tc>
        <w:tc>
          <w:tcPr>
            <w:tcW w:w="3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9,270,484.93</w:t>
            </w:r>
          </w:p>
        </w:tc>
      </w:tr>
      <w:tr>
        <w:trPr>
          <w:trHeight w:val="466"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303,861.17</w:t>
            </w:r>
          </w:p>
        </w:tc>
        <w:tc>
          <w:tcPr>
            <w:tcW w:w="3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383,990.07</w:t>
            </w:r>
          </w:p>
        </w:tc>
      </w:tr>
      <w:tr>
        <w:trPr>
          <w:trHeight w:val="466"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121,273.37</w:t>
            </w:r>
          </w:p>
        </w:tc>
        <w:tc>
          <w:tcPr>
            <w:tcW w:w="3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pacing w:val="-1"/>
                <w:sz w:val="18"/>
              </w:rPr>
              <w:t>157,517.64</w:t>
            </w:r>
          </w:p>
        </w:tc>
      </w:tr>
      <w:tr>
        <w:trPr>
          <w:trHeight w:val="473" w:hRule="exact"/>
        </w:trPr>
        <w:tc>
          <w:tcPr>
            <w:tcW w:w="3575"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17"/>
              <w:ind w:right="1409"/>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35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25,889,702.14</w:t>
            </w:r>
          </w:p>
        </w:tc>
        <w:tc>
          <w:tcPr>
            <w:tcW w:w="35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08"/>
              <w:jc w:val="right"/>
              <w:rPr>
                <w:rFonts w:ascii="宋体" w:hAnsi="宋体" w:cs="宋体" w:eastAsia="宋体" w:hint="default"/>
                <w:sz w:val="18"/>
                <w:szCs w:val="18"/>
              </w:rPr>
            </w:pPr>
            <w:r>
              <w:rPr>
                <w:rFonts w:ascii="宋体"/>
                <w:spacing w:val="-1"/>
                <w:sz w:val="18"/>
              </w:rPr>
              <w:t>9,044,012.50</w:t>
            </w:r>
          </w:p>
        </w:tc>
      </w:tr>
    </w:tbl>
    <w:p>
      <w:pPr>
        <w:pStyle w:val="BodyText"/>
        <w:spacing w:line="355" w:lineRule="auto" w:before="86"/>
        <w:ind w:left="240" w:right="606" w:firstLine="412"/>
        <w:jc w:val="left"/>
      </w:pPr>
      <w:r>
        <w:rPr/>
        <w:t>财务费用本期发生额较上期发生额增长</w:t>
      </w:r>
      <w:r>
        <w:rPr>
          <w:rFonts w:ascii="宋体" w:hAnsi="宋体" w:cs="宋体" w:eastAsia="宋体" w:hint="default"/>
        </w:rPr>
        <w:t>186.26%</w:t>
      </w:r>
      <w:r>
        <w:rPr/>
        <w:t>，主要原因是本公司本期新增短期借款</w:t>
      </w:r>
      <w:r>
        <w:rPr>
          <w:rFonts w:ascii="宋体" w:hAnsi="宋体" w:cs="宋体" w:eastAsia="宋体" w:hint="default"/>
        </w:rPr>
        <w:t>7.32</w:t>
      </w:r>
      <w:r>
        <w:rPr/>
        <w:t>亿元致使利息支出</w:t>
      </w:r>
      <w:r>
        <w:rPr>
          <w:w w:val="100"/>
        </w:rPr>
        <w:t> </w:t>
      </w:r>
      <w:r>
        <w:rPr/>
        <w:t>较上年同期增长较大所致。</w:t>
      </w:r>
    </w:p>
    <w:p>
      <w:pPr>
        <w:pStyle w:val="Heading4"/>
        <w:spacing w:line="240" w:lineRule="auto" w:before="32"/>
        <w:ind w:right="606"/>
        <w:jc w:val="left"/>
        <w:rPr>
          <w:b w:val="0"/>
          <w:bCs w:val="0"/>
        </w:rPr>
      </w:pPr>
      <w:r>
        <w:rPr>
          <w:rFonts w:ascii="宋体" w:hAnsi="宋体" w:cs="宋体" w:eastAsia="宋体" w:hint="default"/>
        </w:rPr>
        <w:t>29</w:t>
      </w:r>
      <w:r>
        <w:rPr/>
        <w:t>、资产减值损失</w:t>
      </w:r>
      <w:r>
        <w:rPr>
          <w:b w:val="0"/>
          <w:bCs w:val="0"/>
        </w:rPr>
      </w:r>
    </w:p>
    <w:p>
      <w:pPr>
        <w:spacing w:line="240" w:lineRule="auto" w:before="13"/>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2849"/>
        <w:gridCol w:w="3927"/>
        <w:gridCol w:w="3922"/>
      </w:tblGrid>
      <w:tr>
        <w:trPr>
          <w:trHeight w:val="473" w:hRule="exact"/>
        </w:trPr>
        <w:tc>
          <w:tcPr>
            <w:tcW w:w="2849"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17"/>
              <w:ind w:right="1046"/>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3927"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92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6" w:hRule="exact"/>
        </w:trPr>
        <w:tc>
          <w:tcPr>
            <w:tcW w:w="284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927"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spacing w:val="-1"/>
                <w:sz w:val="18"/>
              </w:rPr>
              <w:t>1,294,565.06</w:t>
            </w:r>
          </w:p>
        </w:tc>
        <w:tc>
          <w:tcPr>
            <w:tcW w:w="392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4,344,918.08</w:t>
            </w:r>
          </w:p>
        </w:tc>
      </w:tr>
      <w:tr>
        <w:trPr>
          <w:trHeight w:val="475" w:hRule="exact"/>
        </w:trPr>
        <w:tc>
          <w:tcPr>
            <w:tcW w:w="2849"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17"/>
              <w:ind w:right="104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3927"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spacing w:val="-1"/>
                <w:sz w:val="18"/>
              </w:rPr>
              <w:t>1,294,565.06</w:t>
            </w:r>
          </w:p>
        </w:tc>
        <w:tc>
          <w:tcPr>
            <w:tcW w:w="392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4,344,918.08</w:t>
            </w:r>
          </w:p>
        </w:tc>
      </w:tr>
    </w:tbl>
    <w:p>
      <w:pPr>
        <w:pStyle w:val="Heading4"/>
        <w:spacing w:line="240" w:lineRule="auto"/>
        <w:ind w:right="606"/>
        <w:jc w:val="left"/>
        <w:rPr>
          <w:b w:val="0"/>
          <w:bCs w:val="0"/>
        </w:rPr>
      </w:pPr>
      <w:r>
        <w:rPr>
          <w:rFonts w:ascii="宋体" w:hAnsi="宋体" w:cs="宋体" w:eastAsia="宋体" w:hint="default"/>
        </w:rPr>
        <w:t>30.</w:t>
      </w:r>
      <w:r>
        <w:rPr>
          <w:rFonts w:ascii="宋体" w:hAnsi="宋体" w:cs="宋体" w:eastAsia="宋体" w:hint="default"/>
          <w:spacing w:val="-1"/>
        </w:rPr>
        <w:t> </w:t>
      </w:r>
      <w:r>
        <w:rPr/>
        <w:t>投资收益</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575"/>
        <w:gridCol w:w="3562"/>
        <w:gridCol w:w="3562"/>
      </w:tblGrid>
      <w:tr>
        <w:trPr>
          <w:trHeight w:val="461" w:hRule="exact"/>
        </w:trPr>
        <w:tc>
          <w:tcPr>
            <w:tcW w:w="3575" w:type="dxa"/>
            <w:tcBorders>
              <w:top w:val="single" w:sz="12" w:space="0" w:color="000000"/>
              <w:left w:val="nil" w:sz="6" w:space="0" w:color="auto"/>
              <w:bottom w:val="single" w:sz="6" w:space="0" w:color="000000"/>
              <w:right w:val="single" w:sz="6" w:space="0" w:color="000000"/>
            </w:tcBorders>
          </w:tcPr>
          <w:p>
            <w:pPr>
              <w:pStyle w:val="TableParagraph"/>
              <w:tabs>
                <w:tab w:pos="563" w:val="left" w:leader="none"/>
              </w:tabs>
              <w:spacing w:line="240" w:lineRule="auto" w:before="13"/>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6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6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3"/>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1"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pacing w:val="-1"/>
                <w:sz w:val="18"/>
              </w:rPr>
              <w:t>1,960,000.00</w:t>
            </w:r>
          </w:p>
        </w:tc>
        <w:tc>
          <w:tcPr>
            <w:tcW w:w="3562" w:type="dxa"/>
            <w:tcBorders>
              <w:top w:val="single" w:sz="6" w:space="0" w:color="000000"/>
              <w:left w:val="single" w:sz="4" w:space="0" w:color="000000"/>
              <w:bottom w:val="single" w:sz="6" w:space="0" w:color="000000"/>
              <w:right w:val="nil" w:sz="6" w:space="0" w:color="auto"/>
            </w:tcBorders>
          </w:tcPr>
          <w:p>
            <w:pPr/>
          </w:p>
        </w:tc>
      </w:tr>
      <w:tr>
        <w:trPr>
          <w:trHeight w:val="463" w:hRule="exact"/>
        </w:trPr>
        <w:tc>
          <w:tcPr>
            <w:tcW w:w="3575" w:type="dxa"/>
            <w:tcBorders>
              <w:top w:val="single" w:sz="6" w:space="0" w:color="000000"/>
              <w:left w:val="nil" w:sz="6" w:space="0" w:color="auto"/>
              <w:bottom w:val="single" w:sz="12" w:space="0" w:color="000000"/>
              <w:right w:val="single" w:sz="6" w:space="0" w:color="000000"/>
            </w:tcBorders>
          </w:tcPr>
          <w:p>
            <w:pPr>
              <w:pStyle w:val="TableParagraph"/>
              <w:tabs>
                <w:tab w:pos="563" w:val="left" w:leader="none"/>
              </w:tabs>
              <w:spacing w:line="240" w:lineRule="auto" w:before="13"/>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6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
              <w:ind w:right="101"/>
              <w:jc w:val="right"/>
              <w:rPr>
                <w:rFonts w:ascii="宋体" w:hAnsi="宋体" w:cs="宋体" w:eastAsia="宋体" w:hint="default"/>
                <w:sz w:val="18"/>
                <w:szCs w:val="18"/>
              </w:rPr>
            </w:pPr>
            <w:r>
              <w:rPr>
                <w:rFonts w:ascii="宋体"/>
                <w:spacing w:val="-1"/>
                <w:sz w:val="18"/>
              </w:rPr>
              <w:t>1,960,000.00</w:t>
            </w:r>
          </w:p>
        </w:tc>
        <w:tc>
          <w:tcPr>
            <w:tcW w:w="3562" w:type="dxa"/>
            <w:tcBorders>
              <w:top w:val="single" w:sz="6" w:space="0" w:color="000000"/>
              <w:left w:val="single" w:sz="4" w:space="0" w:color="000000"/>
              <w:bottom w:val="single" w:sz="12" w:space="0" w:color="000000"/>
              <w:right w:val="nil" w:sz="6" w:space="0" w:color="auto"/>
            </w:tcBorders>
          </w:tcPr>
          <w:p>
            <w:pPr/>
          </w:p>
        </w:tc>
      </w:tr>
    </w:tbl>
    <w:p>
      <w:pPr>
        <w:pStyle w:val="BodyText"/>
        <w:spacing w:line="240" w:lineRule="auto" w:before="86"/>
        <w:ind w:left="660" w:right="606"/>
        <w:jc w:val="left"/>
      </w:pPr>
      <w:r>
        <w:rPr/>
        <w:t>根据长春农村商业银行股份有限公司</w:t>
      </w:r>
      <w:r>
        <w:rPr>
          <w:spacing w:val="-45"/>
        </w:rPr>
        <w:t> </w:t>
      </w:r>
      <w:r>
        <w:rPr>
          <w:rFonts w:ascii="宋体" w:hAnsi="宋体" w:cs="宋体" w:eastAsia="宋体" w:hint="default"/>
        </w:rPr>
        <w:t>2009</w:t>
      </w:r>
      <w:r>
        <w:rPr>
          <w:rFonts w:ascii="宋体" w:hAnsi="宋体" w:cs="宋体" w:eastAsia="宋体" w:hint="default"/>
          <w:spacing w:val="-45"/>
        </w:rPr>
        <w:t> </w:t>
      </w:r>
      <w:r>
        <w:rPr>
          <w:spacing w:val="-3"/>
        </w:rPr>
        <w:t>年度股东大会决议，审议通过了</w:t>
      </w:r>
      <w:r>
        <w:rPr>
          <w:spacing w:val="-45"/>
        </w:rPr>
        <w:t> </w:t>
      </w:r>
      <w:r>
        <w:rPr>
          <w:rFonts w:ascii="宋体" w:hAnsi="宋体" w:cs="宋体" w:eastAsia="宋体" w:hint="default"/>
        </w:rPr>
        <w:t>2009</w:t>
      </w:r>
      <w:r>
        <w:rPr>
          <w:rFonts w:ascii="宋体" w:hAnsi="宋体" w:cs="宋体" w:eastAsia="宋体" w:hint="default"/>
          <w:spacing w:val="-45"/>
        </w:rPr>
        <w:t> </w:t>
      </w:r>
      <w:r>
        <w:rPr>
          <w:spacing w:val="-3"/>
        </w:rPr>
        <w:t>年度利润分配方案，以总股本</w:t>
      </w:r>
    </w:p>
    <w:p>
      <w:pPr>
        <w:pStyle w:val="BodyText"/>
        <w:spacing w:line="240" w:lineRule="auto" w:before="133"/>
        <w:ind w:left="240" w:right="606"/>
        <w:jc w:val="left"/>
      </w:pPr>
      <w:r>
        <w:rPr>
          <w:rFonts w:ascii="宋体" w:hAnsi="宋体" w:cs="宋体" w:eastAsia="宋体" w:hint="default"/>
          <w:w w:val="100"/>
        </w:rPr>
        <w:t>30,0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spacing w:val="-3"/>
          <w:w w:val="100"/>
        </w:rPr>
        <w:t>万</w:t>
      </w:r>
      <w:r>
        <w:rPr>
          <w:w w:val="100"/>
        </w:rPr>
        <w:t>股</w:t>
      </w:r>
      <w:r>
        <w:rPr>
          <w:spacing w:val="-3"/>
          <w:w w:val="100"/>
        </w:rPr>
        <w:t>为</w:t>
      </w:r>
      <w:r>
        <w:rPr>
          <w:w w:val="100"/>
        </w:rPr>
        <w:t>基</w:t>
      </w:r>
      <w:r>
        <w:rPr>
          <w:spacing w:val="-3"/>
          <w:w w:val="100"/>
        </w:rPr>
        <w:t>数</w:t>
      </w:r>
      <w:r>
        <w:rPr>
          <w:w w:val="100"/>
        </w:rPr>
        <w:t>，</w:t>
      </w:r>
      <w:r>
        <w:rPr>
          <w:spacing w:val="-3"/>
          <w:w w:val="100"/>
        </w:rPr>
        <w:t>向全</w:t>
      </w:r>
      <w:r>
        <w:rPr>
          <w:w w:val="100"/>
        </w:rPr>
        <w:t>体股</w:t>
      </w:r>
      <w:r>
        <w:rPr>
          <w:spacing w:val="-3"/>
          <w:w w:val="100"/>
        </w:rPr>
        <w:t>东</w:t>
      </w:r>
      <w:r>
        <w:rPr>
          <w:w w:val="100"/>
        </w:rPr>
        <w:t>每</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股</w:t>
      </w:r>
      <w:r>
        <w:rPr>
          <w:w w:val="100"/>
        </w:rPr>
        <w:t>派</w:t>
      </w:r>
      <w:r>
        <w:rPr>
          <w:spacing w:val="-3"/>
          <w:w w:val="100"/>
        </w:rPr>
        <w:t>发</w:t>
      </w:r>
      <w:r>
        <w:rPr>
          <w:w w:val="100"/>
        </w:rPr>
        <w:t>现</w:t>
      </w:r>
      <w:r>
        <w:rPr>
          <w:spacing w:val="-3"/>
          <w:w w:val="100"/>
        </w:rPr>
        <w:t>金红</w:t>
      </w:r>
      <w:r>
        <w:rPr>
          <w:w w:val="100"/>
        </w:rPr>
        <w:t>利</w:t>
      </w:r>
      <w:r>
        <w:rPr>
          <w:spacing w:val="-53"/>
        </w:rPr>
        <w:t> </w:t>
      </w:r>
      <w:r>
        <w:rPr>
          <w:rFonts w:ascii="宋体" w:hAnsi="宋体" w:cs="宋体" w:eastAsia="宋体" w:hint="default"/>
          <w:w w:val="100"/>
        </w:rPr>
        <w:t>0.7</w:t>
      </w:r>
      <w:r>
        <w:rPr>
          <w:rFonts w:ascii="宋体" w:hAnsi="宋体" w:cs="宋体" w:eastAsia="宋体" w:hint="default"/>
          <w:spacing w:val="-55"/>
        </w:rPr>
        <w:t> </w:t>
      </w:r>
      <w:r>
        <w:rPr>
          <w:w w:val="100"/>
        </w:rPr>
        <w:t>元</w:t>
      </w:r>
      <w:r>
        <w:rPr>
          <w:spacing w:val="-3"/>
          <w:w w:val="100"/>
        </w:rPr>
        <w:t>（</w:t>
      </w:r>
      <w:r>
        <w:rPr>
          <w:w w:val="100"/>
        </w:rPr>
        <w:t>含</w:t>
      </w:r>
      <w:r>
        <w:rPr>
          <w:spacing w:val="-3"/>
          <w:w w:val="100"/>
        </w:rPr>
        <w:t>税</w:t>
      </w:r>
      <w:r>
        <w:rPr>
          <w:spacing w:val="-106"/>
          <w:w w:val="100"/>
        </w:rPr>
        <w:t>）</w:t>
      </w:r>
      <w:r>
        <w:rPr>
          <w:spacing w:val="-3"/>
          <w:w w:val="100"/>
        </w:rPr>
        <w:t>，</w:t>
      </w:r>
      <w:r>
        <w:rPr>
          <w:w w:val="100"/>
        </w:rPr>
        <w:t>本</w:t>
      </w:r>
      <w:r>
        <w:rPr>
          <w:spacing w:val="-3"/>
          <w:w w:val="100"/>
        </w:rPr>
        <w:t>公司</w:t>
      </w:r>
      <w:r>
        <w:rPr>
          <w:w w:val="100"/>
        </w:rPr>
        <w:t>本期</w:t>
      </w:r>
      <w:r>
        <w:rPr>
          <w:spacing w:val="-3"/>
          <w:w w:val="100"/>
        </w:rPr>
        <w:t>取</w:t>
      </w:r>
      <w:r>
        <w:rPr>
          <w:w w:val="100"/>
        </w:rPr>
        <w:t>得</w:t>
      </w:r>
      <w:r>
        <w:rPr>
          <w:spacing w:val="-3"/>
          <w:w w:val="100"/>
        </w:rPr>
        <w:t>现</w:t>
      </w:r>
      <w:r>
        <w:rPr>
          <w:w w:val="100"/>
        </w:rPr>
        <w:t>金</w:t>
      </w:r>
      <w:r>
        <w:rPr>
          <w:spacing w:val="-3"/>
          <w:w w:val="100"/>
        </w:rPr>
        <w:t>红</w:t>
      </w:r>
      <w:r>
        <w:rPr>
          <w:w w:val="100"/>
        </w:rPr>
        <w:t>利</w:t>
      </w:r>
      <w:r>
        <w:rPr>
          <w:spacing w:val="-52"/>
        </w:rPr>
        <w:t> </w:t>
      </w:r>
      <w:r>
        <w:rPr>
          <w:rFonts w:ascii="宋体" w:hAnsi="宋体" w:cs="宋体" w:eastAsia="宋体" w:hint="default"/>
          <w:spacing w:val="-3"/>
          <w:w w:val="100"/>
        </w:rPr>
        <w:t>1</w:t>
      </w:r>
      <w:r>
        <w:rPr>
          <w:rFonts w:ascii="宋体" w:hAnsi="宋体" w:cs="宋体" w:eastAsia="宋体" w:hint="default"/>
          <w:w w:val="100"/>
        </w:rPr>
        <w:t>96</w:t>
      </w:r>
      <w:r>
        <w:rPr>
          <w:rFonts w:ascii="宋体" w:hAnsi="宋体" w:cs="宋体" w:eastAsia="宋体" w:hint="default"/>
          <w:spacing w:val="-53"/>
        </w:rPr>
        <w:t> </w:t>
      </w:r>
      <w:r>
        <w:rPr>
          <w:spacing w:val="-3"/>
          <w:w w:val="100"/>
        </w:rPr>
        <w:t>万</w:t>
      </w:r>
      <w:r>
        <w:rPr>
          <w:w w:val="100"/>
        </w:rPr>
        <w:t>元。</w:t>
      </w:r>
    </w:p>
    <w:p>
      <w:pPr>
        <w:pStyle w:val="Heading4"/>
        <w:spacing w:line="240" w:lineRule="auto" w:before="135"/>
        <w:ind w:right="606"/>
        <w:jc w:val="left"/>
        <w:rPr>
          <w:b w:val="0"/>
          <w:bCs w:val="0"/>
        </w:rPr>
      </w:pPr>
      <w:r>
        <w:rPr>
          <w:rFonts w:ascii="宋体" w:hAnsi="宋体" w:cs="宋体" w:eastAsia="宋体" w:hint="default"/>
        </w:rPr>
        <w:t>31</w:t>
      </w:r>
      <w:r>
        <w:rPr/>
        <w:t>、营业外支出</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577"/>
        <w:gridCol w:w="3562"/>
        <w:gridCol w:w="3560"/>
      </w:tblGrid>
      <w:tr>
        <w:trPr>
          <w:trHeight w:val="461" w:hRule="exact"/>
        </w:trPr>
        <w:tc>
          <w:tcPr>
            <w:tcW w:w="3577"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13"/>
              <w:ind w:right="1409"/>
              <w:jc w:val="right"/>
              <w:rPr>
                <w:rFonts w:ascii="宋体" w:hAnsi="宋体" w:cs="宋体" w:eastAsia="宋体" w:hint="default"/>
                <w:sz w:val="18"/>
                <w:szCs w:val="18"/>
              </w:rPr>
            </w:pPr>
            <w:r>
              <w:rPr>
                <w:rFonts w:ascii="宋体" w:hAnsi="宋体" w:cs="宋体" w:eastAsia="宋体" w:hint="default"/>
                <w:sz w:val="18"/>
                <w:szCs w:val="18"/>
              </w:rPr>
              <w:t>项</w:t>
              <w:tab/>
            </w:r>
            <w:r>
              <w:rPr>
                <w:rFonts w:ascii="宋体" w:hAnsi="宋体" w:cs="宋体" w:eastAsia="宋体" w:hint="default"/>
                <w:w w:val="95"/>
                <w:sz w:val="18"/>
                <w:szCs w:val="18"/>
              </w:rPr>
              <w:t>目</w:t>
            </w:r>
          </w:p>
        </w:tc>
        <w:tc>
          <w:tcPr>
            <w:tcW w:w="356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6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3"/>
              <w:ind w:right="3"/>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4" w:hRule="exact"/>
        </w:trPr>
        <w:tc>
          <w:tcPr>
            <w:tcW w:w="35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处置固定资产净损失</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69,611.12</w:t>
            </w:r>
          </w:p>
        </w:tc>
        <w:tc>
          <w:tcPr>
            <w:tcW w:w="35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0"/>
              <w:ind w:right="105"/>
              <w:jc w:val="right"/>
              <w:rPr>
                <w:rFonts w:ascii="宋体" w:hAnsi="宋体" w:cs="宋体" w:eastAsia="宋体" w:hint="default"/>
                <w:sz w:val="18"/>
                <w:szCs w:val="18"/>
              </w:rPr>
            </w:pPr>
            <w:r>
              <w:rPr>
                <w:rFonts w:ascii="宋体"/>
                <w:spacing w:val="-1"/>
                <w:sz w:val="18"/>
              </w:rPr>
              <w:t>252,501.31</w:t>
            </w:r>
          </w:p>
        </w:tc>
      </w:tr>
      <w:tr>
        <w:trPr>
          <w:trHeight w:val="454" w:hRule="exact"/>
        </w:trPr>
        <w:tc>
          <w:tcPr>
            <w:tcW w:w="35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1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103"/>
              <w:jc w:val="right"/>
              <w:rPr>
                <w:rFonts w:ascii="宋体" w:hAnsi="宋体" w:cs="宋体" w:eastAsia="宋体" w:hint="default"/>
                <w:sz w:val="18"/>
                <w:szCs w:val="18"/>
              </w:rPr>
            </w:pPr>
            <w:r>
              <w:rPr>
                <w:rFonts w:ascii="宋体"/>
                <w:spacing w:val="-1"/>
                <w:sz w:val="18"/>
              </w:rPr>
              <w:t>1,698,000.00</w:t>
            </w:r>
          </w:p>
        </w:tc>
        <w:tc>
          <w:tcPr>
            <w:tcW w:w="35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1"/>
              <w:ind w:right="107"/>
              <w:jc w:val="right"/>
              <w:rPr>
                <w:rFonts w:ascii="宋体" w:hAnsi="宋体" w:cs="宋体" w:eastAsia="宋体" w:hint="default"/>
                <w:sz w:val="18"/>
                <w:szCs w:val="18"/>
              </w:rPr>
            </w:pPr>
            <w:r>
              <w:rPr>
                <w:rFonts w:ascii="宋体"/>
                <w:spacing w:val="-1"/>
                <w:sz w:val="18"/>
              </w:rPr>
              <w:t>5,000.00</w:t>
            </w:r>
          </w:p>
        </w:tc>
      </w:tr>
      <w:tr>
        <w:trPr>
          <w:trHeight w:val="451" w:hRule="exact"/>
        </w:trPr>
        <w:tc>
          <w:tcPr>
            <w:tcW w:w="35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0"/>
              <w:ind w:left="122" w:right="0"/>
              <w:jc w:val="left"/>
              <w:rPr>
                <w:rFonts w:ascii="宋体" w:hAnsi="宋体" w:cs="宋体" w:eastAsia="宋体" w:hint="default"/>
                <w:sz w:val="18"/>
                <w:szCs w:val="18"/>
              </w:rPr>
            </w:pPr>
            <w:r>
              <w:rPr>
                <w:rFonts w:ascii="宋体" w:hAnsi="宋体" w:cs="宋体" w:eastAsia="宋体" w:hint="default"/>
                <w:sz w:val="18"/>
                <w:szCs w:val="18"/>
              </w:rPr>
              <w:t>非正常损失</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
              <w:ind w:right="103"/>
              <w:jc w:val="right"/>
              <w:rPr>
                <w:rFonts w:ascii="宋体" w:hAnsi="宋体" w:cs="宋体" w:eastAsia="宋体" w:hint="default"/>
                <w:sz w:val="18"/>
                <w:szCs w:val="18"/>
              </w:rPr>
            </w:pPr>
            <w:r>
              <w:rPr>
                <w:rFonts w:ascii="宋体"/>
                <w:spacing w:val="-1"/>
                <w:sz w:val="18"/>
              </w:rPr>
              <w:t>2,141,855.69</w:t>
            </w:r>
          </w:p>
        </w:tc>
        <w:tc>
          <w:tcPr>
            <w:tcW w:w="3560" w:type="dxa"/>
            <w:tcBorders>
              <w:top w:val="single" w:sz="6" w:space="0" w:color="000000"/>
              <w:left w:val="single" w:sz="4" w:space="0" w:color="000000"/>
              <w:bottom w:val="single" w:sz="6" w:space="0" w:color="000000"/>
              <w:right w:val="nil" w:sz="6" w:space="0" w:color="auto"/>
            </w:tcBorders>
          </w:tcPr>
          <w:p>
            <w:pPr/>
          </w:p>
        </w:tc>
      </w:tr>
      <w:tr>
        <w:trPr>
          <w:trHeight w:val="454" w:hRule="exact"/>
        </w:trPr>
        <w:tc>
          <w:tcPr>
            <w:tcW w:w="357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3"/>
              <w:ind w:left="1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562" w:type="dxa"/>
            <w:tcBorders>
              <w:top w:val="single" w:sz="6" w:space="0" w:color="000000"/>
              <w:left w:val="single" w:sz="6" w:space="0" w:color="000000"/>
              <w:bottom w:val="single" w:sz="6" w:space="0" w:color="000000"/>
              <w:right w:val="single" w:sz="4" w:space="0" w:color="000000"/>
            </w:tcBorders>
          </w:tcPr>
          <w:p>
            <w:pPr/>
          </w:p>
        </w:tc>
        <w:tc>
          <w:tcPr>
            <w:tcW w:w="356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3"/>
              <w:ind w:right="105"/>
              <w:jc w:val="right"/>
              <w:rPr>
                <w:rFonts w:ascii="宋体" w:hAnsi="宋体" w:cs="宋体" w:eastAsia="宋体" w:hint="default"/>
                <w:sz w:val="18"/>
                <w:szCs w:val="18"/>
              </w:rPr>
            </w:pPr>
            <w:r>
              <w:rPr>
                <w:rFonts w:ascii="宋体"/>
                <w:spacing w:val="-1"/>
                <w:sz w:val="18"/>
              </w:rPr>
              <w:t>7,961.63</w:t>
            </w:r>
          </w:p>
        </w:tc>
      </w:tr>
      <w:tr>
        <w:trPr>
          <w:trHeight w:val="463" w:hRule="exact"/>
        </w:trPr>
        <w:tc>
          <w:tcPr>
            <w:tcW w:w="3577"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13"/>
              <w:ind w:right="1409"/>
              <w:jc w:val="right"/>
              <w:rPr>
                <w:rFonts w:ascii="宋体" w:hAnsi="宋体" w:cs="宋体" w:eastAsia="宋体" w:hint="default"/>
                <w:sz w:val="18"/>
                <w:szCs w:val="18"/>
              </w:rPr>
            </w:pPr>
            <w:r>
              <w:rPr>
                <w:rFonts w:ascii="宋体" w:hAnsi="宋体" w:cs="宋体" w:eastAsia="宋体" w:hint="default"/>
                <w:sz w:val="18"/>
                <w:szCs w:val="18"/>
              </w:rPr>
              <w:t>合</w:t>
              <w:tab/>
            </w:r>
            <w:r>
              <w:rPr>
                <w:rFonts w:ascii="宋体" w:hAnsi="宋体" w:cs="宋体" w:eastAsia="宋体" w:hint="default"/>
                <w:w w:val="95"/>
                <w:sz w:val="18"/>
                <w:szCs w:val="18"/>
              </w:rPr>
              <w:t>计</w:t>
            </w:r>
          </w:p>
        </w:tc>
        <w:tc>
          <w:tcPr>
            <w:tcW w:w="356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3"/>
              <w:ind w:right="103"/>
              <w:jc w:val="right"/>
              <w:rPr>
                <w:rFonts w:ascii="宋体" w:hAnsi="宋体" w:cs="宋体" w:eastAsia="宋体" w:hint="default"/>
                <w:sz w:val="18"/>
                <w:szCs w:val="18"/>
              </w:rPr>
            </w:pPr>
            <w:r>
              <w:rPr>
                <w:rFonts w:ascii="宋体"/>
                <w:spacing w:val="-1"/>
                <w:sz w:val="18"/>
              </w:rPr>
              <w:t>3,909,466.81</w:t>
            </w:r>
          </w:p>
        </w:tc>
        <w:tc>
          <w:tcPr>
            <w:tcW w:w="3560"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3"/>
              <w:ind w:right="105"/>
              <w:jc w:val="right"/>
              <w:rPr>
                <w:rFonts w:ascii="宋体" w:hAnsi="宋体" w:cs="宋体" w:eastAsia="宋体" w:hint="default"/>
                <w:sz w:val="18"/>
                <w:szCs w:val="18"/>
              </w:rPr>
            </w:pPr>
            <w:r>
              <w:rPr>
                <w:rFonts w:ascii="宋体"/>
                <w:spacing w:val="-1"/>
                <w:sz w:val="18"/>
              </w:rPr>
              <w:t>265,462.94</w:t>
            </w:r>
          </w:p>
        </w:tc>
      </w:tr>
    </w:tbl>
    <w:p>
      <w:pPr>
        <w:pStyle w:val="BodyText"/>
        <w:spacing w:line="355" w:lineRule="auto" w:before="86"/>
        <w:ind w:left="240" w:right="606" w:firstLine="420"/>
        <w:jc w:val="left"/>
      </w:pPr>
      <w:r>
        <w:rPr>
          <w:spacing w:val="-2"/>
        </w:rPr>
        <w:t>营业外支出本期发生额较上期发生额增加</w:t>
      </w:r>
      <w:r>
        <w:rPr>
          <w:rFonts w:ascii="宋体" w:hAnsi="宋体" w:cs="宋体" w:eastAsia="宋体" w:hint="default"/>
          <w:spacing w:val="-2"/>
        </w:rPr>
        <w:t>364</w:t>
      </w:r>
      <w:r>
        <w:rPr>
          <w:spacing w:val="-2"/>
        </w:rPr>
        <w:t>万元，主要原因是本公司向玉树等地震灾区损赠支出</w:t>
      </w:r>
      <w:r>
        <w:rPr>
          <w:rFonts w:ascii="宋体" w:hAnsi="宋体" w:cs="宋体" w:eastAsia="宋体" w:hint="default"/>
          <w:spacing w:val="-2"/>
        </w:rPr>
        <w:t>169.8</w:t>
      </w:r>
      <w:r>
        <w:rPr>
          <w:spacing w:val="-2"/>
        </w:rPr>
        <w:t>万元以</w:t>
      </w:r>
      <w:r>
        <w:rPr>
          <w:w w:val="100"/>
        </w:rPr>
        <w:t> </w:t>
      </w:r>
      <w:r>
        <w:rPr/>
        <w:t>及子公司吉林紫鑫草还丹药业有限公司遭受洪水侵袭而损失</w:t>
      </w:r>
      <w:r>
        <w:rPr>
          <w:rFonts w:ascii="宋体" w:hAnsi="宋体" w:cs="宋体" w:eastAsia="宋体" w:hint="default"/>
        </w:rPr>
        <w:t>214</w:t>
      </w:r>
      <w:r>
        <w:rPr/>
        <w:t>万元所致。</w:t>
      </w:r>
    </w:p>
    <w:p>
      <w:pPr>
        <w:pStyle w:val="Heading4"/>
        <w:spacing w:line="240" w:lineRule="auto" w:before="32"/>
        <w:ind w:right="606"/>
        <w:jc w:val="left"/>
        <w:rPr>
          <w:b w:val="0"/>
          <w:bCs w:val="0"/>
        </w:rPr>
      </w:pPr>
      <w:r>
        <w:rPr>
          <w:rFonts w:ascii="宋体" w:hAnsi="宋体" w:cs="宋体" w:eastAsia="宋体" w:hint="default"/>
        </w:rPr>
        <w:t>32</w:t>
      </w:r>
      <w:r>
        <w:rPr/>
        <w:t>、所得税费用</w:t>
      </w:r>
      <w:r>
        <w:rPr>
          <w:b w:val="0"/>
          <w:bCs w:val="0"/>
        </w:rPr>
      </w:r>
    </w:p>
    <w:p>
      <w:pPr>
        <w:spacing w:after="0" w:line="240" w:lineRule="auto"/>
        <w:jc w:val="left"/>
        <w:sectPr>
          <w:pgSz w:w="11910" w:h="16840"/>
          <w:pgMar w:header="720" w:footer="956" w:top="1300" w:bottom="1140" w:left="480" w:right="0"/>
        </w:sectPr>
      </w:pPr>
    </w:p>
    <w:p>
      <w:pPr>
        <w:spacing w:line="240" w:lineRule="auto" w:before="6"/>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4739"/>
        <w:gridCol w:w="2979"/>
        <w:gridCol w:w="2981"/>
      </w:tblGrid>
      <w:tr>
        <w:trPr>
          <w:trHeight w:val="557" w:hRule="exact"/>
        </w:trPr>
        <w:tc>
          <w:tcPr>
            <w:tcW w:w="4739" w:type="dxa"/>
            <w:tcBorders>
              <w:top w:val="single" w:sz="12" w:space="0" w:color="000000"/>
              <w:left w:val="nil" w:sz="6" w:space="0" w:color="auto"/>
              <w:bottom w:val="single" w:sz="6" w:space="0" w:color="000000"/>
              <w:right w:val="single" w:sz="6" w:space="0" w:color="000000"/>
            </w:tcBorders>
          </w:tcPr>
          <w:p>
            <w:pPr>
              <w:pStyle w:val="TableParagraph"/>
              <w:tabs>
                <w:tab w:pos="542" w:val="left" w:leader="none"/>
              </w:tabs>
              <w:spacing w:line="240" w:lineRule="auto" w:before="70"/>
              <w:ind w:right="1990"/>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2979"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81"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70"/>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28" w:hRule="exact"/>
        </w:trPr>
        <w:tc>
          <w:tcPr>
            <w:tcW w:w="47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本期所得税费用</w:t>
            </w:r>
          </w:p>
        </w:tc>
        <w:tc>
          <w:tcPr>
            <w:tcW w:w="29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1,695,785.99</w:t>
            </w:r>
          </w:p>
        </w:tc>
        <w:tc>
          <w:tcPr>
            <w:tcW w:w="2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49"/>
              <w:ind w:right="108"/>
              <w:jc w:val="right"/>
              <w:rPr>
                <w:rFonts w:ascii="宋体" w:hAnsi="宋体" w:cs="宋体" w:eastAsia="宋体" w:hint="default"/>
                <w:sz w:val="18"/>
                <w:szCs w:val="18"/>
              </w:rPr>
            </w:pPr>
            <w:r>
              <w:rPr>
                <w:rFonts w:ascii="宋体"/>
                <w:spacing w:val="-1"/>
                <w:sz w:val="18"/>
              </w:rPr>
              <w:t>9,572,250.20</w:t>
            </w:r>
          </w:p>
        </w:tc>
      </w:tr>
      <w:tr>
        <w:trPr>
          <w:trHeight w:val="528" w:hRule="exact"/>
        </w:trPr>
        <w:tc>
          <w:tcPr>
            <w:tcW w:w="473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1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979"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
                <w:sz w:val="18"/>
              </w:rPr>
              <w:t>-178,688.56</w:t>
            </w:r>
          </w:p>
        </w:tc>
        <w:tc>
          <w:tcPr>
            <w:tcW w:w="2981"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-666,951.90</w:t>
            </w:r>
          </w:p>
        </w:tc>
      </w:tr>
      <w:tr>
        <w:trPr>
          <w:trHeight w:val="538" w:hRule="exact"/>
        </w:trPr>
        <w:tc>
          <w:tcPr>
            <w:tcW w:w="4739" w:type="dxa"/>
            <w:tcBorders>
              <w:top w:val="single" w:sz="6" w:space="0" w:color="000000"/>
              <w:left w:val="nil" w:sz="6" w:space="0" w:color="auto"/>
              <w:bottom w:val="single" w:sz="12" w:space="0" w:color="000000"/>
              <w:right w:val="single" w:sz="6" w:space="0" w:color="000000"/>
            </w:tcBorders>
          </w:tcPr>
          <w:p>
            <w:pPr>
              <w:pStyle w:val="TableParagraph"/>
              <w:tabs>
                <w:tab w:pos="542" w:val="left" w:leader="none"/>
              </w:tabs>
              <w:spacing w:line="240" w:lineRule="auto" w:before="51"/>
              <w:ind w:right="1990"/>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2979"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
                <w:sz w:val="18"/>
              </w:rPr>
              <w:t>1,517,097.43</w:t>
            </w:r>
          </w:p>
        </w:tc>
        <w:tc>
          <w:tcPr>
            <w:tcW w:w="2981"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51"/>
              <w:ind w:right="108"/>
              <w:jc w:val="right"/>
              <w:rPr>
                <w:rFonts w:ascii="宋体" w:hAnsi="宋体" w:cs="宋体" w:eastAsia="宋体" w:hint="default"/>
                <w:sz w:val="18"/>
                <w:szCs w:val="18"/>
              </w:rPr>
            </w:pPr>
            <w:r>
              <w:rPr>
                <w:rFonts w:ascii="宋体"/>
                <w:spacing w:val="-1"/>
                <w:sz w:val="18"/>
              </w:rPr>
              <w:t>8,905,298.30</w:t>
            </w:r>
          </w:p>
        </w:tc>
      </w:tr>
    </w:tbl>
    <w:p>
      <w:pPr>
        <w:pStyle w:val="BodyText"/>
        <w:spacing w:line="355" w:lineRule="auto" w:before="86"/>
        <w:ind w:left="240" w:right="606" w:firstLine="412"/>
        <w:jc w:val="left"/>
      </w:pPr>
      <w:r>
        <w:rPr/>
        <w:t>所得税费用本期发生额较上期发生额减少</w:t>
      </w:r>
      <w:r>
        <w:rPr>
          <w:rFonts w:ascii="宋体" w:hAnsi="宋体" w:cs="宋体" w:eastAsia="宋体" w:hint="default"/>
        </w:rPr>
        <w:t>739</w:t>
      </w:r>
      <w:r>
        <w:rPr/>
        <w:t>万元，主要原因是本公司本期收到主管税务机关对“技术改造国</w:t>
      </w:r>
      <w:r>
        <w:rPr>
          <w:w w:val="100"/>
        </w:rPr>
        <w:t> </w:t>
      </w:r>
      <w:r>
        <w:rPr/>
        <w:t>产设备投资抵免企业所得税”的批复，抵免本期所得税额</w:t>
      </w:r>
      <w:r>
        <w:rPr>
          <w:rFonts w:ascii="宋体" w:hAnsi="宋体" w:cs="宋体" w:eastAsia="宋体" w:hint="default"/>
        </w:rPr>
        <w:t>5,517,053.95</w:t>
      </w:r>
      <w:r>
        <w:rPr/>
        <w:t>元。</w:t>
      </w:r>
    </w:p>
    <w:p>
      <w:pPr>
        <w:pStyle w:val="Heading4"/>
        <w:spacing w:line="240" w:lineRule="auto" w:before="34"/>
        <w:ind w:right="606"/>
        <w:jc w:val="left"/>
        <w:rPr>
          <w:b w:val="0"/>
          <w:bCs w:val="0"/>
        </w:rPr>
      </w:pPr>
      <w:r>
        <w:rPr>
          <w:rFonts w:ascii="宋体" w:hAnsi="宋体" w:cs="宋体" w:eastAsia="宋体" w:hint="default"/>
        </w:rPr>
        <w:t>33</w:t>
      </w:r>
      <w:r>
        <w:rPr/>
        <w:t>、每股收益</w:t>
      </w:r>
      <w:r>
        <w:rPr>
          <w:b w:val="0"/>
          <w:bCs w:val="0"/>
        </w:rPr>
      </w:r>
    </w:p>
    <w:p>
      <w:pPr>
        <w:pStyle w:val="BodyText"/>
        <w:spacing w:line="240" w:lineRule="auto" w:before="133"/>
        <w:ind w:left="662" w:right="606"/>
        <w:jc w:val="left"/>
      </w:pPr>
      <w:r>
        <w:rPr/>
        <w:t>（</w:t>
      </w:r>
      <w:r>
        <w:rPr>
          <w:rFonts w:ascii="宋体" w:hAnsi="宋体" w:cs="宋体" w:eastAsia="宋体" w:hint="default"/>
        </w:rPr>
        <w:t>1</w:t>
      </w:r>
      <w:r>
        <w:rPr/>
        <w:t>）基本每股收益计算过程</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739"/>
        <w:gridCol w:w="2979"/>
        <w:gridCol w:w="2981"/>
      </w:tblGrid>
      <w:tr>
        <w:trPr>
          <w:trHeight w:val="502" w:hRule="exact"/>
        </w:trPr>
        <w:tc>
          <w:tcPr>
            <w:tcW w:w="4739" w:type="dxa"/>
            <w:tcBorders>
              <w:top w:val="single" w:sz="12" w:space="0" w:color="000000"/>
              <w:left w:val="nil" w:sz="6" w:space="0" w:color="auto"/>
              <w:bottom w:val="single" w:sz="8" w:space="0" w:color="000000"/>
              <w:right w:val="single" w:sz="8" w:space="0" w:color="000000"/>
            </w:tcBorders>
          </w:tcPr>
          <w:p>
            <w:pPr>
              <w:pStyle w:val="TableParagraph"/>
              <w:tabs>
                <w:tab w:pos="568" w:val="left" w:leader="none"/>
              </w:tabs>
              <w:spacing w:line="240" w:lineRule="auto" w:before="32"/>
              <w:ind w:left="26"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979"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81"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32"/>
              <w:ind w:right="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94"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宋体"/>
                <w:spacing w:val="-1"/>
                <w:sz w:val="18"/>
              </w:rPr>
              <w:t>173,173,606.20</w:t>
            </w:r>
          </w:p>
        </w:tc>
        <w:tc>
          <w:tcPr>
            <w:tcW w:w="29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61,078,754.08</w:t>
            </w:r>
          </w:p>
        </w:tc>
      </w:tr>
      <w:tr>
        <w:trPr>
          <w:trHeight w:val="497"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期初股本总额</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18"/>
                <w:szCs w:val="18"/>
              </w:rPr>
            </w:pPr>
            <w:r>
              <w:rPr>
                <w:rFonts w:ascii="宋体"/>
                <w:spacing w:val="-1"/>
                <w:sz w:val="18"/>
              </w:rPr>
              <w:t>121,541,400.00</w:t>
            </w:r>
          </w:p>
        </w:tc>
        <w:tc>
          <w:tcPr>
            <w:tcW w:w="29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121,541,400.00</w:t>
            </w:r>
          </w:p>
        </w:tc>
      </w:tr>
      <w:tr>
        <w:trPr>
          <w:trHeight w:val="497"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本期增加股本</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6"/>
              <w:jc w:val="right"/>
              <w:rPr>
                <w:rFonts w:ascii="宋体" w:hAnsi="宋体" w:cs="宋体" w:eastAsia="宋体" w:hint="default"/>
                <w:sz w:val="18"/>
                <w:szCs w:val="18"/>
              </w:rPr>
            </w:pPr>
            <w:r>
              <w:rPr>
                <w:rFonts w:ascii="宋体"/>
                <w:spacing w:val="-1"/>
                <w:sz w:val="18"/>
              </w:rPr>
              <w:t>134,954,291.00</w:t>
            </w:r>
          </w:p>
        </w:tc>
        <w:tc>
          <w:tcPr>
            <w:tcW w:w="29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85,078,980.00</w:t>
            </w:r>
          </w:p>
        </w:tc>
      </w:tr>
      <w:tr>
        <w:trPr>
          <w:trHeight w:val="494"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其中：资本公积转增股本</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5"/>
              <w:jc w:val="right"/>
              <w:rPr>
                <w:rFonts w:ascii="宋体" w:hAnsi="宋体" w:cs="宋体" w:eastAsia="宋体" w:hint="default"/>
                <w:sz w:val="18"/>
                <w:szCs w:val="18"/>
              </w:rPr>
            </w:pPr>
            <w:r>
              <w:rPr>
                <w:rFonts w:ascii="宋体"/>
                <w:spacing w:val="-1"/>
                <w:sz w:val="18"/>
              </w:rPr>
              <w:t>60,770,700.00</w:t>
            </w:r>
          </w:p>
        </w:tc>
        <w:tc>
          <w:tcPr>
            <w:tcW w:w="29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pacing w:val="-1"/>
                <w:sz w:val="18"/>
              </w:rPr>
              <w:t>60,770,700.00</w:t>
            </w:r>
          </w:p>
        </w:tc>
      </w:tr>
      <w:tr>
        <w:trPr>
          <w:trHeight w:val="494"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盈余公积转增股本</w:t>
            </w:r>
          </w:p>
        </w:tc>
        <w:tc>
          <w:tcPr>
            <w:tcW w:w="2979" w:type="dxa"/>
            <w:tcBorders>
              <w:top w:val="single" w:sz="8" w:space="0" w:color="000000"/>
              <w:left w:val="single" w:sz="8" w:space="0" w:color="000000"/>
              <w:bottom w:val="single" w:sz="8" w:space="0" w:color="000000"/>
              <w:right w:val="single" w:sz="8" w:space="0" w:color="000000"/>
            </w:tcBorders>
          </w:tcPr>
          <w:p>
            <w:pP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97"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18"/>
                <w:szCs w:val="18"/>
              </w:rPr>
            </w:pPr>
            <w:r>
              <w:rPr>
                <w:rFonts w:ascii="宋体"/>
                <w:spacing w:val="-1"/>
                <w:sz w:val="18"/>
              </w:rPr>
              <w:t>24,308,280.00</w:t>
            </w:r>
          </w:p>
        </w:tc>
        <w:tc>
          <w:tcPr>
            <w:tcW w:w="29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24,308,280.00</w:t>
            </w:r>
          </w:p>
        </w:tc>
      </w:tr>
      <w:tr>
        <w:trPr>
          <w:trHeight w:val="497"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向社会非公开发行</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18"/>
                <w:szCs w:val="18"/>
              </w:rPr>
            </w:pPr>
            <w:r>
              <w:rPr>
                <w:rFonts w:ascii="宋体"/>
                <w:spacing w:val="-1"/>
                <w:sz w:val="18"/>
              </w:rPr>
              <w:t>49,875,311.00</w:t>
            </w: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94"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本期增加股本月份</w:t>
            </w:r>
          </w:p>
        </w:tc>
        <w:tc>
          <w:tcPr>
            <w:tcW w:w="2979" w:type="dxa"/>
            <w:tcBorders>
              <w:top w:val="single" w:sz="8" w:space="0" w:color="000000"/>
              <w:left w:val="single" w:sz="8" w:space="0" w:color="000000"/>
              <w:bottom w:val="single" w:sz="8" w:space="0" w:color="000000"/>
              <w:right w:val="single" w:sz="8" w:space="0" w:color="000000"/>
            </w:tcBorders>
          </w:tcPr>
          <w:p>
            <w:pP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97"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其中：资本公积转增股本</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7"/>
              <w:jc w:val="right"/>
              <w:rPr>
                <w:rFonts w:ascii="宋体" w:hAnsi="宋体" w:cs="宋体" w:eastAsia="宋体" w:hint="default"/>
                <w:sz w:val="18"/>
                <w:szCs w:val="18"/>
              </w:rPr>
            </w:pPr>
            <w:r>
              <w:rPr>
                <w:rFonts w:ascii="宋体"/>
                <w:sz w:val="18"/>
              </w:rPr>
              <w:t>4</w:t>
            </w:r>
          </w:p>
        </w:tc>
        <w:tc>
          <w:tcPr>
            <w:tcW w:w="29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hAnsi="宋体" w:cs="宋体" w:eastAsia="宋体" w:hint="default"/>
                <w:sz w:val="18"/>
                <w:szCs w:val="18"/>
              </w:rPr>
              <w:t>追溯调整</w:t>
            </w:r>
          </w:p>
        </w:tc>
      </w:tr>
      <w:tr>
        <w:trPr>
          <w:trHeight w:val="497"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盈余公积转增股本</w:t>
            </w:r>
          </w:p>
        </w:tc>
        <w:tc>
          <w:tcPr>
            <w:tcW w:w="2979" w:type="dxa"/>
            <w:tcBorders>
              <w:top w:val="single" w:sz="8" w:space="0" w:color="000000"/>
              <w:left w:val="single" w:sz="8" w:space="0" w:color="000000"/>
              <w:bottom w:val="single" w:sz="8" w:space="0" w:color="000000"/>
              <w:right w:val="single" w:sz="8" w:space="0" w:color="000000"/>
            </w:tcBorders>
          </w:tcPr>
          <w:p>
            <w:pP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94"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665"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97"/>
              <w:jc w:val="right"/>
              <w:rPr>
                <w:rFonts w:ascii="宋体" w:hAnsi="宋体" w:cs="宋体" w:eastAsia="宋体" w:hint="default"/>
                <w:sz w:val="18"/>
                <w:szCs w:val="18"/>
              </w:rPr>
            </w:pPr>
            <w:r>
              <w:rPr>
                <w:rFonts w:ascii="宋体"/>
                <w:sz w:val="18"/>
              </w:rPr>
              <w:t>4</w:t>
            </w:r>
          </w:p>
        </w:tc>
        <w:tc>
          <w:tcPr>
            <w:tcW w:w="29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hAnsi="宋体" w:cs="宋体" w:eastAsia="宋体" w:hint="default"/>
                <w:sz w:val="18"/>
                <w:szCs w:val="18"/>
              </w:rPr>
              <w:t>追溯调整</w:t>
            </w:r>
          </w:p>
        </w:tc>
      </w:tr>
      <w:tr>
        <w:trPr>
          <w:trHeight w:val="497"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665" w:right="0"/>
              <w:jc w:val="left"/>
              <w:rPr>
                <w:rFonts w:ascii="宋体" w:hAnsi="宋体" w:cs="宋体" w:eastAsia="宋体" w:hint="default"/>
                <w:sz w:val="18"/>
                <w:szCs w:val="18"/>
              </w:rPr>
            </w:pPr>
            <w:r>
              <w:rPr>
                <w:rFonts w:ascii="宋体" w:hAnsi="宋体" w:cs="宋体" w:eastAsia="宋体" w:hint="default"/>
                <w:sz w:val="18"/>
                <w:szCs w:val="18"/>
              </w:rPr>
              <w:t>向社会非公开发行</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5"/>
              <w:jc w:val="right"/>
              <w:rPr>
                <w:rFonts w:ascii="宋体" w:hAnsi="宋体" w:cs="宋体" w:eastAsia="宋体" w:hint="default"/>
                <w:sz w:val="18"/>
                <w:szCs w:val="18"/>
              </w:rPr>
            </w:pPr>
            <w:r>
              <w:rPr>
                <w:rFonts w:ascii="宋体"/>
                <w:sz w:val="18"/>
              </w:rPr>
              <w:t>12</w:t>
            </w: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94"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本期减少股本</w:t>
            </w:r>
          </w:p>
        </w:tc>
        <w:tc>
          <w:tcPr>
            <w:tcW w:w="2979" w:type="dxa"/>
            <w:tcBorders>
              <w:top w:val="single" w:sz="8" w:space="0" w:color="000000"/>
              <w:left w:val="single" w:sz="8" w:space="0" w:color="000000"/>
              <w:bottom w:val="single" w:sz="8" w:space="0" w:color="000000"/>
              <w:right w:val="single" w:sz="8" w:space="0" w:color="000000"/>
            </w:tcBorders>
          </w:tcPr>
          <w:p>
            <w:pP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97"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本期减少股本月份</w:t>
            </w:r>
          </w:p>
        </w:tc>
        <w:tc>
          <w:tcPr>
            <w:tcW w:w="2979" w:type="dxa"/>
            <w:tcBorders>
              <w:top w:val="single" w:sz="8" w:space="0" w:color="000000"/>
              <w:left w:val="single" w:sz="8" w:space="0" w:color="000000"/>
              <w:bottom w:val="single" w:sz="8" w:space="0" w:color="000000"/>
              <w:right w:val="single" w:sz="8" w:space="0" w:color="000000"/>
            </w:tcBorders>
          </w:tcPr>
          <w:p>
            <w:pPr/>
          </w:p>
        </w:tc>
        <w:tc>
          <w:tcPr>
            <w:tcW w:w="2981" w:type="dxa"/>
            <w:tcBorders>
              <w:top w:val="single" w:sz="8" w:space="0" w:color="000000"/>
              <w:left w:val="single" w:sz="8" w:space="0" w:color="000000"/>
              <w:bottom w:val="single" w:sz="8" w:space="0" w:color="000000"/>
              <w:right w:val="nil" w:sz="6" w:space="0" w:color="auto"/>
            </w:tcBorders>
          </w:tcPr>
          <w:p>
            <w:pPr/>
          </w:p>
        </w:tc>
      </w:tr>
      <w:tr>
        <w:trPr>
          <w:trHeight w:val="497" w:hRule="exact"/>
        </w:trPr>
        <w:tc>
          <w:tcPr>
            <w:tcW w:w="4739"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32"/>
              <w:ind w:left="122" w:right="0"/>
              <w:jc w:val="left"/>
              <w:rPr>
                <w:rFonts w:ascii="宋体" w:hAnsi="宋体" w:cs="宋体" w:eastAsia="宋体" w:hint="default"/>
                <w:sz w:val="18"/>
                <w:szCs w:val="18"/>
              </w:rPr>
            </w:pPr>
            <w:r>
              <w:rPr>
                <w:rFonts w:ascii="宋体" w:hAnsi="宋体" w:cs="宋体" w:eastAsia="宋体" w:hint="default"/>
                <w:sz w:val="18"/>
                <w:szCs w:val="18"/>
              </w:rPr>
              <w:t>当期股本加权平均数</w:t>
            </w:r>
          </w:p>
        </w:tc>
        <w:tc>
          <w:tcPr>
            <w:tcW w:w="2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96"/>
              <w:jc w:val="right"/>
              <w:rPr>
                <w:rFonts w:ascii="宋体" w:hAnsi="宋体" w:cs="宋体" w:eastAsia="宋体" w:hint="default"/>
                <w:sz w:val="18"/>
                <w:szCs w:val="18"/>
              </w:rPr>
            </w:pPr>
            <w:r>
              <w:rPr>
                <w:rFonts w:ascii="宋体"/>
                <w:spacing w:val="-1"/>
                <w:sz w:val="18"/>
              </w:rPr>
              <w:t>206,620,380.00</w:t>
            </w:r>
          </w:p>
        </w:tc>
        <w:tc>
          <w:tcPr>
            <w:tcW w:w="298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206,620,380.00</w:t>
            </w:r>
          </w:p>
        </w:tc>
      </w:tr>
      <w:tr>
        <w:trPr>
          <w:trHeight w:val="502" w:hRule="exact"/>
        </w:trPr>
        <w:tc>
          <w:tcPr>
            <w:tcW w:w="4739"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979"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29"/>
              <w:ind w:right="95"/>
              <w:jc w:val="right"/>
              <w:rPr>
                <w:rFonts w:ascii="宋体" w:hAnsi="宋体" w:cs="宋体" w:eastAsia="宋体" w:hint="default"/>
                <w:sz w:val="18"/>
                <w:szCs w:val="18"/>
              </w:rPr>
            </w:pPr>
            <w:r>
              <w:rPr>
                <w:rFonts w:ascii="宋体"/>
                <w:sz w:val="18"/>
              </w:rPr>
              <w:t>0.84</w:t>
            </w:r>
          </w:p>
        </w:tc>
        <w:tc>
          <w:tcPr>
            <w:tcW w:w="2981"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29"/>
              <w:ind w:right="104"/>
              <w:jc w:val="right"/>
              <w:rPr>
                <w:rFonts w:ascii="宋体" w:hAnsi="宋体" w:cs="宋体" w:eastAsia="宋体" w:hint="default"/>
                <w:sz w:val="18"/>
                <w:szCs w:val="18"/>
              </w:rPr>
            </w:pPr>
            <w:r>
              <w:rPr>
                <w:rFonts w:ascii="宋体"/>
                <w:sz w:val="18"/>
              </w:rPr>
              <w:t>0.30</w:t>
            </w:r>
          </w:p>
        </w:tc>
      </w:tr>
    </w:tbl>
    <w:p>
      <w:pPr>
        <w:pStyle w:val="BodyText"/>
        <w:spacing w:line="355" w:lineRule="auto" w:before="86"/>
        <w:ind w:left="660" w:right="1326"/>
        <w:jc w:val="left"/>
        <w:rPr>
          <w:rFonts w:ascii="宋体" w:hAnsi="宋体" w:cs="宋体" w:eastAsia="宋体" w:hint="default"/>
          <w:sz w:val="11"/>
          <w:szCs w:val="11"/>
        </w:rPr>
      </w:pPr>
      <w:r>
        <w:rPr/>
        <w:t>（</w:t>
      </w:r>
      <w:r>
        <w:rPr>
          <w:rFonts w:ascii="宋体" w:hAnsi="宋体" w:cs="宋体" w:eastAsia="宋体" w:hint="default"/>
        </w:rPr>
        <w:t>2</w:t>
      </w:r>
      <w:r>
        <w:rPr/>
        <w:t>）基本每股收益的计算公式</w:t>
      </w:r>
      <w:r>
        <w:rPr>
          <w:w w:val="100"/>
        </w:rPr>
        <w:t> </w:t>
      </w:r>
      <w:r>
        <w:rPr>
          <w:spacing w:val="-2"/>
        </w:rPr>
        <w:t>基本每股收益</w:t>
      </w:r>
      <w:r>
        <w:rPr>
          <w:rFonts w:ascii="宋体" w:hAnsi="宋体" w:cs="宋体" w:eastAsia="宋体" w:hint="default"/>
          <w:spacing w:val="-2"/>
        </w:rPr>
        <w:t>=</w:t>
      </w:r>
      <w:r>
        <w:rPr>
          <w:spacing w:val="-2"/>
        </w:rPr>
        <w:t>归属于普通股股东的净利润÷发行在外的普通股加权平均数</w:t>
      </w:r>
      <w:r>
        <w:rPr>
          <w:spacing w:val="-45"/>
        </w:rPr>
        <w:t> </w:t>
      </w:r>
      <w:r>
        <w:rPr>
          <w:spacing w:val="-45"/>
        </w:rPr>
      </w:r>
      <w:r>
        <w:rPr>
          <w:position w:val="1"/>
        </w:rPr>
        <w:t>发行在外的普通股加权平均数</w:t>
      </w:r>
      <w:r>
        <w:rPr>
          <w:rFonts w:ascii="宋体" w:hAnsi="宋体" w:cs="宋体" w:eastAsia="宋体" w:hint="default"/>
          <w:position w:val="1"/>
        </w:rPr>
        <w:t>=S</w:t>
      </w:r>
      <w:r>
        <w:rPr>
          <w:rFonts w:ascii="宋体" w:hAnsi="宋体" w:cs="宋体" w:eastAsia="宋体" w:hint="default"/>
          <w:sz w:val="11"/>
          <w:szCs w:val="11"/>
        </w:rPr>
        <w:t>0</w:t>
      </w:r>
      <w:r>
        <w:rPr>
          <w:position w:val="1"/>
        </w:rPr>
        <w:t>＋</w:t>
      </w:r>
      <w:r>
        <w:rPr>
          <w:rFonts w:ascii="宋体" w:hAnsi="宋体" w:cs="宋体" w:eastAsia="宋体" w:hint="default"/>
          <w:position w:val="1"/>
        </w:rPr>
        <w:t>S</w:t>
      </w:r>
      <w:r>
        <w:rPr>
          <w:rFonts w:ascii="宋体" w:hAnsi="宋体" w:cs="宋体" w:eastAsia="宋体" w:hint="default"/>
          <w:sz w:val="11"/>
          <w:szCs w:val="11"/>
        </w:rPr>
        <w:t>1</w:t>
      </w:r>
      <w:r>
        <w:rPr>
          <w:position w:val="1"/>
        </w:rPr>
        <w:t>＋</w:t>
      </w:r>
      <w:r>
        <w:rPr>
          <w:rFonts w:ascii="宋体" w:hAnsi="宋体" w:cs="宋体" w:eastAsia="宋体" w:hint="default"/>
          <w:position w:val="1"/>
        </w:rPr>
        <w:t>S</w:t>
      </w:r>
      <w:r>
        <w:rPr>
          <w:rFonts w:ascii="宋体" w:hAnsi="宋体" w:cs="宋体" w:eastAsia="宋体" w:hint="default"/>
          <w:sz w:val="11"/>
          <w:szCs w:val="11"/>
        </w:rPr>
        <w:t>i</w:t>
      </w:r>
      <w:r>
        <w:rPr>
          <w:position w:val="1"/>
        </w:rPr>
        <w:t>×</w:t>
      </w:r>
      <w:r>
        <w:rPr>
          <w:rFonts w:ascii="宋体" w:hAnsi="宋体" w:cs="宋体" w:eastAsia="宋体" w:hint="default"/>
          <w:position w:val="1"/>
        </w:rPr>
        <w:t>M</w:t>
      </w:r>
      <w:r>
        <w:rPr>
          <w:rFonts w:ascii="宋体" w:hAnsi="宋体" w:cs="宋体" w:eastAsia="宋体" w:hint="default"/>
          <w:sz w:val="11"/>
          <w:szCs w:val="11"/>
        </w:rPr>
        <w:t>i</w:t>
      </w:r>
      <w:r>
        <w:rPr>
          <w:position w:val="1"/>
        </w:rPr>
        <w:t>÷</w:t>
      </w:r>
      <w:r>
        <w:rPr>
          <w:rFonts w:ascii="宋体" w:hAnsi="宋体" w:cs="宋体" w:eastAsia="宋体" w:hint="default"/>
          <w:position w:val="1"/>
        </w:rPr>
        <w:t>M</w:t>
      </w:r>
      <w:r>
        <w:rPr>
          <w:rFonts w:ascii="宋体" w:hAnsi="宋体" w:cs="宋体" w:eastAsia="宋体" w:hint="default"/>
          <w:sz w:val="11"/>
          <w:szCs w:val="11"/>
        </w:rPr>
        <w:t>0</w:t>
      </w:r>
      <w:r>
        <w:rPr>
          <w:position w:val="1"/>
        </w:rPr>
        <w:t>－</w:t>
      </w:r>
      <w:r>
        <w:rPr>
          <w:rFonts w:ascii="宋体" w:hAnsi="宋体" w:cs="宋体" w:eastAsia="宋体" w:hint="default"/>
          <w:position w:val="1"/>
        </w:rPr>
        <w:t>S</w:t>
      </w:r>
      <w:r>
        <w:rPr>
          <w:rFonts w:ascii="宋体" w:hAnsi="宋体" w:cs="宋体" w:eastAsia="宋体" w:hint="default"/>
          <w:sz w:val="11"/>
          <w:szCs w:val="11"/>
        </w:rPr>
        <w:t>j</w:t>
      </w:r>
      <w:r>
        <w:rPr>
          <w:position w:val="1"/>
        </w:rPr>
        <w:t>×</w:t>
      </w:r>
      <w:r>
        <w:rPr>
          <w:rFonts w:ascii="宋体" w:hAnsi="宋体" w:cs="宋体" w:eastAsia="宋体" w:hint="default"/>
          <w:position w:val="1"/>
        </w:rPr>
        <w:t>M</w:t>
      </w:r>
      <w:r>
        <w:rPr>
          <w:rFonts w:ascii="宋体" w:hAnsi="宋体" w:cs="宋体" w:eastAsia="宋体" w:hint="default"/>
          <w:sz w:val="11"/>
          <w:szCs w:val="11"/>
        </w:rPr>
        <w:t>j</w:t>
      </w:r>
      <w:r>
        <w:rPr>
          <w:position w:val="1"/>
        </w:rPr>
        <w:t>÷</w:t>
      </w:r>
      <w:r>
        <w:rPr>
          <w:rFonts w:ascii="宋体" w:hAnsi="宋体" w:cs="宋体" w:eastAsia="宋体" w:hint="default"/>
          <w:position w:val="1"/>
        </w:rPr>
        <w:t>M</w:t>
      </w:r>
      <w:r>
        <w:rPr>
          <w:rFonts w:ascii="宋体" w:hAnsi="宋体" w:cs="宋体" w:eastAsia="宋体" w:hint="default"/>
          <w:sz w:val="11"/>
          <w:szCs w:val="11"/>
        </w:rPr>
        <w:t>0</w:t>
      </w:r>
    </w:p>
    <w:p>
      <w:pPr>
        <w:pStyle w:val="BodyText"/>
        <w:spacing w:line="240" w:lineRule="auto" w:before="34"/>
        <w:ind w:left="660" w:right="606"/>
        <w:jc w:val="left"/>
      </w:pPr>
      <w:r>
        <w:rPr>
          <w:position w:val="1"/>
        </w:rPr>
        <w:t>其中，</w:t>
      </w:r>
      <w:r>
        <w:rPr>
          <w:rFonts w:ascii="宋体" w:hAnsi="宋体" w:cs="宋体" w:eastAsia="宋体" w:hint="default"/>
          <w:position w:val="1"/>
        </w:rPr>
        <w:t>S</w:t>
      </w:r>
      <w:r>
        <w:rPr>
          <w:rFonts w:ascii="宋体" w:hAnsi="宋体" w:cs="宋体" w:eastAsia="宋体" w:hint="default"/>
          <w:sz w:val="11"/>
          <w:szCs w:val="11"/>
        </w:rPr>
        <w:t>0</w:t>
      </w:r>
      <w:r>
        <w:rPr>
          <w:rFonts w:ascii="宋体" w:hAnsi="宋体" w:cs="宋体" w:eastAsia="宋体" w:hint="default"/>
          <w:spacing w:val="-16"/>
          <w:sz w:val="11"/>
          <w:szCs w:val="11"/>
        </w:rPr>
        <w:t> </w:t>
      </w:r>
      <w:r>
        <w:rPr>
          <w:position w:val="1"/>
        </w:rPr>
        <w:t>为期初股份总数；</w:t>
      </w:r>
      <w:r>
        <w:rPr>
          <w:rFonts w:ascii="宋体" w:hAnsi="宋体" w:cs="宋体" w:eastAsia="宋体" w:hint="default"/>
          <w:position w:val="1"/>
        </w:rPr>
        <w:t>S</w:t>
      </w:r>
      <w:r>
        <w:rPr>
          <w:rFonts w:ascii="宋体" w:hAnsi="宋体" w:cs="宋体" w:eastAsia="宋体" w:hint="default"/>
          <w:sz w:val="11"/>
          <w:szCs w:val="11"/>
        </w:rPr>
        <w:t>1</w:t>
      </w:r>
      <w:r>
        <w:rPr>
          <w:rFonts w:ascii="宋体" w:hAnsi="宋体" w:cs="宋体" w:eastAsia="宋体" w:hint="default"/>
          <w:spacing w:val="-16"/>
          <w:sz w:val="11"/>
          <w:szCs w:val="11"/>
        </w:rPr>
        <w:t> </w:t>
      </w:r>
      <w:r>
        <w:rPr>
          <w:position w:val="1"/>
        </w:rPr>
        <w:t>为报告期因公积金转增股本或股票股利分配等增加股份数；</w:t>
      </w:r>
      <w:r>
        <w:rPr>
          <w:rFonts w:ascii="宋体" w:hAnsi="宋体" w:cs="宋体" w:eastAsia="宋体" w:hint="default"/>
          <w:position w:val="1"/>
        </w:rPr>
        <w:t>S</w:t>
      </w:r>
      <w:r>
        <w:rPr>
          <w:rFonts w:ascii="宋体" w:hAnsi="宋体" w:cs="宋体" w:eastAsia="宋体" w:hint="default"/>
          <w:sz w:val="11"/>
          <w:szCs w:val="11"/>
        </w:rPr>
        <w:t>i</w:t>
      </w:r>
      <w:r>
        <w:rPr>
          <w:rFonts w:ascii="宋体" w:hAnsi="宋体" w:cs="宋体" w:eastAsia="宋体" w:hint="default"/>
          <w:spacing w:val="-14"/>
          <w:sz w:val="11"/>
          <w:szCs w:val="11"/>
        </w:rPr>
        <w:t> </w:t>
      </w:r>
      <w:r>
        <w:rPr>
          <w:position w:val="1"/>
        </w:rPr>
        <w:t>为报告期因发行新</w:t>
      </w:r>
      <w:r>
        <w:rPr/>
      </w:r>
    </w:p>
    <w:p>
      <w:pPr>
        <w:spacing w:after="0" w:line="240" w:lineRule="auto"/>
        <w:jc w:val="left"/>
        <w:sectPr>
          <w:pgSz w:w="11910" w:h="16840"/>
          <w:pgMar w:header="720" w:footer="956" w:top="1300" w:bottom="1140" w:left="480" w:right="0"/>
        </w:sectPr>
      </w:pPr>
    </w:p>
    <w:p>
      <w:pPr>
        <w:pStyle w:val="BodyText"/>
        <w:spacing w:line="357" w:lineRule="auto" w:before="19"/>
        <w:ind w:left="240" w:right="694"/>
        <w:jc w:val="left"/>
      </w:pPr>
      <w:r>
        <w:rPr/>
        <w:pict>
          <v:group style="position:absolute;margin-left:34.560001pt;margin-top:2.313662pt;width:508.3pt;height:.1pt;mso-position-horizontal-relative:page;mso-position-vertical-relative:paragraph;z-index:-532312" coordorigin="691,46" coordsize="10166,2">
            <v:shape style="position:absolute;left:691;top:46;width:10166;height:2" coordorigin="691,46" coordsize="10166,0" path="m691,46l10857,46e" filled="false" stroked="true" strokeweight=".72pt" strokecolor="#000000">
              <v:path arrowok="t"/>
            </v:shape>
            <w10:wrap type="none"/>
          </v:group>
        </w:pict>
      </w:r>
      <w:r>
        <w:rPr>
          <w:position w:val="1"/>
        </w:rPr>
        <w:t>股或债转股等增加股份数；</w:t>
      </w:r>
      <w:r>
        <w:rPr>
          <w:rFonts w:ascii="宋体" w:hAnsi="宋体" w:cs="宋体" w:eastAsia="宋体" w:hint="default"/>
          <w:position w:val="1"/>
        </w:rPr>
        <w:t>S</w:t>
      </w:r>
      <w:r>
        <w:rPr>
          <w:rFonts w:ascii="宋体" w:hAnsi="宋体" w:cs="宋体" w:eastAsia="宋体" w:hint="default"/>
          <w:sz w:val="11"/>
          <w:szCs w:val="11"/>
        </w:rPr>
        <w:t>j</w:t>
      </w:r>
      <w:r>
        <w:rPr>
          <w:rFonts w:ascii="宋体" w:hAnsi="宋体" w:cs="宋体" w:eastAsia="宋体" w:hint="default"/>
          <w:spacing w:val="-15"/>
          <w:sz w:val="11"/>
          <w:szCs w:val="11"/>
        </w:rPr>
        <w:t> </w:t>
      </w:r>
      <w:r>
        <w:rPr>
          <w:position w:val="1"/>
        </w:rPr>
        <w:t>为报告期因回购或缩股等减少股份数；</w:t>
      </w:r>
      <w:r>
        <w:rPr>
          <w:rFonts w:ascii="宋体" w:hAnsi="宋体" w:cs="宋体" w:eastAsia="宋体" w:hint="default"/>
          <w:position w:val="1"/>
        </w:rPr>
        <w:t>M</w:t>
      </w:r>
      <w:r>
        <w:rPr>
          <w:rFonts w:ascii="宋体" w:hAnsi="宋体" w:cs="宋体" w:eastAsia="宋体" w:hint="default"/>
          <w:sz w:val="11"/>
          <w:szCs w:val="11"/>
        </w:rPr>
        <w:t>0</w:t>
      </w:r>
      <w:r>
        <w:rPr>
          <w:rFonts w:ascii="宋体" w:hAnsi="宋体" w:cs="宋体" w:eastAsia="宋体" w:hint="default"/>
          <w:spacing w:val="-13"/>
          <w:sz w:val="11"/>
          <w:szCs w:val="11"/>
        </w:rPr>
        <w:t> </w:t>
      </w:r>
      <w:r>
        <w:rPr>
          <w:position w:val="1"/>
        </w:rPr>
        <w:t>报告期月份数；</w:t>
      </w:r>
      <w:r>
        <w:rPr>
          <w:rFonts w:ascii="宋体" w:hAnsi="宋体" w:cs="宋体" w:eastAsia="宋体" w:hint="default"/>
          <w:position w:val="1"/>
        </w:rPr>
        <w:t>M</w:t>
      </w:r>
      <w:r>
        <w:rPr>
          <w:rFonts w:ascii="宋体" w:hAnsi="宋体" w:cs="宋体" w:eastAsia="宋体" w:hint="default"/>
          <w:sz w:val="11"/>
          <w:szCs w:val="11"/>
        </w:rPr>
        <w:t>i</w:t>
      </w:r>
      <w:r>
        <w:rPr>
          <w:rFonts w:ascii="宋体" w:hAnsi="宋体" w:cs="宋体" w:eastAsia="宋体" w:hint="default"/>
          <w:spacing w:val="-15"/>
          <w:sz w:val="11"/>
          <w:szCs w:val="11"/>
        </w:rPr>
        <w:t> </w:t>
      </w:r>
      <w:r>
        <w:rPr>
          <w:position w:val="1"/>
        </w:rPr>
        <w:t>为增加股份下一月份起至</w:t>
      </w:r>
      <w:r>
        <w:rPr>
          <w:w w:val="100"/>
          <w:position w:val="1"/>
        </w:rPr>
        <w:t> </w:t>
      </w:r>
      <w:r>
        <w:rPr>
          <w:spacing w:val="-1"/>
          <w:position w:val="1"/>
        </w:rPr>
        <w:t>报告期期末的月份数；</w:t>
      </w:r>
      <w:r>
        <w:rPr>
          <w:rFonts w:ascii="宋体" w:hAnsi="宋体" w:cs="宋体" w:eastAsia="宋体" w:hint="default"/>
          <w:spacing w:val="-1"/>
          <w:position w:val="1"/>
        </w:rPr>
        <w:t>M</w:t>
      </w:r>
      <w:r>
        <w:rPr>
          <w:rFonts w:ascii="宋体" w:hAnsi="宋体" w:cs="宋体" w:eastAsia="宋体" w:hint="default"/>
          <w:spacing w:val="-1"/>
          <w:sz w:val="11"/>
          <w:szCs w:val="11"/>
        </w:rPr>
        <w:t>j</w:t>
      </w:r>
      <w:r>
        <w:rPr>
          <w:rFonts w:ascii="宋体" w:hAnsi="宋体" w:cs="宋体" w:eastAsia="宋体" w:hint="default"/>
          <w:spacing w:val="23"/>
          <w:sz w:val="11"/>
          <w:szCs w:val="11"/>
        </w:rPr>
        <w:t> </w:t>
      </w:r>
      <w:r>
        <w:rPr>
          <w:spacing w:val="-2"/>
          <w:position w:val="1"/>
        </w:rPr>
        <w:t>为减少股份下一月份起至报告期期末的月份数。</w:t>
      </w:r>
      <w:r>
        <w:rPr>
          <w:spacing w:val="-2"/>
        </w:rPr>
      </w:r>
    </w:p>
    <w:p>
      <w:pPr>
        <w:pStyle w:val="BodyText"/>
        <w:spacing w:line="240" w:lineRule="auto" w:before="30"/>
        <w:ind w:left="660" w:right="606"/>
        <w:jc w:val="left"/>
      </w:pPr>
      <w:r>
        <w:rPr/>
        <w:t>（</w:t>
      </w:r>
      <w:r>
        <w:rPr>
          <w:rFonts w:ascii="宋体" w:hAnsi="宋体" w:cs="宋体" w:eastAsia="宋体" w:hint="default"/>
        </w:rPr>
        <w:t>3</w:t>
      </w:r>
      <w:r>
        <w:rPr/>
        <w:t>）稀释每股收益的计算过程</w:t>
      </w:r>
    </w:p>
    <w:p>
      <w:pPr>
        <w:spacing w:line="240" w:lineRule="auto" w:before="5"/>
        <w:rPr>
          <w:rFonts w:ascii="宋体" w:hAnsi="宋体" w:cs="宋体" w:eastAsia="宋体" w:hint="default"/>
          <w:sz w:val="19"/>
          <w:szCs w:val="19"/>
        </w:rPr>
      </w:pPr>
    </w:p>
    <w:p>
      <w:pPr>
        <w:pStyle w:val="BodyText"/>
        <w:spacing w:line="240" w:lineRule="auto" w:before="0"/>
        <w:ind w:left="660" w:right="606"/>
        <w:jc w:val="left"/>
      </w:pPr>
      <w:r>
        <w:rPr/>
        <w:t>报告期内公司未发行可转换债券、认股权证等稀释性潜在普通股，故稀释每股收益等同于基本每股收益。</w:t>
      </w:r>
    </w:p>
    <w:p>
      <w:pPr>
        <w:pStyle w:val="BodyText"/>
        <w:spacing w:line="355" w:lineRule="auto" w:before="135"/>
        <w:ind w:left="660" w:right="694"/>
        <w:jc w:val="left"/>
      </w:pPr>
      <w:r>
        <w:rPr/>
        <w:t>（</w:t>
      </w:r>
      <w:r>
        <w:rPr>
          <w:rFonts w:ascii="宋体" w:hAnsi="宋体" w:cs="宋体" w:eastAsia="宋体" w:hint="default"/>
        </w:rPr>
        <w:t>4</w:t>
      </w:r>
      <w:r>
        <w:rPr/>
        <w:t>）稀释每股收益的计算公式</w:t>
      </w:r>
      <w:r>
        <w:rPr>
          <w:w w:val="100"/>
        </w:rPr>
        <w:t> </w:t>
      </w:r>
      <w:r>
        <w:rPr>
          <w:spacing w:val="-2"/>
        </w:rPr>
        <w:t>稀释每股收益</w:t>
      </w:r>
      <w:r>
        <w:rPr>
          <w:rFonts w:ascii="宋体" w:hAnsi="宋体" w:cs="宋体" w:eastAsia="宋体" w:hint="default"/>
          <w:spacing w:val="-2"/>
        </w:rPr>
        <w:t>=(</w:t>
      </w:r>
      <w:r>
        <w:rPr>
          <w:spacing w:val="-2"/>
        </w:rPr>
        <w:t>归属于普通股股东的净利润</w:t>
      </w:r>
      <w:r>
        <w:rPr>
          <w:rFonts w:ascii="宋体" w:hAnsi="宋体" w:cs="宋体" w:eastAsia="宋体" w:hint="default"/>
          <w:spacing w:val="-2"/>
        </w:rPr>
        <w:t>+</w:t>
      </w:r>
      <w:r>
        <w:rPr>
          <w:spacing w:val="-2"/>
        </w:rPr>
        <w:t>已确认为费用的稀释性潜在普通股利息×（</w:t>
      </w:r>
      <w:r>
        <w:rPr>
          <w:rFonts w:ascii="宋体" w:hAnsi="宋体" w:cs="宋体" w:eastAsia="宋体" w:hint="default"/>
          <w:spacing w:val="-2"/>
        </w:rPr>
        <w:t>1-</w:t>
      </w:r>
      <w:r>
        <w:rPr>
          <w:spacing w:val="-2"/>
        </w:rPr>
        <w:t>所得税率）</w:t>
      </w:r>
      <w:r>
        <w:rPr>
          <w:rFonts w:ascii="宋体" w:hAnsi="宋体" w:cs="宋体" w:eastAsia="宋体" w:hint="default"/>
          <w:spacing w:val="-2"/>
        </w:rPr>
        <w:t>-</w:t>
      </w:r>
      <w:r>
        <w:rPr>
          <w:spacing w:val="-2"/>
        </w:rPr>
        <w:t>转换费</w:t>
      </w:r>
    </w:p>
    <w:p>
      <w:pPr>
        <w:pStyle w:val="BodyText"/>
        <w:spacing w:line="240" w:lineRule="auto"/>
        <w:ind w:left="240" w:right="606"/>
        <w:jc w:val="left"/>
      </w:pPr>
      <w:r>
        <w:rPr>
          <w:position w:val="1"/>
        </w:rPr>
        <w:t>用</w:t>
      </w:r>
      <w:r>
        <w:rPr>
          <w:rFonts w:ascii="宋体" w:hAnsi="宋体" w:cs="宋体" w:eastAsia="宋体" w:hint="default"/>
          <w:position w:val="1"/>
        </w:rPr>
        <w:t>)/</w:t>
      </w:r>
      <w:r>
        <w:rPr>
          <w:position w:val="1"/>
        </w:rPr>
        <w:t>（</w:t>
      </w:r>
      <w:r>
        <w:rPr>
          <w:rFonts w:ascii="宋体" w:hAnsi="宋体" w:cs="宋体" w:eastAsia="宋体" w:hint="default"/>
          <w:position w:val="1"/>
        </w:rPr>
        <w:t>S</w:t>
      </w:r>
      <w:r>
        <w:rPr>
          <w:rFonts w:ascii="宋体" w:hAnsi="宋体" w:cs="宋体" w:eastAsia="宋体" w:hint="default"/>
          <w:sz w:val="11"/>
          <w:szCs w:val="11"/>
        </w:rPr>
        <w:t>0</w:t>
      </w:r>
      <w:r>
        <w:rPr>
          <w:position w:val="1"/>
        </w:rPr>
        <w:t>＋</w:t>
      </w:r>
      <w:r>
        <w:rPr>
          <w:rFonts w:ascii="宋体" w:hAnsi="宋体" w:cs="宋体" w:eastAsia="宋体" w:hint="default"/>
          <w:position w:val="1"/>
        </w:rPr>
        <w:t>S</w:t>
      </w:r>
      <w:r>
        <w:rPr>
          <w:rFonts w:ascii="宋体" w:hAnsi="宋体" w:cs="宋体" w:eastAsia="宋体" w:hint="default"/>
          <w:sz w:val="11"/>
          <w:szCs w:val="11"/>
        </w:rPr>
        <w:t>1</w:t>
      </w:r>
      <w:r>
        <w:rPr>
          <w:position w:val="1"/>
        </w:rPr>
        <w:t>＋</w:t>
      </w:r>
      <w:r>
        <w:rPr>
          <w:rFonts w:ascii="宋体" w:hAnsi="宋体" w:cs="宋体" w:eastAsia="宋体" w:hint="default"/>
          <w:position w:val="1"/>
        </w:rPr>
        <w:t>S</w:t>
      </w:r>
      <w:r>
        <w:rPr>
          <w:rFonts w:ascii="宋体" w:hAnsi="宋体" w:cs="宋体" w:eastAsia="宋体" w:hint="default"/>
          <w:sz w:val="11"/>
          <w:szCs w:val="11"/>
        </w:rPr>
        <w:t>i</w:t>
      </w:r>
      <w:r>
        <w:rPr>
          <w:position w:val="1"/>
        </w:rPr>
        <w:t>×</w:t>
      </w:r>
      <w:r>
        <w:rPr>
          <w:rFonts w:ascii="宋体" w:hAnsi="宋体" w:cs="宋体" w:eastAsia="宋体" w:hint="default"/>
          <w:position w:val="1"/>
        </w:rPr>
        <w:t>M</w:t>
      </w:r>
      <w:r>
        <w:rPr>
          <w:rFonts w:ascii="宋体" w:hAnsi="宋体" w:cs="宋体" w:eastAsia="宋体" w:hint="default"/>
          <w:sz w:val="11"/>
          <w:szCs w:val="11"/>
        </w:rPr>
        <w:t>i</w:t>
      </w:r>
      <w:r>
        <w:rPr>
          <w:position w:val="1"/>
        </w:rPr>
        <w:t>÷</w:t>
      </w:r>
      <w:r>
        <w:rPr>
          <w:rFonts w:ascii="宋体" w:hAnsi="宋体" w:cs="宋体" w:eastAsia="宋体" w:hint="default"/>
          <w:position w:val="1"/>
        </w:rPr>
        <w:t>M</w:t>
      </w:r>
      <w:r>
        <w:rPr>
          <w:rFonts w:ascii="宋体" w:hAnsi="宋体" w:cs="宋体" w:eastAsia="宋体" w:hint="default"/>
          <w:sz w:val="11"/>
          <w:szCs w:val="11"/>
        </w:rPr>
        <w:t>0</w:t>
      </w:r>
      <w:r>
        <w:rPr>
          <w:position w:val="1"/>
        </w:rPr>
        <w:t>－</w:t>
      </w:r>
      <w:r>
        <w:rPr>
          <w:rFonts w:ascii="宋体" w:hAnsi="宋体" w:cs="宋体" w:eastAsia="宋体" w:hint="default"/>
          <w:position w:val="1"/>
        </w:rPr>
        <w:t>S</w:t>
      </w:r>
      <w:r>
        <w:rPr>
          <w:rFonts w:ascii="宋体" w:hAnsi="宋体" w:cs="宋体" w:eastAsia="宋体" w:hint="default"/>
          <w:sz w:val="11"/>
          <w:szCs w:val="11"/>
        </w:rPr>
        <w:t>j</w:t>
      </w:r>
      <w:r>
        <w:rPr>
          <w:position w:val="1"/>
        </w:rPr>
        <w:t>×</w:t>
      </w:r>
      <w:r>
        <w:rPr>
          <w:rFonts w:ascii="宋体" w:hAnsi="宋体" w:cs="宋体" w:eastAsia="宋体" w:hint="default"/>
          <w:position w:val="1"/>
        </w:rPr>
        <w:t>M</w:t>
      </w:r>
      <w:r>
        <w:rPr>
          <w:rFonts w:ascii="宋体" w:hAnsi="宋体" w:cs="宋体" w:eastAsia="宋体" w:hint="default"/>
          <w:sz w:val="11"/>
          <w:szCs w:val="11"/>
        </w:rPr>
        <w:t>j</w:t>
      </w:r>
      <w:r>
        <w:rPr>
          <w:position w:val="1"/>
        </w:rPr>
        <w:t>÷</w:t>
      </w:r>
      <w:r>
        <w:rPr>
          <w:rFonts w:ascii="宋体" w:hAnsi="宋体" w:cs="宋体" w:eastAsia="宋体" w:hint="default"/>
          <w:position w:val="1"/>
        </w:rPr>
        <w:t>M</w:t>
      </w:r>
      <w:r>
        <w:rPr>
          <w:rFonts w:ascii="宋体" w:hAnsi="宋体" w:cs="宋体" w:eastAsia="宋体" w:hint="default"/>
          <w:sz w:val="11"/>
          <w:szCs w:val="11"/>
        </w:rPr>
        <w:t>0</w:t>
      </w:r>
      <w:r>
        <w:rPr>
          <w:rFonts w:ascii="宋体" w:hAnsi="宋体" w:cs="宋体" w:eastAsia="宋体" w:hint="default"/>
          <w:position w:val="1"/>
        </w:rPr>
        <w:t>+</w:t>
      </w:r>
      <w:r>
        <w:rPr>
          <w:position w:val="1"/>
        </w:rPr>
        <w:t>认股权证、期权行权增加股份数）</w:t>
      </w:r>
      <w:r>
        <w:rPr/>
      </w:r>
    </w:p>
    <w:p>
      <w:pPr>
        <w:pStyle w:val="BodyText"/>
        <w:spacing w:line="357" w:lineRule="auto" w:before="133"/>
        <w:ind w:left="240" w:right="696" w:firstLine="420"/>
        <w:jc w:val="both"/>
      </w:pPr>
      <w:r>
        <w:rPr>
          <w:position w:val="1"/>
        </w:rPr>
        <w:t>其中，</w:t>
      </w:r>
      <w:r>
        <w:rPr>
          <w:rFonts w:ascii="宋体" w:hAnsi="宋体" w:cs="宋体" w:eastAsia="宋体" w:hint="default"/>
          <w:position w:val="1"/>
        </w:rPr>
        <w:t>S</w:t>
      </w:r>
      <w:r>
        <w:rPr>
          <w:rFonts w:ascii="宋体" w:hAnsi="宋体" w:cs="宋体" w:eastAsia="宋体" w:hint="default"/>
          <w:sz w:val="11"/>
          <w:szCs w:val="11"/>
        </w:rPr>
        <w:t>0</w:t>
      </w:r>
      <w:r>
        <w:rPr>
          <w:rFonts w:ascii="宋体" w:hAnsi="宋体" w:cs="宋体" w:eastAsia="宋体" w:hint="default"/>
          <w:spacing w:val="-14"/>
          <w:sz w:val="11"/>
          <w:szCs w:val="11"/>
        </w:rPr>
        <w:t> </w:t>
      </w:r>
      <w:r>
        <w:rPr>
          <w:position w:val="1"/>
        </w:rPr>
        <w:t>为期初股份总数；</w:t>
      </w:r>
      <w:r>
        <w:rPr>
          <w:rFonts w:ascii="宋体" w:hAnsi="宋体" w:cs="宋体" w:eastAsia="宋体" w:hint="default"/>
          <w:position w:val="1"/>
        </w:rPr>
        <w:t>S</w:t>
      </w:r>
      <w:r>
        <w:rPr>
          <w:rFonts w:ascii="宋体" w:hAnsi="宋体" w:cs="宋体" w:eastAsia="宋体" w:hint="default"/>
          <w:sz w:val="11"/>
          <w:szCs w:val="11"/>
        </w:rPr>
        <w:t>1</w:t>
      </w:r>
      <w:r>
        <w:rPr>
          <w:rFonts w:ascii="宋体" w:hAnsi="宋体" w:cs="宋体" w:eastAsia="宋体" w:hint="default"/>
          <w:spacing w:val="-14"/>
          <w:sz w:val="11"/>
          <w:szCs w:val="11"/>
        </w:rPr>
        <w:t> </w:t>
      </w:r>
      <w:r>
        <w:rPr>
          <w:position w:val="1"/>
        </w:rPr>
        <w:t>为报告期因公积金转增股本或股票股利分配等增加股份数；</w:t>
      </w:r>
      <w:r>
        <w:rPr>
          <w:rFonts w:ascii="宋体" w:hAnsi="宋体" w:cs="宋体" w:eastAsia="宋体" w:hint="default"/>
          <w:position w:val="1"/>
        </w:rPr>
        <w:t>S</w:t>
      </w:r>
      <w:r>
        <w:rPr>
          <w:rFonts w:ascii="宋体" w:hAnsi="宋体" w:cs="宋体" w:eastAsia="宋体" w:hint="default"/>
          <w:sz w:val="11"/>
          <w:szCs w:val="11"/>
        </w:rPr>
        <w:t>i</w:t>
      </w:r>
      <w:r>
        <w:rPr>
          <w:rFonts w:ascii="宋体" w:hAnsi="宋体" w:cs="宋体" w:eastAsia="宋体" w:hint="default"/>
          <w:spacing w:val="-14"/>
          <w:sz w:val="11"/>
          <w:szCs w:val="11"/>
        </w:rPr>
        <w:t> </w:t>
      </w:r>
      <w:r>
        <w:rPr>
          <w:position w:val="1"/>
        </w:rPr>
        <w:t>为报告期因发行新</w:t>
      </w:r>
      <w:r>
        <w:rPr>
          <w:w w:val="100"/>
          <w:position w:val="1"/>
        </w:rPr>
        <w:t> </w:t>
      </w:r>
      <w:r>
        <w:rPr>
          <w:position w:val="1"/>
        </w:rPr>
        <w:t>股或债转股等增加股份数；</w:t>
      </w:r>
      <w:r>
        <w:rPr>
          <w:rFonts w:ascii="宋体" w:hAnsi="宋体" w:cs="宋体" w:eastAsia="宋体" w:hint="default"/>
          <w:position w:val="1"/>
        </w:rPr>
        <w:t>S</w:t>
      </w:r>
      <w:r>
        <w:rPr>
          <w:rFonts w:ascii="宋体" w:hAnsi="宋体" w:cs="宋体" w:eastAsia="宋体" w:hint="default"/>
          <w:sz w:val="11"/>
          <w:szCs w:val="11"/>
        </w:rPr>
        <w:t>j</w:t>
      </w:r>
      <w:r>
        <w:rPr>
          <w:rFonts w:ascii="宋体" w:hAnsi="宋体" w:cs="宋体" w:eastAsia="宋体" w:hint="default"/>
          <w:spacing w:val="-14"/>
          <w:sz w:val="11"/>
          <w:szCs w:val="11"/>
        </w:rPr>
        <w:t> </w:t>
      </w:r>
      <w:r>
        <w:rPr>
          <w:position w:val="1"/>
        </w:rPr>
        <w:t>为报告期因回购或缩股等减少股份数；</w:t>
      </w:r>
      <w:r>
        <w:rPr>
          <w:rFonts w:ascii="宋体" w:hAnsi="宋体" w:cs="宋体" w:eastAsia="宋体" w:hint="default"/>
          <w:position w:val="1"/>
        </w:rPr>
        <w:t>M</w:t>
      </w:r>
      <w:r>
        <w:rPr>
          <w:rFonts w:ascii="宋体" w:hAnsi="宋体" w:cs="宋体" w:eastAsia="宋体" w:hint="default"/>
          <w:sz w:val="11"/>
          <w:szCs w:val="11"/>
        </w:rPr>
        <w:t>0</w:t>
      </w:r>
      <w:r>
        <w:rPr>
          <w:rFonts w:ascii="宋体" w:hAnsi="宋体" w:cs="宋体" w:eastAsia="宋体" w:hint="default"/>
          <w:spacing w:val="-14"/>
          <w:sz w:val="11"/>
          <w:szCs w:val="11"/>
        </w:rPr>
        <w:t> </w:t>
      </w:r>
      <w:r>
        <w:rPr>
          <w:position w:val="1"/>
        </w:rPr>
        <w:t>报告期月份数；</w:t>
      </w:r>
      <w:r>
        <w:rPr>
          <w:rFonts w:ascii="宋体" w:hAnsi="宋体" w:cs="宋体" w:eastAsia="宋体" w:hint="default"/>
          <w:position w:val="1"/>
        </w:rPr>
        <w:t>M</w:t>
      </w:r>
      <w:r>
        <w:rPr>
          <w:rFonts w:ascii="宋体" w:hAnsi="宋体" w:cs="宋体" w:eastAsia="宋体" w:hint="default"/>
          <w:sz w:val="11"/>
          <w:szCs w:val="11"/>
        </w:rPr>
        <w:t>i</w:t>
      </w:r>
      <w:r>
        <w:rPr>
          <w:rFonts w:ascii="宋体" w:hAnsi="宋体" w:cs="宋体" w:eastAsia="宋体" w:hint="default"/>
          <w:spacing w:val="-14"/>
          <w:sz w:val="11"/>
          <w:szCs w:val="11"/>
        </w:rPr>
        <w:t> </w:t>
      </w:r>
      <w:r>
        <w:rPr>
          <w:position w:val="1"/>
        </w:rPr>
        <w:t>为增加股份下一月份起至</w:t>
      </w:r>
      <w:r>
        <w:rPr>
          <w:w w:val="100"/>
          <w:position w:val="1"/>
        </w:rPr>
        <w:t> </w:t>
      </w:r>
      <w:r>
        <w:rPr>
          <w:spacing w:val="-1"/>
          <w:position w:val="1"/>
        </w:rPr>
        <w:t>报告期期末的月份数；</w:t>
      </w:r>
      <w:r>
        <w:rPr>
          <w:rFonts w:ascii="宋体" w:hAnsi="宋体" w:cs="宋体" w:eastAsia="宋体" w:hint="default"/>
          <w:spacing w:val="-1"/>
          <w:position w:val="1"/>
        </w:rPr>
        <w:t>M</w:t>
      </w:r>
      <w:r>
        <w:rPr>
          <w:rFonts w:ascii="宋体" w:hAnsi="宋体" w:cs="宋体" w:eastAsia="宋体" w:hint="default"/>
          <w:spacing w:val="-1"/>
          <w:sz w:val="11"/>
          <w:szCs w:val="11"/>
        </w:rPr>
        <w:t>j</w:t>
      </w:r>
      <w:r>
        <w:rPr>
          <w:rFonts w:ascii="宋体" w:hAnsi="宋体" w:cs="宋体" w:eastAsia="宋体" w:hint="default"/>
          <w:spacing w:val="22"/>
          <w:sz w:val="11"/>
          <w:szCs w:val="11"/>
        </w:rPr>
        <w:t> </w:t>
      </w:r>
      <w:r>
        <w:rPr>
          <w:spacing w:val="-2"/>
          <w:position w:val="1"/>
        </w:rPr>
        <w:t>为减少股份下一月份起至报告期期末的月份数。</w:t>
      </w:r>
      <w:r>
        <w:rPr>
          <w:spacing w:val="-2"/>
        </w:rPr>
      </w:r>
    </w:p>
    <w:p>
      <w:pPr>
        <w:pStyle w:val="Heading4"/>
        <w:spacing w:line="240" w:lineRule="auto" w:before="30"/>
        <w:ind w:right="606"/>
        <w:jc w:val="left"/>
        <w:rPr>
          <w:b w:val="0"/>
          <w:bCs w:val="0"/>
        </w:rPr>
      </w:pPr>
      <w:r>
        <w:rPr>
          <w:rFonts w:ascii="宋体" w:hAnsi="宋体" w:cs="宋体" w:eastAsia="宋体" w:hint="default"/>
        </w:rPr>
        <w:t>34</w:t>
      </w:r>
      <w:r>
        <w:rPr/>
        <w:t>、其他综合收益</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5346"/>
        <w:gridCol w:w="2676"/>
        <w:gridCol w:w="2676"/>
      </w:tblGrid>
      <w:tr>
        <w:trPr>
          <w:trHeight w:val="386" w:hRule="exact"/>
        </w:trPr>
        <w:tc>
          <w:tcPr>
            <w:tcW w:w="5346" w:type="dxa"/>
            <w:tcBorders>
              <w:top w:val="single" w:sz="12" w:space="0" w:color="000000"/>
              <w:left w:val="nil" w:sz="6" w:space="0" w:color="auto"/>
              <w:bottom w:val="single" w:sz="6" w:space="0" w:color="000000"/>
              <w:right w:val="single" w:sz="6" w:space="0" w:color="000000"/>
            </w:tcBorders>
          </w:tcPr>
          <w:p>
            <w:pPr>
              <w:pStyle w:val="TableParagraph"/>
              <w:tabs>
                <w:tab w:pos="654" w:val="left" w:leader="none"/>
              </w:tabs>
              <w:spacing w:line="210" w:lineRule="exact"/>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676" w:type="dxa"/>
            <w:tcBorders>
              <w:top w:val="single" w:sz="12" w:space="0" w:color="000000"/>
              <w:left w:val="single" w:sz="6" w:space="0" w:color="000000"/>
              <w:bottom w:val="single" w:sz="6" w:space="0" w:color="000000"/>
              <w:right w:val="single" w:sz="4" w:space="0" w:color="000000"/>
            </w:tcBorders>
          </w:tcPr>
          <w:p>
            <w:pPr>
              <w:pStyle w:val="TableParagraph"/>
              <w:spacing w:line="210" w:lineRule="exact"/>
              <w:ind w:left="88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76" w:type="dxa"/>
            <w:tcBorders>
              <w:top w:val="single" w:sz="12" w:space="0" w:color="000000"/>
              <w:left w:val="single" w:sz="4" w:space="0" w:color="000000"/>
              <w:bottom w:val="single" w:sz="6" w:space="0" w:color="000000"/>
              <w:right w:val="nil" w:sz="6" w:space="0" w:color="auto"/>
            </w:tcBorders>
          </w:tcPr>
          <w:p>
            <w:pPr>
              <w:pStyle w:val="TableParagraph"/>
              <w:spacing w:line="210" w:lineRule="exact"/>
              <w:ind w:left="88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8" w:hRule="exact"/>
        </w:trPr>
        <w:tc>
          <w:tcPr>
            <w:tcW w:w="534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right="5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按照权益法核算的在被投资单位其他综合收益中所享有的份额</w:t>
            </w:r>
          </w:p>
        </w:tc>
        <w:tc>
          <w:tcPr>
            <w:tcW w:w="26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5,060,000.00</w:t>
            </w:r>
          </w:p>
        </w:tc>
        <w:tc>
          <w:tcPr>
            <w:tcW w:w="2676" w:type="dxa"/>
            <w:tcBorders>
              <w:top w:val="single" w:sz="6" w:space="0" w:color="000000"/>
              <w:left w:val="single" w:sz="4" w:space="0" w:color="000000"/>
              <w:bottom w:val="single" w:sz="6" w:space="0" w:color="000000"/>
              <w:right w:val="nil" w:sz="6" w:space="0" w:color="auto"/>
            </w:tcBorders>
          </w:tcPr>
          <w:p>
            <w:pPr/>
          </w:p>
        </w:tc>
      </w:tr>
      <w:tr>
        <w:trPr>
          <w:trHeight w:val="715" w:hRule="exact"/>
        </w:trPr>
        <w:tc>
          <w:tcPr>
            <w:tcW w:w="5346"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pacing w:val="2"/>
                <w:sz w:val="18"/>
                <w:szCs w:val="18"/>
              </w:rPr>
              <w:t>减：按照权益法核算的在被投资单位其他综合收益中所享有的</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份额产生的所得税影响</w:t>
            </w:r>
          </w:p>
        </w:tc>
        <w:tc>
          <w:tcPr>
            <w:tcW w:w="267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5"/>
              <w:ind w:right="100"/>
              <w:jc w:val="right"/>
              <w:rPr>
                <w:rFonts w:ascii="宋体" w:hAnsi="宋体" w:cs="宋体" w:eastAsia="宋体" w:hint="default"/>
                <w:sz w:val="18"/>
                <w:szCs w:val="18"/>
              </w:rPr>
            </w:pPr>
            <w:r>
              <w:rPr>
                <w:rFonts w:ascii="宋体"/>
                <w:spacing w:val="-1"/>
                <w:sz w:val="18"/>
              </w:rPr>
              <w:t>725,266.67</w:t>
            </w:r>
          </w:p>
        </w:tc>
        <w:tc>
          <w:tcPr>
            <w:tcW w:w="2676" w:type="dxa"/>
            <w:tcBorders>
              <w:top w:val="single" w:sz="6" w:space="0" w:color="000000"/>
              <w:left w:val="single" w:sz="4" w:space="0" w:color="000000"/>
              <w:bottom w:val="single" w:sz="6" w:space="0" w:color="000000"/>
              <w:right w:val="nil" w:sz="6" w:space="0" w:color="auto"/>
            </w:tcBorders>
          </w:tcPr>
          <w:p>
            <w:pPr/>
          </w:p>
        </w:tc>
      </w:tr>
      <w:tr>
        <w:trPr>
          <w:trHeight w:val="437" w:hRule="exact"/>
        </w:trPr>
        <w:tc>
          <w:tcPr>
            <w:tcW w:w="5346" w:type="dxa"/>
            <w:tcBorders>
              <w:top w:val="single" w:sz="6" w:space="0" w:color="000000"/>
              <w:left w:val="nil" w:sz="6" w:space="0" w:color="auto"/>
              <w:bottom w:val="single" w:sz="12" w:space="0" w:color="000000"/>
              <w:right w:val="single" w:sz="6" w:space="0" w:color="000000"/>
            </w:tcBorders>
          </w:tcPr>
          <w:p>
            <w:pPr>
              <w:pStyle w:val="TableParagraph"/>
              <w:tabs>
                <w:tab w:pos="654" w:val="left" w:leader="none"/>
              </w:tabs>
              <w:spacing w:line="240" w:lineRule="auto" w:before="1"/>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676"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1"/>
              <w:ind w:right="100"/>
              <w:jc w:val="right"/>
              <w:rPr>
                <w:rFonts w:ascii="宋体" w:hAnsi="宋体" w:cs="宋体" w:eastAsia="宋体" w:hint="default"/>
                <w:sz w:val="18"/>
                <w:szCs w:val="18"/>
              </w:rPr>
            </w:pPr>
            <w:r>
              <w:rPr>
                <w:rFonts w:ascii="宋体"/>
                <w:spacing w:val="-1"/>
                <w:sz w:val="18"/>
              </w:rPr>
              <w:t>4,334,733.33</w:t>
            </w:r>
          </w:p>
        </w:tc>
        <w:tc>
          <w:tcPr>
            <w:tcW w:w="2676" w:type="dxa"/>
            <w:tcBorders>
              <w:top w:val="single" w:sz="6" w:space="0" w:color="000000"/>
              <w:left w:val="single" w:sz="4" w:space="0" w:color="000000"/>
              <w:bottom w:val="single" w:sz="12" w:space="0" w:color="000000"/>
              <w:right w:val="nil" w:sz="6" w:space="0" w:color="auto"/>
            </w:tcBorders>
          </w:tcPr>
          <w:p>
            <w:pPr/>
          </w:p>
        </w:tc>
      </w:tr>
    </w:tbl>
    <w:p>
      <w:pPr>
        <w:pStyle w:val="Heading4"/>
        <w:spacing w:line="355" w:lineRule="auto"/>
        <w:ind w:right="5634"/>
        <w:jc w:val="left"/>
        <w:rPr>
          <w:b w:val="0"/>
          <w:bCs w:val="0"/>
        </w:rPr>
      </w:pPr>
      <w:r>
        <w:rPr>
          <w:rFonts w:ascii="宋体" w:hAnsi="宋体" w:cs="宋体" w:eastAsia="宋体" w:hint="default"/>
        </w:rPr>
        <w:t>35</w:t>
      </w:r>
      <w:r>
        <w:rPr/>
        <w:t>、现金流量表项目注释</w:t>
      </w:r>
      <w:r>
        <w:rPr>
          <w:spacing w:val="-103"/>
        </w:rPr>
        <w:t> </w:t>
      </w:r>
      <w:r>
        <w:rPr>
          <w:spacing w:val="-1"/>
        </w:rPr>
        <w:t>支付的其他与经营活动有关的现金：</w:t>
      </w:r>
      <w:r>
        <w:rPr>
          <w:b w:val="0"/>
          <w:bCs w:val="0"/>
          <w:spacing w:val="-1"/>
        </w:rPr>
      </w:r>
    </w:p>
    <w:p>
      <w:pPr>
        <w:spacing w:line="240" w:lineRule="auto" w:before="1"/>
        <w:rPr>
          <w:rFonts w:ascii="宋体" w:hAnsi="宋体" w:cs="宋体" w:eastAsia="宋体" w:hint="default"/>
          <w:b/>
          <w:bCs/>
          <w:sz w:val="5"/>
          <w:szCs w:val="5"/>
        </w:rPr>
      </w:pPr>
    </w:p>
    <w:tbl>
      <w:tblPr>
        <w:tblW w:w="0" w:type="auto"/>
        <w:jc w:val="left"/>
        <w:tblInd w:w="103" w:type="dxa"/>
        <w:tblLayout w:type="fixed"/>
        <w:tblCellMar>
          <w:top w:w="0" w:type="dxa"/>
          <w:left w:w="0" w:type="dxa"/>
          <w:bottom w:w="0" w:type="dxa"/>
          <w:right w:w="0" w:type="dxa"/>
        </w:tblCellMar>
        <w:tblLook w:val="01E0"/>
      </w:tblPr>
      <w:tblGrid>
        <w:gridCol w:w="5355"/>
        <w:gridCol w:w="5343"/>
      </w:tblGrid>
      <w:tr>
        <w:trPr>
          <w:trHeight w:val="437" w:hRule="exact"/>
        </w:trPr>
        <w:tc>
          <w:tcPr>
            <w:tcW w:w="5355" w:type="dxa"/>
            <w:tcBorders>
              <w:top w:val="single" w:sz="12" w:space="0" w:color="000000"/>
              <w:left w:val="nil" w:sz="6" w:space="0" w:color="auto"/>
              <w:bottom w:val="single" w:sz="6" w:space="0" w:color="000000"/>
              <w:right w:val="single" w:sz="6" w:space="0" w:color="000000"/>
            </w:tcBorders>
          </w:tcPr>
          <w:p>
            <w:pPr>
              <w:pStyle w:val="TableParagraph"/>
              <w:tabs>
                <w:tab w:pos="633" w:val="left" w:leader="none"/>
              </w:tabs>
              <w:spacing w:line="240" w:lineRule="auto" w:before="1"/>
              <w:ind w:right="2254"/>
              <w:jc w:val="right"/>
              <w:rPr>
                <w:rFonts w:ascii="宋体" w:hAnsi="宋体" w:cs="宋体" w:eastAsia="宋体" w:hint="default"/>
                <w:sz w:val="18"/>
                <w:szCs w:val="18"/>
              </w:rPr>
            </w:pPr>
            <w:r>
              <w:rPr>
                <w:rFonts w:ascii="宋体" w:hAnsi="宋体" w:cs="宋体" w:eastAsia="宋体" w:hint="default"/>
                <w:sz w:val="18"/>
                <w:szCs w:val="18"/>
              </w:rPr>
              <w:t>项</w:t>
              <w:tab/>
              <w:t>目</w:t>
            </w:r>
          </w:p>
        </w:tc>
        <w:tc>
          <w:tcPr>
            <w:tcW w:w="5343" w:type="dxa"/>
            <w:tcBorders>
              <w:top w:val="single" w:sz="12" w:space="0" w:color="000000"/>
              <w:left w:val="single" w:sz="6" w:space="0" w:color="000000"/>
              <w:bottom w:val="single" w:sz="6" w:space="0" w:color="000000"/>
              <w:right w:val="nil" w:sz="6" w:space="0" w:color="auto"/>
            </w:tcBorders>
          </w:tcPr>
          <w:p>
            <w:pPr>
              <w:pStyle w:val="TableParagraph"/>
              <w:tabs>
                <w:tab w:pos="634" w:val="left" w:leader="none"/>
              </w:tabs>
              <w:spacing w:line="240" w:lineRule="auto" w:before="1"/>
              <w:ind w:right="7"/>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427" w:hRule="exact"/>
        </w:trPr>
        <w:tc>
          <w:tcPr>
            <w:tcW w:w="5355"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各项销售费用</w:t>
            </w:r>
          </w:p>
        </w:tc>
        <w:tc>
          <w:tcPr>
            <w:tcW w:w="5343" w:type="dxa"/>
            <w:tcBorders>
              <w:top w:val="single" w:sz="6" w:space="0" w:color="000000"/>
              <w:left w:val="single" w:sz="6" w:space="0" w:color="000000"/>
              <w:bottom w:val="single" w:sz="6" w:space="0" w:color="000000"/>
              <w:right w:val="nil" w:sz="6" w:space="0" w:color="auto"/>
            </w:tcBorders>
          </w:tcPr>
          <w:p>
            <w:pPr>
              <w:pStyle w:val="TableParagraph"/>
              <w:spacing w:line="234" w:lineRule="exact"/>
              <w:ind w:right="108"/>
              <w:jc w:val="right"/>
              <w:rPr>
                <w:rFonts w:ascii="宋体" w:hAnsi="宋体" w:cs="宋体" w:eastAsia="宋体" w:hint="default"/>
                <w:sz w:val="18"/>
                <w:szCs w:val="18"/>
              </w:rPr>
            </w:pPr>
            <w:r>
              <w:rPr>
                <w:rFonts w:ascii="宋体"/>
                <w:spacing w:val="-1"/>
                <w:sz w:val="18"/>
              </w:rPr>
              <w:t>79,035,405.70</w:t>
            </w:r>
          </w:p>
        </w:tc>
      </w:tr>
      <w:tr>
        <w:trPr>
          <w:trHeight w:val="430" w:hRule="exact"/>
        </w:trPr>
        <w:tc>
          <w:tcPr>
            <w:tcW w:w="53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sz w:val="18"/>
                <w:szCs w:val="18"/>
              </w:rPr>
              <w:t>各项管理费用</w:t>
            </w:r>
          </w:p>
        </w:tc>
        <w:tc>
          <w:tcPr>
            <w:tcW w:w="53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
              <w:ind w:right="108"/>
              <w:jc w:val="right"/>
              <w:rPr>
                <w:rFonts w:ascii="宋体" w:hAnsi="宋体" w:cs="宋体" w:eastAsia="宋体" w:hint="default"/>
                <w:sz w:val="18"/>
                <w:szCs w:val="18"/>
              </w:rPr>
            </w:pPr>
            <w:r>
              <w:rPr>
                <w:rFonts w:ascii="宋体"/>
                <w:spacing w:val="-1"/>
                <w:sz w:val="18"/>
              </w:rPr>
              <w:t>28,189,811.84</w:t>
            </w:r>
          </w:p>
        </w:tc>
      </w:tr>
      <w:tr>
        <w:trPr>
          <w:trHeight w:val="427" w:hRule="exact"/>
        </w:trPr>
        <w:tc>
          <w:tcPr>
            <w:tcW w:w="5355"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5343" w:type="dxa"/>
            <w:tcBorders>
              <w:top w:val="single" w:sz="6" w:space="0" w:color="000000"/>
              <w:left w:val="single" w:sz="6" w:space="0" w:color="000000"/>
              <w:bottom w:val="single" w:sz="6" w:space="0" w:color="000000"/>
              <w:right w:val="nil" w:sz="6" w:space="0" w:color="auto"/>
            </w:tcBorders>
          </w:tcPr>
          <w:p>
            <w:pPr>
              <w:pStyle w:val="TableParagraph"/>
              <w:spacing w:line="234" w:lineRule="exact"/>
              <w:ind w:right="108"/>
              <w:jc w:val="right"/>
              <w:rPr>
                <w:rFonts w:ascii="宋体" w:hAnsi="宋体" w:cs="宋体" w:eastAsia="宋体" w:hint="default"/>
                <w:sz w:val="18"/>
                <w:szCs w:val="18"/>
              </w:rPr>
            </w:pPr>
            <w:r>
              <w:rPr>
                <w:rFonts w:ascii="宋体"/>
                <w:spacing w:val="-1"/>
                <w:sz w:val="18"/>
              </w:rPr>
              <w:t>2,620,015.40</w:t>
            </w:r>
          </w:p>
        </w:tc>
      </w:tr>
      <w:tr>
        <w:trPr>
          <w:trHeight w:val="427" w:hRule="exact"/>
        </w:trPr>
        <w:tc>
          <w:tcPr>
            <w:tcW w:w="5355"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5343" w:type="dxa"/>
            <w:tcBorders>
              <w:top w:val="single" w:sz="6" w:space="0" w:color="000000"/>
              <w:left w:val="single" w:sz="6" w:space="0" w:color="000000"/>
              <w:bottom w:val="single" w:sz="6" w:space="0" w:color="000000"/>
              <w:right w:val="nil" w:sz="6" w:space="0" w:color="auto"/>
            </w:tcBorders>
          </w:tcPr>
          <w:p>
            <w:pPr>
              <w:pStyle w:val="TableParagraph"/>
              <w:spacing w:line="234" w:lineRule="exact"/>
              <w:ind w:right="107"/>
              <w:jc w:val="right"/>
              <w:rPr>
                <w:rFonts w:ascii="宋体" w:hAnsi="宋体" w:cs="宋体" w:eastAsia="宋体" w:hint="default"/>
                <w:sz w:val="18"/>
                <w:szCs w:val="18"/>
              </w:rPr>
            </w:pPr>
            <w:r>
              <w:rPr>
                <w:rFonts w:ascii="宋体"/>
                <w:spacing w:val="-1"/>
                <w:sz w:val="18"/>
              </w:rPr>
              <w:t>121,273.37</w:t>
            </w:r>
          </w:p>
        </w:tc>
      </w:tr>
      <w:tr>
        <w:trPr>
          <w:trHeight w:val="437" w:hRule="exact"/>
        </w:trPr>
        <w:tc>
          <w:tcPr>
            <w:tcW w:w="5355" w:type="dxa"/>
            <w:tcBorders>
              <w:top w:val="single" w:sz="6" w:space="0" w:color="000000"/>
              <w:left w:val="nil" w:sz="6" w:space="0" w:color="auto"/>
              <w:bottom w:val="single" w:sz="12" w:space="0" w:color="000000"/>
              <w:right w:val="single" w:sz="6" w:space="0" w:color="000000"/>
            </w:tcBorders>
          </w:tcPr>
          <w:p>
            <w:pPr>
              <w:pStyle w:val="TableParagraph"/>
              <w:tabs>
                <w:tab w:pos="633" w:val="left" w:leader="none"/>
              </w:tabs>
              <w:spacing w:line="240" w:lineRule="auto" w:before="1"/>
              <w:ind w:right="225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534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108"/>
              <w:jc w:val="right"/>
              <w:rPr>
                <w:rFonts w:ascii="宋体" w:hAnsi="宋体" w:cs="宋体" w:eastAsia="宋体" w:hint="default"/>
                <w:sz w:val="18"/>
                <w:szCs w:val="18"/>
              </w:rPr>
            </w:pPr>
            <w:r>
              <w:rPr>
                <w:rFonts w:ascii="宋体"/>
                <w:spacing w:val="-1"/>
                <w:sz w:val="18"/>
              </w:rPr>
              <w:t>109,966,506.31</w:t>
            </w:r>
          </w:p>
        </w:tc>
      </w:tr>
    </w:tbl>
    <w:p>
      <w:pPr>
        <w:pStyle w:val="Heading4"/>
        <w:spacing w:line="240" w:lineRule="auto"/>
        <w:ind w:right="606"/>
        <w:jc w:val="left"/>
        <w:rPr>
          <w:b w:val="0"/>
          <w:bCs w:val="0"/>
        </w:rPr>
      </w:pPr>
      <w:r>
        <w:rPr>
          <w:rFonts w:ascii="宋体" w:hAnsi="宋体" w:cs="宋体" w:eastAsia="宋体" w:hint="default"/>
        </w:rPr>
        <w:t>36</w:t>
      </w:r>
      <w:r>
        <w:rPr/>
        <w:t>、现金流量表补充资料</w:t>
      </w:r>
      <w:r>
        <w:rPr>
          <w:b w:val="0"/>
          <w:bCs w:val="0"/>
        </w:rPr>
      </w:r>
    </w:p>
    <w:p>
      <w:pPr>
        <w:pStyle w:val="Heading4"/>
        <w:spacing w:line="240" w:lineRule="auto" w:before="135"/>
        <w:ind w:right="606"/>
        <w:jc w:val="left"/>
        <w:rPr>
          <w:b w:val="0"/>
          <w:bCs w:val="0"/>
        </w:rPr>
      </w:pPr>
      <w:r>
        <w:rPr/>
        <w:t>（</w:t>
      </w:r>
      <w:r>
        <w:rPr>
          <w:rFonts w:ascii="宋体" w:hAnsi="宋体" w:cs="宋体" w:eastAsia="宋体" w:hint="default"/>
        </w:rPr>
        <w:t>1</w:t>
      </w:r>
      <w:r>
        <w:rPr/>
        <w:t>）现金流量表补充资料</w:t>
      </w:r>
      <w:r>
        <w:rPr>
          <w:b w:val="0"/>
          <w:bCs w:val="0"/>
        </w:rPr>
      </w:r>
    </w:p>
    <w:p>
      <w:pPr>
        <w:spacing w:line="240" w:lineRule="auto" w:before="11"/>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6597"/>
        <w:gridCol w:w="2050"/>
        <w:gridCol w:w="2052"/>
      </w:tblGrid>
      <w:tr>
        <w:trPr>
          <w:trHeight w:val="372" w:hRule="exact"/>
        </w:trPr>
        <w:tc>
          <w:tcPr>
            <w:tcW w:w="6597" w:type="dxa"/>
            <w:tcBorders>
              <w:top w:val="single" w:sz="12" w:space="0" w:color="000000"/>
              <w:left w:val="nil" w:sz="6" w:space="0" w:color="auto"/>
              <w:bottom w:val="single" w:sz="6" w:space="0" w:color="000000"/>
              <w:right w:val="single" w:sz="6" w:space="0" w:color="000000"/>
            </w:tcBorders>
          </w:tcPr>
          <w:p>
            <w:pPr>
              <w:pStyle w:val="TableParagraph"/>
              <w:tabs>
                <w:tab w:pos="1195" w:val="left" w:leader="none"/>
              </w:tabs>
              <w:spacing w:line="203" w:lineRule="exact"/>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50" w:type="dxa"/>
            <w:tcBorders>
              <w:top w:val="single" w:sz="12" w:space="0" w:color="000000"/>
              <w:left w:val="single" w:sz="6" w:space="0" w:color="000000"/>
              <w:bottom w:val="single" w:sz="6" w:space="0" w:color="000000"/>
              <w:right w:val="single" w:sz="2" w:space="0" w:color="000000"/>
            </w:tcBorders>
          </w:tcPr>
          <w:p>
            <w:pPr>
              <w:pStyle w:val="TableParagraph"/>
              <w:spacing w:line="203" w:lineRule="exact"/>
              <w:ind w:left="56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2" w:type="dxa"/>
            <w:tcBorders>
              <w:top w:val="single" w:sz="12" w:space="0" w:color="000000"/>
              <w:left w:val="single" w:sz="2" w:space="0" w:color="000000"/>
              <w:bottom w:val="single" w:sz="6" w:space="0" w:color="000000"/>
              <w:right w:val="nil" w:sz="6" w:space="0" w:color="auto"/>
            </w:tcBorders>
          </w:tcPr>
          <w:p>
            <w:pPr>
              <w:pStyle w:val="TableParagraph"/>
              <w:spacing w:line="203" w:lineRule="exact"/>
              <w:ind w:left="5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、将净利润调节为经营活动的现金流量</w:t>
            </w:r>
            <w:r>
              <w:rPr>
                <w:rFonts w:ascii="宋体" w:hAnsi="宋体" w:cs="宋体" w:eastAsia="宋体" w:hint="default"/>
                <w:sz w:val="18"/>
                <w:szCs w:val="18"/>
              </w:rPr>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173,165,552.10</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61,084,165.68</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1,294,565.06</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4,344,918.08</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19,981,169.33</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18,462,392.12</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4,036,431.34</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3,123,532.25</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长期待摊费用的摊销</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577,777.80</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183,156.81</w:t>
            </w:r>
          </w:p>
        </w:tc>
      </w:tr>
      <w:tr>
        <w:trPr>
          <w:trHeight w:val="367"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69,611.12</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-725,352.83</w:t>
            </w:r>
          </w:p>
        </w:tc>
      </w:tr>
    </w:tbl>
    <w:p>
      <w:pPr>
        <w:spacing w:after="0" w:line="203" w:lineRule="exact"/>
        <w:jc w:val="right"/>
        <w:rPr>
          <w:rFonts w:ascii="宋体" w:hAnsi="宋体" w:cs="宋体" w:eastAsia="宋体" w:hint="default"/>
          <w:sz w:val="18"/>
          <w:szCs w:val="18"/>
        </w:rPr>
        <w:sectPr>
          <w:pgSz w:w="11910" w:h="16840"/>
          <w:pgMar w:header="720" w:footer="956" w:top="1300" w:bottom="1140" w:left="480" w:right="0"/>
        </w:sectPr>
      </w:pPr>
    </w:p>
    <w:p>
      <w:pPr>
        <w:spacing w:line="240" w:lineRule="auto" w:before="13"/>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6597"/>
        <w:gridCol w:w="2050"/>
        <w:gridCol w:w="2052"/>
      </w:tblGrid>
      <w:tr>
        <w:trPr>
          <w:trHeight w:val="372" w:hRule="exact"/>
        </w:trPr>
        <w:tc>
          <w:tcPr>
            <w:tcW w:w="6597" w:type="dxa"/>
            <w:tcBorders>
              <w:top w:val="single" w:sz="12"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050" w:type="dxa"/>
            <w:tcBorders>
              <w:top w:val="single" w:sz="12" w:space="0" w:color="000000"/>
              <w:left w:val="single" w:sz="6" w:space="0" w:color="000000"/>
              <w:bottom w:val="single" w:sz="6" w:space="0" w:color="000000"/>
              <w:right w:val="single" w:sz="2" w:space="0" w:color="000000"/>
            </w:tcBorders>
          </w:tcPr>
          <w:p>
            <w:pPr/>
          </w:p>
        </w:tc>
        <w:tc>
          <w:tcPr>
            <w:tcW w:w="2052" w:type="dxa"/>
            <w:tcBorders>
              <w:top w:val="single" w:sz="12"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26,072,289.94</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9,270,484.93</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-1,960,000.00</w:t>
            </w: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-178,688.56</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-666,951.90</w:t>
            </w:r>
          </w:p>
        </w:tc>
      </w:tr>
      <w:tr>
        <w:trPr>
          <w:trHeight w:val="367"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-142,554,914.48</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-53,569.02</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right="3226"/>
              <w:jc w:val="righ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-20,648,746.23</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-69,013,329.28</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right="3226"/>
              <w:jc w:val="righ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-275,273,238.28</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-13,202,301.03</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-215,418,190.86</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12,807,145.81</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、不涉及现金收支的投资和筹资活动</w:t>
            </w:r>
            <w:r>
              <w:rPr>
                <w:rFonts w:ascii="宋体" w:hAnsi="宋体" w:cs="宋体" w:eastAsia="宋体" w:hint="default"/>
                <w:sz w:val="18"/>
                <w:szCs w:val="18"/>
              </w:rPr>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1,408,494,479.76</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96,399,456.42</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96,399,456.42</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88,959,819.60</w:t>
            </w:r>
          </w:p>
        </w:tc>
      </w:tr>
      <w:tr>
        <w:trPr>
          <w:trHeight w:val="367"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72" w:hRule="exact"/>
        </w:trPr>
        <w:tc>
          <w:tcPr>
            <w:tcW w:w="6597" w:type="dxa"/>
            <w:tcBorders>
              <w:top w:val="single" w:sz="6" w:space="0" w:color="000000"/>
              <w:left w:val="nil" w:sz="6" w:space="0" w:color="auto"/>
              <w:bottom w:val="single" w:sz="12" w:space="0" w:color="000000"/>
              <w:right w:val="single" w:sz="6"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50" w:type="dxa"/>
            <w:tcBorders>
              <w:top w:val="single" w:sz="6" w:space="0" w:color="000000"/>
              <w:left w:val="single" w:sz="6" w:space="0" w:color="000000"/>
              <w:bottom w:val="single" w:sz="12"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1,312,095,023.34</w:t>
            </w:r>
          </w:p>
        </w:tc>
        <w:tc>
          <w:tcPr>
            <w:tcW w:w="2052" w:type="dxa"/>
            <w:tcBorders>
              <w:top w:val="single" w:sz="6" w:space="0" w:color="000000"/>
              <w:left w:val="single" w:sz="2" w:space="0" w:color="000000"/>
              <w:bottom w:val="single" w:sz="12"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7,439,636.82</w:t>
            </w:r>
          </w:p>
        </w:tc>
      </w:tr>
    </w:tbl>
    <w:p>
      <w:pPr>
        <w:pStyle w:val="Heading4"/>
        <w:spacing w:line="240" w:lineRule="auto"/>
        <w:ind w:right="606"/>
        <w:jc w:val="left"/>
        <w:rPr>
          <w:b w:val="0"/>
          <w:bCs w:val="0"/>
        </w:rPr>
      </w:pPr>
      <w:r>
        <w:rPr/>
        <w:t>（</w:t>
      </w:r>
      <w:r>
        <w:rPr>
          <w:rFonts w:ascii="宋体" w:hAnsi="宋体" w:cs="宋体" w:eastAsia="宋体" w:hint="default"/>
        </w:rPr>
        <w:t>2</w:t>
      </w:r>
      <w:r>
        <w:rPr/>
        <w:t>）现金和现金等价物的构成</w:t>
      </w:r>
      <w:r>
        <w:rPr>
          <w:b w:val="0"/>
          <w:bCs w:val="0"/>
        </w:rPr>
      </w:r>
    </w:p>
    <w:p>
      <w:pPr>
        <w:spacing w:line="240" w:lineRule="auto" w:before="13"/>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6597"/>
        <w:gridCol w:w="2050"/>
        <w:gridCol w:w="2052"/>
      </w:tblGrid>
      <w:tr>
        <w:trPr>
          <w:trHeight w:val="372" w:hRule="exact"/>
        </w:trPr>
        <w:tc>
          <w:tcPr>
            <w:tcW w:w="6597" w:type="dxa"/>
            <w:tcBorders>
              <w:top w:val="single" w:sz="12" w:space="0" w:color="000000"/>
              <w:left w:val="nil" w:sz="6" w:space="0" w:color="auto"/>
              <w:bottom w:val="single" w:sz="6" w:space="0" w:color="000000"/>
              <w:right w:val="single" w:sz="6" w:space="0" w:color="000000"/>
            </w:tcBorders>
          </w:tcPr>
          <w:p>
            <w:pPr>
              <w:pStyle w:val="TableParagraph"/>
              <w:tabs>
                <w:tab w:pos="1195" w:val="left" w:leader="none"/>
              </w:tabs>
              <w:spacing w:line="203" w:lineRule="exact"/>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50" w:type="dxa"/>
            <w:tcBorders>
              <w:top w:val="single" w:sz="12" w:space="0" w:color="000000"/>
              <w:left w:val="single" w:sz="6" w:space="0" w:color="000000"/>
              <w:bottom w:val="single" w:sz="6" w:space="0" w:color="000000"/>
              <w:right w:val="single" w:sz="2" w:space="0" w:color="000000"/>
            </w:tcBorders>
          </w:tcPr>
          <w:p>
            <w:pPr>
              <w:pStyle w:val="TableParagraph"/>
              <w:spacing w:line="203" w:lineRule="exact"/>
              <w:ind w:left="56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52" w:type="dxa"/>
            <w:tcBorders>
              <w:top w:val="single" w:sz="12" w:space="0" w:color="000000"/>
              <w:left w:val="single" w:sz="2" w:space="0" w:color="000000"/>
              <w:bottom w:val="single" w:sz="6" w:space="0" w:color="000000"/>
              <w:right w:val="nil" w:sz="6" w:space="0" w:color="auto"/>
            </w:tcBorders>
          </w:tcPr>
          <w:p>
            <w:pPr>
              <w:pStyle w:val="TableParagraph"/>
              <w:spacing w:line="203" w:lineRule="exact"/>
              <w:ind w:left="5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）现金</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1,408,494,479.76</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96,399,456.42</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57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41,861.47</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562,253.91</w:t>
            </w: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11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50"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1,408,452,618.29</w:t>
            </w:r>
          </w:p>
        </w:tc>
        <w:tc>
          <w:tcPr>
            <w:tcW w:w="2052"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95,837,202.51</w:t>
            </w:r>
          </w:p>
        </w:tc>
      </w:tr>
      <w:tr>
        <w:trPr>
          <w:trHeight w:val="367"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116"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116"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116"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597"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116"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050" w:type="dxa"/>
            <w:tcBorders>
              <w:top w:val="single" w:sz="6" w:space="0" w:color="000000"/>
              <w:left w:val="single" w:sz="6" w:space="0" w:color="000000"/>
              <w:bottom w:val="single" w:sz="6" w:space="0" w:color="000000"/>
              <w:right w:val="single" w:sz="2" w:space="0" w:color="000000"/>
            </w:tcBorders>
          </w:tcPr>
          <w:p>
            <w:pPr/>
          </w:p>
        </w:tc>
        <w:tc>
          <w:tcPr>
            <w:tcW w:w="2052" w:type="dxa"/>
            <w:tcBorders>
              <w:top w:val="single" w:sz="6" w:space="0" w:color="000000"/>
              <w:left w:val="single" w:sz="2" w:space="0" w:color="000000"/>
              <w:bottom w:val="single" w:sz="6" w:space="0" w:color="000000"/>
              <w:right w:val="nil" w:sz="6" w:space="0" w:color="auto"/>
            </w:tcBorders>
          </w:tcPr>
          <w:p>
            <w:pPr/>
          </w:p>
        </w:tc>
      </w:tr>
      <w:tr>
        <w:trPr>
          <w:trHeight w:val="374" w:hRule="exact"/>
        </w:trPr>
        <w:tc>
          <w:tcPr>
            <w:tcW w:w="6597" w:type="dxa"/>
            <w:tcBorders>
              <w:top w:val="single" w:sz="6" w:space="0" w:color="000000"/>
              <w:left w:val="nil" w:sz="6" w:space="0" w:color="auto"/>
              <w:bottom w:val="single" w:sz="12"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）现金等价物</w:t>
            </w:r>
          </w:p>
        </w:tc>
        <w:tc>
          <w:tcPr>
            <w:tcW w:w="2050" w:type="dxa"/>
            <w:tcBorders>
              <w:top w:val="single" w:sz="6" w:space="0" w:color="000000"/>
              <w:left w:val="single" w:sz="6" w:space="0" w:color="000000"/>
              <w:bottom w:val="single" w:sz="12" w:space="0" w:color="000000"/>
              <w:right w:val="single" w:sz="2" w:space="0" w:color="000000"/>
            </w:tcBorders>
          </w:tcPr>
          <w:p>
            <w:pPr/>
          </w:p>
        </w:tc>
        <w:tc>
          <w:tcPr>
            <w:tcW w:w="2052" w:type="dxa"/>
            <w:tcBorders>
              <w:top w:val="single" w:sz="6" w:space="0" w:color="000000"/>
              <w:left w:val="single" w:sz="2" w:space="0" w:color="000000"/>
              <w:bottom w:val="single" w:sz="12" w:space="0" w:color="000000"/>
              <w:right w:val="nil" w:sz="6" w:space="0" w:color="auto"/>
            </w:tcBorders>
          </w:tcPr>
          <w:p>
            <w:pPr/>
          </w:p>
        </w:tc>
      </w:tr>
    </w:tbl>
    <w:p>
      <w:pPr>
        <w:pStyle w:val="Heading2"/>
        <w:spacing w:line="274" w:lineRule="exact"/>
        <w:ind w:left="712" w:right="606"/>
        <w:jc w:val="left"/>
        <w:rPr>
          <w:b w:val="0"/>
          <w:bCs w:val="0"/>
        </w:rPr>
      </w:pPr>
      <w:r>
        <w:rPr/>
        <w:t>六、关联方及关联交易</w:t>
      </w:r>
      <w:r>
        <w:rPr>
          <w:b w:val="0"/>
          <w:bCs w:val="0"/>
        </w:rPr>
      </w:r>
    </w:p>
    <w:p>
      <w:pPr>
        <w:pStyle w:val="Heading4"/>
        <w:spacing w:line="240" w:lineRule="auto" w:before="157"/>
        <w:ind w:left="662" w:right="606"/>
        <w:jc w:val="left"/>
        <w:rPr>
          <w:b w:val="0"/>
          <w:bCs w:val="0"/>
        </w:rPr>
      </w:pPr>
      <w:r>
        <w:rPr>
          <w:rFonts w:ascii="宋体" w:hAnsi="宋体" w:cs="宋体" w:eastAsia="宋体" w:hint="default"/>
        </w:rPr>
        <w:t>1</w:t>
      </w:r>
      <w:r>
        <w:rPr/>
        <w:t>、本公司的母公司情况</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2160"/>
        <w:gridCol w:w="862"/>
        <w:gridCol w:w="1033"/>
        <w:gridCol w:w="780"/>
        <w:gridCol w:w="689"/>
        <w:gridCol w:w="1028"/>
        <w:gridCol w:w="862"/>
        <w:gridCol w:w="1035"/>
        <w:gridCol w:w="1034"/>
        <w:gridCol w:w="1217"/>
      </w:tblGrid>
      <w:tr>
        <w:trPr>
          <w:trHeight w:val="1082" w:hRule="exact"/>
        </w:trPr>
        <w:tc>
          <w:tcPr>
            <w:tcW w:w="2160" w:type="dxa"/>
            <w:tcBorders>
              <w:top w:val="single" w:sz="12" w:space="0" w:color="000000"/>
              <w:left w:val="nil" w:sz="6" w:space="0" w:color="auto"/>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pacing w:val="15"/>
                <w:sz w:val="18"/>
                <w:szCs w:val="18"/>
              </w:rPr>
              <w:t>母公司名称</w:t>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145"/>
              <w:ind w:left="324" w:right="125" w:hanging="202"/>
              <w:jc w:val="left"/>
              <w:rPr>
                <w:rFonts w:ascii="宋体" w:hAnsi="宋体" w:cs="宋体" w:eastAsia="宋体" w:hint="default"/>
                <w:sz w:val="18"/>
                <w:szCs w:val="18"/>
              </w:rPr>
            </w:pPr>
            <w:r>
              <w:rPr>
                <w:rFonts w:ascii="宋体" w:hAnsi="宋体" w:cs="宋体" w:eastAsia="宋体" w:hint="default"/>
                <w:spacing w:val="12"/>
                <w:sz w:val="18"/>
                <w:szCs w:val="18"/>
              </w:rPr>
              <w:t>企业类</w:t>
            </w:r>
            <w:r>
              <w:rPr>
                <w:rFonts w:ascii="宋体" w:hAnsi="宋体" w:cs="宋体" w:eastAsia="宋体" w:hint="default"/>
                <w:spacing w:val="-71"/>
                <w:sz w:val="18"/>
                <w:szCs w:val="18"/>
              </w:rPr>
              <w:t> </w:t>
            </w:r>
            <w:r>
              <w:rPr>
                <w:rFonts w:ascii="宋体" w:hAnsi="宋体" w:cs="宋体" w:eastAsia="宋体" w:hint="default"/>
                <w:sz w:val="18"/>
                <w:szCs w:val="18"/>
              </w:rPr>
              <w:t>型</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pacing w:val="14"/>
                <w:sz w:val="18"/>
                <w:szCs w:val="18"/>
              </w:rPr>
              <w:t>注册地址</w:t>
            </w:r>
            <w:r>
              <w:rPr>
                <w:rFonts w:ascii="宋体" w:hAnsi="宋体" w:cs="宋体" w:eastAsia="宋体" w:hint="default"/>
                <w:spacing w:val="-71"/>
                <w:sz w:val="18"/>
                <w:szCs w:val="18"/>
              </w:rPr>
              <w:t> </w:t>
            </w:r>
            <w:r>
              <w:rPr>
                <w:rFonts w:ascii="宋体" w:hAnsi="宋体" w:cs="宋体" w:eastAsia="宋体" w:hint="default"/>
                <w:sz w:val="18"/>
                <w:szCs w:val="18"/>
              </w:rPr>
            </w:r>
          </w:p>
        </w:tc>
        <w:tc>
          <w:tcPr>
            <w:tcW w:w="780" w:type="dxa"/>
            <w:tcBorders>
              <w:top w:val="single" w:sz="12" w:space="0" w:color="000000"/>
              <w:left w:val="single" w:sz="6" w:space="0" w:color="000000"/>
              <w:bottom w:val="single" w:sz="12" w:space="0" w:color="000000"/>
              <w:right w:val="single" w:sz="6" w:space="0" w:color="000000"/>
            </w:tcBorders>
          </w:tcPr>
          <w:p>
            <w:pPr>
              <w:pStyle w:val="TableParagraph"/>
              <w:spacing w:line="205" w:lineRule="exact"/>
              <w:ind w:left="179" w:right="0"/>
              <w:jc w:val="left"/>
              <w:rPr>
                <w:rFonts w:ascii="宋体" w:hAnsi="宋体" w:cs="宋体" w:eastAsia="宋体" w:hint="default"/>
                <w:sz w:val="18"/>
                <w:szCs w:val="18"/>
              </w:rPr>
            </w:pPr>
            <w:r>
              <w:rPr>
                <w:rFonts w:ascii="宋体" w:hAnsi="宋体" w:cs="宋体" w:eastAsia="宋体" w:hint="default"/>
                <w:spacing w:val="9"/>
                <w:sz w:val="18"/>
                <w:szCs w:val="18"/>
              </w:rPr>
              <w:t>法定</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357" w:lineRule="auto" w:before="115"/>
              <w:ind w:left="280" w:right="185" w:hanging="101"/>
              <w:jc w:val="left"/>
              <w:rPr>
                <w:rFonts w:ascii="宋体" w:hAnsi="宋体" w:cs="宋体" w:eastAsia="宋体" w:hint="default"/>
                <w:sz w:val="18"/>
                <w:szCs w:val="18"/>
              </w:rPr>
            </w:pPr>
            <w:r>
              <w:rPr>
                <w:rFonts w:ascii="宋体" w:hAnsi="宋体" w:cs="宋体" w:eastAsia="宋体" w:hint="default"/>
                <w:spacing w:val="9"/>
                <w:sz w:val="18"/>
                <w:szCs w:val="18"/>
              </w:rPr>
              <w:t>代表</w:t>
            </w:r>
            <w:r>
              <w:rPr>
                <w:rFonts w:ascii="宋体" w:hAnsi="宋体" w:cs="宋体" w:eastAsia="宋体" w:hint="default"/>
                <w:spacing w:val="-71"/>
                <w:sz w:val="18"/>
                <w:szCs w:val="18"/>
              </w:rPr>
              <w:t> </w:t>
            </w:r>
            <w:r>
              <w:rPr>
                <w:rFonts w:ascii="宋体" w:hAnsi="宋体" w:cs="宋体" w:eastAsia="宋体" w:hint="default"/>
                <w:sz w:val="18"/>
                <w:szCs w:val="18"/>
              </w:rPr>
              <w:t>人</w:t>
            </w:r>
          </w:p>
        </w:tc>
        <w:tc>
          <w:tcPr>
            <w:tcW w:w="689"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145"/>
              <w:ind w:left="136" w:right="137"/>
              <w:jc w:val="left"/>
              <w:rPr>
                <w:rFonts w:ascii="宋体" w:hAnsi="宋体" w:cs="宋体" w:eastAsia="宋体" w:hint="default"/>
                <w:sz w:val="18"/>
                <w:szCs w:val="18"/>
              </w:rPr>
            </w:pPr>
            <w:r>
              <w:rPr>
                <w:rFonts w:ascii="宋体" w:hAnsi="宋体" w:cs="宋体" w:eastAsia="宋体" w:hint="default"/>
                <w:spacing w:val="9"/>
                <w:sz w:val="18"/>
                <w:szCs w:val="18"/>
              </w:rPr>
              <w:t>业务</w:t>
            </w:r>
            <w:r>
              <w:rPr>
                <w:rFonts w:ascii="宋体" w:hAnsi="宋体" w:cs="宋体" w:eastAsia="宋体" w:hint="default"/>
                <w:spacing w:val="-71"/>
                <w:sz w:val="18"/>
                <w:szCs w:val="18"/>
              </w:rPr>
              <w:t> </w:t>
            </w:r>
            <w:r>
              <w:rPr>
                <w:rFonts w:ascii="宋体" w:hAnsi="宋体" w:cs="宋体" w:eastAsia="宋体" w:hint="default"/>
                <w:spacing w:val="9"/>
                <w:sz w:val="18"/>
                <w:szCs w:val="18"/>
              </w:rPr>
              <w:t>性质</w:t>
            </w:r>
            <w:r>
              <w:rPr>
                <w:rFonts w:ascii="宋体" w:hAnsi="宋体" w:cs="宋体" w:eastAsia="宋体" w:hint="default"/>
                <w:spacing w:val="-71"/>
                <w:sz w:val="18"/>
                <w:szCs w:val="18"/>
              </w:rPr>
              <w:t> </w:t>
            </w:r>
            <w:r>
              <w:rPr>
                <w:rFonts w:ascii="宋体" w:hAnsi="宋体" w:cs="宋体" w:eastAsia="宋体" w:hint="default"/>
                <w:sz w:val="18"/>
                <w:szCs w:val="18"/>
              </w:rPr>
            </w:r>
          </w:p>
        </w:tc>
        <w:tc>
          <w:tcPr>
            <w:tcW w:w="1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14"/>
                <w:sz w:val="18"/>
                <w:szCs w:val="18"/>
              </w:rPr>
              <w:t>注册资本</w:t>
            </w:r>
            <w:r>
              <w:rPr>
                <w:rFonts w:ascii="宋体" w:hAnsi="宋体" w:cs="宋体" w:eastAsia="宋体" w:hint="default"/>
                <w:spacing w:val="-71"/>
                <w:sz w:val="18"/>
                <w:szCs w:val="18"/>
              </w:rPr>
              <w:t> </w:t>
            </w:r>
            <w:r>
              <w:rPr>
                <w:rFonts w:ascii="宋体" w:hAnsi="宋体" w:cs="宋体" w:eastAsia="宋体" w:hint="default"/>
                <w:sz w:val="18"/>
                <w:szCs w:val="18"/>
              </w:rPr>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145"/>
              <w:ind w:left="323" w:right="125" w:hanging="202"/>
              <w:jc w:val="left"/>
              <w:rPr>
                <w:rFonts w:ascii="宋体" w:hAnsi="宋体" w:cs="宋体" w:eastAsia="宋体" w:hint="default"/>
                <w:sz w:val="18"/>
                <w:szCs w:val="18"/>
              </w:rPr>
            </w:pPr>
            <w:r>
              <w:rPr>
                <w:rFonts w:ascii="宋体" w:hAnsi="宋体" w:cs="宋体" w:eastAsia="宋体" w:hint="default"/>
                <w:spacing w:val="12"/>
                <w:sz w:val="18"/>
                <w:szCs w:val="18"/>
              </w:rPr>
              <w:t>持股比</w:t>
            </w:r>
            <w:r>
              <w:rPr>
                <w:rFonts w:ascii="宋体" w:hAnsi="宋体" w:cs="宋体" w:eastAsia="宋体" w:hint="default"/>
                <w:spacing w:val="-71"/>
                <w:sz w:val="18"/>
                <w:szCs w:val="18"/>
              </w:rPr>
              <w:t> </w:t>
            </w:r>
            <w:r>
              <w:rPr>
                <w:rFonts w:ascii="宋体" w:hAnsi="宋体" w:cs="宋体" w:eastAsia="宋体" w:hint="default"/>
                <w:sz w:val="18"/>
                <w:szCs w:val="18"/>
              </w:rPr>
              <w:t>例</w:t>
            </w:r>
          </w:p>
        </w:tc>
        <w:tc>
          <w:tcPr>
            <w:tcW w:w="1035"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145"/>
              <w:ind w:left="410" w:right="111" w:hanging="300"/>
              <w:jc w:val="left"/>
              <w:rPr>
                <w:rFonts w:ascii="宋体" w:hAnsi="宋体" w:cs="宋体" w:eastAsia="宋体" w:hint="default"/>
                <w:sz w:val="18"/>
                <w:szCs w:val="18"/>
              </w:rPr>
            </w:pPr>
            <w:r>
              <w:rPr>
                <w:rFonts w:ascii="宋体" w:hAnsi="宋体" w:cs="宋体" w:eastAsia="宋体" w:hint="default"/>
                <w:spacing w:val="14"/>
                <w:sz w:val="18"/>
                <w:szCs w:val="18"/>
              </w:rPr>
              <w:t>表决权比</w:t>
            </w:r>
            <w:r>
              <w:rPr>
                <w:rFonts w:ascii="宋体" w:hAnsi="宋体" w:cs="宋体" w:eastAsia="宋体" w:hint="default"/>
                <w:spacing w:val="-71"/>
                <w:sz w:val="18"/>
                <w:szCs w:val="18"/>
              </w:rPr>
              <w:t> </w:t>
            </w:r>
            <w:r>
              <w:rPr>
                <w:rFonts w:ascii="宋体" w:hAnsi="宋体" w:cs="宋体" w:eastAsia="宋体" w:hint="default"/>
                <w:sz w:val="18"/>
                <w:szCs w:val="18"/>
              </w:rPr>
              <w:t>例</w:t>
            </w:r>
          </w:p>
        </w:tc>
        <w:tc>
          <w:tcPr>
            <w:tcW w:w="1034"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145"/>
              <w:ind w:left="110" w:right="110"/>
              <w:jc w:val="left"/>
              <w:rPr>
                <w:rFonts w:ascii="宋体" w:hAnsi="宋体" w:cs="宋体" w:eastAsia="宋体" w:hint="default"/>
                <w:sz w:val="18"/>
                <w:szCs w:val="18"/>
              </w:rPr>
            </w:pPr>
            <w:r>
              <w:rPr>
                <w:rFonts w:ascii="宋体" w:hAnsi="宋体" w:cs="宋体" w:eastAsia="宋体" w:hint="default"/>
                <w:spacing w:val="14"/>
                <w:sz w:val="18"/>
                <w:szCs w:val="18"/>
              </w:rPr>
              <w:t>本公司最</w:t>
            </w:r>
            <w:r>
              <w:rPr>
                <w:rFonts w:ascii="宋体" w:hAnsi="宋体" w:cs="宋体" w:eastAsia="宋体" w:hint="default"/>
                <w:spacing w:val="-71"/>
                <w:sz w:val="18"/>
                <w:szCs w:val="18"/>
              </w:rPr>
              <w:t> </w:t>
            </w:r>
            <w:r>
              <w:rPr>
                <w:rFonts w:ascii="宋体" w:hAnsi="宋体" w:cs="宋体" w:eastAsia="宋体" w:hint="default"/>
                <w:spacing w:val="14"/>
                <w:sz w:val="18"/>
                <w:szCs w:val="18"/>
              </w:rPr>
              <w:t>终控制方</w:t>
            </w:r>
            <w:r>
              <w:rPr>
                <w:rFonts w:ascii="宋体" w:hAnsi="宋体" w:cs="宋体" w:eastAsia="宋体" w:hint="default"/>
                <w:spacing w:val="-71"/>
                <w:sz w:val="18"/>
                <w:szCs w:val="18"/>
              </w:rPr>
              <w:t> </w:t>
            </w:r>
            <w:r>
              <w:rPr>
                <w:rFonts w:ascii="宋体" w:hAnsi="宋体" w:cs="宋体" w:eastAsia="宋体" w:hint="default"/>
                <w:sz w:val="18"/>
                <w:szCs w:val="18"/>
              </w:rPr>
            </w:r>
          </w:p>
        </w:tc>
        <w:tc>
          <w:tcPr>
            <w:tcW w:w="1217" w:type="dxa"/>
            <w:tcBorders>
              <w:top w:val="single" w:sz="12" w:space="0" w:color="000000"/>
              <w:left w:val="single" w:sz="6" w:space="0" w:color="000000"/>
              <w:bottom w:val="single" w:sz="12" w:space="0" w:color="000000"/>
              <w:right w:val="nil" w:sz="6" w:space="0" w:color="auto"/>
            </w:tcBorders>
          </w:tcPr>
          <w:p>
            <w:pPr>
              <w:pStyle w:val="TableParagraph"/>
              <w:spacing w:line="357" w:lineRule="auto" w:before="145"/>
              <w:ind w:left="501" w:right="128" w:hanging="401"/>
              <w:jc w:val="left"/>
              <w:rPr>
                <w:rFonts w:ascii="宋体" w:hAnsi="宋体" w:cs="宋体" w:eastAsia="宋体" w:hint="default"/>
                <w:sz w:val="18"/>
                <w:szCs w:val="18"/>
              </w:rPr>
            </w:pPr>
            <w:r>
              <w:rPr>
                <w:rFonts w:ascii="宋体" w:hAnsi="宋体" w:cs="宋体" w:eastAsia="宋体" w:hint="default"/>
                <w:spacing w:val="15"/>
                <w:sz w:val="18"/>
                <w:szCs w:val="18"/>
              </w:rPr>
              <w:t>组织机构代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码</w:t>
            </w:r>
          </w:p>
        </w:tc>
      </w:tr>
    </w:tbl>
    <w:p>
      <w:pPr>
        <w:spacing w:after="0" w:line="357" w:lineRule="auto"/>
        <w:jc w:val="left"/>
        <w:rPr>
          <w:rFonts w:ascii="宋体" w:hAnsi="宋体" w:cs="宋体" w:eastAsia="宋体" w:hint="default"/>
          <w:sz w:val="18"/>
          <w:szCs w:val="18"/>
        </w:rPr>
        <w:sectPr>
          <w:pgSz w:w="11910" w:h="16840"/>
          <w:pgMar w:header="720" w:footer="956" w:top="1300" w:bottom="1140" w:left="480" w:right="0"/>
        </w:sectPr>
      </w:pPr>
    </w:p>
    <w:p>
      <w:pPr>
        <w:spacing w:line="240" w:lineRule="auto" w:before="7"/>
        <w:rPr>
          <w:rFonts w:ascii="宋体" w:hAnsi="宋体" w:cs="宋体" w:eastAsia="宋体"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2160"/>
        <w:gridCol w:w="862"/>
        <w:gridCol w:w="1033"/>
        <w:gridCol w:w="780"/>
        <w:gridCol w:w="689"/>
        <w:gridCol w:w="1028"/>
        <w:gridCol w:w="862"/>
        <w:gridCol w:w="1035"/>
        <w:gridCol w:w="1034"/>
        <w:gridCol w:w="1217"/>
      </w:tblGrid>
      <w:tr>
        <w:trPr>
          <w:trHeight w:val="1088" w:hRule="exact"/>
        </w:trPr>
        <w:tc>
          <w:tcPr>
            <w:tcW w:w="2160" w:type="dxa"/>
            <w:tcBorders>
              <w:top w:val="single" w:sz="12" w:space="0" w:color="000000"/>
              <w:left w:val="nil" w:sz="6" w:space="0" w:color="auto"/>
              <w:bottom w:val="single" w:sz="12" w:space="0" w:color="000000"/>
              <w:right w:val="single" w:sz="6" w:space="0" w:color="000000"/>
            </w:tcBorders>
          </w:tcPr>
          <w:p>
            <w:pPr>
              <w:pStyle w:val="TableParagraph"/>
              <w:spacing w:line="357" w:lineRule="auto" w:before="149"/>
              <w:ind w:left="14" w:right="102"/>
              <w:jc w:val="left"/>
              <w:rPr>
                <w:rFonts w:ascii="宋体" w:hAnsi="宋体" w:cs="宋体" w:eastAsia="宋体" w:hint="default"/>
                <w:sz w:val="18"/>
                <w:szCs w:val="18"/>
              </w:rPr>
            </w:pPr>
            <w:r>
              <w:rPr>
                <w:rFonts w:ascii="宋体" w:hAnsi="宋体" w:cs="宋体" w:eastAsia="宋体" w:hint="default"/>
                <w:spacing w:val="4"/>
                <w:sz w:val="18"/>
                <w:szCs w:val="18"/>
              </w:rPr>
              <w:t>敦化市康平投资有限责任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149"/>
              <w:ind w:left="324" w:right="125" w:hanging="202"/>
              <w:jc w:val="left"/>
              <w:rPr>
                <w:rFonts w:ascii="宋体" w:hAnsi="宋体" w:cs="宋体" w:eastAsia="宋体" w:hint="default"/>
                <w:sz w:val="18"/>
                <w:szCs w:val="18"/>
              </w:rPr>
            </w:pPr>
            <w:r>
              <w:rPr>
                <w:rFonts w:ascii="宋体" w:hAnsi="宋体" w:cs="宋体" w:eastAsia="宋体" w:hint="default"/>
                <w:spacing w:val="12"/>
                <w:sz w:val="18"/>
                <w:szCs w:val="18"/>
              </w:rPr>
              <w:t>有限公</w:t>
            </w:r>
            <w:r>
              <w:rPr>
                <w:rFonts w:ascii="宋体" w:hAnsi="宋体" w:cs="宋体" w:eastAsia="宋体" w:hint="default"/>
                <w:spacing w:val="-71"/>
                <w:sz w:val="18"/>
                <w:szCs w:val="18"/>
              </w:rPr>
              <w:t> </w:t>
            </w:r>
            <w:r>
              <w:rPr>
                <w:rFonts w:ascii="宋体" w:hAnsi="宋体" w:cs="宋体" w:eastAsia="宋体" w:hint="default"/>
                <w:sz w:val="18"/>
                <w:szCs w:val="18"/>
              </w:rPr>
              <w:t>司</w:t>
            </w:r>
          </w:p>
        </w:tc>
        <w:tc>
          <w:tcPr>
            <w:tcW w:w="1033" w:type="dxa"/>
            <w:tcBorders>
              <w:top w:val="single" w:sz="12" w:space="0" w:color="000000"/>
              <w:left w:val="single" w:sz="6" w:space="0" w:color="000000"/>
              <w:bottom w:val="single" w:sz="12" w:space="0" w:color="000000"/>
              <w:right w:val="single" w:sz="6" w:space="0" w:color="000000"/>
            </w:tcBorders>
          </w:tcPr>
          <w:p>
            <w:pPr>
              <w:pStyle w:val="TableParagraph"/>
              <w:spacing w:line="210" w:lineRule="exact"/>
              <w:ind w:left="148" w:right="0"/>
              <w:jc w:val="left"/>
              <w:rPr>
                <w:rFonts w:ascii="宋体" w:hAnsi="宋体" w:cs="宋体" w:eastAsia="宋体" w:hint="default"/>
                <w:sz w:val="18"/>
                <w:szCs w:val="18"/>
              </w:rPr>
            </w:pPr>
            <w:r>
              <w:rPr>
                <w:rFonts w:ascii="宋体" w:hAnsi="宋体" w:cs="宋体" w:eastAsia="宋体" w:hint="default"/>
                <w:sz w:val="18"/>
                <w:szCs w:val="18"/>
              </w:rPr>
              <w:t>敦化市胜</w:t>
            </w:r>
          </w:p>
          <w:p>
            <w:pPr>
              <w:pStyle w:val="TableParagraph"/>
              <w:spacing w:line="357" w:lineRule="auto" w:before="115"/>
              <w:ind w:left="262" w:right="147" w:hanging="114"/>
              <w:jc w:val="left"/>
              <w:rPr>
                <w:rFonts w:ascii="宋体" w:hAnsi="宋体" w:cs="宋体" w:eastAsia="宋体" w:hint="default"/>
                <w:sz w:val="18"/>
                <w:szCs w:val="18"/>
              </w:rPr>
            </w:pPr>
            <w:r>
              <w:rPr>
                <w:rFonts w:ascii="宋体" w:hAnsi="宋体" w:cs="宋体" w:eastAsia="宋体" w:hint="default"/>
                <w:sz w:val="18"/>
                <w:szCs w:val="18"/>
              </w:rPr>
              <w:t>利南大街 </w:t>
            </w:r>
            <w:r>
              <w:rPr>
                <w:rFonts w:ascii="宋体" w:hAnsi="宋体" w:cs="宋体" w:eastAsia="宋体" w:hint="default"/>
                <w:sz w:val="18"/>
                <w:szCs w:val="18"/>
              </w:rPr>
              <w:t>104</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780" w:type="dxa"/>
            <w:tcBorders>
              <w:top w:val="single" w:sz="12" w:space="0" w:color="000000"/>
              <w:left w:val="single" w:sz="6" w:space="0" w:color="000000"/>
              <w:bottom w:val="single" w:sz="12" w:space="0" w:color="000000"/>
              <w:right w:val="single" w:sz="6" w:space="0" w:color="000000"/>
            </w:tcBorders>
          </w:tcPr>
          <w:p>
            <w:pPr>
              <w:pStyle w:val="TableParagraph"/>
              <w:spacing w:line="357" w:lineRule="auto" w:before="149"/>
              <w:ind w:left="280" w:right="185" w:hanging="101"/>
              <w:jc w:val="left"/>
              <w:rPr>
                <w:rFonts w:ascii="宋体" w:hAnsi="宋体" w:cs="宋体" w:eastAsia="宋体" w:hint="default"/>
                <w:sz w:val="18"/>
                <w:szCs w:val="18"/>
              </w:rPr>
            </w:pPr>
            <w:r>
              <w:rPr>
                <w:rFonts w:ascii="宋体" w:hAnsi="宋体" w:cs="宋体" w:eastAsia="宋体" w:hint="default"/>
                <w:spacing w:val="9"/>
                <w:sz w:val="18"/>
                <w:szCs w:val="18"/>
              </w:rPr>
              <w:t>关立</w:t>
            </w:r>
            <w:r>
              <w:rPr>
                <w:rFonts w:ascii="宋体" w:hAnsi="宋体" w:cs="宋体" w:eastAsia="宋体" w:hint="default"/>
                <w:spacing w:val="-71"/>
                <w:sz w:val="18"/>
                <w:szCs w:val="18"/>
              </w:rPr>
              <w:t> </w:t>
            </w:r>
            <w:r>
              <w:rPr>
                <w:rFonts w:ascii="宋体" w:hAnsi="宋体" w:cs="宋体" w:eastAsia="宋体" w:hint="default"/>
                <w:sz w:val="18"/>
                <w:szCs w:val="18"/>
              </w:rPr>
              <w:t>影</w:t>
            </w:r>
          </w:p>
        </w:tc>
        <w:tc>
          <w:tcPr>
            <w:tcW w:w="68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pacing w:val="9"/>
                <w:sz w:val="18"/>
                <w:szCs w:val="18"/>
              </w:rPr>
              <w:t>投资</w:t>
            </w:r>
            <w:r>
              <w:rPr>
                <w:rFonts w:ascii="宋体" w:hAnsi="宋体" w:cs="宋体" w:eastAsia="宋体" w:hint="default"/>
                <w:spacing w:val="-71"/>
                <w:sz w:val="18"/>
                <w:szCs w:val="18"/>
              </w:rPr>
              <w:t> </w:t>
            </w:r>
            <w:r>
              <w:rPr>
                <w:rFonts w:ascii="宋体" w:hAnsi="宋体" w:cs="宋体" w:eastAsia="宋体" w:hint="default"/>
                <w:sz w:val="18"/>
                <w:szCs w:val="18"/>
              </w:rPr>
            </w:r>
          </w:p>
        </w:tc>
        <w:tc>
          <w:tcPr>
            <w:tcW w:w="10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49"/>
              <w:ind w:left="100" w:right="0"/>
              <w:jc w:val="left"/>
              <w:rPr>
                <w:rFonts w:ascii="宋体" w:hAnsi="宋体" w:cs="宋体" w:eastAsia="宋体" w:hint="default"/>
                <w:sz w:val="18"/>
                <w:szCs w:val="18"/>
              </w:rPr>
            </w:pPr>
            <w:r>
              <w:rPr>
                <w:rFonts w:ascii="宋体" w:hAnsi="宋体" w:cs="宋体" w:eastAsia="宋体" w:hint="default"/>
                <w:sz w:val="18"/>
                <w:szCs w:val="18"/>
              </w:rPr>
              <w:t>4,735 </w:t>
            </w:r>
            <w:r>
              <w:rPr>
                <w:rFonts w:ascii="宋体" w:hAnsi="宋体" w:cs="宋体" w:eastAsia="宋体" w:hint="default"/>
                <w:spacing w:val="3"/>
                <w:sz w:val="18"/>
                <w:szCs w:val="18"/>
              </w:rPr>
              <w:t> </w:t>
            </w:r>
            <w:r>
              <w:rPr>
                <w:rFonts w:ascii="宋体" w:hAnsi="宋体" w:cs="宋体" w:eastAsia="宋体" w:hint="default"/>
                <w:sz w:val="18"/>
                <w:szCs w:val="18"/>
              </w:rPr>
              <w:t>万</w:t>
            </w:r>
          </w:p>
          <w:p>
            <w:pPr>
              <w:pStyle w:val="TableParagraph"/>
              <w:spacing w:line="240" w:lineRule="auto" w:before="115"/>
              <w:ind w:left="10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22" w:right="0"/>
              <w:jc w:val="left"/>
              <w:rPr>
                <w:rFonts w:ascii="宋体" w:hAnsi="宋体" w:cs="宋体" w:eastAsia="宋体" w:hint="default"/>
                <w:sz w:val="18"/>
                <w:szCs w:val="18"/>
              </w:rPr>
            </w:pPr>
            <w:r>
              <w:rPr>
                <w:rFonts w:ascii="宋体"/>
                <w:spacing w:val="8"/>
                <w:sz w:val="18"/>
              </w:rPr>
              <w:t>49.02%</w:t>
            </w:r>
          </w:p>
        </w:tc>
        <w:tc>
          <w:tcPr>
            <w:tcW w:w="10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08" w:right="0"/>
              <w:jc w:val="left"/>
              <w:rPr>
                <w:rFonts w:ascii="宋体" w:hAnsi="宋体" w:cs="宋体" w:eastAsia="宋体" w:hint="default"/>
                <w:sz w:val="18"/>
                <w:szCs w:val="18"/>
              </w:rPr>
            </w:pPr>
            <w:r>
              <w:rPr>
                <w:rFonts w:ascii="宋体"/>
                <w:spacing w:val="8"/>
                <w:sz w:val="18"/>
              </w:rPr>
              <w:t>49.02%</w:t>
            </w:r>
          </w:p>
        </w:tc>
        <w:tc>
          <w:tcPr>
            <w:tcW w:w="10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pacing w:val="12"/>
                <w:sz w:val="18"/>
                <w:szCs w:val="18"/>
              </w:rPr>
              <w:t>郭春生</w:t>
            </w:r>
            <w:r>
              <w:rPr>
                <w:rFonts w:ascii="宋体" w:hAnsi="宋体" w:cs="宋体" w:eastAsia="宋体" w:hint="default"/>
                <w:spacing w:val="-71"/>
                <w:sz w:val="18"/>
                <w:szCs w:val="18"/>
              </w:rPr>
              <w:t> </w:t>
            </w:r>
            <w:r>
              <w:rPr>
                <w:rFonts w:ascii="宋体" w:hAnsi="宋体" w:cs="宋体" w:eastAsia="宋体" w:hint="default"/>
                <w:sz w:val="18"/>
                <w:szCs w:val="18"/>
              </w:rPr>
            </w:r>
          </w:p>
        </w:tc>
        <w:tc>
          <w:tcPr>
            <w:tcW w:w="12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spacing w:val="8"/>
                <w:sz w:val="18"/>
              </w:rPr>
              <w:t>24483598-7</w:t>
            </w:r>
          </w:p>
        </w:tc>
      </w:tr>
    </w:tbl>
    <w:p>
      <w:pPr>
        <w:pStyle w:val="Heading4"/>
        <w:spacing w:line="240" w:lineRule="auto"/>
        <w:ind w:left="662" w:right="606"/>
        <w:jc w:val="left"/>
        <w:rPr>
          <w:b w:val="0"/>
          <w:bCs w:val="0"/>
        </w:rPr>
      </w:pPr>
      <w:r>
        <w:rPr>
          <w:rFonts w:ascii="宋体" w:hAnsi="宋体" w:cs="宋体" w:eastAsia="宋体" w:hint="default"/>
        </w:rPr>
        <w:t>2</w:t>
      </w:r>
      <w:r>
        <w:rPr/>
        <w:t>、</w:t>
      </w:r>
      <w:r>
        <w:rPr>
          <w:spacing w:val="-60"/>
        </w:rPr>
        <w:t> </w:t>
      </w:r>
      <w:r>
        <w:rPr/>
        <w:t>本公司的子公司情况</w:t>
      </w:r>
      <w:r>
        <w:rPr>
          <w:b w:val="0"/>
          <w:bCs w:val="0"/>
        </w:rPr>
      </w:r>
    </w:p>
    <w:p>
      <w:pPr>
        <w:spacing w:line="240" w:lineRule="auto" w:before="13"/>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2223"/>
        <w:gridCol w:w="689"/>
        <w:gridCol w:w="865"/>
        <w:gridCol w:w="1037"/>
        <w:gridCol w:w="1558"/>
        <w:gridCol w:w="1037"/>
        <w:gridCol w:w="917"/>
        <w:gridCol w:w="1037"/>
        <w:gridCol w:w="1337"/>
      </w:tblGrid>
      <w:tr>
        <w:trPr>
          <w:trHeight w:val="1423" w:hRule="exact"/>
        </w:trPr>
        <w:tc>
          <w:tcPr>
            <w:tcW w:w="2223" w:type="dxa"/>
            <w:tcBorders>
              <w:top w:val="single" w:sz="12"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spacing w:val="15"/>
                <w:sz w:val="18"/>
                <w:szCs w:val="18"/>
              </w:rPr>
              <w:t>子公司名称</w:t>
            </w:r>
          </w:p>
        </w:tc>
        <w:tc>
          <w:tcPr>
            <w:tcW w:w="68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57" w:lineRule="auto"/>
              <w:ind w:left="136" w:right="137"/>
              <w:jc w:val="left"/>
              <w:rPr>
                <w:rFonts w:ascii="宋体" w:hAnsi="宋体" w:cs="宋体" w:eastAsia="宋体" w:hint="default"/>
                <w:sz w:val="18"/>
                <w:szCs w:val="18"/>
              </w:rPr>
            </w:pPr>
            <w:r>
              <w:rPr>
                <w:rFonts w:ascii="宋体" w:hAnsi="宋体" w:cs="宋体" w:eastAsia="宋体" w:hint="default"/>
                <w:spacing w:val="9"/>
                <w:sz w:val="18"/>
                <w:szCs w:val="18"/>
              </w:rPr>
              <w:t>企业</w:t>
            </w:r>
            <w:r>
              <w:rPr>
                <w:rFonts w:ascii="宋体" w:hAnsi="宋体" w:cs="宋体" w:eastAsia="宋体" w:hint="default"/>
                <w:spacing w:val="-71"/>
                <w:sz w:val="18"/>
                <w:szCs w:val="18"/>
              </w:rPr>
              <w:t> </w:t>
            </w:r>
            <w:r>
              <w:rPr>
                <w:rFonts w:ascii="宋体" w:hAnsi="宋体" w:cs="宋体" w:eastAsia="宋体" w:hint="default"/>
                <w:spacing w:val="9"/>
                <w:sz w:val="18"/>
                <w:szCs w:val="18"/>
              </w:rPr>
              <w:t>类型</w:t>
            </w:r>
            <w:r>
              <w:rPr>
                <w:rFonts w:ascii="宋体" w:hAnsi="宋体" w:cs="宋体" w:eastAsia="宋体" w:hint="default"/>
                <w:spacing w:val="-71"/>
                <w:sz w:val="18"/>
                <w:szCs w:val="18"/>
              </w:rPr>
              <w:t> </w:t>
            </w:r>
            <w:r>
              <w:rPr>
                <w:rFonts w:ascii="宋体" w:hAnsi="宋体" w:cs="宋体" w:eastAsia="宋体" w:hint="default"/>
                <w:sz w:val="18"/>
                <w:szCs w:val="18"/>
              </w:rPr>
            </w:r>
          </w:p>
        </w:tc>
        <w:tc>
          <w:tcPr>
            <w:tcW w:w="8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57" w:lineRule="auto"/>
              <w:ind w:left="324" w:right="125" w:hanging="200"/>
              <w:jc w:val="left"/>
              <w:rPr>
                <w:rFonts w:ascii="宋体" w:hAnsi="宋体" w:cs="宋体" w:eastAsia="宋体" w:hint="default"/>
                <w:sz w:val="18"/>
                <w:szCs w:val="18"/>
              </w:rPr>
            </w:pPr>
            <w:r>
              <w:rPr>
                <w:rFonts w:ascii="宋体" w:hAnsi="宋体" w:cs="宋体" w:eastAsia="宋体" w:hint="default"/>
                <w:spacing w:val="12"/>
                <w:sz w:val="18"/>
                <w:szCs w:val="18"/>
              </w:rPr>
              <w:t>注册地</w:t>
            </w:r>
            <w:r>
              <w:rPr>
                <w:rFonts w:ascii="宋体" w:hAnsi="宋体" w:cs="宋体" w:eastAsia="宋体" w:hint="default"/>
                <w:spacing w:val="-71"/>
                <w:sz w:val="18"/>
                <w:szCs w:val="18"/>
              </w:rPr>
              <w:t> </w:t>
            </w:r>
            <w:r>
              <w:rPr>
                <w:rFonts w:ascii="宋体" w:hAnsi="宋体" w:cs="宋体" w:eastAsia="宋体" w:hint="default"/>
                <w:sz w:val="18"/>
                <w:szCs w:val="18"/>
              </w:rPr>
              <w:t>址</w:t>
            </w:r>
          </w:p>
        </w:tc>
        <w:tc>
          <w:tcPr>
            <w:tcW w:w="10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57" w:lineRule="auto"/>
              <w:ind w:left="410" w:right="113" w:hanging="300"/>
              <w:jc w:val="left"/>
              <w:rPr>
                <w:rFonts w:ascii="宋体" w:hAnsi="宋体" w:cs="宋体" w:eastAsia="宋体" w:hint="default"/>
                <w:sz w:val="18"/>
                <w:szCs w:val="18"/>
              </w:rPr>
            </w:pPr>
            <w:r>
              <w:rPr>
                <w:rFonts w:ascii="宋体" w:hAnsi="宋体" w:cs="宋体" w:eastAsia="宋体" w:hint="default"/>
                <w:spacing w:val="14"/>
                <w:sz w:val="18"/>
                <w:szCs w:val="18"/>
              </w:rPr>
              <w:t>法定代表</w:t>
            </w:r>
            <w:r>
              <w:rPr>
                <w:rFonts w:ascii="宋体" w:hAnsi="宋体" w:cs="宋体" w:eastAsia="宋体" w:hint="default"/>
                <w:spacing w:val="-71"/>
                <w:sz w:val="18"/>
                <w:szCs w:val="18"/>
              </w:rPr>
              <w:t> </w:t>
            </w:r>
            <w:r>
              <w:rPr>
                <w:rFonts w:ascii="宋体" w:hAnsi="宋体" w:cs="宋体" w:eastAsia="宋体" w:hint="default"/>
                <w:sz w:val="18"/>
                <w:szCs w:val="18"/>
              </w:rPr>
              <w:t>人</w:t>
            </w: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371" w:right="0"/>
              <w:jc w:val="left"/>
              <w:rPr>
                <w:rFonts w:ascii="宋体" w:hAnsi="宋体" w:cs="宋体" w:eastAsia="宋体" w:hint="default"/>
                <w:sz w:val="18"/>
                <w:szCs w:val="18"/>
              </w:rPr>
            </w:pPr>
            <w:r>
              <w:rPr>
                <w:rFonts w:ascii="宋体" w:hAnsi="宋体" w:cs="宋体" w:eastAsia="宋体" w:hint="default"/>
                <w:spacing w:val="14"/>
                <w:sz w:val="18"/>
                <w:szCs w:val="18"/>
              </w:rPr>
              <w:t>业务性质</w:t>
            </w:r>
            <w:r>
              <w:rPr>
                <w:rFonts w:ascii="宋体" w:hAnsi="宋体" w:cs="宋体" w:eastAsia="宋体" w:hint="default"/>
                <w:spacing w:val="-71"/>
                <w:sz w:val="18"/>
                <w:szCs w:val="18"/>
              </w:rPr>
              <w:t> </w:t>
            </w:r>
            <w:r>
              <w:rPr>
                <w:rFonts w:ascii="宋体" w:hAnsi="宋体" w:cs="宋体" w:eastAsia="宋体" w:hint="default"/>
                <w:sz w:val="18"/>
                <w:szCs w:val="18"/>
              </w:rPr>
            </w:r>
          </w:p>
        </w:tc>
        <w:tc>
          <w:tcPr>
            <w:tcW w:w="10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pacing w:val="14"/>
                <w:sz w:val="18"/>
                <w:szCs w:val="18"/>
              </w:rPr>
              <w:t>注册资本</w:t>
            </w:r>
            <w:r>
              <w:rPr>
                <w:rFonts w:ascii="宋体" w:hAnsi="宋体" w:cs="宋体" w:eastAsia="宋体" w:hint="default"/>
                <w:spacing w:val="-71"/>
                <w:sz w:val="18"/>
                <w:szCs w:val="18"/>
              </w:rPr>
              <w:t> </w:t>
            </w:r>
            <w:r>
              <w:rPr>
                <w:rFonts w:ascii="宋体" w:hAnsi="宋体" w:cs="宋体" w:eastAsia="宋体" w:hint="default"/>
                <w:sz w:val="18"/>
                <w:szCs w:val="18"/>
              </w:rPr>
            </w:r>
          </w:p>
        </w:tc>
        <w:tc>
          <w:tcPr>
            <w:tcW w:w="917"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left="151" w:right="0"/>
              <w:jc w:val="both"/>
              <w:rPr>
                <w:rFonts w:ascii="宋体" w:hAnsi="宋体" w:cs="宋体" w:eastAsia="宋体" w:hint="default"/>
                <w:sz w:val="18"/>
                <w:szCs w:val="18"/>
              </w:rPr>
            </w:pPr>
            <w:r>
              <w:rPr>
                <w:rFonts w:ascii="宋体" w:hAnsi="宋体" w:cs="宋体" w:eastAsia="宋体" w:hint="default"/>
                <w:spacing w:val="12"/>
                <w:sz w:val="18"/>
                <w:szCs w:val="18"/>
              </w:rPr>
              <w:t>母公司</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357" w:lineRule="auto" w:before="115"/>
              <w:ind w:left="151" w:right="152"/>
              <w:jc w:val="both"/>
              <w:rPr>
                <w:rFonts w:ascii="宋体" w:hAnsi="宋体" w:cs="宋体" w:eastAsia="宋体" w:hint="default"/>
                <w:sz w:val="18"/>
                <w:szCs w:val="18"/>
              </w:rPr>
            </w:pPr>
            <w:r>
              <w:rPr>
                <w:rFonts w:ascii="宋体" w:hAnsi="宋体" w:cs="宋体" w:eastAsia="宋体" w:hint="default"/>
                <w:spacing w:val="12"/>
                <w:sz w:val="18"/>
                <w:szCs w:val="18"/>
              </w:rPr>
              <w:t>对本公</w:t>
            </w:r>
            <w:r>
              <w:rPr>
                <w:rFonts w:ascii="宋体" w:hAnsi="宋体" w:cs="宋体" w:eastAsia="宋体" w:hint="default"/>
                <w:spacing w:val="-71"/>
                <w:sz w:val="18"/>
                <w:szCs w:val="18"/>
              </w:rPr>
              <w:t> </w:t>
            </w:r>
            <w:r>
              <w:rPr>
                <w:rFonts w:ascii="宋体" w:hAnsi="宋体" w:cs="宋体" w:eastAsia="宋体" w:hint="default"/>
                <w:spacing w:val="12"/>
                <w:sz w:val="18"/>
                <w:szCs w:val="18"/>
              </w:rPr>
              <w:t>司的持</w:t>
            </w:r>
            <w:r>
              <w:rPr>
                <w:rFonts w:ascii="宋体" w:hAnsi="宋体" w:cs="宋体" w:eastAsia="宋体" w:hint="default"/>
                <w:spacing w:val="-71"/>
                <w:sz w:val="18"/>
                <w:szCs w:val="18"/>
              </w:rPr>
              <w:t> </w:t>
            </w:r>
            <w:r>
              <w:rPr>
                <w:rFonts w:ascii="宋体" w:hAnsi="宋体" w:cs="宋体" w:eastAsia="宋体" w:hint="default"/>
                <w:spacing w:val="12"/>
                <w:sz w:val="18"/>
                <w:szCs w:val="18"/>
              </w:rPr>
              <w:t>股比例</w:t>
            </w:r>
            <w:r>
              <w:rPr>
                <w:rFonts w:ascii="宋体" w:hAnsi="宋体" w:cs="宋体" w:eastAsia="宋体" w:hint="default"/>
                <w:spacing w:val="-71"/>
                <w:sz w:val="18"/>
                <w:szCs w:val="18"/>
              </w:rPr>
              <w:t> </w:t>
            </w:r>
            <w:r>
              <w:rPr>
                <w:rFonts w:ascii="宋体" w:hAnsi="宋体" w:cs="宋体" w:eastAsia="宋体" w:hint="default"/>
                <w:sz w:val="18"/>
                <w:szCs w:val="18"/>
              </w:rPr>
            </w:r>
          </w:p>
        </w:tc>
        <w:tc>
          <w:tcPr>
            <w:tcW w:w="1037" w:type="dxa"/>
            <w:tcBorders>
              <w:top w:val="single" w:sz="12"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pacing w:val="14"/>
                <w:sz w:val="18"/>
                <w:szCs w:val="18"/>
              </w:rPr>
              <w:t>母公司对</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357" w:lineRule="auto" w:before="115"/>
              <w:ind w:left="110" w:right="113"/>
              <w:jc w:val="center"/>
              <w:rPr>
                <w:rFonts w:ascii="宋体" w:hAnsi="宋体" w:cs="宋体" w:eastAsia="宋体" w:hint="default"/>
                <w:sz w:val="18"/>
                <w:szCs w:val="18"/>
              </w:rPr>
            </w:pPr>
            <w:r>
              <w:rPr>
                <w:rFonts w:ascii="宋体" w:hAnsi="宋体" w:cs="宋体" w:eastAsia="宋体" w:hint="default"/>
                <w:spacing w:val="14"/>
                <w:sz w:val="18"/>
                <w:szCs w:val="18"/>
              </w:rPr>
              <w:t>本公司的</w:t>
            </w:r>
            <w:r>
              <w:rPr>
                <w:rFonts w:ascii="宋体" w:hAnsi="宋体" w:cs="宋体" w:eastAsia="宋体" w:hint="default"/>
                <w:spacing w:val="-71"/>
                <w:sz w:val="18"/>
                <w:szCs w:val="18"/>
              </w:rPr>
              <w:t> </w:t>
            </w:r>
            <w:r>
              <w:rPr>
                <w:rFonts w:ascii="宋体" w:hAnsi="宋体" w:cs="宋体" w:eastAsia="宋体" w:hint="default"/>
                <w:spacing w:val="14"/>
                <w:sz w:val="18"/>
                <w:szCs w:val="18"/>
              </w:rPr>
              <w:t>表决权比</w:t>
            </w:r>
            <w:r>
              <w:rPr>
                <w:rFonts w:ascii="宋体" w:hAnsi="宋体" w:cs="宋体" w:eastAsia="宋体" w:hint="default"/>
                <w:spacing w:val="-71"/>
                <w:sz w:val="18"/>
                <w:szCs w:val="18"/>
              </w:rPr>
              <w:t> </w:t>
            </w:r>
            <w:r>
              <w:rPr>
                <w:rFonts w:ascii="宋体" w:hAnsi="宋体" w:cs="宋体" w:eastAsia="宋体" w:hint="default"/>
                <w:sz w:val="18"/>
                <w:szCs w:val="18"/>
              </w:rPr>
              <w:t>例</w:t>
            </w:r>
          </w:p>
        </w:tc>
        <w:tc>
          <w:tcPr>
            <w:tcW w:w="1337"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57" w:lineRule="auto"/>
              <w:ind w:left="561" w:right="188" w:hanging="401"/>
              <w:jc w:val="left"/>
              <w:rPr>
                <w:rFonts w:ascii="宋体" w:hAnsi="宋体" w:cs="宋体" w:eastAsia="宋体" w:hint="default"/>
                <w:sz w:val="18"/>
                <w:szCs w:val="18"/>
              </w:rPr>
            </w:pPr>
            <w:r>
              <w:rPr>
                <w:rFonts w:ascii="宋体" w:hAnsi="宋体" w:cs="宋体" w:eastAsia="宋体" w:hint="default"/>
                <w:spacing w:val="15"/>
                <w:sz w:val="18"/>
                <w:szCs w:val="18"/>
              </w:rPr>
              <w:t>组织机构代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码</w:t>
            </w:r>
          </w:p>
        </w:tc>
      </w:tr>
      <w:tr>
        <w:trPr>
          <w:trHeight w:val="1417" w:hRule="exact"/>
        </w:trPr>
        <w:tc>
          <w:tcPr>
            <w:tcW w:w="22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57" w:lineRule="auto"/>
              <w:ind w:left="14" w:right="87"/>
              <w:jc w:val="left"/>
              <w:rPr>
                <w:rFonts w:ascii="宋体" w:hAnsi="宋体" w:cs="宋体" w:eastAsia="宋体" w:hint="default"/>
                <w:sz w:val="18"/>
                <w:szCs w:val="18"/>
              </w:rPr>
            </w:pPr>
            <w:r>
              <w:rPr>
                <w:rFonts w:ascii="宋体" w:hAnsi="宋体" w:cs="宋体" w:eastAsia="宋体" w:hint="default"/>
                <w:spacing w:val="12"/>
                <w:sz w:val="18"/>
                <w:szCs w:val="18"/>
              </w:rPr>
              <w:t>吉林紫鑫敦化医药药材有 </w:t>
            </w:r>
            <w:r>
              <w:rPr>
                <w:rFonts w:ascii="宋体" w:hAnsi="宋体" w:cs="宋体" w:eastAsia="宋体" w:hint="default"/>
                <w:sz w:val="18"/>
                <w:szCs w:val="18"/>
              </w:rPr>
              <w:t>限公司</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57" w:lineRule="auto"/>
              <w:ind w:left="136" w:right="137"/>
              <w:jc w:val="left"/>
              <w:rPr>
                <w:rFonts w:ascii="宋体" w:hAnsi="宋体" w:cs="宋体" w:eastAsia="宋体" w:hint="default"/>
                <w:sz w:val="18"/>
                <w:szCs w:val="18"/>
              </w:rPr>
            </w:pPr>
            <w:r>
              <w:rPr>
                <w:rFonts w:ascii="宋体" w:hAnsi="宋体" w:cs="宋体" w:eastAsia="宋体" w:hint="default"/>
                <w:spacing w:val="9"/>
                <w:sz w:val="18"/>
                <w:szCs w:val="18"/>
              </w:rPr>
              <w:t>有限</w:t>
            </w:r>
            <w:r>
              <w:rPr>
                <w:rFonts w:ascii="宋体" w:hAnsi="宋体" w:cs="宋体" w:eastAsia="宋体" w:hint="default"/>
                <w:spacing w:val="-71"/>
                <w:sz w:val="18"/>
                <w:szCs w:val="18"/>
              </w:rPr>
              <w:t> </w:t>
            </w:r>
            <w:r>
              <w:rPr>
                <w:rFonts w:ascii="宋体" w:hAnsi="宋体" w:cs="宋体" w:eastAsia="宋体" w:hint="default"/>
                <w:spacing w:val="9"/>
                <w:sz w:val="18"/>
                <w:szCs w:val="18"/>
              </w:rPr>
              <w:t>公司</w:t>
            </w:r>
            <w:r>
              <w:rPr>
                <w:rFonts w:ascii="宋体" w:hAnsi="宋体" w:cs="宋体" w:eastAsia="宋体" w:hint="default"/>
                <w:spacing w:val="-71"/>
                <w:sz w:val="18"/>
                <w:szCs w:val="18"/>
              </w:rPr>
              <w:t> </w:t>
            </w:r>
            <w:r>
              <w:rPr>
                <w:rFonts w:ascii="宋体" w:hAnsi="宋体" w:cs="宋体" w:eastAsia="宋体" w:hint="default"/>
                <w:sz w:val="18"/>
                <w:szCs w:val="18"/>
              </w:rPr>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pacing w:val="36"/>
                <w:sz w:val="18"/>
                <w:szCs w:val="18"/>
              </w:rPr>
              <w:t>吉林省</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357" w:lineRule="auto" w:before="115"/>
              <w:ind w:left="100" w:right="41"/>
              <w:jc w:val="both"/>
              <w:rPr>
                <w:rFonts w:ascii="宋体" w:hAnsi="宋体" w:cs="宋体" w:eastAsia="宋体" w:hint="default"/>
                <w:sz w:val="18"/>
                <w:szCs w:val="18"/>
              </w:rPr>
            </w:pPr>
            <w:r>
              <w:rPr>
                <w:rFonts w:ascii="宋体" w:hAnsi="宋体" w:cs="宋体" w:eastAsia="宋体" w:hint="default"/>
                <w:spacing w:val="36"/>
                <w:sz w:val="18"/>
                <w:szCs w:val="18"/>
              </w:rPr>
              <w:t>敦化经</w:t>
            </w:r>
            <w:r>
              <w:rPr>
                <w:rFonts w:ascii="宋体" w:hAnsi="宋体" w:cs="宋体" w:eastAsia="宋体" w:hint="default"/>
                <w:spacing w:val="-88"/>
                <w:sz w:val="18"/>
                <w:szCs w:val="18"/>
              </w:rPr>
              <w:t> </w:t>
            </w:r>
            <w:r>
              <w:rPr>
                <w:rFonts w:ascii="宋体" w:hAnsi="宋体" w:cs="宋体" w:eastAsia="宋体" w:hint="default"/>
                <w:spacing w:val="36"/>
                <w:sz w:val="18"/>
                <w:szCs w:val="18"/>
              </w:rPr>
              <w:t>济开发</w:t>
            </w:r>
            <w:r>
              <w:rPr>
                <w:rFonts w:ascii="宋体" w:hAnsi="宋体" w:cs="宋体" w:eastAsia="宋体" w:hint="default"/>
                <w:spacing w:val="-88"/>
                <w:sz w:val="18"/>
                <w:szCs w:val="18"/>
              </w:rPr>
              <w:t> </w:t>
            </w:r>
            <w:r>
              <w:rPr>
                <w:rFonts w:ascii="宋体" w:hAnsi="宋体" w:cs="宋体" w:eastAsia="宋体" w:hint="default"/>
                <w:sz w:val="18"/>
                <w:szCs w:val="18"/>
              </w:rPr>
              <w:t>区</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pacing w:val="12"/>
                <w:sz w:val="18"/>
                <w:szCs w:val="18"/>
              </w:rPr>
              <w:t>聂春梅</w:t>
            </w:r>
            <w:r>
              <w:rPr>
                <w:rFonts w:ascii="宋体" w:hAnsi="宋体" w:cs="宋体" w:eastAsia="宋体" w:hint="default"/>
                <w:spacing w:val="-71"/>
                <w:sz w:val="18"/>
                <w:szCs w:val="18"/>
              </w:rPr>
              <w:t> </w:t>
            </w:r>
            <w:r>
              <w:rPr>
                <w:rFonts w:ascii="宋体" w:hAnsi="宋体" w:cs="宋体" w:eastAsia="宋体" w:hint="default"/>
                <w:sz w:val="18"/>
                <w:szCs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批发、零售中成</w:t>
            </w:r>
            <w:r>
              <w:rPr>
                <w:rFonts w:ascii="宋体" w:hAnsi="宋体" w:cs="宋体" w:eastAsia="宋体" w:hint="default"/>
                <w:sz w:val="18"/>
                <w:szCs w:val="18"/>
              </w:rPr>
            </w:r>
          </w:p>
          <w:p>
            <w:pPr>
              <w:pStyle w:val="TableParagraph"/>
              <w:spacing w:line="357" w:lineRule="auto" w:before="115"/>
              <w:ind w:left="100" w:right="130"/>
              <w:jc w:val="both"/>
              <w:rPr>
                <w:rFonts w:ascii="宋体" w:hAnsi="宋体" w:cs="宋体" w:eastAsia="宋体" w:hint="default"/>
                <w:sz w:val="18"/>
                <w:szCs w:val="18"/>
              </w:rPr>
            </w:pPr>
            <w:r>
              <w:rPr>
                <w:rFonts w:ascii="宋体" w:hAnsi="宋体" w:cs="宋体" w:eastAsia="宋体" w:hint="default"/>
                <w:spacing w:val="16"/>
                <w:sz w:val="18"/>
                <w:szCs w:val="18"/>
              </w:rPr>
              <w:t>药、化学药</w:t>
            </w:r>
            <w:r>
              <w:rPr>
                <w:rFonts w:ascii="宋体" w:hAnsi="宋体" w:cs="宋体" w:eastAsia="宋体" w:hint="default"/>
                <w:spacing w:val="47"/>
                <w:sz w:val="18"/>
                <w:szCs w:val="18"/>
              </w:rPr>
              <w:t> </w:t>
            </w:r>
            <w:r>
              <w:rPr>
                <w:rFonts w:ascii="宋体" w:hAnsi="宋体" w:cs="宋体" w:eastAsia="宋体" w:hint="default"/>
                <w:sz w:val="18"/>
                <w:szCs w:val="18"/>
              </w:rPr>
              <w:t>制</w:t>
            </w:r>
            <w:r>
              <w:rPr>
                <w:rFonts w:ascii="宋体" w:hAnsi="宋体" w:cs="宋体" w:eastAsia="宋体" w:hint="default"/>
                <w:sz w:val="18"/>
                <w:szCs w:val="18"/>
              </w:rPr>
              <w:t> </w:t>
            </w:r>
            <w:r>
              <w:rPr>
                <w:rFonts w:ascii="宋体" w:hAnsi="宋体" w:cs="宋体" w:eastAsia="宋体" w:hint="default"/>
                <w:spacing w:val="7"/>
                <w:sz w:val="18"/>
                <w:szCs w:val="18"/>
              </w:rPr>
              <w:t>剂、保健食品、</w:t>
            </w:r>
            <w:r>
              <w:rPr>
                <w:rFonts w:ascii="宋体" w:hAnsi="宋体" w:cs="宋体" w:eastAsia="宋体" w:hint="default"/>
                <w:spacing w:val="7"/>
                <w:sz w:val="18"/>
                <w:szCs w:val="18"/>
              </w:rPr>
              <w:t> </w:t>
            </w:r>
            <w:r>
              <w:rPr>
                <w:rFonts w:ascii="宋体" w:hAnsi="宋体" w:cs="宋体" w:eastAsia="宋体" w:hint="default"/>
                <w:sz w:val="18"/>
                <w:szCs w:val="18"/>
              </w:rPr>
              <w:t>药材原料等。</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6"/>
                <w:sz w:val="18"/>
                <w:szCs w:val="18"/>
              </w:rPr>
              <w:t>100</w:t>
            </w:r>
            <w:r>
              <w:rPr>
                <w:rFonts w:ascii="宋体" w:hAnsi="宋体" w:cs="宋体" w:eastAsia="宋体" w:hint="default"/>
                <w:spacing w:val="-26"/>
                <w:sz w:val="18"/>
                <w:szCs w:val="18"/>
              </w:rPr>
              <w:t> </w:t>
            </w:r>
            <w:r>
              <w:rPr>
                <w:rFonts w:ascii="宋体" w:hAnsi="宋体" w:cs="宋体" w:eastAsia="宋体" w:hint="default"/>
                <w:spacing w:val="9"/>
                <w:sz w:val="18"/>
                <w:szCs w:val="18"/>
              </w:rPr>
              <w:t>万元</w:t>
            </w:r>
            <w:r>
              <w:rPr>
                <w:rFonts w:ascii="宋体" w:hAnsi="宋体" w:cs="宋体" w:eastAsia="宋体" w:hint="default"/>
                <w:spacing w:val="-71"/>
                <w:sz w:val="18"/>
                <w:szCs w:val="18"/>
              </w:rPr>
              <w:t> </w:t>
            </w:r>
            <w:r>
              <w:rPr>
                <w:rFonts w:ascii="宋体" w:hAnsi="宋体" w:cs="宋体" w:eastAsia="宋体" w:hint="default"/>
                <w:sz w:val="18"/>
                <w:szCs w:val="18"/>
              </w:rPr>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8"/>
              <w:jc w:val="center"/>
              <w:rPr>
                <w:rFonts w:ascii="宋体" w:hAnsi="宋体" w:cs="宋体" w:eastAsia="宋体" w:hint="default"/>
                <w:sz w:val="18"/>
                <w:szCs w:val="18"/>
              </w:rPr>
            </w:pPr>
            <w:r>
              <w:rPr>
                <w:rFonts w:ascii="宋体"/>
                <w:spacing w:val="8"/>
                <w:sz w:val="18"/>
              </w:rPr>
              <w:t>99.00%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6"/>
              <w:jc w:val="center"/>
              <w:rPr>
                <w:rFonts w:ascii="宋体" w:hAnsi="宋体" w:cs="宋体" w:eastAsia="宋体" w:hint="default"/>
                <w:sz w:val="18"/>
                <w:szCs w:val="18"/>
              </w:rPr>
            </w:pPr>
            <w:r>
              <w:rPr>
                <w:rFonts w:ascii="宋体"/>
                <w:spacing w:val="8"/>
                <w:sz w:val="18"/>
              </w:rPr>
              <w:t>99.00%</w:t>
            </w:r>
          </w:p>
        </w:tc>
        <w:tc>
          <w:tcPr>
            <w:tcW w:w="133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7"/>
              <w:jc w:val="center"/>
              <w:rPr>
                <w:rFonts w:ascii="宋体" w:hAnsi="宋体" w:cs="宋体" w:eastAsia="宋体" w:hint="default"/>
                <w:sz w:val="18"/>
                <w:szCs w:val="18"/>
              </w:rPr>
            </w:pPr>
            <w:r>
              <w:rPr>
                <w:rFonts w:ascii="宋体"/>
                <w:sz w:val="18"/>
              </w:rPr>
              <w:t>761122265</w:t>
            </w:r>
          </w:p>
        </w:tc>
      </w:tr>
      <w:tr>
        <w:trPr>
          <w:trHeight w:val="1414" w:hRule="exact"/>
        </w:trPr>
        <w:tc>
          <w:tcPr>
            <w:tcW w:w="222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57" w:lineRule="auto"/>
              <w:ind w:left="14" w:right="87"/>
              <w:jc w:val="left"/>
              <w:rPr>
                <w:rFonts w:ascii="宋体" w:hAnsi="宋体" w:cs="宋体" w:eastAsia="宋体" w:hint="default"/>
                <w:sz w:val="18"/>
                <w:szCs w:val="18"/>
              </w:rPr>
            </w:pPr>
            <w:r>
              <w:rPr>
                <w:rFonts w:ascii="宋体" w:hAnsi="宋体" w:cs="宋体" w:eastAsia="宋体" w:hint="default"/>
                <w:spacing w:val="12"/>
                <w:sz w:val="18"/>
                <w:szCs w:val="18"/>
              </w:rPr>
              <w:t>吉林紫鑫红石种养殖有限 </w:t>
            </w:r>
            <w:r>
              <w:rPr>
                <w:rFonts w:ascii="宋体" w:hAnsi="宋体" w:cs="宋体" w:eastAsia="宋体" w:hint="default"/>
                <w:sz w:val="18"/>
                <w:szCs w:val="18"/>
              </w:rPr>
              <w:t>公司</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57" w:lineRule="auto"/>
              <w:ind w:left="136" w:right="137"/>
              <w:jc w:val="left"/>
              <w:rPr>
                <w:rFonts w:ascii="宋体" w:hAnsi="宋体" w:cs="宋体" w:eastAsia="宋体" w:hint="default"/>
                <w:sz w:val="18"/>
                <w:szCs w:val="18"/>
              </w:rPr>
            </w:pPr>
            <w:r>
              <w:rPr>
                <w:rFonts w:ascii="宋体" w:hAnsi="宋体" w:cs="宋体" w:eastAsia="宋体" w:hint="default"/>
                <w:spacing w:val="9"/>
                <w:sz w:val="18"/>
                <w:szCs w:val="18"/>
              </w:rPr>
              <w:t>有限</w:t>
            </w:r>
            <w:r>
              <w:rPr>
                <w:rFonts w:ascii="宋体" w:hAnsi="宋体" w:cs="宋体" w:eastAsia="宋体" w:hint="default"/>
                <w:spacing w:val="-71"/>
                <w:sz w:val="18"/>
                <w:szCs w:val="18"/>
              </w:rPr>
              <w:t> </w:t>
            </w:r>
            <w:r>
              <w:rPr>
                <w:rFonts w:ascii="宋体" w:hAnsi="宋体" w:cs="宋体" w:eastAsia="宋体" w:hint="default"/>
                <w:spacing w:val="9"/>
                <w:sz w:val="18"/>
                <w:szCs w:val="18"/>
              </w:rPr>
              <w:t>公司</w:t>
            </w:r>
            <w:r>
              <w:rPr>
                <w:rFonts w:ascii="宋体" w:hAnsi="宋体" w:cs="宋体" w:eastAsia="宋体" w:hint="default"/>
                <w:spacing w:val="-71"/>
                <w:sz w:val="18"/>
                <w:szCs w:val="18"/>
              </w:rPr>
              <w:t> </w:t>
            </w:r>
            <w:r>
              <w:rPr>
                <w:rFonts w:ascii="宋体" w:hAnsi="宋体" w:cs="宋体" w:eastAsia="宋体" w:hint="default"/>
                <w:sz w:val="18"/>
                <w:szCs w:val="18"/>
              </w:rPr>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57" w:lineRule="auto"/>
              <w:ind w:left="100" w:right="106"/>
              <w:jc w:val="left"/>
              <w:rPr>
                <w:rFonts w:ascii="宋体" w:hAnsi="宋体" w:cs="宋体" w:eastAsia="宋体" w:hint="default"/>
                <w:sz w:val="18"/>
                <w:szCs w:val="18"/>
              </w:rPr>
            </w:pPr>
            <w:r>
              <w:rPr>
                <w:rFonts w:ascii="宋体" w:hAnsi="宋体" w:cs="宋体" w:eastAsia="宋体" w:hint="default"/>
                <w:spacing w:val="22"/>
                <w:sz w:val="18"/>
                <w:szCs w:val="18"/>
              </w:rPr>
              <w:t>柳河县</w:t>
            </w:r>
            <w:r>
              <w:rPr>
                <w:rFonts w:ascii="宋体" w:hAnsi="宋体" w:cs="宋体" w:eastAsia="宋体" w:hint="default"/>
                <w:spacing w:val="-57"/>
                <w:sz w:val="18"/>
                <w:szCs w:val="18"/>
              </w:rPr>
              <w:t> </w:t>
            </w:r>
            <w:r>
              <w:rPr>
                <w:rFonts w:ascii="宋体" w:hAnsi="宋体" w:cs="宋体" w:eastAsia="宋体" w:hint="default"/>
                <w:sz w:val="18"/>
                <w:szCs w:val="18"/>
              </w:rPr>
              <w:t>柳河镇</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刘宝武</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47"/>
                <w:sz w:val="18"/>
                <w:szCs w:val="18"/>
              </w:rPr>
              <w:t> </w:t>
            </w:r>
            <w:r>
              <w:rPr>
                <w:rFonts w:ascii="宋体" w:hAnsi="宋体" w:cs="宋体" w:eastAsia="宋体" w:hint="default"/>
                <w:sz w:val="18"/>
                <w:szCs w:val="18"/>
              </w:rPr>
              <w:t>药</w:t>
            </w:r>
            <w:r>
              <w:rPr>
                <w:rFonts w:ascii="宋体" w:hAnsi="宋体" w:cs="宋体" w:eastAsia="宋体" w:hint="default"/>
                <w:spacing w:val="-47"/>
                <w:sz w:val="18"/>
                <w:szCs w:val="18"/>
              </w:rPr>
              <w:t> </w:t>
            </w:r>
            <w:r>
              <w:rPr>
                <w:rFonts w:ascii="宋体" w:hAnsi="宋体" w:cs="宋体" w:eastAsia="宋体" w:hint="default"/>
                <w:sz w:val="18"/>
                <w:szCs w:val="18"/>
              </w:rPr>
              <w:t>材</w:t>
            </w:r>
            <w:r>
              <w:rPr>
                <w:rFonts w:ascii="宋体" w:hAnsi="宋体" w:cs="宋体" w:eastAsia="宋体" w:hint="default"/>
                <w:spacing w:val="-47"/>
                <w:sz w:val="18"/>
                <w:szCs w:val="18"/>
              </w:rPr>
              <w:t> </w:t>
            </w:r>
            <w:r>
              <w:rPr>
                <w:rFonts w:ascii="宋体" w:hAnsi="宋体" w:cs="宋体" w:eastAsia="宋体" w:hint="default"/>
                <w:sz w:val="18"/>
                <w:szCs w:val="18"/>
              </w:rPr>
              <w:t>种</w:t>
            </w:r>
            <w:r>
              <w:rPr>
                <w:rFonts w:ascii="宋体" w:hAnsi="宋体" w:cs="宋体" w:eastAsia="宋体" w:hint="default"/>
                <w:spacing w:val="-45"/>
                <w:sz w:val="18"/>
                <w:szCs w:val="18"/>
              </w:rPr>
              <w:t> </w:t>
            </w:r>
            <w:r>
              <w:rPr>
                <w:rFonts w:ascii="宋体" w:hAnsi="宋体" w:cs="宋体" w:eastAsia="宋体" w:hint="default"/>
                <w:sz w:val="18"/>
                <w:szCs w:val="18"/>
              </w:rPr>
              <w:t>植</w:t>
            </w:r>
            <w:r>
              <w:rPr>
                <w:rFonts w:ascii="宋体" w:hAnsi="宋体" w:cs="宋体" w:eastAsia="宋体" w:hint="default"/>
                <w:spacing w:val="-47"/>
                <w:sz w:val="18"/>
                <w:szCs w:val="18"/>
              </w:rPr>
              <w:t> </w:t>
            </w:r>
            <w:r>
              <w:rPr>
                <w:rFonts w:ascii="宋体" w:hAnsi="宋体" w:cs="宋体" w:eastAsia="宋体" w:hint="default"/>
                <w:sz w:val="18"/>
                <w:szCs w:val="18"/>
              </w:rPr>
              <w:t>销</w:t>
            </w:r>
          </w:p>
          <w:p>
            <w:pPr>
              <w:pStyle w:val="TableParagraph"/>
              <w:spacing w:line="355" w:lineRule="auto" w:before="115"/>
              <w:ind w:left="100" w:right="130"/>
              <w:jc w:val="both"/>
              <w:rPr>
                <w:rFonts w:ascii="宋体" w:hAnsi="宋体" w:cs="宋体" w:eastAsia="宋体" w:hint="default"/>
                <w:sz w:val="18"/>
                <w:szCs w:val="18"/>
              </w:rPr>
            </w:pPr>
            <w:r>
              <w:rPr>
                <w:rFonts w:ascii="宋体" w:hAnsi="宋体" w:cs="宋体" w:eastAsia="宋体" w:hint="default"/>
                <w:spacing w:val="7"/>
                <w:sz w:val="18"/>
                <w:szCs w:val="18"/>
              </w:rPr>
              <w:t>售、动物养殖、 </w:t>
            </w:r>
            <w:r>
              <w:rPr>
                <w:rFonts w:ascii="宋体" w:hAnsi="宋体" w:cs="宋体" w:eastAsia="宋体" w:hint="default"/>
                <w:sz w:val="18"/>
                <w:szCs w:val="18"/>
              </w:rPr>
              <w:t>农</w:t>
            </w:r>
            <w:r>
              <w:rPr>
                <w:rFonts w:ascii="宋体" w:hAnsi="宋体" w:cs="宋体" w:eastAsia="宋体" w:hint="default"/>
                <w:spacing w:val="-47"/>
                <w:sz w:val="18"/>
                <w:szCs w:val="18"/>
              </w:rPr>
              <w:t> </w:t>
            </w:r>
            <w:r>
              <w:rPr>
                <w:rFonts w:ascii="宋体" w:hAnsi="宋体" w:cs="宋体" w:eastAsia="宋体" w:hint="default"/>
                <w:sz w:val="18"/>
                <w:szCs w:val="18"/>
              </w:rPr>
              <w:t>副</w:t>
            </w:r>
            <w:r>
              <w:rPr>
                <w:rFonts w:ascii="宋体" w:hAnsi="宋体" w:cs="宋体" w:eastAsia="宋体" w:hint="default"/>
                <w:spacing w:val="-47"/>
                <w:sz w:val="18"/>
                <w:szCs w:val="18"/>
              </w:rPr>
              <w:t> </w:t>
            </w:r>
            <w:r>
              <w:rPr>
                <w:rFonts w:ascii="宋体" w:hAnsi="宋体" w:cs="宋体" w:eastAsia="宋体" w:hint="default"/>
                <w:sz w:val="18"/>
                <w:szCs w:val="18"/>
              </w:rPr>
              <w:t>产</w:t>
            </w:r>
            <w:r>
              <w:rPr>
                <w:rFonts w:ascii="宋体" w:hAnsi="宋体" w:cs="宋体" w:eastAsia="宋体" w:hint="default"/>
                <w:spacing w:val="-47"/>
                <w:sz w:val="18"/>
                <w:szCs w:val="18"/>
              </w:rPr>
              <w:t> </w:t>
            </w:r>
            <w:r>
              <w:rPr>
                <w:rFonts w:ascii="宋体" w:hAnsi="宋体" w:cs="宋体" w:eastAsia="宋体" w:hint="default"/>
                <w:sz w:val="18"/>
                <w:szCs w:val="18"/>
              </w:rPr>
              <w:t>品</w:t>
            </w:r>
            <w:r>
              <w:rPr>
                <w:rFonts w:ascii="宋体" w:hAnsi="宋体" w:cs="宋体" w:eastAsia="宋体" w:hint="default"/>
                <w:spacing w:val="-45"/>
                <w:sz w:val="18"/>
                <w:szCs w:val="18"/>
              </w:rPr>
              <w:t> </w:t>
            </w:r>
            <w:r>
              <w:rPr>
                <w:rFonts w:ascii="宋体" w:hAnsi="宋体" w:cs="宋体" w:eastAsia="宋体" w:hint="default"/>
                <w:sz w:val="18"/>
                <w:szCs w:val="18"/>
              </w:rPr>
              <w:t>收</w:t>
            </w:r>
            <w:r>
              <w:rPr>
                <w:rFonts w:ascii="宋体" w:hAnsi="宋体" w:cs="宋体" w:eastAsia="宋体" w:hint="default"/>
                <w:spacing w:val="-47"/>
                <w:sz w:val="18"/>
                <w:szCs w:val="18"/>
              </w:rPr>
              <w:t> </w:t>
            </w:r>
            <w:r>
              <w:rPr>
                <w:rFonts w:ascii="宋体" w:hAnsi="宋体" w:cs="宋体" w:eastAsia="宋体" w:hint="default"/>
                <w:sz w:val="18"/>
                <w:szCs w:val="18"/>
              </w:rPr>
              <w:t>购</w:t>
            </w:r>
            <w:r>
              <w:rPr>
                <w:rFonts w:ascii="宋体" w:hAnsi="宋体" w:cs="宋体" w:eastAsia="宋体" w:hint="default"/>
                <w:sz w:val="18"/>
                <w:szCs w:val="18"/>
              </w:rPr>
              <w:t> 等。</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pacing w:val="7"/>
                <w:sz w:val="18"/>
                <w:szCs w:val="18"/>
              </w:rPr>
              <w:t>1,000</w:t>
            </w:r>
            <w:r>
              <w:rPr>
                <w:rFonts w:ascii="宋体" w:hAnsi="宋体" w:cs="宋体" w:eastAsia="宋体" w:hint="default"/>
                <w:spacing w:val="-26"/>
                <w:sz w:val="18"/>
                <w:szCs w:val="18"/>
              </w:rPr>
              <w:t> </w:t>
            </w:r>
            <w:r>
              <w:rPr>
                <w:rFonts w:ascii="宋体" w:hAnsi="宋体" w:cs="宋体" w:eastAsia="宋体" w:hint="default"/>
                <w:sz w:val="18"/>
                <w:szCs w:val="18"/>
              </w:rPr>
              <w:t>万</w:t>
            </w:r>
          </w:p>
          <w:p>
            <w:pPr>
              <w:pStyle w:val="TableParagraph"/>
              <w:spacing w:line="240" w:lineRule="auto" w:before="115"/>
              <w:ind w:right="19"/>
              <w:jc w:val="center"/>
              <w:rPr>
                <w:rFonts w:ascii="宋体" w:hAnsi="宋体" w:cs="宋体" w:eastAsia="宋体" w:hint="default"/>
                <w:sz w:val="18"/>
                <w:szCs w:val="18"/>
              </w:rPr>
            </w:pPr>
            <w:r>
              <w:rPr>
                <w:rFonts w:ascii="宋体" w:hAnsi="宋体" w:cs="宋体" w:eastAsia="宋体" w:hint="default"/>
                <w:sz w:val="18"/>
                <w:szCs w:val="18"/>
              </w:rPr>
              <w:t>元</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8"/>
              <w:jc w:val="center"/>
              <w:rPr>
                <w:rFonts w:ascii="宋体" w:hAnsi="宋体" w:cs="宋体" w:eastAsia="宋体" w:hint="default"/>
                <w:sz w:val="18"/>
                <w:szCs w:val="18"/>
              </w:rPr>
            </w:pPr>
            <w:r>
              <w:rPr>
                <w:rFonts w:ascii="宋体"/>
                <w:spacing w:val="8"/>
                <w:sz w:val="18"/>
              </w:rPr>
              <w:t>100.00%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7"/>
              <w:jc w:val="center"/>
              <w:rPr>
                <w:rFonts w:ascii="宋体" w:hAnsi="宋体" w:cs="宋体" w:eastAsia="宋体" w:hint="default"/>
                <w:sz w:val="18"/>
                <w:szCs w:val="18"/>
              </w:rPr>
            </w:pPr>
            <w:r>
              <w:rPr>
                <w:rFonts w:ascii="宋体"/>
                <w:spacing w:val="8"/>
                <w:sz w:val="18"/>
              </w:rPr>
              <w:t>100.00%</w:t>
            </w:r>
          </w:p>
        </w:tc>
        <w:tc>
          <w:tcPr>
            <w:tcW w:w="133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5"/>
              <w:jc w:val="center"/>
              <w:rPr>
                <w:rFonts w:ascii="宋体" w:hAnsi="宋体" w:cs="宋体" w:eastAsia="宋体" w:hint="default"/>
                <w:sz w:val="18"/>
                <w:szCs w:val="18"/>
              </w:rPr>
            </w:pPr>
            <w:r>
              <w:rPr>
                <w:rFonts w:ascii="宋体"/>
                <w:sz w:val="18"/>
              </w:rPr>
              <w:t>67730847-X</w:t>
            </w:r>
          </w:p>
        </w:tc>
      </w:tr>
      <w:tr>
        <w:trPr>
          <w:trHeight w:val="2818" w:hRule="exact"/>
        </w:trPr>
        <w:tc>
          <w:tcPr>
            <w:tcW w:w="222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吉林草还丹药业有限公司</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357" w:lineRule="auto"/>
              <w:ind w:left="136" w:right="137"/>
              <w:jc w:val="left"/>
              <w:rPr>
                <w:rFonts w:ascii="宋体" w:hAnsi="宋体" w:cs="宋体" w:eastAsia="宋体" w:hint="default"/>
                <w:sz w:val="18"/>
                <w:szCs w:val="18"/>
              </w:rPr>
            </w:pPr>
            <w:r>
              <w:rPr>
                <w:rFonts w:ascii="宋体" w:hAnsi="宋体" w:cs="宋体" w:eastAsia="宋体" w:hint="default"/>
                <w:spacing w:val="9"/>
                <w:sz w:val="18"/>
                <w:szCs w:val="18"/>
              </w:rPr>
              <w:t>有限</w:t>
            </w:r>
            <w:r>
              <w:rPr>
                <w:rFonts w:ascii="宋体" w:hAnsi="宋体" w:cs="宋体" w:eastAsia="宋体" w:hint="default"/>
                <w:spacing w:val="-71"/>
                <w:sz w:val="18"/>
                <w:szCs w:val="18"/>
              </w:rPr>
              <w:t> </w:t>
            </w:r>
            <w:r>
              <w:rPr>
                <w:rFonts w:ascii="宋体" w:hAnsi="宋体" w:cs="宋体" w:eastAsia="宋体" w:hint="default"/>
                <w:spacing w:val="9"/>
                <w:sz w:val="18"/>
                <w:szCs w:val="18"/>
              </w:rPr>
              <w:t>公司</w:t>
            </w:r>
            <w:r>
              <w:rPr>
                <w:rFonts w:ascii="宋体" w:hAnsi="宋体" w:cs="宋体" w:eastAsia="宋体" w:hint="default"/>
                <w:spacing w:val="-71"/>
                <w:sz w:val="18"/>
                <w:szCs w:val="18"/>
              </w:rPr>
              <w:t> </w:t>
            </w:r>
            <w:r>
              <w:rPr>
                <w:rFonts w:ascii="宋体" w:hAnsi="宋体" w:cs="宋体" w:eastAsia="宋体" w:hint="default"/>
                <w:sz w:val="18"/>
                <w:szCs w:val="18"/>
              </w:rPr>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357" w:lineRule="auto"/>
              <w:ind w:left="100" w:right="106"/>
              <w:jc w:val="both"/>
              <w:rPr>
                <w:rFonts w:ascii="宋体" w:hAnsi="宋体" w:cs="宋体" w:eastAsia="宋体" w:hint="default"/>
                <w:sz w:val="18"/>
                <w:szCs w:val="18"/>
              </w:rPr>
            </w:pPr>
            <w:r>
              <w:rPr>
                <w:rFonts w:ascii="宋体" w:hAnsi="宋体" w:cs="宋体" w:eastAsia="宋体" w:hint="default"/>
                <w:spacing w:val="22"/>
                <w:sz w:val="18"/>
                <w:szCs w:val="18"/>
              </w:rPr>
              <w:t>敦化市</w:t>
            </w:r>
            <w:r>
              <w:rPr>
                <w:rFonts w:ascii="宋体" w:hAnsi="宋体" w:cs="宋体" w:eastAsia="宋体" w:hint="default"/>
                <w:spacing w:val="-57"/>
                <w:sz w:val="18"/>
                <w:szCs w:val="18"/>
              </w:rPr>
              <w:t> </w:t>
            </w:r>
            <w:r>
              <w:rPr>
                <w:rFonts w:ascii="宋体" w:hAnsi="宋体" w:cs="宋体" w:eastAsia="宋体" w:hint="default"/>
                <w:spacing w:val="22"/>
                <w:sz w:val="18"/>
                <w:szCs w:val="18"/>
              </w:rPr>
              <w:t>经济开</w:t>
            </w:r>
            <w:r>
              <w:rPr>
                <w:rFonts w:ascii="宋体" w:hAnsi="宋体" w:cs="宋体" w:eastAsia="宋体" w:hint="default"/>
                <w:spacing w:val="-57"/>
                <w:sz w:val="18"/>
                <w:szCs w:val="18"/>
              </w:rPr>
              <w:t> </w:t>
            </w:r>
            <w:r>
              <w:rPr>
                <w:rFonts w:ascii="宋体" w:hAnsi="宋体" w:cs="宋体" w:eastAsia="宋体" w:hint="default"/>
                <w:spacing w:val="22"/>
                <w:sz w:val="18"/>
                <w:szCs w:val="18"/>
              </w:rPr>
              <w:t>发区工</w:t>
            </w:r>
            <w:r>
              <w:rPr>
                <w:rFonts w:ascii="宋体" w:hAnsi="宋体" w:cs="宋体" w:eastAsia="宋体" w:hint="default"/>
                <w:spacing w:val="-57"/>
                <w:sz w:val="18"/>
                <w:szCs w:val="18"/>
              </w:rPr>
              <w:t> </w:t>
            </w:r>
            <w:r>
              <w:rPr>
                <w:rFonts w:ascii="宋体" w:hAnsi="宋体" w:cs="宋体" w:eastAsia="宋体" w:hint="default"/>
                <w:spacing w:val="22"/>
                <w:sz w:val="18"/>
                <w:szCs w:val="18"/>
              </w:rPr>
              <w:t>业区九</w:t>
            </w:r>
            <w:r>
              <w:rPr>
                <w:rFonts w:ascii="宋体" w:hAnsi="宋体" w:cs="宋体" w:eastAsia="宋体" w:hint="default"/>
                <w:spacing w:val="-57"/>
                <w:sz w:val="18"/>
                <w:szCs w:val="18"/>
              </w:rPr>
              <w:t> </w:t>
            </w:r>
            <w:r>
              <w:rPr>
                <w:rFonts w:ascii="宋体" w:hAnsi="宋体" w:cs="宋体" w:eastAsia="宋体" w:hint="default"/>
                <w:sz w:val="18"/>
                <w:szCs w:val="18"/>
              </w:rPr>
              <w:t>号</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关利国</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7"/>
                <w:sz w:val="18"/>
                <w:szCs w:val="18"/>
              </w:rPr>
              <w:t>中成药、中药材、</w:t>
            </w:r>
          </w:p>
          <w:p>
            <w:pPr>
              <w:pStyle w:val="TableParagraph"/>
              <w:spacing w:line="355" w:lineRule="auto" w:before="115"/>
              <w:ind w:left="100" w:right="130"/>
              <w:jc w:val="both"/>
              <w:rPr>
                <w:rFonts w:ascii="宋体" w:hAnsi="宋体" w:cs="宋体" w:eastAsia="宋体" w:hint="default"/>
                <w:sz w:val="18"/>
                <w:szCs w:val="18"/>
              </w:rPr>
            </w:pPr>
            <w:r>
              <w:rPr>
                <w:rFonts w:ascii="宋体" w:hAnsi="宋体" w:cs="宋体" w:eastAsia="宋体" w:hint="default"/>
                <w:spacing w:val="7"/>
                <w:sz w:val="18"/>
                <w:szCs w:val="18"/>
              </w:rPr>
              <w:t>化学药品制剂加 工销售、食品加 工销售、酒精、 白酒及饮料酒制</w:t>
            </w:r>
            <w:r>
              <w:rPr>
                <w:rFonts w:ascii="宋体" w:hAnsi="宋体" w:cs="宋体" w:eastAsia="宋体" w:hint="default"/>
                <w:sz w:val="18"/>
                <w:szCs w:val="18"/>
              </w:rPr>
            </w:r>
          </w:p>
          <w:p>
            <w:pPr>
              <w:pStyle w:val="TableParagraph"/>
              <w:spacing w:line="357" w:lineRule="auto" w:before="29"/>
              <w:ind w:left="100" w:right="51"/>
              <w:jc w:val="left"/>
              <w:rPr>
                <w:rFonts w:ascii="宋体" w:hAnsi="宋体" w:cs="宋体" w:eastAsia="宋体" w:hint="default"/>
                <w:sz w:val="18"/>
                <w:szCs w:val="18"/>
              </w:rPr>
            </w:pPr>
            <w:r>
              <w:rPr>
                <w:rFonts w:ascii="宋体" w:hAnsi="宋体" w:cs="宋体" w:eastAsia="宋体" w:hint="default"/>
                <w:spacing w:val="-7"/>
                <w:sz w:val="18"/>
                <w:szCs w:val="18"/>
              </w:rPr>
              <w:t>造、针织品加工、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广告业、种养殖</w:t>
            </w:r>
            <w:r>
              <w:rPr>
                <w:rFonts w:ascii="宋体" w:hAnsi="宋体" w:cs="宋体" w:eastAsia="宋体" w:hint="default"/>
                <w:spacing w:val="7"/>
                <w:sz w:val="18"/>
                <w:szCs w:val="18"/>
              </w:rPr>
              <w:t> </w:t>
            </w:r>
            <w:r>
              <w:rPr>
                <w:rFonts w:ascii="宋体" w:hAnsi="宋体" w:cs="宋体" w:eastAsia="宋体" w:hint="default"/>
                <w:sz w:val="18"/>
                <w:szCs w:val="18"/>
              </w:rPr>
              <w:t>业等。</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pacing w:val="7"/>
                <w:sz w:val="18"/>
                <w:szCs w:val="18"/>
              </w:rPr>
              <w:t>5,000</w:t>
            </w:r>
            <w:r>
              <w:rPr>
                <w:rFonts w:ascii="宋体" w:hAnsi="宋体" w:cs="宋体" w:eastAsia="宋体" w:hint="default"/>
                <w:spacing w:val="-26"/>
                <w:sz w:val="18"/>
                <w:szCs w:val="18"/>
              </w:rPr>
              <w:t> </w:t>
            </w:r>
            <w:r>
              <w:rPr>
                <w:rFonts w:ascii="宋体" w:hAnsi="宋体" w:cs="宋体" w:eastAsia="宋体" w:hint="default"/>
                <w:sz w:val="18"/>
                <w:szCs w:val="18"/>
              </w:rPr>
              <w:t>万</w:t>
            </w:r>
          </w:p>
          <w:p>
            <w:pPr>
              <w:pStyle w:val="TableParagraph"/>
              <w:spacing w:line="240" w:lineRule="auto" w:before="115"/>
              <w:ind w:right="19"/>
              <w:jc w:val="center"/>
              <w:rPr>
                <w:rFonts w:ascii="宋体" w:hAnsi="宋体" w:cs="宋体" w:eastAsia="宋体" w:hint="default"/>
                <w:sz w:val="18"/>
                <w:szCs w:val="18"/>
              </w:rPr>
            </w:pPr>
            <w:r>
              <w:rPr>
                <w:rFonts w:ascii="宋体" w:hAnsi="宋体" w:cs="宋体" w:eastAsia="宋体" w:hint="default"/>
                <w:sz w:val="18"/>
                <w:szCs w:val="18"/>
              </w:rPr>
              <w:t>元</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8"/>
              <w:jc w:val="center"/>
              <w:rPr>
                <w:rFonts w:ascii="宋体" w:hAnsi="宋体" w:cs="宋体" w:eastAsia="宋体" w:hint="default"/>
                <w:sz w:val="18"/>
                <w:szCs w:val="18"/>
              </w:rPr>
            </w:pPr>
            <w:r>
              <w:rPr>
                <w:rFonts w:ascii="宋体"/>
                <w:spacing w:val="8"/>
                <w:sz w:val="18"/>
              </w:rPr>
              <w:t>100.00%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7"/>
              <w:jc w:val="center"/>
              <w:rPr>
                <w:rFonts w:ascii="宋体" w:hAnsi="宋体" w:cs="宋体" w:eastAsia="宋体" w:hint="default"/>
                <w:sz w:val="18"/>
                <w:szCs w:val="18"/>
              </w:rPr>
            </w:pPr>
            <w:r>
              <w:rPr>
                <w:rFonts w:ascii="宋体"/>
                <w:spacing w:val="8"/>
                <w:sz w:val="18"/>
              </w:rPr>
              <w:t>100.00%</w:t>
            </w:r>
          </w:p>
        </w:tc>
        <w:tc>
          <w:tcPr>
            <w:tcW w:w="133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5"/>
              <w:jc w:val="center"/>
              <w:rPr>
                <w:rFonts w:ascii="宋体" w:hAnsi="宋体" w:cs="宋体" w:eastAsia="宋体" w:hint="default"/>
                <w:sz w:val="18"/>
                <w:szCs w:val="18"/>
              </w:rPr>
            </w:pPr>
            <w:r>
              <w:rPr>
                <w:rFonts w:ascii="宋体"/>
                <w:sz w:val="18"/>
              </w:rPr>
              <w:t>73258383-8</w:t>
            </w:r>
          </w:p>
        </w:tc>
      </w:tr>
      <w:tr>
        <w:trPr>
          <w:trHeight w:val="1766" w:hRule="exact"/>
        </w:trPr>
        <w:tc>
          <w:tcPr>
            <w:tcW w:w="222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357" w:lineRule="auto"/>
              <w:ind w:left="14" w:right="87"/>
              <w:jc w:val="left"/>
              <w:rPr>
                <w:rFonts w:ascii="宋体" w:hAnsi="宋体" w:cs="宋体" w:eastAsia="宋体" w:hint="default"/>
                <w:sz w:val="18"/>
                <w:szCs w:val="18"/>
              </w:rPr>
            </w:pPr>
            <w:r>
              <w:rPr>
                <w:rFonts w:ascii="宋体" w:hAnsi="宋体" w:cs="宋体" w:eastAsia="宋体" w:hint="default"/>
                <w:spacing w:val="12"/>
                <w:sz w:val="18"/>
                <w:szCs w:val="18"/>
              </w:rPr>
              <w:t>吉林紫鑫初元药业有限公 </w:t>
            </w:r>
            <w:r>
              <w:rPr>
                <w:rFonts w:ascii="宋体" w:hAnsi="宋体" w:cs="宋体" w:eastAsia="宋体" w:hint="default"/>
                <w:sz w:val="18"/>
                <w:szCs w:val="18"/>
              </w:rPr>
              <w:t>司</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357" w:lineRule="auto"/>
              <w:ind w:left="136" w:right="137"/>
              <w:jc w:val="left"/>
              <w:rPr>
                <w:rFonts w:ascii="宋体" w:hAnsi="宋体" w:cs="宋体" w:eastAsia="宋体" w:hint="default"/>
                <w:sz w:val="18"/>
                <w:szCs w:val="18"/>
              </w:rPr>
            </w:pPr>
            <w:r>
              <w:rPr>
                <w:rFonts w:ascii="宋体" w:hAnsi="宋体" w:cs="宋体" w:eastAsia="宋体" w:hint="default"/>
                <w:spacing w:val="9"/>
                <w:sz w:val="18"/>
                <w:szCs w:val="18"/>
              </w:rPr>
              <w:t>有限</w:t>
            </w:r>
            <w:r>
              <w:rPr>
                <w:rFonts w:ascii="宋体" w:hAnsi="宋体" w:cs="宋体" w:eastAsia="宋体" w:hint="default"/>
                <w:spacing w:val="-71"/>
                <w:sz w:val="18"/>
                <w:szCs w:val="18"/>
              </w:rPr>
              <w:t> </w:t>
            </w:r>
            <w:r>
              <w:rPr>
                <w:rFonts w:ascii="宋体" w:hAnsi="宋体" w:cs="宋体" w:eastAsia="宋体" w:hint="default"/>
                <w:spacing w:val="9"/>
                <w:sz w:val="18"/>
                <w:szCs w:val="18"/>
              </w:rPr>
              <w:t>公司</w:t>
            </w:r>
            <w:r>
              <w:rPr>
                <w:rFonts w:ascii="宋体" w:hAnsi="宋体" w:cs="宋体" w:eastAsia="宋体" w:hint="default"/>
                <w:spacing w:val="-71"/>
                <w:sz w:val="18"/>
                <w:szCs w:val="18"/>
              </w:rPr>
              <w:t> </w:t>
            </w:r>
            <w:r>
              <w:rPr>
                <w:rFonts w:ascii="宋体" w:hAnsi="宋体" w:cs="宋体" w:eastAsia="宋体" w:hint="default"/>
                <w:sz w:val="18"/>
                <w:szCs w:val="18"/>
              </w:rPr>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42"/>
              <w:ind w:left="100" w:right="106"/>
              <w:jc w:val="both"/>
              <w:rPr>
                <w:rFonts w:ascii="宋体" w:hAnsi="宋体" w:cs="宋体" w:eastAsia="宋体" w:hint="default"/>
                <w:sz w:val="18"/>
                <w:szCs w:val="18"/>
              </w:rPr>
            </w:pPr>
            <w:r>
              <w:rPr>
                <w:rFonts w:ascii="宋体" w:hAnsi="宋体" w:cs="宋体" w:eastAsia="宋体" w:hint="default"/>
                <w:spacing w:val="22"/>
                <w:sz w:val="18"/>
                <w:szCs w:val="18"/>
              </w:rPr>
              <w:t>延边州</w:t>
            </w:r>
            <w:r>
              <w:rPr>
                <w:rFonts w:ascii="宋体" w:hAnsi="宋体" w:cs="宋体" w:eastAsia="宋体" w:hint="default"/>
                <w:spacing w:val="-57"/>
                <w:sz w:val="18"/>
                <w:szCs w:val="18"/>
              </w:rPr>
              <w:t> </w:t>
            </w:r>
            <w:r>
              <w:rPr>
                <w:rFonts w:ascii="宋体" w:hAnsi="宋体" w:cs="宋体" w:eastAsia="宋体" w:hint="default"/>
                <w:spacing w:val="22"/>
                <w:sz w:val="18"/>
                <w:szCs w:val="18"/>
              </w:rPr>
              <w:t>新兴工</w:t>
            </w:r>
            <w:r>
              <w:rPr>
                <w:rFonts w:ascii="宋体" w:hAnsi="宋体" w:cs="宋体" w:eastAsia="宋体" w:hint="default"/>
                <w:spacing w:val="-57"/>
                <w:sz w:val="18"/>
                <w:szCs w:val="18"/>
              </w:rPr>
              <w:t> </w:t>
            </w:r>
            <w:r>
              <w:rPr>
                <w:rFonts w:ascii="宋体" w:hAnsi="宋体" w:cs="宋体" w:eastAsia="宋体" w:hint="default"/>
                <w:spacing w:val="22"/>
                <w:sz w:val="18"/>
                <w:szCs w:val="18"/>
              </w:rPr>
              <w:t>业集中</w:t>
            </w:r>
            <w:r>
              <w:rPr>
                <w:rFonts w:ascii="宋体" w:hAnsi="宋体" w:cs="宋体" w:eastAsia="宋体" w:hint="default"/>
                <w:spacing w:val="-57"/>
                <w:sz w:val="18"/>
                <w:szCs w:val="18"/>
              </w:rPr>
              <w:t> </w:t>
            </w:r>
            <w:r>
              <w:rPr>
                <w:rFonts w:ascii="宋体" w:hAnsi="宋体" w:cs="宋体" w:eastAsia="宋体" w:hint="default"/>
                <w:sz w:val="18"/>
                <w:szCs w:val="18"/>
              </w:rPr>
              <w:t>区</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桑国强</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加工、销售中成</w:t>
            </w:r>
            <w:r>
              <w:rPr>
                <w:rFonts w:ascii="宋体" w:hAnsi="宋体" w:cs="宋体" w:eastAsia="宋体" w:hint="default"/>
                <w:sz w:val="18"/>
                <w:szCs w:val="18"/>
              </w:rPr>
            </w:r>
          </w:p>
          <w:p>
            <w:pPr>
              <w:pStyle w:val="TableParagraph"/>
              <w:spacing w:line="240" w:lineRule="auto" w:before="115"/>
              <w:ind w:left="100" w:right="0"/>
              <w:jc w:val="both"/>
              <w:rPr>
                <w:rFonts w:ascii="宋体" w:hAnsi="宋体" w:cs="宋体" w:eastAsia="宋体" w:hint="default"/>
                <w:sz w:val="18"/>
                <w:szCs w:val="18"/>
              </w:rPr>
            </w:pPr>
            <w:r>
              <w:rPr>
                <w:rFonts w:ascii="宋体" w:hAnsi="宋体" w:cs="宋体" w:eastAsia="宋体" w:hint="default"/>
                <w:spacing w:val="7"/>
                <w:sz w:val="18"/>
                <w:szCs w:val="18"/>
              </w:rPr>
              <w:t>药、化学药制剂</w:t>
            </w:r>
            <w:r>
              <w:rPr>
                <w:rFonts w:ascii="宋体" w:hAnsi="宋体" w:cs="宋体" w:eastAsia="宋体" w:hint="default"/>
                <w:sz w:val="18"/>
                <w:szCs w:val="18"/>
              </w:rPr>
            </w:r>
          </w:p>
          <w:p>
            <w:pPr>
              <w:pStyle w:val="TableParagraph"/>
              <w:spacing w:line="357" w:lineRule="auto" w:before="115"/>
              <w:ind w:left="100" w:right="51"/>
              <w:jc w:val="both"/>
              <w:rPr>
                <w:rFonts w:ascii="宋体" w:hAnsi="宋体" w:cs="宋体" w:eastAsia="宋体" w:hint="default"/>
                <w:sz w:val="18"/>
                <w:szCs w:val="18"/>
              </w:rPr>
            </w:pPr>
            <w:r>
              <w:rPr>
                <w:rFonts w:ascii="宋体" w:hAnsi="宋体" w:cs="宋体" w:eastAsia="宋体" w:hint="default"/>
                <w:spacing w:val="-12"/>
                <w:sz w:val="18"/>
                <w:szCs w:val="18"/>
              </w:rPr>
              <w:t>（仅限于筹建）；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人参收购、销售、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粗加工等。</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pacing w:val="7"/>
                <w:sz w:val="18"/>
                <w:szCs w:val="18"/>
              </w:rPr>
              <w:t>2,000</w:t>
            </w:r>
            <w:r>
              <w:rPr>
                <w:rFonts w:ascii="宋体" w:hAnsi="宋体" w:cs="宋体" w:eastAsia="宋体" w:hint="default"/>
                <w:spacing w:val="-26"/>
                <w:sz w:val="18"/>
                <w:szCs w:val="18"/>
              </w:rPr>
              <w:t> </w:t>
            </w:r>
            <w:r>
              <w:rPr>
                <w:rFonts w:ascii="宋体" w:hAnsi="宋体" w:cs="宋体" w:eastAsia="宋体" w:hint="default"/>
                <w:sz w:val="18"/>
                <w:szCs w:val="18"/>
              </w:rPr>
              <w:t>万</w:t>
            </w:r>
          </w:p>
          <w:p>
            <w:pPr>
              <w:pStyle w:val="TableParagraph"/>
              <w:spacing w:line="240" w:lineRule="auto" w:before="115"/>
              <w:ind w:right="19"/>
              <w:jc w:val="center"/>
              <w:rPr>
                <w:rFonts w:ascii="宋体" w:hAnsi="宋体" w:cs="宋体" w:eastAsia="宋体" w:hint="default"/>
                <w:sz w:val="18"/>
                <w:szCs w:val="18"/>
              </w:rPr>
            </w:pPr>
            <w:r>
              <w:rPr>
                <w:rFonts w:ascii="宋体" w:hAnsi="宋体" w:cs="宋体" w:eastAsia="宋体" w:hint="default"/>
                <w:sz w:val="18"/>
                <w:szCs w:val="18"/>
              </w:rPr>
              <w:t>元</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8"/>
              <w:jc w:val="center"/>
              <w:rPr>
                <w:rFonts w:ascii="宋体" w:hAnsi="宋体" w:cs="宋体" w:eastAsia="宋体" w:hint="default"/>
                <w:sz w:val="18"/>
                <w:szCs w:val="18"/>
              </w:rPr>
            </w:pPr>
            <w:r>
              <w:rPr>
                <w:rFonts w:ascii="宋体"/>
                <w:spacing w:val="8"/>
                <w:sz w:val="18"/>
              </w:rPr>
              <w:t>100.00%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spacing w:val="8"/>
                <w:sz w:val="18"/>
              </w:rPr>
              <w:t>100.00%</w:t>
            </w:r>
          </w:p>
        </w:tc>
        <w:tc>
          <w:tcPr>
            <w:tcW w:w="133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18"/>
                <w:szCs w:val="18"/>
              </w:rPr>
            </w:pPr>
            <w:r>
              <w:rPr>
                <w:rFonts w:ascii="宋体"/>
                <w:sz w:val="18"/>
              </w:rPr>
              <w:t>5527182-4</w:t>
            </w:r>
          </w:p>
        </w:tc>
      </w:tr>
      <w:tr>
        <w:trPr>
          <w:trHeight w:val="2115" w:hRule="exact"/>
        </w:trPr>
        <w:tc>
          <w:tcPr>
            <w:tcW w:w="2223"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355" w:lineRule="auto"/>
              <w:ind w:left="14" w:right="87"/>
              <w:jc w:val="left"/>
              <w:rPr>
                <w:rFonts w:ascii="宋体" w:hAnsi="宋体" w:cs="宋体" w:eastAsia="宋体" w:hint="default"/>
                <w:sz w:val="18"/>
                <w:szCs w:val="18"/>
              </w:rPr>
            </w:pPr>
            <w:r>
              <w:rPr>
                <w:rFonts w:ascii="宋体" w:hAnsi="宋体" w:cs="宋体" w:eastAsia="宋体" w:hint="default"/>
                <w:spacing w:val="12"/>
                <w:sz w:val="18"/>
                <w:szCs w:val="18"/>
              </w:rPr>
              <w:t>吉林紫鑫般若药业有限公 </w:t>
            </w:r>
            <w:r>
              <w:rPr>
                <w:rFonts w:ascii="宋体" w:hAnsi="宋体" w:cs="宋体" w:eastAsia="宋体" w:hint="default"/>
                <w:sz w:val="18"/>
                <w:szCs w:val="18"/>
              </w:rPr>
              <w:t>司</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355" w:lineRule="auto"/>
              <w:ind w:left="136" w:right="137"/>
              <w:jc w:val="left"/>
              <w:rPr>
                <w:rFonts w:ascii="宋体" w:hAnsi="宋体" w:cs="宋体" w:eastAsia="宋体" w:hint="default"/>
                <w:sz w:val="18"/>
                <w:szCs w:val="18"/>
              </w:rPr>
            </w:pPr>
            <w:r>
              <w:rPr>
                <w:rFonts w:ascii="宋体" w:hAnsi="宋体" w:cs="宋体" w:eastAsia="宋体" w:hint="default"/>
                <w:spacing w:val="9"/>
                <w:sz w:val="18"/>
                <w:szCs w:val="18"/>
              </w:rPr>
              <w:t>有限</w:t>
            </w:r>
            <w:r>
              <w:rPr>
                <w:rFonts w:ascii="宋体" w:hAnsi="宋体" w:cs="宋体" w:eastAsia="宋体" w:hint="default"/>
                <w:spacing w:val="-71"/>
                <w:sz w:val="18"/>
                <w:szCs w:val="18"/>
              </w:rPr>
              <w:t> </w:t>
            </w:r>
            <w:r>
              <w:rPr>
                <w:rFonts w:ascii="宋体" w:hAnsi="宋体" w:cs="宋体" w:eastAsia="宋体" w:hint="default"/>
                <w:spacing w:val="9"/>
                <w:sz w:val="18"/>
                <w:szCs w:val="18"/>
              </w:rPr>
              <w:t>公司</w:t>
            </w:r>
            <w:r>
              <w:rPr>
                <w:rFonts w:ascii="宋体" w:hAnsi="宋体" w:cs="宋体" w:eastAsia="宋体" w:hint="default"/>
                <w:spacing w:val="-71"/>
                <w:sz w:val="18"/>
                <w:szCs w:val="18"/>
              </w:rPr>
              <w:t> </w:t>
            </w:r>
            <w:r>
              <w:rPr>
                <w:rFonts w:ascii="宋体" w:hAnsi="宋体" w:cs="宋体" w:eastAsia="宋体" w:hint="default"/>
                <w:sz w:val="18"/>
                <w:szCs w:val="18"/>
              </w:rPr>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57" w:lineRule="auto"/>
              <w:ind w:left="100" w:right="106"/>
              <w:jc w:val="both"/>
              <w:rPr>
                <w:rFonts w:ascii="宋体" w:hAnsi="宋体" w:cs="宋体" w:eastAsia="宋体" w:hint="default"/>
                <w:sz w:val="18"/>
                <w:szCs w:val="18"/>
              </w:rPr>
            </w:pPr>
            <w:r>
              <w:rPr>
                <w:rFonts w:ascii="宋体" w:hAnsi="宋体" w:cs="宋体" w:eastAsia="宋体" w:hint="default"/>
                <w:spacing w:val="22"/>
                <w:sz w:val="18"/>
                <w:szCs w:val="18"/>
              </w:rPr>
              <w:t>磐石经</w:t>
            </w:r>
            <w:r>
              <w:rPr>
                <w:rFonts w:ascii="宋体" w:hAnsi="宋体" w:cs="宋体" w:eastAsia="宋体" w:hint="default"/>
                <w:spacing w:val="-57"/>
                <w:sz w:val="18"/>
                <w:szCs w:val="18"/>
              </w:rPr>
              <w:t> </w:t>
            </w:r>
            <w:r>
              <w:rPr>
                <w:rFonts w:ascii="宋体" w:hAnsi="宋体" w:cs="宋体" w:eastAsia="宋体" w:hint="default"/>
                <w:spacing w:val="22"/>
                <w:sz w:val="18"/>
                <w:szCs w:val="18"/>
              </w:rPr>
              <w:t>济开发</w:t>
            </w:r>
            <w:r>
              <w:rPr>
                <w:rFonts w:ascii="宋体" w:hAnsi="宋体" w:cs="宋体" w:eastAsia="宋体" w:hint="default"/>
                <w:spacing w:val="-57"/>
                <w:sz w:val="18"/>
                <w:szCs w:val="18"/>
              </w:rPr>
              <w:t> </w:t>
            </w:r>
            <w:r>
              <w:rPr>
                <w:rFonts w:ascii="宋体" w:hAnsi="宋体" w:cs="宋体" w:eastAsia="宋体" w:hint="default"/>
                <w:spacing w:val="22"/>
                <w:sz w:val="18"/>
                <w:szCs w:val="18"/>
              </w:rPr>
              <w:t>区西点</w:t>
            </w:r>
            <w:r>
              <w:rPr>
                <w:rFonts w:ascii="宋体" w:hAnsi="宋体" w:cs="宋体" w:eastAsia="宋体" w:hint="default"/>
                <w:spacing w:val="-57"/>
                <w:sz w:val="18"/>
                <w:szCs w:val="18"/>
              </w:rPr>
              <w:t> </w:t>
            </w:r>
            <w:r>
              <w:rPr>
                <w:rFonts w:ascii="宋体" w:hAnsi="宋体" w:cs="宋体" w:eastAsia="宋体" w:hint="default"/>
                <w:sz w:val="18"/>
                <w:szCs w:val="18"/>
              </w:rPr>
              <w:t>大街</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40" w:right="0"/>
              <w:jc w:val="left"/>
              <w:rPr>
                <w:rFonts w:ascii="宋体" w:hAnsi="宋体" w:cs="宋体" w:eastAsia="宋体" w:hint="default"/>
                <w:sz w:val="18"/>
                <w:szCs w:val="18"/>
              </w:rPr>
            </w:pPr>
            <w:r>
              <w:rPr>
                <w:rFonts w:ascii="宋体" w:hAnsi="宋体" w:cs="宋体" w:eastAsia="宋体" w:hint="default"/>
                <w:sz w:val="18"/>
                <w:szCs w:val="18"/>
              </w:rPr>
              <w:t>范水波</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用于中成药制造</w:t>
            </w:r>
            <w:r>
              <w:rPr>
                <w:rFonts w:ascii="宋体" w:hAnsi="宋体" w:cs="宋体" w:eastAsia="宋体" w:hint="default"/>
                <w:sz w:val="18"/>
                <w:szCs w:val="18"/>
              </w:rPr>
            </w:r>
          </w:p>
          <w:p>
            <w:pPr>
              <w:pStyle w:val="TableParagraph"/>
              <w:spacing w:line="355" w:lineRule="auto" w:before="115"/>
              <w:ind w:left="100" w:right="92"/>
              <w:jc w:val="both"/>
              <w:rPr>
                <w:rFonts w:ascii="宋体" w:hAnsi="宋体" w:cs="宋体" w:eastAsia="宋体" w:hint="default"/>
                <w:sz w:val="18"/>
                <w:szCs w:val="18"/>
              </w:rPr>
            </w:pPr>
            <w:r>
              <w:rPr>
                <w:rFonts w:ascii="宋体" w:hAnsi="宋体" w:cs="宋体" w:eastAsia="宋体" w:hint="default"/>
                <w:spacing w:val="7"/>
                <w:sz w:val="18"/>
                <w:szCs w:val="18"/>
              </w:rPr>
              <w:t>项目建设（不得 </w:t>
            </w:r>
            <w:r>
              <w:rPr>
                <w:rFonts w:ascii="宋体" w:hAnsi="宋体" w:cs="宋体" w:eastAsia="宋体" w:hint="default"/>
                <w:spacing w:val="-12"/>
                <w:sz w:val="18"/>
                <w:szCs w:val="18"/>
              </w:rPr>
              <w:t>从事生产活动）；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农副土特产品、</w:t>
            </w:r>
            <w:r>
              <w:rPr>
                <w:rFonts w:ascii="宋体" w:hAnsi="宋体" w:cs="宋体" w:eastAsia="宋体" w:hint="default"/>
                <w:sz w:val="18"/>
                <w:szCs w:val="18"/>
              </w:rPr>
            </w:r>
          </w:p>
          <w:p>
            <w:pPr>
              <w:pStyle w:val="TableParagraph"/>
              <w:spacing w:line="357" w:lineRule="auto" w:before="28"/>
              <w:ind w:left="100" w:right="130"/>
              <w:jc w:val="both"/>
              <w:rPr>
                <w:rFonts w:ascii="宋体" w:hAnsi="宋体" w:cs="宋体" w:eastAsia="宋体" w:hint="default"/>
                <w:sz w:val="18"/>
                <w:szCs w:val="18"/>
              </w:rPr>
            </w:pPr>
            <w:r>
              <w:rPr>
                <w:rFonts w:ascii="宋体" w:hAnsi="宋体" w:cs="宋体" w:eastAsia="宋体" w:hint="default"/>
                <w:spacing w:val="7"/>
                <w:sz w:val="18"/>
                <w:szCs w:val="18"/>
              </w:rPr>
              <w:t>人参收购及深加 </w:t>
            </w:r>
            <w:r>
              <w:rPr>
                <w:rFonts w:ascii="宋体" w:hAnsi="宋体" w:cs="宋体" w:eastAsia="宋体" w:hint="default"/>
                <w:sz w:val="18"/>
                <w:szCs w:val="18"/>
              </w:rPr>
              <w:t>工、销售等。</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pacing w:val="7"/>
                <w:sz w:val="18"/>
                <w:szCs w:val="18"/>
              </w:rPr>
              <w:t>2,000</w:t>
            </w:r>
            <w:r>
              <w:rPr>
                <w:rFonts w:ascii="宋体" w:hAnsi="宋体" w:cs="宋体" w:eastAsia="宋体" w:hint="default"/>
                <w:spacing w:val="-26"/>
                <w:sz w:val="18"/>
                <w:szCs w:val="18"/>
              </w:rPr>
              <w:t> </w:t>
            </w:r>
            <w:r>
              <w:rPr>
                <w:rFonts w:ascii="宋体" w:hAnsi="宋体" w:cs="宋体" w:eastAsia="宋体" w:hint="default"/>
                <w:sz w:val="18"/>
                <w:szCs w:val="18"/>
              </w:rPr>
              <w:t>万</w:t>
            </w:r>
          </w:p>
          <w:p>
            <w:pPr>
              <w:pStyle w:val="TableParagraph"/>
              <w:spacing w:line="240" w:lineRule="auto" w:before="112"/>
              <w:ind w:right="19"/>
              <w:jc w:val="center"/>
              <w:rPr>
                <w:rFonts w:ascii="宋体" w:hAnsi="宋体" w:cs="宋体" w:eastAsia="宋体" w:hint="default"/>
                <w:sz w:val="18"/>
                <w:szCs w:val="18"/>
              </w:rPr>
            </w:pPr>
            <w:r>
              <w:rPr>
                <w:rFonts w:ascii="宋体" w:hAnsi="宋体" w:cs="宋体" w:eastAsia="宋体" w:hint="default"/>
                <w:sz w:val="18"/>
                <w:szCs w:val="18"/>
              </w:rPr>
              <w:t>元</w:t>
            </w:r>
          </w:p>
        </w:tc>
        <w:tc>
          <w:tcPr>
            <w:tcW w:w="9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8"/>
              <w:jc w:val="center"/>
              <w:rPr>
                <w:rFonts w:ascii="宋体" w:hAnsi="宋体" w:cs="宋体" w:eastAsia="宋体" w:hint="default"/>
                <w:sz w:val="18"/>
                <w:szCs w:val="18"/>
              </w:rPr>
            </w:pPr>
            <w:r>
              <w:rPr>
                <w:rFonts w:ascii="宋体"/>
                <w:spacing w:val="8"/>
                <w:sz w:val="18"/>
              </w:rPr>
              <w:t>100.00%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7"/>
              <w:jc w:val="center"/>
              <w:rPr>
                <w:rFonts w:ascii="宋体" w:hAnsi="宋体" w:cs="宋体" w:eastAsia="宋体" w:hint="default"/>
                <w:sz w:val="18"/>
                <w:szCs w:val="18"/>
              </w:rPr>
            </w:pPr>
            <w:r>
              <w:rPr>
                <w:rFonts w:ascii="宋体"/>
                <w:spacing w:val="8"/>
                <w:sz w:val="18"/>
              </w:rPr>
              <w:t>100.00%</w:t>
            </w:r>
          </w:p>
        </w:tc>
        <w:tc>
          <w:tcPr>
            <w:tcW w:w="1337" w:type="dxa"/>
            <w:tcBorders>
              <w:top w:val="single" w:sz="6" w:space="0" w:color="000000"/>
              <w:left w:val="single" w:sz="6"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5"/>
              <w:jc w:val="center"/>
              <w:rPr>
                <w:rFonts w:ascii="宋体" w:hAnsi="宋体" w:cs="宋体" w:eastAsia="宋体" w:hint="default"/>
                <w:sz w:val="18"/>
                <w:szCs w:val="18"/>
              </w:rPr>
            </w:pPr>
            <w:r>
              <w:rPr>
                <w:rFonts w:ascii="宋体"/>
                <w:sz w:val="18"/>
              </w:rPr>
              <w:t>55527751-3</w:t>
            </w:r>
          </w:p>
        </w:tc>
      </w:tr>
      <w:tr>
        <w:trPr>
          <w:trHeight w:val="1426" w:hRule="exact"/>
        </w:trPr>
        <w:tc>
          <w:tcPr>
            <w:tcW w:w="2223"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57" w:lineRule="auto"/>
              <w:ind w:left="14" w:right="87"/>
              <w:jc w:val="left"/>
              <w:rPr>
                <w:rFonts w:ascii="宋体" w:hAnsi="宋体" w:cs="宋体" w:eastAsia="宋体" w:hint="default"/>
                <w:sz w:val="18"/>
                <w:szCs w:val="18"/>
              </w:rPr>
            </w:pPr>
            <w:r>
              <w:rPr>
                <w:rFonts w:ascii="宋体" w:hAnsi="宋体" w:cs="宋体" w:eastAsia="宋体" w:hint="default"/>
                <w:spacing w:val="12"/>
                <w:sz w:val="18"/>
                <w:szCs w:val="18"/>
              </w:rPr>
              <w:t>吉林紫鑫药物研究有限公 </w:t>
            </w:r>
            <w:r>
              <w:rPr>
                <w:rFonts w:ascii="宋体" w:hAnsi="宋体" w:cs="宋体" w:eastAsia="宋体" w:hint="default"/>
                <w:sz w:val="18"/>
                <w:szCs w:val="18"/>
              </w:rPr>
              <w:t>司</w:t>
            </w:r>
          </w:p>
        </w:tc>
        <w:tc>
          <w:tcPr>
            <w:tcW w:w="6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57" w:lineRule="auto"/>
              <w:ind w:left="136" w:right="137"/>
              <w:jc w:val="left"/>
              <w:rPr>
                <w:rFonts w:ascii="宋体" w:hAnsi="宋体" w:cs="宋体" w:eastAsia="宋体" w:hint="default"/>
                <w:sz w:val="18"/>
                <w:szCs w:val="18"/>
              </w:rPr>
            </w:pPr>
            <w:r>
              <w:rPr>
                <w:rFonts w:ascii="宋体" w:hAnsi="宋体" w:cs="宋体" w:eastAsia="宋体" w:hint="default"/>
                <w:spacing w:val="9"/>
                <w:sz w:val="18"/>
                <w:szCs w:val="18"/>
              </w:rPr>
              <w:t>有限</w:t>
            </w:r>
            <w:r>
              <w:rPr>
                <w:rFonts w:ascii="宋体" w:hAnsi="宋体" w:cs="宋体" w:eastAsia="宋体" w:hint="default"/>
                <w:spacing w:val="-71"/>
                <w:sz w:val="18"/>
                <w:szCs w:val="18"/>
              </w:rPr>
              <w:t> </w:t>
            </w:r>
            <w:r>
              <w:rPr>
                <w:rFonts w:ascii="宋体" w:hAnsi="宋体" w:cs="宋体" w:eastAsia="宋体" w:hint="default"/>
                <w:spacing w:val="9"/>
                <w:sz w:val="18"/>
                <w:szCs w:val="18"/>
              </w:rPr>
              <w:t>公司</w:t>
            </w:r>
            <w:r>
              <w:rPr>
                <w:rFonts w:ascii="宋体" w:hAnsi="宋体" w:cs="宋体" w:eastAsia="宋体" w:hint="default"/>
                <w:spacing w:val="-71"/>
                <w:sz w:val="18"/>
                <w:szCs w:val="18"/>
              </w:rPr>
              <w:t> </w:t>
            </w:r>
            <w:r>
              <w:rPr>
                <w:rFonts w:ascii="宋体" w:hAnsi="宋体" w:cs="宋体" w:eastAsia="宋体" w:hint="default"/>
                <w:sz w:val="18"/>
                <w:szCs w:val="18"/>
              </w:rPr>
            </w:r>
          </w:p>
        </w:tc>
        <w:tc>
          <w:tcPr>
            <w:tcW w:w="865"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pacing w:val="22"/>
                <w:sz w:val="18"/>
                <w:szCs w:val="18"/>
              </w:rPr>
              <w:t>长春市</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357" w:lineRule="auto" w:before="115"/>
              <w:ind w:left="100" w:right="106"/>
              <w:jc w:val="both"/>
              <w:rPr>
                <w:rFonts w:ascii="宋体" w:hAnsi="宋体" w:cs="宋体" w:eastAsia="宋体" w:hint="default"/>
                <w:sz w:val="18"/>
                <w:szCs w:val="18"/>
              </w:rPr>
            </w:pPr>
            <w:r>
              <w:rPr>
                <w:rFonts w:ascii="宋体" w:hAnsi="宋体" w:cs="宋体" w:eastAsia="宋体" w:hint="default"/>
                <w:spacing w:val="22"/>
                <w:sz w:val="18"/>
                <w:szCs w:val="18"/>
              </w:rPr>
              <w:t>南关区</w:t>
            </w:r>
            <w:r>
              <w:rPr>
                <w:rFonts w:ascii="宋体" w:hAnsi="宋体" w:cs="宋体" w:eastAsia="宋体" w:hint="default"/>
                <w:spacing w:val="-57"/>
                <w:sz w:val="18"/>
                <w:szCs w:val="18"/>
              </w:rPr>
              <w:t> </w:t>
            </w:r>
            <w:r>
              <w:rPr>
                <w:rFonts w:ascii="宋体" w:hAnsi="宋体" w:cs="宋体" w:eastAsia="宋体" w:hint="default"/>
                <w:spacing w:val="22"/>
                <w:sz w:val="18"/>
                <w:szCs w:val="18"/>
              </w:rPr>
              <w:t>东头道</w:t>
            </w:r>
            <w:r>
              <w:rPr>
                <w:rFonts w:ascii="宋体" w:hAnsi="宋体" w:cs="宋体" w:eastAsia="宋体" w:hint="default"/>
                <w:spacing w:val="-57"/>
                <w:sz w:val="18"/>
                <w:szCs w:val="18"/>
              </w:rPr>
              <w:t> </w:t>
            </w:r>
            <w:r>
              <w:rPr>
                <w:rFonts w:ascii="宋体" w:hAnsi="宋体" w:cs="宋体" w:eastAsia="宋体" w:hint="default"/>
                <w:sz w:val="18"/>
                <w:szCs w:val="18"/>
              </w:rPr>
              <w:t>街</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殷金龙</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新药、保健食品、</w:t>
            </w:r>
          </w:p>
          <w:p>
            <w:pPr>
              <w:pStyle w:val="TableParagraph"/>
              <w:spacing w:line="357" w:lineRule="auto" w:before="115"/>
              <w:ind w:left="100" w:right="130"/>
              <w:jc w:val="both"/>
              <w:rPr>
                <w:rFonts w:ascii="宋体" w:hAnsi="宋体" w:cs="宋体" w:eastAsia="宋体" w:hint="default"/>
                <w:sz w:val="18"/>
                <w:szCs w:val="18"/>
              </w:rPr>
            </w:pPr>
            <w:r>
              <w:rPr>
                <w:rFonts w:ascii="宋体" w:hAnsi="宋体" w:cs="宋体" w:eastAsia="宋体" w:hint="default"/>
                <w:spacing w:val="7"/>
                <w:sz w:val="18"/>
                <w:szCs w:val="18"/>
              </w:rPr>
              <w:t>化学原料药的研 发；技术转让、 技术咨询、成果</w:t>
            </w:r>
            <w:r>
              <w:rPr>
                <w:rFonts w:ascii="宋体" w:hAnsi="宋体" w:cs="宋体" w:eastAsia="宋体" w:hint="default"/>
                <w:sz w:val="18"/>
                <w:szCs w:val="18"/>
              </w:rPr>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6"/>
                <w:sz w:val="18"/>
                <w:szCs w:val="18"/>
              </w:rPr>
              <w:t>200</w:t>
            </w:r>
            <w:r>
              <w:rPr>
                <w:rFonts w:ascii="宋体" w:hAnsi="宋体" w:cs="宋体" w:eastAsia="宋体" w:hint="default"/>
                <w:spacing w:val="-26"/>
                <w:sz w:val="18"/>
                <w:szCs w:val="18"/>
              </w:rPr>
              <w:t> </w:t>
            </w:r>
            <w:r>
              <w:rPr>
                <w:rFonts w:ascii="宋体" w:hAnsi="宋体" w:cs="宋体" w:eastAsia="宋体" w:hint="default"/>
                <w:spacing w:val="9"/>
                <w:sz w:val="18"/>
                <w:szCs w:val="18"/>
              </w:rPr>
              <w:t>万元</w:t>
            </w:r>
            <w:r>
              <w:rPr>
                <w:rFonts w:ascii="宋体" w:hAnsi="宋体" w:cs="宋体" w:eastAsia="宋体" w:hint="default"/>
                <w:spacing w:val="-71"/>
                <w:sz w:val="18"/>
                <w:szCs w:val="18"/>
              </w:rPr>
              <w:t> </w:t>
            </w:r>
            <w:r>
              <w:rPr>
                <w:rFonts w:ascii="宋体" w:hAnsi="宋体" w:cs="宋体" w:eastAsia="宋体" w:hint="default"/>
                <w:sz w:val="18"/>
                <w:szCs w:val="18"/>
              </w:rPr>
            </w:r>
          </w:p>
        </w:tc>
        <w:tc>
          <w:tcPr>
            <w:tcW w:w="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8"/>
              <w:jc w:val="center"/>
              <w:rPr>
                <w:rFonts w:ascii="宋体" w:hAnsi="宋体" w:cs="宋体" w:eastAsia="宋体" w:hint="default"/>
                <w:sz w:val="18"/>
                <w:szCs w:val="18"/>
              </w:rPr>
            </w:pPr>
            <w:r>
              <w:rPr>
                <w:rFonts w:ascii="宋体"/>
                <w:spacing w:val="8"/>
                <w:sz w:val="18"/>
              </w:rPr>
              <w:t>100.00%</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7"/>
              <w:jc w:val="center"/>
              <w:rPr>
                <w:rFonts w:ascii="宋体" w:hAnsi="宋体" w:cs="宋体" w:eastAsia="宋体" w:hint="default"/>
                <w:sz w:val="18"/>
                <w:szCs w:val="18"/>
              </w:rPr>
            </w:pPr>
            <w:r>
              <w:rPr>
                <w:rFonts w:ascii="宋体"/>
                <w:spacing w:val="8"/>
                <w:sz w:val="18"/>
              </w:rPr>
              <w:t>100.00%</w:t>
            </w:r>
          </w:p>
        </w:tc>
        <w:tc>
          <w:tcPr>
            <w:tcW w:w="1337"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5"/>
              <w:jc w:val="center"/>
              <w:rPr>
                <w:rFonts w:ascii="宋体" w:hAnsi="宋体" w:cs="宋体" w:eastAsia="宋体" w:hint="default"/>
                <w:sz w:val="18"/>
                <w:szCs w:val="18"/>
              </w:rPr>
            </w:pPr>
            <w:r>
              <w:rPr>
                <w:rFonts w:ascii="宋体"/>
                <w:sz w:val="18"/>
              </w:rPr>
              <w:t>55976951-X</w:t>
            </w:r>
          </w:p>
        </w:tc>
      </w:tr>
    </w:tbl>
    <w:p>
      <w:pPr>
        <w:spacing w:after="0" w:line="240" w:lineRule="auto"/>
        <w:jc w:val="center"/>
        <w:rPr>
          <w:rFonts w:ascii="宋体" w:hAnsi="宋体" w:cs="宋体" w:eastAsia="宋体" w:hint="default"/>
          <w:sz w:val="18"/>
          <w:szCs w:val="18"/>
        </w:rPr>
        <w:sectPr>
          <w:pgSz w:w="11910" w:h="16840"/>
          <w:pgMar w:header="720" w:footer="956" w:top="1300" w:bottom="1140" w:left="480" w:right="0"/>
        </w:sectPr>
      </w:pPr>
    </w:p>
    <w:p>
      <w:pPr>
        <w:spacing w:line="240" w:lineRule="auto" w:before="7"/>
        <w:rPr>
          <w:rFonts w:ascii="宋体" w:hAnsi="宋体" w:cs="宋体" w:eastAsia="宋体"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2223"/>
        <w:gridCol w:w="689"/>
        <w:gridCol w:w="865"/>
        <w:gridCol w:w="1037"/>
        <w:gridCol w:w="1558"/>
        <w:gridCol w:w="1037"/>
        <w:gridCol w:w="917"/>
        <w:gridCol w:w="1037"/>
        <w:gridCol w:w="1337"/>
      </w:tblGrid>
      <w:tr>
        <w:trPr>
          <w:trHeight w:val="869" w:hRule="exact"/>
        </w:trPr>
        <w:tc>
          <w:tcPr>
            <w:tcW w:w="2223" w:type="dxa"/>
            <w:tcBorders>
              <w:top w:val="single" w:sz="12" w:space="0" w:color="000000"/>
              <w:left w:val="nil" w:sz="6" w:space="0" w:color="auto"/>
              <w:bottom w:val="single" w:sz="6" w:space="0" w:color="000000"/>
              <w:right w:val="single" w:sz="6" w:space="0" w:color="000000"/>
            </w:tcBorders>
          </w:tcPr>
          <w:p>
            <w:pPr/>
          </w:p>
        </w:tc>
        <w:tc>
          <w:tcPr>
            <w:tcW w:w="689" w:type="dxa"/>
            <w:tcBorders>
              <w:top w:val="single" w:sz="12" w:space="0" w:color="000000"/>
              <w:left w:val="single" w:sz="6" w:space="0" w:color="000000"/>
              <w:bottom w:val="single" w:sz="6" w:space="0" w:color="000000"/>
              <w:right w:val="single" w:sz="6" w:space="0" w:color="000000"/>
            </w:tcBorders>
          </w:tcPr>
          <w:p>
            <w:pPr/>
          </w:p>
        </w:tc>
        <w:tc>
          <w:tcPr>
            <w:tcW w:w="865" w:type="dxa"/>
            <w:tcBorders>
              <w:top w:val="single" w:sz="12" w:space="0" w:color="000000"/>
              <w:left w:val="single" w:sz="6" w:space="0" w:color="000000"/>
              <w:bottom w:val="single" w:sz="6" w:space="0" w:color="000000"/>
              <w:right w:val="single" w:sz="6" w:space="0" w:color="000000"/>
            </w:tcBorders>
          </w:tcPr>
          <w:p>
            <w:pPr/>
          </w:p>
        </w:tc>
        <w:tc>
          <w:tcPr>
            <w:tcW w:w="1037" w:type="dxa"/>
            <w:tcBorders>
              <w:top w:val="single" w:sz="12" w:space="0" w:color="000000"/>
              <w:left w:val="single" w:sz="6" w:space="0" w:color="000000"/>
              <w:bottom w:val="single" w:sz="6" w:space="0" w:color="000000"/>
              <w:right w:val="single" w:sz="6" w:space="0" w:color="000000"/>
            </w:tcBorders>
          </w:tcPr>
          <w:p>
            <w:pPr/>
          </w:p>
        </w:tc>
        <w:tc>
          <w:tcPr>
            <w:tcW w:w="1558" w:type="dxa"/>
            <w:tcBorders>
              <w:top w:val="single" w:sz="12" w:space="0" w:color="000000"/>
              <w:left w:val="single" w:sz="6" w:space="0" w:color="000000"/>
              <w:bottom w:val="single" w:sz="6" w:space="0" w:color="000000"/>
              <w:right w:val="single" w:sz="6" w:space="0" w:color="000000"/>
            </w:tcBorders>
          </w:tcPr>
          <w:p>
            <w:pPr>
              <w:pStyle w:val="TableParagraph"/>
              <w:spacing w:line="210" w:lineRule="exact"/>
              <w:ind w:left="100" w:right="0"/>
              <w:jc w:val="left"/>
              <w:rPr>
                <w:rFonts w:ascii="宋体" w:hAnsi="宋体" w:cs="宋体" w:eastAsia="宋体" w:hint="default"/>
                <w:sz w:val="18"/>
                <w:szCs w:val="18"/>
              </w:rPr>
            </w:pPr>
            <w:r>
              <w:rPr>
                <w:rFonts w:ascii="宋体" w:hAnsi="宋体" w:cs="宋体" w:eastAsia="宋体" w:hint="default"/>
                <w:sz w:val="18"/>
                <w:szCs w:val="18"/>
              </w:rPr>
              <w:t>转让等。</w:t>
            </w:r>
          </w:p>
        </w:tc>
        <w:tc>
          <w:tcPr>
            <w:tcW w:w="1037" w:type="dxa"/>
            <w:tcBorders>
              <w:top w:val="single" w:sz="12" w:space="0" w:color="000000"/>
              <w:left w:val="single" w:sz="6" w:space="0" w:color="000000"/>
              <w:bottom w:val="single" w:sz="6" w:space="0" w:color="000000"/>
              <w:right w:val="single" w:sz="6" w:space="0" w:color="000000"/>
            </w:tcBorders>
          </w:tcPr>
          <w:p>
            <w:pPr/>
          </w:p>
        </w:tc>
        <w:tc>
          <w:tcPr>
            <w:tcW w:w="917" w:type="dxa"/>
            <w:tcBorders>
              <w:top w:val="single" w:sz="12" w:space="0" w:color="000000"/>
              <w:left w:val="single" w:sz="6" w:space="0" w:color="000000"/>
              <w:bottom w:val="single" w:sz="6" w:space="0" w:color="000000"/>
              <w:right w:val="single" w:sz="6" w:space="0" w:color="000000"/>
            </w:tcBorders>
          </w:tcPr>
          <w:p>
            <w:pPr/>
          </w:p>
        </w:tc>
        <w:tc>
          <w:tcPr>
            <w:tcW w:w="1037" w:type="dxa"/>
            <w:tcBorders>
              <w:top w:val="single" w:sz="12" w:space="0" w:color="000000"/>
              <w:left w:val="single" w:sz="6" w:space="0" w:color="000000"/>
              <w:bottom w:val="single" w:sz="6" w:space="0" w:color="000000"/>
              <w:right w:val="single" w:sz="6" w:space="0" w:color="000000"/>
            </w:tcBorders>
          </w:tcPr>
          <w:p>
            <w:pPr/>
          </w:p>
        </w:tc>
        <w:tc>
          <w:tcPr>
            <w:tcW w:w="1337" w:type="dxa"/>
            <w:tcBorders>
              <w:top w:val="single" w:sz="12" w:space="0" w:color="000000"/>
              <w:left w:val="single" w:sz="6" w:space="0" w:color="000000"/>
              <w:bottom w:val="single" w:sz="6" w:space="0" w:color="000000"/>
              <w:right w:val="nil" w:sz="6" w:space="0" w:color="auto"/>
            </w:tcBorders>
          </w:tcPr>
          <w:p>
            <w:pPr/>
          </w:p>
        </w:tc>
      </w:tr>
      <w:tr>
        <w:trPr>
          <w:trHeight w:val="1774" w:hRule="exact"/>
        </w:trPr>
        <w:tc>
          <w:tcPr>
            <w:tcW w:w="2223" w:type="dxa"/>
            <w:tcBorders>
              <w:top w:val="single" w:sz="6" w:space="0" w:color="000000"/>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357" w:lineRule="auto"/>
              <w:ind w:left="14" w:right="87"/>
              <w:jc w:val="left"/>
              <w:rPr>
                <w:rFonts w:ascii="宋体" w:hAnsi="宋体" w:cs="宋体" w:eastAsia="宋体" w:hint="default"/>
                <w:sz w:val="18"/>
                <w:szCs w:val="18"/>
              </w:rPr>
            </w:pPr>
            <w:r>
              <w:rPr>
                <w:rFonts w:ascii="宋体" w:hAnsi="宋体" w:cs="宋体" w:eastAsia="宋体" w:hint="default"/>
                <w:spacing w:val="12"/>
                <w:sz w:val="18"/>
                <w:szCs w:val="18"/>
              </w:rPr>
              <w:t>吉林紫鑫人参研发有限公 </w:t>
            </w:r>
            <w:r>
              <w:rPr>
                <w:rFonts w:ascii="宋体" w:hAnsi="宋体" w:cs="宋体" w:eastAsia="宋体" w:hint="default"/>
                <w:sz w:val="18"/>
                <w:szCs w:val="18"/>
              </w:rPr>
              <w:t>司</w:t>
            </w:r>
          </w:p>
        </w:tc>
        <w:tc>
          <w:tcPr>
            <w:tcW w:w="68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357" w:lineRule="auto"/>
              <w:ind w:left="156" w:right="15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865" w:type="dxa"/>
            <w:tcBorders>
              <w:top w:val="single" w:sz="6" w:space="0" w:color="000000"/>
              <w:left w:val="single" w:sz="6" w:space="0" w:color="000000"/>
              <w:bottom w:val="single" w:sz="12" w:space="0" w:color="000000"/>
              <w:right w:val="single" w:sz="6" w:space="0" w:color="000000"/>
            </w:tcBorders>
          </w:tcPr>
          <w:p>
            <w:pPr>
              <w:pStyle w:val="TableParagraph"/>
              <w:spacing w:line="357" w:lineRule="auto" w:before="142"/>
              <w:ind w:left="100" w:right="106"/>
              <w:jc w:val="both"/>
              <w:rPr>
                <w:rFonts w:ascii="宋体" w:hAnsi="宋体" w:cs="宋体" w:eastAsia="宋体" w:hint="default"/>
                <w:sz w:val="18"/>
                <w:szCs w:val="18"/>
              </w:rPr>
            </w:pPr>
            <w:r>
              <w:rPr>
                <w:rFonts w:ascii="宋体" w:hAnsi="宋体" w:cs="宋体" w:eastAsia="宋体" w:hint="default"/>
                <w:spacing w:val="22"/>
                <w:sz w:val="18"/>
                <w:szCs w:val="18"/>
              </w:rPr>
              <w:t>长春市</w:t>
            </w:r>
            <w:r>
              <w:rPr>
                <w:rFonts w:ascii="宋体" w:hAnsi="宋体" w:cs="宋体" w:eastAsia="宋体" w:hint="default"/>
                <w:spacing w:val="-57"/>
                <w:sz w:val="18"/>
                <w:szCs w:val="18"/>
              </w:rPr>
              <w:t> </w:t>
            </w:r>
            <w:r>
              <w:rPr>
                <w:rFonts w:ascii="宋体" w:hAnsi="宋体" w:cs="宋体" w:eastAsia="宋体" w:hint="default"/>
                <w:spacing w:val="22"/>
                <w:sz w:val="18"/>
                <w:szCs w:val="18"/>
              </w:rPr>
              <w:t>南关区</w:t>
            </w:r>
            <w:r>
              <w:rPr>
                <w:rFonts w:ascii="宋体" w:hAnsi="宋体" w:cs="宋体" w:eastAsia="宋体" w:hint="default"/>
                <w:spacing w:val="-57"/>
                <w:sz w:val="18"/>
                <w:szCs w:val="18"/>
              </w:rPr>
              <w:t> </w:t>
            </w:r>
            <w:r>
              <w:rPr>
                <w:rFonts w:ascii="宋体" w:hAnsi="宋体" w:cs="宋体" w:eastAsia="宋体" w:hint="default"/>
                <w:spacing w:val="22"/>
                <w:sz w:val="18"/>
                <w:szCs w:val="18"/>
              </w:rPr>
              <w:t>东头道</w:t>
            </w:r>
            <w:r>
              <w:rPr>
                <w:rFonts w:ascii="宋体" w:hAnsi="宋体" w:cs="宋体" w:eastAsia="宋体" w:hint="default"/>
                <w:spacing w:val="-57"/>
                <w:sz w:val="18"/>
                <w:szCs w:val="18"/>
              </w:rPr>
              <w:t> </w:t>
            </w:r>
            <w:r>
              <w:rPr>
                <w:rFonts w:ascii="宋体" w:hAnsi="宋体" w:cs="宋体" w:eastAsia="宋体" w:hint="default"/>
                <w:sz w:val="18"/>
                <w:szCs w:val="18"/>
              </w:rPr>
              <w:t>街</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李坤</w:t>
            </w:r>
          </w:p>
        </w:tc>
        <w:tc>
          <w:tcPr>
            <w:tcW w:w="1558"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left="100" w:right="0"/>
              <w:jc w:val="both"/>
              <w:rPr>
                <w:rFonts w:ascii="宋体" w:hAnsi="宋体" w:cs="宋体" w:eastAsia="宋体" w:hint="default"/>
                <w:sz w:val="18"/>
                <w:szCs w:val="18"/>
              </w:rPr>
            </w:pPr>
            <w:r>
              <w:rPr>
                <w:rFonts w:ascii="宋体" w:hAnsi="宋体" w:cs="宋体" w:eastAsia="宋体" w:hint="default"/>
                <w:spacing w:val="7"/>
                <w:sz w:val="18"/>
                <w:szCs w:val="18"/>
              </w:rPr>
              <w:t>人参及相关产品</w:t>
            </w:r>
            <w:r>
              <w:rPr>
                <w:rFonts w:ascii="宋体" w:hAnsi="宋体" w:cs="宋体" w:eastAsia="宋体" w:hint="default"/>
                <w:sz w:val="18"/>
                <w:szCs w:val="18"/>
              </w:rPr>
            </w:r>
          </w:p>
          <w:p>
            <w:pPr>
              <w:pStyle w:val="TableParagraph"/>
              <w:spacing w:line="357" w:lineRule="auto" w:before="115"/>
              <w:ind w:left="100" w:right="130"/>
              <w:jc w:val="both"/>
              <w:rPr>
                <w:rFonts w:ascii="宋体" w:hAnsi="宋体" w:cs="宋体" w:eastAsia="宋体" w:hint="default"/>
                <w:sz w:val="18"/>
                <w:szCs w:val="18"/>
              </w:rPr>
            </w:pPr>
            <w:r>
              <w:rPr>
                <w:rFonts w:ascii="宋体" w:hAnsi="宋体" w:cs="宋体" w:eastAsia="宋体" w:hint="default"/>
                <w:spacing w:val="7"/>
                <w:sz w:val="18"/>
                <w:szCs w:val="18"/>
              </w:rPr>
              <w:t>的研发、保健食 品研发；技术转 让、技术咨询、 </w:t>
            </w:r>
            <w:r>
              <w:rPr>
                <w:rFonts w:ascii="宋体" w:hAnsi="宋体" w:cs="宋体" w:eastAsia="宋体" w:hint="default"/>
                <w:sz w:val="18"/>
                <w:szCs w:val="18"/>
              </w:rPr>
              <w:t>成果转让等。</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pacing w:val="6"/>
                <w:sz w:val="18"/>
                <w:szCs w:val="18"/>
              </w:rPr>
              <w:t>200</w:t>
            </w:r>
            <w:r>
              <w:rPr>
                <w:rFonts w:ascii="宋体" w:hAnsi="宋体" w:cs="宋体" w:eastAsia="宋体" w:hint="default"/>
                <w:spacing w:val="-26"/>
                <w:sz w:val="18"/>
                <w:szCs w:val="18"/>
              </w:rPr>
              <w:t> </w:t>
            </w:r>
            <w:r>
              <w:rPr>
                <w:rFonts w:ascii="宋体" w:hAnsi="宋体" w:cs="宋体" w:eastAsia="宋体" w:hint="default"/>
                <w:spacing w:val="9"/>
                <w:sz w:val="18"/>
                <w:szCs w:val="18"/>
              </w:rPr>
              <w:t>万元</w:t>
            </w:r>
            <w:r>
              <w:rPr>
                <w:rFonts w:ascii="宋体" w:hAnsi="宋体" w:cs="宋体" w:eastAsia="宋体" w:hint="default"/>
                <w:spacing w:val="-71"/>
                <w:sz w:val="18"/>
                <w:szCs w:val="18"/>
              </w:rPr>
              <w:t> </w:t>
            </w:r>
            <w:r>
              <w:rPr>
                <w:rFonts w:ascii="宋体" w:hAnsi="宋体" w:cs="宋体" w:eastAsia="宋体" w:hint="default"/>
                <w:sz w:val="18"/>
                <w:szCs w:val="18"/>
              </w:rPr>
            </w:r>
          </w:p>
        </w:tc>
        <w:tc>
          <w:tcPr>
            <w:tcW w:w="9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pacing w:val="8"/>
                <w:sz w:val="18"/>
              </w:rPr>
              <w:t>100.00%</w:t>
            </w:r>
          </w:p>
        </w:tc>
        <w:tc>
          <w:tcPr>
            <w:tcW w:w="10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spacing w:val="8"/>
                <w:sz w:val="18"/>
              </w:rPr>
              <w:t>100.00%</w:t>
            </w:r>
          </w:p>
        </w:tc>
        <w:tc>
          <w:tcPr>
            <w:tcW w:w="1337" w:type="dxa"/>
            <w:tcBorders>
              <w:top w:val="single" w:sz="6" w:space="0" w:color="000000"/>
              <w:left w:val="single" w:sz="6"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sz w:val="18"/>
              </w:rPr>
              <w:t>55976954-X</w:t>
            </w:r>
          </w:p>
        </w:tc>
      </w:tr>
    </w:tbl>
    <w:p>
      <w:pPr>
        <w:pStyle w:val="Heading4"/>
        <w:spacing w:line="240" w:lineRule="auto"/>
        <w:ind w:right="606"/>
        <w:jc w:val="left"/>
        <w:rPr>
          <w:b w:val="0"/>
          <w:bCs w:val="0"/>
        </w:rPr>
      </w:pPr>
      <w:r>
        <w:rPr>
          <w:rFonts w:ascii="宋体" w:hAnsi="宋体" w:cs="宋体" w:eastAsia="宋体" w:hint="default"/>
        </w:rPr>
        <w:t>3</w:t>
      </w:r>
      <w:r>
        <w:rPr/>
        <w:t>、本公司的其他关联方情况</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575"/>
        <w:gridCol w:w="3562"/>
        <w:gridCol w:w="3562"/>
      </w:tblGrid>
      <w:tr>
        <w:trPr>
          <w:trHeight w:val="686" w:hRule="exact"/>
        </w:trPr>
        <w:tc>
          <w:tcPr>
            <w:tcW w:w="357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25"/>
              <w:ind w:left="1164"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5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c>
          <w:tcPr>
            <w:tcW w:w="3562"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125"/>
              <w:ind w:right="4"/>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680"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26"/>
              <w:ind w:left="122" w:right="0"/>
              <w:jc w:val="left"/>
              <w:rPr>
                <w:rFonts w:ascii="宋体" w:hAnsi="宋体" w:cs="宋体" w:eastAsia="宋体" w:hint="default"/>
                <w:sz w:val="18"/>
                <w:szCs w:val="18"/>
              </w:rPr>
            </w:pPr>
            <w:r>
              <w:rPr>
                <w:rFonts w:ascii="宋体" w:hAnsi="宋体" w:cs="宋体" w:eastAsia="宋体" w:hint="default"/>
                <w:sz w:val="18"/>
                <w:szCs w:val="18"/>
              </w:rPr>
              <w:t>长春农村商业银行股份有限公司</w:t>
            </w:r>
          </w:p>
        </w:tc>
        <w:tc>
          <w:tcPr>
            <w:tcW w:w="3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其他股权投资</w:t>
            </w:r>
          </w:p>
        </w:tc>
        <w:tc>
          <w:tcPr>
            <w:tcW w:w="35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26"/>
              <w:ind w:right="5"/>
              <w:jc w:val="center"/>
              <w:rPr>
                <w:rFonts w:ascii="宋体" w:hAnsi="宋体" w:cs="宋体" w:eastAsia="宋体" w:hint="default"/>
                <w:sz w:val="18"/>
                <w:szCs w:val="18"/>
              </w:rPr>
            </w:pPr>
            <w:r>
              <w:rPr>
                <w:rFonts w:ascii="宋体"/>
                <w:sz w:val="18"/>
              </w:rPr>
              <w:t>69145667-1</w:t>
            </w:r>
          </w:p>
        </w:tc>
      </w:tr>
      <w:tr>
        <w:trPr>
          <w:trHeight w:val="686" w:hRule="exact"/>
        </w:trPr>
        <w:tc>
          <w:tcPr>
            <w:tcW w:w="3575"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25"/>
              <w:ind w:left="122" w:right="0"/>
              <w:jc w:val="left"/>
              <w:rPr>
                <w:rFonts w:ascii="宋体" w:hAnsi="宋体" w:cs="宋体" w:eastAsia="宋体" w:hint="default"/>
                <w:sz w:val="18"/>
                <w:szCs w:val="18"/>
              </w:rPr>
            </w:pPr>
            <w:r>
              <w:rPr>
                <w:rFonts w:ascii="宋体" w:hAnsi="宋体" w:cs="宋体" w:eastAsia="宋体" w:hint="default"/>
                <w:sz w:val="18"/>
                <w:szCs w:val="18"/>
              </w:rPr>
              <w:t>吉林环境能源交易所有限公司</w:t>
            </w:r>
          </w:p>
        </w:tc>
        <w:tc>
          <w:tcPr>
            <w:tcW w:w="35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其他股权投资</w:t>
            </w:r>
          </w:p>
        </w:tc>
        <w:tc>
          <w:tcPr>
            <w:tcW w:w="356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25"/>
              <w:ind w:right="5"/>
              <w:jc w:val="center"/>
              <w:rPr>
                <w:rFonts w:ascii="宋体" w:hAnsi="宋体" w:cs="宋体" w:eastAsia="宋体" w:hint="default"/>
                <w:sz w:val="18"/>
                <w:szCs w:val="18"/>
              </w:rPr>
            </w:pPr>
            <w:r>
              <w:rPr>
                <w:rFonts w:ascii="宋体"/>
                <w:sz w:val="18"/>
              </w:rPr>
              <w:t>56508161-0</w:t>
            </w:r>
          </w:p>
        </w:tc>
      </w:tr>
    </w:tbl>
    <w:p>
      <w:pPr>
        <w:pStyle w:val="Heading2"/>
        <w:spacing w:line="274" w:lineRule="exact"/>
        <w:ind w:left="660" w:right="606"/>
        <w:jc w:val="left"/>
        <w:rPr>
          <w:b w:val="0"/>
          <w:bCs w:val="0"/>
        </w:rPr>
      </w:pPr>
      <w:r>
        <w:rPr/>
        <w:t>七、或有事项</w:t>
      </w:r>
      <w:r>
        <w:rPr>
          <w:b w:val="0"/>
          <w:bCs w:val="0"/>
        </w:rPr>
      </w:r>
    </w:p>
    <w:p>
      <w:pPr>
        <w:pStyle w:val="BodyText"/>
        <w:spacing w:line="355" w:lineRule="auto" w:before="160"/>
        <w:ind w:left="652" w:right="606" w:firstLine="67"/>
        <w:jc w:val="left"/>
        <w:rPr>
          <w:rFonts w:ascii="宋体" w:hAnsi="宋体" w:cs="宋体" w:eastAsia="宋体" w:hint="default"/>
          <w:sz w:val="24"/>
          <w:szCs w:val="24"/>
        </w:rPr>
      </w:pPr>
      <w:r>
        <w:rPr>
          <w:spacing w:val="-2"/>
        </w:rPr>
        <w:t>截至本财务报表签发日</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w:t>
      </w:r>
      <w:r>
        <w:rPr>
          <w:rFonts w:ascii="宋体" w:hAnsi="宋体" w:cs="宋体" w:eastAsia="宋体" w:hint="default"/>
          <w:spacing w:val="-2"/>
        </w:rPr>
        <w:t>)</w:t>
      </w:r>
      <w:r>
        <w:rPr>
          <w:spacing w:val="-2"/>
        </w:rPr>
        <w:t>，本公司无影响对本财务报表阅读和理解的重大或有事项。</w:t>
      </w:r>
      <w:r>
        <w:rPr>
          <w:spacing w:val="-84"/>
        </w:rPr>
        <w:t> </w:t>
      </w:r>
      <w:r>
        <w:rPr>
          <w:spacing w:val="-84"/>
        </w:rPr>
      </w:r>
      <w:r>
        <w:rPr>
          <w:rFonts w:ascii="宋体" w:hAnsi="宋体" w:cs="宋体" w:eastAsia="宋体" w:hint="default"/>
          <w:b/>
          <w:bCs/>
          <w:sz w:val="24"/>
          <w:szCs w:val="24"/>
        </w:rPr>
        <w:t>八、承诺事项</w:t>
      </w:r>
      <w:r>
        <w:rPr>
          <w:rFonts w:ascii="宋体" w:hAnsi="宋体" w:cs="宋体" w:eastAsia="宋体" w:hint="default"/>
          <w:b/>
          <w:bCs/>
          <w:w w:val="99"/>
          <w:sz w:val="24"/>
          <w:szCs w:val="24"/>
        </w:rPr>
        <w:t> </w:t>
      </w:r>
      <w:r>
        <w:rPr>
          <w:spacing w:val="-2"/>
        </w:rPr>
        <w:t>截至本财务报表签发日</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w:t>
      </w:r>
      <w:r>
        <w:rPr>
          <w:rFonts w:ascii="宋体" w:hAnsi="宋体" w:cs="宋体" w:eastAsia="宋体" w:hint="default"/>
          <w:spacing w:val="-2"/>
        </w:rPr>
        <w:t>)</w:t>
      </w:r>
      <w:r>
        <w:rPr>
          <w:spacing w:val="-2"/>
        </w:rPr>
        <w:t>，本公司无影响对本财务报表阅读和理解的重大承诺事项。</w:t>
      </w:r>
      <w:r>
        <w:rPr>
          <w:spacing w:val="-17"/>
        </w:rPr>
        <w:t> </w:t>
      </w:r>
      <w:r>
        <w:rPr>
          <w:spacing w:val="-17"/>
        </w:rPr>
      </w:r>
      <w:r>
        <w:rPr>
          <w:rFonts w:ascii="宋体" w:hAnsi="宋体" w:cs="宋体" w:eastAsia="宋体" w:hint="default"/>
          <w:b/>
          <w:bCs/>
          <w:sz w:val="24"/>
          <w:szCs w:val="24"/>
        </w:rPr>
        <w:t>九、其他重大事项</w:t>
      </w:r>
      <w:r>
        <w:rPr>
          <w:rFonts w:ascii="宋体" w:hAnsi="宋体" w:cs="宋体" w:eastAsia="宋体" w:hint="default"/>
          <w:b/>
          <w:bCs/>
          <w:w w:val="99"/>
          <w:sz w:val="24"/>
          <w:szCs w:val="24"/>
        </w:rPr>
        <w:t> </w:t>
      </w:r>
      <w:r>
        <w:rPr>
          <w:spacing w:val="-2"/>
        </w:rPr>
        <w:t>截至本财务报表签发日</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w:t>
      </w:r>
      <w:r>
        <w:rPr>
          <w:rFonts w:ascii="宋体" w:hAnsi="宋体" w:cs="宋体" w:eastAsia="宋体" w:hint="default"/>
          <w:spacing w:val="-2"/>
        </w:rPr>
        <w:t>)</w:t>
      </w:r>
      <w:r>
        <w:rPr>
          <w:spacing w:val="-2"/>
        </w:rPr>
        <w:t>，本公司无影响对本财务报表阅读和理解的其他重大事项。</w:t>
      </w:r>
      <w:r>
        <w:rPr>
          <w:spacing w:val="-17"/>
        </w:rPr>
        <w:t> </w:t>
      </w:r>
      <w:r>
        <w:rPr>
          <w:spacing w:val="-17"/>
        </w:rPr>
      </w:r>
      <w:r>
        <w:rPr>
          <w:rFonts w:ascii="宋体" w:hAnsi="宋体" w:cs="宋体" w:eastAsia="宋体" w:hint="default"/>
          <w:b/>
          <w:bCs/>
          <w:sz w:val="24"/>
          <w:szCs w:val="24"/>
        </w:rPr>
        <w:t>十、资产负债表日后事项</w:t>
      </w:r>
      <w:r>
        <w:rPr>
          <w:rFonts w:ascii="宋体" w:hAnsi="宋体" w:cs="宋体" w:eastAsia="宋体" w:hint="default"/>
          <w:sz w:val="24"/>
          <w:szCs w:val="24"/>
        </w:rPr>
      </w:r>
    </w:p>
    <w:p>
      <w:pPr>
        <w:pStyle w:val="BodyText"/>
        <w:spacing w:line="240" w:lineRule="auto" w:before="42"/>
        <w:ind w:left="660" w:right="606"/>
        <w:jc w:val="left"/>
      </w:pPr>
      <w:r>
        <w:rPr/>
        <w:t>根据</w:t>
      </w:r>
      <w:r>
        <w:rPr>
          <w:spacing w:val="-50"/>
        </w:rPr>
        <w:t> </w:t>
      </w:r>
      <w:r>
        <w:rPr>
          <w:rFonts w:ascii="宋体" w:hAnsi="宋体" w:cs="宋体" w:eastAsia="宋体" w:hint="default"/>
        </w:rPr>
        <w:t>2011</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w:t>
      </w:r>
      <w:r>
        <w:rPr>
          <w:spacing w:val="-51"/>
        </w:rPr>
        <w:t> </w:t>
      </w:r>
      <w:r>
        <w:rPr>
          <w:rFonts w:ascii="宋体" w:hAnsi="宋体" w:cs="宋体" w:eastAsia="宋体" w:hint="default"/>
        </w:rPr>
        <w:t>17</w:t>
      </w:r>
      <w:r>
        <w:rPr>
          <w:rFonts w:ascii="宋体" w:hAnsi="宋体" w:cs="宋体" w:eastAsia="宋体" w:hint="default"/>
          <w:spacing w:val="-53"/>
        </w:rPr>
        <w:t> </w:t>
      </w:r>
      <w:r>
        <w:rPr/>
        <w:t>日长春农村商业银行股份有限公司召开的</w:t>
      </w:r>
      <w:r>
        <w:rPr>
          <w:spacing w:val="-50"/>
        </w:rPr>
        <w:t> </w:t>
      </w:r>
      <w:r>
        <w:rPr>
          <w:rFonts w:ascii="宋体" w:hAnsi="宋体" w:cs="宋体" w:eastAsia="宋体" w:hint="default"/>
        </w:rPr>
        <w:t>2010</w:t>
      </w:r>
      <w:r>
        <w:rPr>
          <w:rFonts w:ascii="宋体" w:hAnsi="宋体" w:cs="宋体" w:eastAsia="宋体" w:hint="default"/>
          <w:spacing w:val="-51"/>
        </w:rPr>
        <w:t> </w:t>
      </w:r>
      <w:r>
        <w:rPr>
          <w:spacing w:val="-5"/>
        </w:rPr>
        <w:t>年度股东大会，审议通过了</w:t>
      </w:r>
      <w:r>
        <w:rPr>
          <w:spacing w:val="-51"/>
        </w:rPr>
        <w:t> </w:t>
      </w:r>
      <w:r>
        <w:rPr>
          <w:rFonts w:ascii="宋体" w:hAnsi="宋体" w:cs="宋体" w:eastAsia="宋体" w:hint="default"/>
        </w:rPr>
        <w:t>2010</w:t>
      </w:r>
      <w:r>
        <w:rPr>
          <w:rFonts w:ascii="宋体" w:hAnsi="宋体" w:cs="宋体" w:eastAsia="宋体" w:hint="default"/>
          <w:spacing w:val="-53"/>
        </w:rPr>
        <w:t> </w:t>
      </w:r>
      <w:r>
        <w:rPr/>
        <w:t>年度利润</w:t>
      </w:r>
    </w:p>
    <w:p>
      <w:pPr>
        <w:pStyle w:val="BodyText"/>
        <w:spacing w:line="240" w:lineRule="auto" w:before="133"/>
        <w:ind w:left="240" w:right="606"/>
        <w:jc w:val="left"/>
        <w:rPr>
          <w:rFonts w:ascii="宋体" w:hAnsi="宋体" w:cs="宋体" w:eastAsia="宋体" w:hint="default"/>
        </w:rPr>
      </w:pPr>
      <w:r>
        <w:rPr>
          <w:w w:val="100"/>
        </w:rPr>
        <w:t>分配</w:t>
      </w:r>
      <w:r>
        <w:rPr>
          <w:spacing w:val="-3"/>
          <w:w w:val="100"/>
        </w:rPr>
        <w:t>方</w:t>
      </w:r>
      <w:r>
        <w:rPr>
          <w:w w:val="100"/>
        </w:rPr>
        <w:t>案</w:t>
      </w:r>
      <w:r>
        <w:rPr>
          <w:spacing w:val="-25"/>
          <w:w w:val="100"/>
        </w:rPr>
        <w:t>，</w:t>
      </w:r>
      <w:r>
        <w:rPr>
          <w:w w:val="100"/>
        </w:rPr>
        <w:t>以</w:t>
      </w:r>
      <w:r>
        <w:rPr>
          <w:spacing w:val="-3"/>
          <w:w w:val="100"/>
        </w:rPr>
        <w:t>总股</w:t>
      </w:r>
      <w:r>
        <w:rPr>
          <w:w w:val="100"/>
        </w:rPr>
        <w:t>本</w:t>
      </w:r>
      <w:r>
        <w:rPr>
          <w:spacing w:val="-52"/>
        </w:rPr>
        <w:t> </w:t>
      </w:r>
      <w:r>
        <w:rPr>
          <w:rFonts w:ascii="宋体" w:hAnsi="宋体" w:cs="宋体" w:eastAsia="宋体" w:hint="default"/>
          <w:w w:val="100"/>
        </w:rPr>
        <w:t>53</w:t>
      </w:r>
      <w:r>
        <w:rPr>
          <w:rFonts w:ascii="宋体" w:hAnsi="宋体" w:cs="宋体" w:eastAsia="宋体" w:hint="default"/>
          <w:spacing w:val="-3"/>
          <w:w w:val="100"/>
        </w:rPr>
        <w:t>,</w:t>
      </w:r>
      <w:r>
        <w:rPr>
          <w:rFonts w:ascii="宋体" w:hAnsi="宋体" w:cs="宋体" w:eastAsia="宋体" w:hint="default"/>
          <w:w w:val="100"/>
        </w:rPr>
        <w:t>7</w:t>
      </w:r>
      <w:r>
        <w:rPr>
          <w:rFonts w:ascii="宋体" w:hAnsi="宋体" w:cs="宋体" w:eastAsia="宋体" w:hint="default"/>
          <w:spacing w:val="-3"/>
          <w:w w:val="100"/>
        </w:rPr>
        <w:t>6</w:t>
      </w:r>
      <w:r>
        <w:rPr>
          <w:rFonts w:ascii="宋体" w:hAnsi="宋体" w:cs="宋体" w:eastAsia="宋体" w:hint="default"/>
          <w:w w:val="100"/>
        </w:rPr>
        <w:t>0</w:t>
      </w:r>
      <w:r>
        <w:rPr>
          <w:rFonts w:ascii="宋体" w:hAnsi="宋体" w:cs="宋体" w:eastAsia="宋体" w:hint="default"/>
          <w:spacing w:val="-53"/>
        </w:rPr>
        <w:t> </w:t>
      </w:r>
      <w:r>
        <w:rPr>
          <w:w w:val="100"/>
        </w:rPr>
        <w:t>万</w:t>
      </w:r>
      <w:r>
        <w:rPr>
          <w:spacing w:val="-3"/>
          <w:w w:val="100"/>
        </w:rPr>
        <w:t>股</w:t>
      </w:r>
      <w:r>
        <w:rPr>
          <w:w w:val="100"/>
        </w:rPr>
        <w:t>为</w:t>
      </w:r>
      <w:r>
        <w:rPr>
          <w:spacing w:val="-3"/>
          <w:w w:val="100"/>
        </w:rPr>
        <w:t>基</w:t>
      </w:r>
      <w:r>
        <w:rPr>
          <w:w w:val="100"/>
        </w:rPr>
        <w:t>数</w:t>
      </w:r>
      <w:r>
        <w:rPr>
          <w:spacing w:val="-25"/>
          <w:w w:val="100"/>
        </w:rPr>
        <w:t>，</w:t>
      </w:r>
      <w:r>
        <w:rPr>
          <w:w w:val="100"/>
        </w:rPr>
        <w:t>向</w:t>
      </w:r>
      <w:r>
        <w:rPr>
          <w:spacing w:val="-3"/>
          <w:w w:val="100"/>
        </w:rPr>
        <w:t>全</w:t>
      </w:r>
      <w:r>
        <w:rPr>
          <w:w w:val="100"/>
        </w:rPr>
        <w:t>体</w:t>
      </w:r>
      <w:r>
        <w:rPr>
          <w:spacing w:val="-3"/>
          <w:w w:val="100"/>
        </w:rPr>
        <w:t>股东</w:t>
      </w:r>
      <w:r>
        <w:rPr>
          <w:w w:val="100"/>
        </w:rPr>
        <w:t>每</w:t>
      </w:r>
      <w:r>
        <w:rPr>
          <w:spacing w:val="-52"/>
        </w:rPr>
        <w:t> </w:t>
      </w:r>
      <w:r>
        <w:rPr>
          <w:rFonts w:ascii="宋体" w:hAnsi="宋体" w:cs="宋体" w:eastAsia="宋体" w:hint="default"/>
          <w:w w:val="100"/>
        </w:rPr>
        <w:t>10</w:t>
      </w:r>
      <w:r>
        <w:rPr>
          <w:rFonts w:ascii="宋体" w:hAnsi="宋体" w:cs="宋体" w:eastAsia="宋体" w:hint="default"/>
          <w:spacing w:val="-55"/>
        </w:rPr>
        <w:t> </w:t>
      </w:r>
      <w:r>
        <w:rPr>
          <w:w w:val="100"/>
        </w:rPr>
        <w:t>股</w:t>
      </w:r>
      <w:r>
        <w:rPr>
          <w:spacing w:val="-3"/>
          <w:w w:val="100"/>
        </w:rPr>
        <w:t>派</w:t>
      </w:r>
      <w:r>
        <w:rPr>
          <w:w w:val="100"/>
        </w:rPr>
        <w:t>发</w:t>
      </w:r>
      <w:r>
        <w:rPr>
          <w:spacing w:val="-3"/>
          <w:w w:val="100"/>
        </w:rPr>
        <w:t>现</w:t>
      </w:r>
      <w:r>
        <w:rPr>
          <w:w w:val="100"/>
        </w:rPr>
        <w:t>金</w:t>
      </w:r>
      <w:r>
        <w:rPr>
          <w:spacing w:val="-3"/>
          <w:w w:val="100"/>
        </w:rPr>
        <w:t>红</w:t>
      </w:r>
      <w:r>
        <w:rPr>
          <w:w w:val="100"/>
        </w:rPr>
        <w:t>利</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22"/>
          <w:w w:val="100"/>
        </w:rPr>
        <w:t>元</w:t>
      </w:r>
      <w:r>
        <w:rPr>
          <w:spacing w:val="-3"/>
          <w:w w:val="100"/>
        </w:rPr>
        <w:t>（</w:t>
      </w:r>
      <w:r>
        <w:rPr>
          <w:w w:val="100"/>
        </w:rPr>
        <w:t>含</w:t>
      </w:r>
      <w:r>
        <w:rPr>
          <w:spacing w:val="-3"/>
          <w:w w:val="100"/>
        </w:rPr>
        <w:t>税</w:t>
      </w:r>
      <w:r>
        <w:rPr>
          <w:spacing w:val="-106"/>
          <w:w w:val="100"/>
        </w:rPr>
        <w:t>）</w:t>
      </w:r>
      <w:r>
        <w:rPr>
          <w:spacing w:val="-25"/>
          <w:w w:val="100"/>
        </w:rPr>
        <w:t>。</w:t>
      </w:r>
      <w:r>
        <w:rPr>
          <w:w w:val="100"/>
        </w:rPr>
        <w:t>本</w:t>
      </w:r>
      <w:r>
        <w:rPr>
          <w:spacing w:val="-3"/>
          <w:w w:val="100"/>
        </w:rPr>
        <w:t>公</w:t>
      </w:r>
      <w:r>
        <w:rPr>
          <w:w w:val="100"/>
        </w:rPr>
        <w:t>司</w:t>
      </w:r>
      <w:r>
        <w:rPr>
          <w:spacing w:val="-3"/>
          <w:w w:val="100"/>
        </w:rPr>
        <w:t>已</w:t>
      </w:r>
      <w:r>
        <w:rPr>
          <w:w w:val="100"/>
        </w:rPr>
        <w:t>于</w:t>
      </w:r>
      <w:r>
        <w:rPr>
          <w:spacing w:val="-55"/>
        </w:rPr>
        <w:t> </w:t>
      </w:r>
      <w:r>
        <w:rPr>
          <w:rFonts w:ascii="宋体" w:hAnsi="宋体" w:cs="宋体" w:eastAsia="宋体" w:hint="default"/>
          <w:w w:val="100"/>
        </w:rPr>
        <w:t>2011</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p>
    <w:p>
      <w:pPr>
        <w:pStyle w:val="BodyText"/>
        <w:spacing w:line="240" w:lineRule="auto" w:before="135"/>
        <w:ind w:left="240" w:right="606"/>
        <w:jc w:val="left"/>
      </w:pPr>
      <w:r>
        <w:rPr/>
        <w:t>月</w:t>
      </w:r>
      <w:r>
        <w:rPr>
          <w:spacing w:val="-53"/>
        </w:rPr>
        <w:t> </w:t>
      </w:r>
      <w:r>
        <w:rPr>
          <w:rFonts w:ascii="宋体" w:hAnsi="宋体" w:cs="宋体" w:eastAsia="宋体" w:hint="default"/>
        </w:rPr>
        <w:t>21</w:t>
      </w:r>
      <w:r>
        <w:rPr>
          <w:rFonts w:ascii="宋体" w:hAnsi="宋体" w:cs="宋体" w:eastAsia="宋体" w:hint="default"/>
          <w:spacing w:val="-55"/>
        </w:rPr>
        <w:t> </w:t>
      </w:r>
      <w:r>
        <w:rPr/>
        <w:t>日取得该现金红利</w:t>
      </w:r>
      <w:r>
        <w:rPr>
          <w:spacing w:val="-55"/>
        </w:rPr>
        <w:t> </w:t>
      </w:r>
      <w:r>
        <w:rPr>
          <w:rFonts w:ascii="宋体" w:hAnsi="宋体" w:cs="宋体" w:eastAsia="宋体" w:hint="default"/>
        </w:rPr>
        <w:t>560</w:t>
      </w:r>
      <w:r>
        <w:rPr>
          <w:rFonts w:ascii="宋体" w:hAnsi="宋体" w:cs="宋体" w:eastAsia="宋体" w:hint="default"/>
          <w:spacing w:val="-53"/>
        </w:rPr>
        <w:t> </w:t>
      </w:r>
      <w:r>
        <w:rPr/>
        <w:t>万元。</w:t>
      </w:r>
    </w:p>
    <w:p>
      <w:pPr>
        <w:pStyle w:val="BodyText"/>
        <w:spacing w:line="357" w:lineRule="auto" w:before="133"/>
        <w:ind w:left="240" w:right="711" w:firstLine="420"/>
        <w:jc w:val="both"/>
      </w:pPr>
      <w:r>
        <w:rPr/>
        <w:t>本</w:t>
      </w:r>
      <w:r>
        <w:rPr>
          <w:spacing w:val="-71"/>
        </w:rPr>
        <w:t> </w:t>
      </w:r>
      <w:r>
        <w:rPr/>
        <w:t>公</w:t>
      </w:r>
      <w:r>
        <w:rPr>
          <w:spacing w:val="-73"/>
        </w:rPr>
        <w:t> </w:t>
      </w:r>
      <w:r>
        <w:rPr/>
        <w:t>司</w:t>
      </w:r>
      <w:r>
        <w:rPr>
          <w:spacing w:val="-70"/>
        </w:rPr>
        <w:t> </w:t>
      </w:r>
      <w:r>
        <w:rPr>
          <w:rFonts w:ascii="宋体" w:hAnsi="宋体" w:cs="宋体" w:eastAsia="宋体" w:hint="default"/>
        </w:rPr>
        <w:t>2011</w:t>
      </w:r>
      <w:r>
        <w:rPr>
          <w:rFonts w:ascii="宋体" w:hAnsi="宋体" w:cs="宋体" w:eastAsia="宋体" w:hint="default"/>
          <w:spacing w:val="-73"/>
        </w:rPr>
        <w:t> </w:t>
      </w:r>
      <w:r>
        <w:rPr/>
        <w:t>年</w:t>
      </w:r>
      <w:r>
        <w:rPr>
          <w:spacing w:val="-71"/>
        </w:rPr>
        <w:t> </w:t>
      </w:r>
      <w:r>
        <w:rPr>
          <w:rFonts w:ascii="宋体" w:hAnsi="宋体" w:cs="宋体" w:eastAsia="宋体" w:hint="default"/>
        </w:rPr>
        <w:t>2</w:t>
      </w:r>
      <w:r>
        <w:rPr>
          <w:rFonts w:ascii="宋体" w:hAnsi="宋体" w:cs="宋体" w:eastAsia="宋体" w:hint="default"/>
          <w:spacing w:val="-73"/>
        </w:rPr>
        <w:t> </w:t>
      </w:r>
      <w:r>
        <w:rPr/>
        <w:t>月</w:t>
      </w:r>
      <w:r>
        <w:rPr>
          <w:spacing w:val="-71"/>
        </w:rPr>
        <w:t> </w:t>
      </w:r>
      <w:r>
        <w:rPr>
          <w:rFonts w:ascii="宋体" w:hAnsi="宋体" w:cs="宋体" w:eastAsia="宋体" w:hint="default"/>
        </w:rPr>
        <w:t>12</w:t>
      </w:r>
      <w:r>
        <w:rPr>
          <w:rFonts w:ascii="宋体" w:hAnsi="宋体" w:cs="宋体" w:eastAsia="宋体" w:hint="default"/>
          <w:spacing w:val="-73"/>
        </w:rPr>
        <w:t> </w:t>
      </w:r>
      <w:r>
        <w:rPr/>
        <w:t>日</w:t>
      </w:r>
      <w:r>
        <w:rPr>
          <w:spacing w:val="-73"/>
        </w:rPr>
        <w:t> </w:t>
      </w:r>
      <w:r>
        <w:rPr/>
        <w:t>取</w:t>
      </w:r>
      <w:r>
        <w:rPr>
          <w:spacing w:val="-71"/>
        </w:rPr>
        <w:t> </w:t>
      </w:r>
      <w:r>
        <w:rPr/>
        <w:t>得</w:t>
      </w:r>
      <w:r>
        <w:rPr>
          <w:spacing w:val="-73"/>
        </w:rPr>
        <w:t> </w:t>
      </w:r>
      <w:r>
        <w:rPr/>
        <w:t>了</w:t>
      </w:r>
      <w:r>
        <w:rPr>
          <w:spacing w:val="-73"/>
        </w:rPr>
        <w:t> </w:t>
      </w:r>
      <w:r>
        <w:rPr/>
        <w:t>吉</w:t>
      </w:r>
      <w:r>
        <w:rPr>
          <w:spacing w:val="-71"/>
        </w:rPr>
        <w:t> </w:t>
      </w:r>
      <w:r>
        <w:rPr/>
        <w:t>林</w:t>
      </w:r>
      <w:r>
        <w:rPr>
          <w:spacing w:val="-73"/>
        </w:rPr>
        <w:t> </w:t>
      </w:r>
      <w:r>
        <w:rPr/>
        <w:t>省</w:t>
      </w:r>
      <w:r>
        <w:rPr>
          <w:spacing w:val="-71"/>
        </w:rPr>
        <w:t> </w:t>
      </w:r>
      <w:r>
        <w:rPr/>
        <w:t>工</w:t>
      </w:r>
      <w:r>
        <w:rPr>
          <w:spacing w:val="-73"/>
        </w:rPr>
        <w:t> </w:t>
      </w:r>
      <w:r>
        <w:rPr/>
        <w:t>商</w:t>
      </w:r>
      <w:r>
        <w:rPr>
          <w:spacing w:val="-73"/>
        </w:rPr>
        <w:t> </w:t>
      </w:r>
      <w:r>
        <w:rPr/>
        <w:t>行</w:t>
      </w:r>
      <w:r>
        <w:rPr>
          <w:spacing w:val="-71"/>
        </w:rPr>
        <w:t> </w:t>
      </w:r>
      <w:r>
        <w:rPr/>
        <w:t>政</w:t>
      </w:r>
      <w:r>
        <w:rPr>
          <w:spacing w:val="-73"/>
        </w:rPr>
        <w:t> </w:t>
      </w:r>
      <w:r>
        <w:rPr/>
        <w:t>管</w:t>
      </w:r>
      <w:r>
        <w:rPr>
          <w:spacing w:val="-71"/>
        </w:rPr>
        <w:t> </w:t>
      </w:r>
      <w:r>
        <w:rPr/>
        <w:t>理</w:t>
      </w:r>
      <w:r>
        <w:rPr>
          <w:spacing w:val="-73"/>
        </w:rPr>
        <w:t> </w:t>
      </w:r>
      <w:r>
        <w:rPr/>
        <w:t>局</w:t>
      </w:r>
      <w:r>
        <w:rPr>
          <w:spacing w:val="-73"/>
        </w:rPr>
        <w:t> </w:t>
      </w:r>
      <w:r>
        <w:rPr/>
        <w:t>核</w:t>
      </w:r>
      <w:r>
        <w:rPr>
          <w:spacing w:val="-71"/>
        </w:rPr>
        <w:t> </w:t>
      </w:r>
      <w:r>
        <w:rPr/>
        <w:t>发</w:t>
      </w:r>
      <w:r>
        <w:rPr>
          <w:spacing w:val="-73"/>
        </w:rPr>
        <w:t> </w:t>
      </w:r>
      <w:r>
        <w:rPr/>
        <w:t>的</w:t>
      </w:r>
      <w:r>
        <w:rPr>
          <w:spacing w:val="-71"/>
        </w:rPr>
        <w:t> </w:t>
      </w:r>
      <w:r>
        <w:rPr/>
        <w:t>新</w:t>
      </w:r>
      <w:r>
        <w:rPr>
          <w:spacing w:val="-73"/>
        </w:rPr>
        <w:t> </w:t>
      </w:r>
      <w:r>
        <w:rPr/>
        <w:t>的</w:t>
      </w:r>
      <w:r>
        <w:rPr>
          <w:spacing w:val="-73"/>
        </w:rPr>
        <w:t> </w:t>
      </w:r>
      <w:r>
        <w:rPr/>
        <w:t>企</w:t>
      </w:r>
      <w:r>
        <w:rPr>
          <w:spacing w:val="-71"/>
        </w:rPr>
        <w:t> </w:t>
      </w:r>
      <w:r>
        <w:rPr/>
        <w:t>业</w:t>
      </w:r>
      <w:r>
        <w:rPr>
          <w:spacing w:val="-73"/>
        </w:rPr>
        <w:t> </w:t>
      </w:r>
      <w:r>
        <w:rPr/>
        <w:t>法</w:t>
      </w:r>
      <w:r>
        <w:rPr>
          <w:spacing w:val="-71"/>
        </w:rPr>
        <w:t> </w:t>
      </w:r>
      <w:r>
        <w:rPr/>
        <w:t>人</w:t>
      </w:r>
      <w:r>
        <w:rPr>
          <w:spacing w:val="-73"/>
        </w:rPr>
        <w:t> </w:t>
      </w:r>
      <w:r>
        <w:rPr/>
        <w:t>营</w:t>
      </w:r>
      <w:r>
        <w:rPr>
          <w:spacing w:val="-73"/>
        </w:rPr>
        <w:t> </w:t>
      </w:r>
      <w:r>
        <w:rPr/>
        <w:t>业</w:t>
      </w:r>
      <w:r>
        <w:rPr>
          <w:spacing w:val="-71"/>
        </w:rPr>
        <w:t> </w:t>
      </w:r>
      <w:r>
        <w:rPr/>
        <w:t>执</w:t>
      </w:r>
      <w:r>
        <w:rPr>
          <w:spacing w:val="-73"/>
        </w:rPr>
        <w:t> </w:t>
      </w:r>
      <w:r>
        <w:rPr/>
        <w:t>照</w:t>
      </w:r>
      <w:r>
        <w:rPr>
          <w:spacing w:val="-71"/>
        </w:rPr>
        <w:t> </w:t>
      </w:r>
      <w:r>
        <w:rPr/>
        <w:t>，</w:t>
      </w:r>
      <w:r>
        <w:rPr>
          <w:spacing w:val="-73"/>
        </w:rPr>
        <w:t> </w:t>
      </w:r>
      <w:r>
        <w:rPr/>
        <w:t>注</w:t>
      </w:r>
      <w:r>
        <w:rPr>
          <w:spacing w:val="-73"/>
        </w:rPr>
        <w:t> </w:t>
      </w:r>
      <w:r>
        <w:rPr/>
        <w:t>册</w:t>
      </w:r>
      <w:r>
        <w:rPr>
          <w:spacing w:val="-71"/>
        </w:rPr>
        <w:t> </w:t>
      </w:r>
      <w:r>
        <w:rPr/>
        <w:t>资</w:t>
      </w:r>
      <w:r>
        <w:rPr>
          <w:spacing w:val="-73"/>
        </w:rPr>
        <w:t> </w:t>
      </w:r>
      <w:r>
        <w:rPr/>
        <w:t>本</w:t>
      </w:r>
      <w:r>
        <w:rPr>
          <w:spacing w:val="-71"/>
        </w:rPr>
        <w:t> </w:t>
      </w:r>
      <w:r>
        <w:rPr/>
        <w:t>为</w:t>
      </w:r>
      <w:r>
        <w:rPr>
          <w:w w:val="100"/>
        </w:rPr>
        <w:t> </w:t>
      </w:r>
      <w:r>
        <w:rPr>
          <w:rFonts w:ascii="宋体" w:hAnsi="宋体" w:cs="宋体" w:eastAsia="宋体" w:hint="default"/>
        </w:rPr>
        <w:t>256,495,691.00</w:t>
      </w:r>
      <w:r>
        <w:rPr/>
        <w:t>元、注册号为</w:t>
      </w:r>
      <w:r>
        <w:rPr>
          <w:rFonts w:ascii="宋体" w:hAnsi="宋体" w:cs="宋体" w:eastAsia="宋体" w:hint="default"/>
        </w:rPr>
        <w:t>220000000052632</w:t>
      </w:r>
      <w:r>
        <w:rPr/>
        <w:t>。根据中准会计师事务所有限公司</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29</w:t>
      </w:r>
      <w:r>
        <w:rPr/>
        <w:t>日出具的中准验字</w:t>
      </w:r>
      <w:r>
        <w:rPr>
          <w:spacing w:val="-36"/>
        </w:rPr>
        <w:t> </w:t>
      </w:r>
      <w:r>
        <w:rPr>
          <w:spacing w:val="-36"/>
        </w:rPr>
      </w:r>
      <w:r>
        <w:rPr>
          <w:rFonts w:ascii="宋体" w:hAnsi="宋体" w:cs="宋体" w:eastAsia="宋体" w:hint="default"/>
          <w:spacing w:val="-2"/>
        </w:rPr>
        <w:t>[2010]2068</w:t>
      </w:r>
      <w:r>
        <w:rPr>
          <w:spacing w:val="-2"/>
        </w:rPr>
        <w:t>号验资报告对本公司非公开发行股票</w:t>
      </w:r>
      <w:r>
        <w:rPr>
          <w:rFonts w:ascii="宋体" w:hAnsi="宋体" w:cs="宋体" w:eastAsia="宋体" w:hint="default"/>
          <w:spacing w:val="-2"/>
        </w:rPr>
        <w:t>49,875,311</w:t>
      </w:r>
      <w:r>
        <w:rPr>
          <w:spacing w:val="-2"/>
        </w:rPr>
        <w:t>股进行验证，同时根据中国证券登记结算有限责任公司</w:t>
      </w:r>
      <w:r>
        <w:rPr>
          <w:spacing w:val="-28"/>
        </w:rPr>
        <w:t> </w:t>
      </w:r>
      <w:r>
        <w:rPr>
          <w:spacing w:val="-28"/>
        </w:rPr>
      </w:r>
      <w:r>
        <w:rPr>
          <w:spacing w:val="-2"/>
        </w:rPr>
        <w:t>深圳分公司</w:t>
      </w:r>
      <w:r>
        <w:rPr>
          <w:rFonts w:ascii="宋体" w:hAnsi="宋体" w:cs="宋体" w:eastAsia="宋体" w:hint="default"/>
          <w:spacing w:val="-2"/>
        </w:rPr>
        <w:t>2010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30</w:t>
      </w:r>
      <w:r>
        <w:rPr>
          <w:spacing w:val="-2"/>
        </w:rPr>
        <w:t>日对本公司出具的非公开发行股票</w:t>
      </w:r>
      <w:r>
        <w:rPr>
          <w:rFonts w:ascii="宋体" w:hAnsi="宋体" w:cs="宋体" w:eastAsia="宋体" w:hint="default"/>
          <w:spacing w:val="-2"/>
        </w:rPr>
        <w:t>49,875,311</w:t>
      </w:r>
      <w:r>
        <w:rPr>
          <w:spacing w:val="-2"/>
        </w:rPr>
        <w:t>股证券登记确认书，本公司已将此资产负债</w:t>
      </w:r>
      <w:r>
        <w:rPr>
          <w:spacing w:val="-29"/>
        </w:rPr>
        <w:t> </w:t>
      </w:r>
      <w:r>
        <w:rPr>
          <w:spacing w:val="-29"/>
        </w:rPr>
      </w:r>
      <w:r>
        <w:rPr/>
        <w:t>表日后事项作为调整事项。</w:t>
      </w:r>
    </w:p>
    <w:p>
      <w:pPr>
        <w:pStyle w:val="BodyText"/>
        <w:spacing w:line="357" w:lineRule="auto" w:before="30"/>
        <w:ind w:left="240" w:right="711" w:firstLine="420"/>
        <w:jc w:val="both"/>
      </w:pPr>
      <w:r>
        <w:rPr/>
        <w:t>根据中国证券登记结算有限责任公司深圳分公司</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12</w:t>
      </w:r>
      <w:r>
        <w:rPr/>
        <w:t>日出具的证券质押登记证明，本公司第二大股东</w:t>
      </w:r>
      <w:r>
        <w:rPr>
          <w:w w:val="100"/>
        </w:rPr>
        <w:t> </w:t>
      </w:r>
      <w:r>
        <w:rPr>
          <w:spacing w:val="-2"/>
        </w:rPr>
        <w:t>仲维光先生将质押给中国建设银行通化分行</w:t>
      </w:r>
      <w:r>
        <w:rPr>
          <w:rFonts w:ascii="宋体" w:hAnsi="宋体" w:cs="宋体" w:eastAsia="宋体" w:hint="default"/>
          <w:spacing w:val="-2"/>
        </w:rPr>
        <w:t>1500</w:t>
      </w:r>
      <w:r>
        <w:rPr>
          <w:spacing w:val="-2"/>
        </w:rPr>
        <w:t>万股无限售条件的流通股全部解除质押。同日本公司第二大股东仲</w:t>
      </w:r>
      <w:r>
        <w:rPr>
          <w:spacing w:val="-44"/>
        </w:rPr>
        <w:t> </w:t>
      </w:r>
      <w:r>
        <w:rPr>
          <w:spacing w:val="-44"/>
        </w:rPr>
      </w:r>
      <w:r>
        <w:rPr/>
        <w:t>维光先生将</w:t>
      </w:r>
      <w:r>
        <w:rPr>
          <w:rFonts w:ascii="宋体" w:hAnsi="宋体" w:cs="宋体" w:eastAsia="宋体" w:hint="default"/>
        </w:rPr>
        <w:t>1500</w:t>
      </w:r>
      <w:r>
        <w:rPr/>
        <w:t>万股无限售条件的流通股质押给中国建银行通化分行为本公司向中国建设银行通化分行信用贷款</w:t>
      </w:r>
      <w:r>
        <w:rPr>
          <w:spacing w:val="55"/>
        </w:rPr>
        <w:t> </w:t>
      </w:r>
      <w:r>
        <w:rPr>
          <w:spacing w:val="55"/>
        </w:rPr>
      </w:r>
      <w:r>
        <w:rPr>
          <w:spacing w:val="-2"/>
        </w:rPr>
        <w:t>提供追加质押，其中：</w:t>
      </w:r>
      <w:r>
        <w:rPr>
          <w:rFonts w:ascii="宋体" w:hAnsi="宋体" w:cs="宋体" w:eastAsia="宋体" w:hint="default"/>
          <w:spacing w:val="-2"/>
        </w:rPr>
        <w:t>500</w:t>
      </w:r>
      <w:r>
        <w:rPr>
          <w:spacing w:val="-2"/>
        </w:rPr>
        <w:t>万股与敦化市康平投资有限责任公司共同为本公司向中国建设银行通化分行信用贷款</w:t>
      </w:r>
      <w:r>
        <w:rPr>
          <w:rFonts w:ascii="宋体" w:hAnsi="宋体" w:cs="宋体" w:eastAsia="宋体" w:hint="default"/>
          <w:spacing w:val="-2"/>
        </w:rPr>
        <w:t>6.2</w:t>
      </w:r>
      <w:r>
        <w:rPr>
          <w:rFonts w:ascii="宋体" w:hAnsi="宋体" w:cs="宋体" w:eastAsia="宋体" w:hint="default"/>
          <w:spacing w:val="-42"/>
        </w:rPr>
        <w:t> </w:t>
      </w:r>
      <w:r>
        <w:rPr>
          <w:rFonts w:ascii="宋体" w:hAnsi="宋体" w:cs="宋体" w:eastAsia="宋体" w:hint="default"/>
          <w:spacing w:val="-42"/>
        </w:rPr>
      </w:r>
      <w:r>
        <w:rPr>
          <w:spacing w:val="-2"/>
        </w:rPr>
        <w:t>亿元提供追加质押担保；</w:t>
      </w:r>
      <w:r>
        <w:rPr>
          <w:rFonts w:ascii="宋体" w:hAnsi="宋体" w:cs="宋体" w:eastAsia="宋体" w:hint="default"/>
          <w:spacing w:val="-2"/>
        </w:rPr>
        <w:t>1,000</w:t>
      </w:r>
      <w:r>
        <w:rPr>
          <w:spacing w:val="-2"/>
        </w:rPr>
        <w:t>万股为本公司向中国建设银行通化分行信用贷款</w:t>
      </w:r>
      <w:r>
        <w:rPr>
          <w:rFonts w:ascii="宋体" w:hAnsi="宋体" w:cs="宋体" w:eastAsia="宋体" w:hint="default"/>
          <w:spacing w:val="-2"/>
        </w:rPr>
        <w:t>1</w:t>
      </w:r>
      <w:r>
        <w:rPr>
          <w:spacing w:val="-2"/>
        </w:rPr>
        <w:t>亿元提供追加质押担保，质押担保</w:t>
      </w:r>
      <w:r>
        <w:rPr>
          <w:spacing w:val="-46"/>
        </w:rPr>
        <w:t> </w:t>
      </w:r>
      <w:r>
        <w:rPr>
          <w:spacing w:val="-46"/>
        </w:rPr>
      </w:r>
      <w:r>
        <w:rPr/>
        <w:t>期限自</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12</w:t>
      </w:r>
      <w:r>
        <w:rPr/>
        <w:t>日至解除质押日止。</w:t>
      </w:r>
    </w:p>
    <w:p>
      <w:pPr>
        <w:spacing w:after="0" w:line="357" w:lineRule="auto"/>
        <w:jc w:val="both"/>
        <w:sectPr>
          <w:pgSz w:w="11910" w:h="16840"/>
          <w:pgMar w:header="720" w:footer="956" w:top="1300" w:bottom="1140" w:left="480" w:right="0"/>
        </w:sectPr>
      </w:pPr>
    </w:p>
    <w:p>
      <w:pPr>
        <w:pStyle w:val="BodyText"/>
        <w:spacing w:line="357" w:lineRule="auto" w:before="19"/>
        <w:ind w:left="240" w:right="606" w:firstLine="420"/>
        <w:jc w:val="left"/>
      </w:pPr>
      <w:r>
        <w:rPr/>
        <w:pict>
          <v:group style="position:absolute;margin-left:34.560001pt;margin-top:2.293643pt;width:508.3pt;height:.1pt;mso-position-horizontal-relative:page;mso-position-vertical-relative:paragraph;z-index:-532288" coordorigin="691,46" coordsize="10166,2">
            <v:shape style="position:absolute;left:691;top:46;width:10166;height:2" coordorigin="691,46" coordsize="10166,0" path="m691,46l10857,46e" filled="false" stroked="true" strokeweight=".72pt" strokecolor="#000000">
              <v:path arrowok="t"/>
            </v:shape>
            <w10:wrap type="none"/>
          </v:group>
        </w:pict>
      </w:r>
      <w:r>
        <w:rPr>
          <w:spacing w:val="-2"/>
        </w:rPr>
        <w:t>根据本公司</w:t>
      </w:r>
      <w:r>
        <w:rPr>
          <w:rFonts w:ascii="宋体" w:hAnsi="宋体" w:cs="宋体" w:eastAsia="宋体" w:hint="default"/>
          <w:spacing w:val="-2"/>
        </w:rPr>
        <w:t>2011</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日第四届董事会第十一次会议决议，审议通过了</w:t>
      </w:r>
      <w:r>
        <w:rPr>
          <w:rFonts w:ascii="宋体" w:hAnsi="宋体" w:cs="宋体" w:eastAsia="宋体" w:hint="default"/>
          <w:spacing w:val="-2"/>
        </w:rPr>
        <w:t>2010</w:t>
      </w:r>
      <w:r>
        <w:rPr>
          <w:spacing w:val="-2"/>
        </w:rPr>
        <w:t>年度利润分配方案，拟以</w:t>
      </w:r>
      <w:r>
        <w:rPr>
          <w:rFonts w:ascii="宋体" w:hAnsi="宋体" w:cs="宋体" w:eastAsia="宋体" w:hint="default"/>
          <w:spacing w:val="-2"/>
        </w:rPr>
        <w:t>2010</w:t>
      </w:r>
      <w:r>
        <w:rPr>
          <w:spacing w:val="-2"/>
        </w:rPr>
        <w:t>年</w:t>
      </w:r>
      <w:r>
        <w:rPr>
          <w:w w:val="100"/>
        </w:rPr>
        <w:t> </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256,495,691</w:t>
      </w:r>
      <w:r>
        <w:rPr/>
        <w:t>股为基数，用资本公积向全体股东转增股本，每</w:t>
      </w:r>
      <w:r>
        <w:rPr>
          <w:rFonts w:ascii="宋体" w:hAnsi="宋体" w:cs="宋体" w:eastAsia="宋体" w:hint="default"/>
        </w:rPr>
        <w:t>10</w:t>
      </w:r>
      <w:r>
        <w:rPr/>
        <w:t>股转增</w:t>
      </w:r>
      <w:r>
        <w:rPr>
          <w:rFonts w:ascii="宋体" w:hAnsi="宋体" w:cs="宋体" w:eastAsia="宋体" w:hint="default"/>
        </w:rPr>
        <w:t>10</w:t>
      </w:r>
      <w:r>
        <w:rPr/>
        <w:t>股。</w:t>
      </w:r>
    </w:p>
    <w:p>
      <w:pPr>
        <w:pStyle w:val="BodyText"/>
        <w:spacing w:line="355" w:lineRule="auto" w:before="30"/>
        <w:ind w:left="240" w:right="606" w:firstLine="420"/>
        <w:jc w:val="left"/>
      </w:pPr>
      <w:r>
        <w:rPr/>
        <w:t>截至本财务报表签发日</w:t>
      </w: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29</w:t>
      </w:r>
      <w:r>
        <w:rPr/>
        <w:t>日</w:t>
      </w:r>
      <w:r>
        <w:rPr>
          <w:rFonts w:ascii="宋体" w:hAnsi="宋体" w:cs="宋体" w:eastAsia="宋体" w:hint="default"/>
        </w:rPr>
        <w:t>)</w:t>
      </w:r>
      <w:r>
        <w:rPr/>
        <w:t>，除上述事项外</w:t>
      </w:r>
      <w:r>
        <w:rPr>
          <w:rFonts w:ascii="宋体" w:hAnsi="宋体" w:cs="宋体" w:eastAsia="宋体" w:hint="default"/>
        </w:rPr>
        <w:t>,</w:t>
      </w:r>
      <w:r>
        <w:rPr/>
        <w:t>本公司无其他影响对本财务报表阅读和理解的资产</w:t>
      </w:r>
      <w:r>
        <w:rPr>
          <w:w w:val="100"/>
        </w:rPr>
        <w:t> </w:t>
      </w:r>
      <w:r>
        <w:rPr/>
        <w:t>负债表日后事项。</w:t>
      </w:r>
    </w:p>
    <w:p>
      <w:pPr>
        <w:pStyle w:val="Heading4"/>
        <w:spacing w:line="355" w:lineRule="auto" w:before="154"/>
        <w:ind w:right="6277"/>
        <w:jc w:val="left"/>
        <w:rPr>
          <w:b w:val="0"/>
          <w:bCs w:val="0"/>
        </w:rPr>
      </w:pPr>
      <w:r>
        <w:rPr>
          <w:spacing w:val="-1"/>
        </w:rPr>
        <w:t>十一、母公司财务报表主要项目注释</w:t>
      </w:r>
      <w:r>
        <w:rPr>
          <w:spacing w:val="-90"/>
        </w:rPr>
        <w:t> </w:t>
      </w:r>
      <w:r>
        <w:rPr>
          <w:spacing w:val="-90"/>
        </w:rPr>
      </w:r>
      <w:r>
        <w:rPr>
          <w:rFonts w:ascii="宋体" w:hAnsi="宋体" w:cs="宋体" w:eastAsia="宋体" w:hint="default"/>
        </w:rPr>
        <w:t>1</w:t>
      </w:r>
      <w:r>
        <w:rPr/>
        <w:t>、应收账款</w:t>
      </w:r>
      <w:r>
        <w:rPr>
          <w:b w:val="0"/>
          <w:bCs w:val="0"/>
        </w:rPr>
      </w:r>
    </w:p>
    <w:p>
      <w:pPr>
        <w:pStyle w:val="BodyText"/>
        <w:spacing w:line="240" w:lineRule="auto"/>
        <w:ind w:left="660" w:right="606"/>
        <w:jc w:val="left"/>
        <w:rPr>
          <w:rFonts w:ascii="宋体" w:hAnsi="宋体" w:cs="宋体" w:eastAsia="宋体" w:hint="default"/>
        </w:rPr>
      </w:pPr>
      <w:r>
        <w:rPr/>
        <w:t>（</w:t>
      </w:r>
      <w:r>
        <w:rPr>
          <w:rFonts w:ascii="宋体" w:hAnsi="宋体" w:cs="宋体" w:eastAsia="宋体" w:hint="default"/>
        </w:rPr>
        <w:t>1</w:t>
      </w:r>
      <w:r>
        <w:rPr/>
        <w:t>）应收账款按种类分类</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858"/>
        <w:gridCol w:w="1388"/>
        <w:gridCol w:w="845"/>
        <w:gridCol w:w="1296"/>
        <w:gridCol w:w="848"/>
        <w:gridCol w:w="1476"/>
        <w:gridCol w:w="845"/>
        <w:gridCol w:w="1296"/>
        <w:gridCol w:w="847"/>
      </w:tblGrid>
      <w:tr>
        <w:trPr>
          <w:trHeight w:val="490" w:hRule="exact"/>
        </w:trPr>
        <w:tc>
          <w:tcPr>
            <w:tcW w:w="1858"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tabs>
                <w:tab w:pos="1118" w:val="left" w:leader="none"/>
              </w:tabs>
              <w:spacing w:line="240" w:lineRule="auto"/>
              <w:ind w:left="57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376" w:type="dxa"/>
            <w:gridSpan w:val="4"/>
            <w:tcBorders>
              <w:top w:val="single" w:sz="12" w:space="0" w:color="000000"/>
              <w:left w:val="single" w:sz="4" w:space="0" w:color="000000"/>
              <w:bottom w:val="single" w:sz="4" w:space="0" w:color="000000"/>
              <w:right w:val="single" w:sz="4"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65"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27"/>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61" w:hRule="exact"/>
        </w:trPr>
        <w:tc>
          <w:tcPr>
            <w:tcW w:w="1858" w:type="dxa"/>
            <w:vMerge/>
            <w:tcBorders>
              <w:left w:val="nil" w:sz="6" w:space="0" w:color="auto"/>
              <w:right w:val="single" w:sz="4" w:space="0" w:color="000000"/>
            </w:tcBorders>
          </w:tcPr>
          <w:p>
            <w:pPr/>
          </w:p>
        </w:tc>
        <w:tc>
          <w:tcPr>
            <w:tcW w:w="2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143"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left="70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6" w:hRule="exact"/>
        </w:trPr>
        <w:tc>
          <w:tcPr>
            <w:tcW w:w="1858" w:type="dxa"/>
            <w:vMerge/>
            <w:tcBorders>
              <w:left w:val="nil" w:sz="6" w:space="0" w:color="auto"/>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0"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单项金额重大的应收</w:t>
            </w:r>
          </w:p>
          <w:p>
            <w:pPr>
              <w:pStyle w:val="TableParagraph"/>
              <w:spacing w:line="240" w:lineRule="auto" w:before="112"/>
              <w:ind w:left="122" w:right="0"/>
              <w:jc w:val="left"/>
              <w:rPr>
                <w:rFonts w:ascii="宋体" w:hAnsi="宋体" w:cs="宋体" w:eastAsia="宋体" w:hint="default"/>
                <w:sz w:val="18"/>
                <w:szCs w:val="18"/>
              </w:rPr>
            </w:pPr>
            <w:r>
              <w:rPr>
                <w:rFonts w:ascii="宋体" w:hAnsi="宋体" w:cs="宋体" w:eastAsia="宋体" w:hint="default"/>
                <w:sz w:val="18"/>
                <w:szCs w:val="18"/>
              </w:rPr>
              <w:t>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0" w:right="0"/>
              <w:jc w:val="center"/>
              <w:rPr>
                <w:rFonts w:ascii="宋体" w:hAnsi="宋体" w:cs="宋体" w:eastAsia="宋体" w:hint="default"/>
                <w:sz w:val="18"/>
                <w:szCs w:val="18"/>
              </w:rPr>
            </w:pPr>
            <w:r>
              <w:rPr>
                <w:rFonts w:ascii="宋体"/>
                <w:sz w:val="18"/>
              </w:rPr>
              <w:t>3,394,278.94</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z w:val="18"/>
              </w:rPr>
              <w:t>3.45%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18"/>
                <w:szCs w:val="18"/>
              </w:rPr>
            </w:pPr>
            <w:r>
              <w:rPr>
                <w:rFonts w:ascii="宋体"/>
                <w:spacing w:val="-1"/>
                <w:sz w:val="18"/>
              </w:rPr>
              <w:t>203,656.74</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18"/>
                <w:szCs w:val="18"/>
              </w:rPr>
            </w:pPr>
            <w:r>
              <w:rPr>
                <w:rFonts w:ascii="宋体"/>
                <w:sz w:val="18"/>
              </w:rPr>
              <w:t>4.31%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2,253,391.71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8"/>
              <w:jc w:val="right"/>
              <w:rPr>
                <w:rFonts w:ascii="宋体" w:hAnsi="宋体" w:cs="宋体" w:eastAsia="宋体" w:hint="default"/>
                <w:sz w:val="18"/>
                <w:szCs w:val="18"/>
              </w:rPr>
            </w:pPr>
            <w:r>
              <w:rPr>
                <w:rFonts w:ascii="宋体"/>
                <w:sz w:val="18"/>
              </w:rPr>
              <w:t>2.06%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18"/>
                <w:szCs w:val="18"/>
              </w:rPr>
            </w:pPr>
            <w:r>
              <w:rPr>
                <w:rFonts w:ascii="宋体"/>
                <w:spacing w:val="-1"/>
                <w:sz w:val="18"/>
              </w:rPr>
              <w:t>135,203.50</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z w:val="18"/>
              </w:rPr>
              <w:t>2.32%</w:t>
            </w:r>
          </w:p>
        </w:tc>
      </w:tr>
      <w:tr>
        <w:trPr>
          <w:trHeight w:val="1411"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both"/>
              <w:rPr>
                <w:rFonts w:ascii="宋体" w:hAnsi="宋体" w:cs="宋体" w:eastAsia="宋体" w:hint="default"/>
                <w:sz w:val="18"/>
                <w:szCs w:val="18"/>
              </w:rPr>
            </w:pPr>
            <w:r>
              <w:rPr>
                <w:rFonts w:ascii="宋体" w:hAnsi="宋体" w:cs="宋体" w:eastAsia="宋体" w:hint="default"/>
                <w:sz w:val="18"/>
                <w:szCs w:val="18"/>
              </w:rPr>
              <w:t>单项金额不重大但按</w:t>
            </w:r>
          </w:p>
          <w:p>
            <w:pPr>
              <w:pStyle w:val="TableParagraph"/>
              <w:spacing w:line="357" w:lineRule="auto" w:before="115"/>
              <w:ind w:left="122" w:right="104"/>
              <w:jc w:val="both"/>
              <w:rPr>
                <w:rFonts w:ascii="宋体" w:hAnsi="宋体" w:cs="宋体" w:eastAsia="宋体" w:hint="default"/>
                <w:sz w:val="18"/>
                <w:szCs w:val="18"/>
              </w:rPr>
            </w:pPr>
            <w:r>
              <w:rPr>
                <w:rFonts w:ascii="宋体" w:hAnsi="宋体" w:cs="宋体" w:eastAsia="宋体" w:hint="default"/>
                <w:sz w:val="18"/>
                <w:szCs w:val="18"/>
              </w:rPr>
              <w:t>信用风险特征组合后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该组合的风险较大的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应收账款</w:t>
            </w:r>
          </w:p>
        </w:tc>
        <w:tc>
          <w:tcPr>
            <w:tcW w:w="1388"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nil" w:sz="6" w:space="0" w:color="auto"/>
            </w:tcBorders>
          </w:tcPr>
          <w:p>
            <w:pPr/>
          </w:p>
        </w:tc>
      </w:tr>
      <w:tr>
        <w:trPr>
          <w:trHeight w:val="487" w:hRule="exact"/>
        </w:trPr>
        <w:tc>
          <w:tcPr>
            <w:tcW w:w="18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11" w:right="0"/>
              <w:jc w:val="center"/>
              <w:rPr>
                <w:rFonts w:ascii="宋体" w:hAnsi="宋体" w:cs="宋体" w:eastAsia="宋体" w:hint="default"/>
                <w:sz w:val="18"/>
                <w:szCs w:val="18"/>
              </w:rPr>
            </w:pPr>
            <w:r>
              <w:rPr>
                <w:rFonts w:ascii="宋体" w:hAnsi="宋体" w:cs="宋体" w:eastAsia="宋体" w:hint="default"/>
                <w:sz w:val="18"/>
                <w:szCs w:val="18"/>
              </w:rPr>
              <w:t>其他不重大应收账款</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94,887,007.36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pacing w:val="-1"/>
                <w:sz w:val="18"/>
              </w:rPr>
              <w:t>96.55%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4,518,603.31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宋体" w:hAnsi="宋体" w:cs="宋体" w:eastAsia="宋体" w:hint="default"/>
                <w:sz w:val="18"/>
                <w:szCs w:val="18"/>
              </w:rPr>
            </w:pPr>
            <w:r>
              <w:rPr>
                <w:rFonts w:ascii="宋体"/>
                <w:spacing w:val="-1"/>
                <w:sz w:val="18"/>
              </w:rPr>
              <w:t>95.69%</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107,180,689.50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98"/>
              <w:jc w:val="right"/>
              <w:rPr>
                <w:rFonts w:ascii="宋体" w:hAnsi="宋体" w:cs="宋体" w:eastAsia="宋体" w:hint="default"/>
                <w:sz w:val="18"/>
                <w:szCs w:val="18"/>
              </w:rPr>
            </w:pPr>
            <w:r>
              <w:rPr>
                <w:rFonts w:ascii="宋体"/>
                <w:spacing w:val="-1"/>
                <w:sz w:val="18"/>
              </w:rPr>
              <w:t>97.94%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pacing w:val="-1"/>
                <w:sz w:val="18"/>
              </w:rPr>
              <w:t>5,686,537.24</w:t>
            </w:r>
          </w:p>
        </w:tc>
        <w:tc>
          <w:tcPr>
            <w:tcW w:w="84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2"/>
              <w:ind w:right="105"/>
              <w:jc w:val="right"/>
              <w:rPr>
                <w:rFonts w:ascii="宋体" w:hAnsi="宋体" w:cs="宋体" w:eastAsia="宋体" w:hint="default"/>
                <w:sz w:val="18"/>
                <w:szCs w:val="18"/>
              </w:rPr>
            </w:pPr>
            <w:r>
              <w:rPr>
                <w:rFonts w:ascii="宋体"/>
                <w:spacing w:val="-1"/>
                <w:sz w:val="18"/>
              </w:rPr>
              <w:t>97.68%</w:t>
            </w:r>
          </w:p>
        </w:tc>
      </w:tr>
      <w:tr>
        <w:trPr>
          <w:trHeight w:val="490" w:hRule="exact"/>
        </w:trPr>
        <w:tc>
          <w:tcPr>
            <w:tcW w:w="1858" w:type="dxa"/>
            <w:tcBorders>
              <w:top w:val="single" w:sz="4" w:space="0" w:color="000000"/>
              <w:left w:val="nil" w:sz="6" w:space="0" w:color="auto"/>
              <w:bottom w:val="single" w:sz="12" w:space="0" w:color="000000"/>
              <w:right w:val="single" w:sz="4" w:space="0" w:color="000000"/>
            </w:tcBorders>
          </w:tcPr>
          <w:p>
            <w:pPr>
              <w:pStyle w:val="TableParagraph"/>
              <w:tabs>
                <w:tab w:pos="564" w:val="left" w:leader="none"/>
              </w:tabs>
              <w:spacing w:line="240" w:lineRule="auto" w:before="27"/>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98,281,286.30</w:t>
            </w:r>
          </w:p>
        </w:tc>
        <w:tc>
          <w:tcPr>
            <w:tcW w:w="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98"/>
              <w:jc w:val="righ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4,722,260.05</w:t>
            </w:r>
          </w:p>
        </w:tc>
        <w:tc>
          <w:tcPr>
            <w:tcW w:w="84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100.00%</w:t>
            </w:r>
          </w:p>
        </w:tc>
        <w:tc>
          <w:tcPr>
            <w:tcW w:w="14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109,434,081.21</w:t>
            </w:r>
          </w:p>
        </w:tc>
        <w:tc>
          <w:tcPr>
            <w:tcW w:w="84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98"/>
              <w:jc w:val="righ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pacing w:val="-1"/>
                <w:sz w:val="18"/>
              </w:rPr>
              <w:t>5,821,740.74</w:t>
            </w:r>
          </w:p>
        </w:tc>
        <w:tc>
          <w:tcPr>
            <w:tcW w:w="84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05"/>
              <w:jc w:val="right"/>
              <w:rPr>
                <w:rFonts w:ascii="宋体" w:hAnsi="宋体" w:cs="宋体" w:eastAsia="宋体" w:hint="default"/>
                <w:sz w:val="18"/>
                <w:szCs w:val="18"/>
              </w:rPr>
            </w:pPr>
            <w:r>
              <w:rPr>
                <w:rFonts w:ascii="宋体"/>
                <w:sz w:val="18"/>
              </w:rPr>
              <w:t>100.00%</w:t>
            </w:r>
          </w:p>
        </w:tc>
      </w:tr>
    </w:tbl>
    <w:p>
      <w:pPr>
        <w:pStyle w:val="BodyText"/>
        <w:spacing w:line="240" w:lineRule="auto" w:before="86"/>
        <w:ind w:left="660" w:right="606"/>
        <w:jc w:val="left"/>
        <w:rPr>
          <w:rFonts w:ascii="宋体" w:hAnsi="宋体" w:cs="宋体" w:eastAsia="宋体" w:hint="default"/>
        </w:rPr>
      </w:pPr>
      <w:r>
        <w:rPr/>
        <w:t>（</w:t>
      </w:r>
      <w:r>
        <w:rPr>
          <w:rFonts w:ascii="宋体" w:hAnsi="宋体" w:cs="宋体" w:eastAsia="宋体" w:hint="default"/>
        </w:rPr>
        <w:t>2</w:t>
      </w:r>
      <w:r>
        <w:rPr/>
        <w:t>）单项金额重大与其他不重大的应收账款按账龄分类</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632"/>
        <w:gridCol w:w="1623"/>
        <w:gridCol w:w="1330"/>
        <w:gridCol w:w="1426"/>
        <w:gridCol w:w="1620"/>
        <w:gridCol w:w="1330"/>
        <w:gridCol w:w="1738"/>
      </w:tblGrid>
      <w:tr>
        <w:trPr>
          <w:trHeight w:val="370" w:hRule="exact"/>
        </w:trPr>
        <w:tc>
          <w:tcPr>
            <w:tcW w:w="1632" w:type="dxa"/>
            <w:vMerge w:val="restart"/>
            <w:tcBorders>
              <w:top w:val="single" w:sz="12" w:space="0" w:color="000000"/>
              <w:left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25"/>
                <w:szCs w:val="25"/>
              </w:rPr>
            </w:pPr>
          </w:p>
          <w:p>
            <w:pPr>
              <w:pStyle w:val="TableParagraph"/>
              <w:tabs>
                <w:tab w:pos="960" w:val="left" w:leader="none"/>
              </w:tabs>
              <w:spacing w:line="240" w:lineRule="auto"/>
              <w:ind w:left="506"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379" w:type="dxa"/>
            <w:gridSpan w:val="3"/>
            <w:tcBorders>
              <w:top w:val="single" w:sz="12"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688" w:type="dxa"/>
            <w:gridSpan w:val="3"/>
            <w:tcBorders>
              <w:top w:val="single" w:sz="12" w:space="0" w:color="000000"/>
              <w:left w:val="single" w:sz="4" w:space="0" w:color="000000"/>
              <w:bottom w:val="single" w:sz="4" w:space="0" w:color="000000"/>
              <w:right w:val="nil" w:sz="6" w:space="0" w:color="auto"/>
            </w:tcBorders>
          </w:tcPr>
          <w:p>
            <w:pPr>
              <w:pStyle w:val="TableParagraph"/>
              <w:spacing w:line="203" w:lineRule="exact"/>
              <w:ind w:right="8"/>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60" w:hRule="exact"/>
        </w:trPr>
        <w:tc>
          <w:tcPr>
            <w:tcW w:w="1632" w:type="dxa"/>
            <w:vMerge/>
            <w:tcBorders>
              <w:left w:val="nil" w:sz="6" w:space="0" w:color="auto"/>
              <w:right w:val="single" w:sz="4" w:space="0" w:color="000000"/>
            </w:tcBorders>
          </w:tcPr>
          <w:p>
            <w:pPr/>
          </w:p>
        </w:tc>
        <w:tc>
          <w:tcPr>
            <w:tcW w:w="2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26" w:type="dxa"/>
            <w:vMerge w:val="restart"/>
            <w:tcBorders>
              <w:top w:val="single" w:sz="4" w:space="0" w:color="000000"/>
              <w:left w:val="single" w:sz="4" w:space="0" w:color="000000"/>
              <w:right w:val="single" w:sz="4" w:space="0" w:color="000000"/>
            </w:tcBorders>
          </w:tcPr>
          <w:p>
            <w:pPr>
              <w:pStyle w:val="TableParagraph"/>
              <w:spacing w:line="240" w:lineRule="auto" w:before="147"/>
              <w:ind w:left="34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9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8" w:type="dxa"/>
            <w:vMerge w:val="restart"/>
            <w:tcBorders>
              <w:top w:val="single" w:sz="4" w:space="0" w:color="000000"/>
              <w:left w:val="single" w:sz="4" w:space="0" w:color="000000"/>
              <w:right w:val="nil" w:sz="6" w:space="0" w:color="auto"/>
            </w:tcBorders>
          </w:tcPr>
          <w:p>
            <w:pPr>
              <w:pStyle w:val="TableParagraph"/>
              <w:spacing w:line="240" w:lineRule="auto" w:before="147"/>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0" w:hRule="exact"/>
        </w:trPr>
        <w:tc>
          <w:tcPr>
            <w:tcW w:w="1632" w:type="dxa"/>
            <w:vMerge/>
            <w:tcBorders>
              <w:left w:val="nil" w:sz="6" w:space="0" w:color="auto"/>
              <w:bottom w:val="single" w:sz="4" w:space="0" w:color="000000"/>
              <w:right w:val="single" w:sz="4" w:space="0" w:color="000000"/>
            </w:tcBorders>
          </w:tcPr>
          <w:p>
            <w:pP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26"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738" w:type="dxa"/>
            <w:vMerge/>
            <w:tcBorders>
              <w:left w:val="single" w:sz="4" w:space="0" w:color="000000"/>
              <w:bottom w:val="single" w:sz="4" w:space="0" w:color="000000"/>
              <w:right w:val="nil" w:sz="6" w:space="0" w:color="auto"/>
            </w:tcBorders>
          </w:tcPr>
          <w:p>
            <w:pPr/>
          </w:p>
        </w:tc>
      </w:tr>
      <w:tr>
        <w:trPr>
          <w:trHeight w:val="360"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96,306,526.28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97.99%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4,503,339.91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107,242,263.42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98.00%</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5,625,798.08</w:t>
            </w:r>
          </w:p>
        </w:tc>
      </w:tr>
      <w:tr>
        <w:trPr>
          <w:trHeight w:val="362"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686,657.85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0.70%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54,932.63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pacing w:val="-1"/>
                <w:sz w:val="18"/>
              </w:rPr>
              <w:t>1,501,551.38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z w:val="18"/>
              </w:rPr>
              <w:t>1.37%</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120,124.11</w:t>
            </w:r>
          </w:p>
        </w:tc>
      </w:tr>
      <w:tr>
        <w:trPr>
          <w:trHeight w:val="360"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939,554.19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0.96%</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93,955.42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626,173.31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0.57%</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62,617.33</w:t>
            </w:r>
          </w:p>
        </w:tc>
      </w:tr>
      <w:tr>
        <w:trPr>
          <w:trHeight w:val="360"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345,323.13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0.34%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69,064.63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60,267.10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0.05%</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12,053.42</w:t>
            </w:r>
          </w:p>
        </w:tc>
      </w:tr>
      <w:tr>
        <w:trPr>
          <w:trHeight w:val="360"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3,224.85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0.01%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967.46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pacing w:val="-1"/>
                <w:sz w:val="18"/>
              </w:rPr>
              <w:t>3,826.00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0.01%</w:t>
            </w:r>
          </w:p>
        </w:tc>
        <w:tc>
          <w:tcPr>
            <w:tcW w:w="173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1,147.80</w:t>
            </w:r>
          </w:p>
        </w:tc>
      </w:tr>
      <w:tr>
        <w:trPr>
          <w:trHeight w:val="361" w:hRule="exact"/>
        </w:trPr>
        <w:tc>
          <w:tcPr>
            <w:tcW w:w="163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62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nil" w:sz="6" w:space="0" w:color="auto"/>
            </w:tcBorders>
          </w:tcPr>
          <w:p>
            <w:pPr/>
          </w:p>
        </w:tc>
      </w:tr>
      <w:tr>
        <w:trPr>
          <w:trHeight w:val="370" w:hRule="exact"/>
        </w:trPr>
        <w:tc>
          <w:tcPr>
            <w:tcW w:w="1632" w:type="dxa"/>
            <w:tcBorders>
              <w:top w:val="single" w:sz="4" w:space="0" w:color="000000"/>
              <w:left w:val="nil" w:sz="6" w:space="0" w:color="auto"/>
              <w:bottom w:val="single" w:sz="12" w:space="0" w:color="000000"/>
              <w:right w:val="single" w:sz="4" w:space="0" w:color="000000"/>
            </w:tcBorders>
          </w:tcPr>
          <w:p>
            <w:pPr>
              <w:pStyle w:val="TableParagraph"/>
              <w:tabs>
                <w:tab w:pos="960" w:val="left" w:leader="none"/>
              </w:tabs>
              <w:spacing w:line="203" w:lineRule="exact"/>
              <w:ind w:left="506"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23"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98,281,286.30</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100.00%</w:t>
            </w:r>
          </w:p>
        </w:tc>
        <w:tc>
          <w:tcPr>
            <w:tcW w:w="1426"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4,722,260.05</w:t>
            </w:r>
          </w:p>
        </w:tc>
        <w:tc>
          <w:tcPr>
            <w:tcW w:w="1620"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109,434,081.21</w:t>
            </w:r>
          </w:p>
        </w:tc>
        <w:tc>
          <w:tcPr>
            <w:tcW w:w="1330" w:type="dxa"/>
            <w:tcBorders>
              <w:top w:val="single" w:sz="4" w:space="0" w:color="000000"/>
              <w:left w:val="single" w:sz="4" w:space="0" w:color="000000"/>
              <w:bottom w:val="single" w:sz="12" w:space="0" w:color="000000"/>
              <w:right w:val="single" w:sz="4" w:space="0" w:color="000000"/>
            </w:tcBorders>
          </w:tcPr>
          <w:p>
            <w:pPr>
              <w:pStyle w:val="TableParagraph"/>
              <w:spacing w:line="203" w:lineRule="exact"/>
              <w:ind w:right="100"/>
              <w:jc w:val="right"/>
              <w:rPr>
                <w:rFonts w:ascii="宋体" w:hAnsi="宋体" w:cs="宋体" w:eastAsia="宋体" w:hint="default"/>
                <w:sz w:val="18"/>
                <w:szCs w:val="18"/>
              </w:rPr>
            </w:pPr>
            <w:r>
              <w:rPr>
                <w:rFonts w:ascii="宋体"/>
                <w:sz w:val="18"/>
              </w:rPr>
              <w:t>100.00%</w:t>
            </w:r>
          </w:p>
        </w:tc>
        <w:tc>
          <w:tcPr>
            <w:tcW w:w="1738" w:type="dxa"/>
            <w:tcBorders>
              <w:top w:val="single" w:sz="4" w:space="0" w:color="000000"/>
              <w:left w:val="single" w:sz="4" w:space="0" w:color="000000"/>
              <w:bottom w:val="single" w:sz="12"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5,821,740.74</w:t>
            </w:r>
          </w:p>
        </w:tc>
      </w:tr>
    </w:tbl>
    <w:p>
      <w:pPr>
        <w:pStyle w:val="BodyText"/>
        <w:spacing w:line="240" w:lineRule="auto" w:before="86"/>
        <w:ind w:left="660" w:right="606"/>
        <w:jc w:val="left"/>
      </w:pPr>
      <w:r>
        <w:rPr/>
        <w:t>（</w:t>
      </w:r>
      <w:r>
        <w:rPr>
          <w:rFonts w:ascii="宋体" w:hAnsi="宋体" w:cs="宋体" w:eastAsia="宋体" w:hint="default"/>
        </w:rPr>
        <w:t>3</w:t>
      </w:r>
      <w:r>
        <w:rPr/>
        <w:t>）应收账款期末余额位列前五名的单位：</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4165"/>
        <w:gridCol w:w="1697"/>
        <w:gridCol w:w="1591"/>
        <w:gridCol w:w="1522"/>
        <w:gridCol w:w="1723"/>
      </w:tblGrid>
      <w:tr>
        <w:trPr>
          <w:trHeight w:val="722" w:hRule="exact"/>
        </w:trPr>
        <w:tc>
          <w:tcPr>
            <w:tcW w:w="416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142"/>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2"/>
              <w:ind w:left="515" w:right="0"/>
              <w:jc w:val="left"/>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5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欠款年限</w:t>
            </w:r>
          </w:p>
        </w:tc>
        <w:tc>
          <w:tcPr>
            <w:tcW w:w="1723" w:type="dxa"/>
            <w:tcBorders>
              <w:top w:val="single" w:sz="12" w:space="0" w:color="000000"/>
              <w:left w:val="single" w:sz="6" w:space="0" w:color="000000"/>
              <w:bottom w:val="single" w:sz="6" w:space="0" w:color="000000"/>
              <w:right w:val="nil" w:sz="6" w:space="0" w:color="auto"/>
            </w:tcBorders>
          </w:tcPr>
          <w:p>
            <w:pPr>
              <w:pStyle w:val="TableParagraph"/>
              <w:spacing w:line="203" w:lineRule="exact"/>
              <w:ind w:right="5"/>
              <w:jc w:val="center"/>
              <w:rPr>
                <w:rFonts w:ascii="宋体" w:hAnsi="宋体" w:cs="宋体" w:eastAsia="宋体" w:hint="default"/>
                <w:sz w:val="18"/>
                <w:szCs w:val="18"/>
              </w:rPr>
            </w:pPr>
            <w:r>
              <w:rPr>
                <w:rFonts w:ascii="宋体" w:hAnsi="宋体" w:cs="宋体" w:eastAsia="宋体" w:hint="default"/>
                <w:sz w:val="18"/>
                <w:szCs w:val="18"/>
              </w:rPr>
              <w:t>占应收账款总额的</w:t>
            </w:r>
          </w:p>
          <w:p>
            <w:pPr>
              <w:pStyle w:val="TableParagraph"/>
              <w:spacing w:line="240" w:lineRule="auto" w:before="115"/>
              <w:ind w:right="5"/>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65" w:hRule="exact"/>
        </w:trPr>
        <w:tc>
          <w:tcPr>
            <w:tcW w:w="416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8" w:right="0"/>
              <w:jc w:val="center"/>
              <w:rPr>
                <w:rFonts w:ascii="宋体" w:hAnsi="宋体" w:cs="宋体" w:eastAsia="宋体" w:hint="default"/>
                <w:sz w:val="18"/>
                <w:szCs w:val="18"/>
              </w:rPr>
            </w:pPr>
            <w:r>
              <w:rPr>
                <w:rFonts w:ascii="宋体" w:hAnsi="宋体" w:cs="宋体" w:eastAsia="宋体" w:hint="default"/>
                <w:sz w:val="18"/>
                <w:szCs w:val="18"/>
              </w:rPr>
              <w:t>天津中新药业集团股份有限公司医药公司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2,203,434.20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23" w:type="dxa"/>
            <w:tcBorders>
              <w:top w:val="single" w:sz="6" w:space="0" w:color="000000"/>
              <w:left w:val="single" w:sz="6"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2.24%</w:t>
            </w:r>
          </w:p>
        </w:tc>
      </w:tr>
      <w:tr>
        <w:trPr>
          <w:trHeight w:val="367" w:hRule="exact"/>
        </w:trPr>
        <w:tc>
          <w:tcPr>
            <w:tcW w:w="4165"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8" w:right="0"/>
              <w:jc w:val="center"/>
              <w:rPr>
                <w:rFonts w:ascii="宋体" w:hAnsi="宋体" w:cs="宋体" w:eastAsia="宋体" w:hint="default"/>
                <w:sz w:val="18"/>
                <w:szCs w:val="18"/>
              </w:rPr>
            </w:pPr>
            <w:r>
              <w:rPr>
                <w:rFonts w:ascii="宋体" w:hAnsi="宋体" w:cs="宋体" w:eastAsia="宋体" w:hint="default"/>
                <w:sz w:val="18"/>
                <w:szCs w:val="18"/>
              </w:rPr>
              <w:t>北京金象复星医药股份有限公司地安门分公司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1,190,844.74</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23"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z w:val="18"/>
              </w:rPr>
              <w:t>1.21%</w:t>
            </w:r>
          </w:p>
        </w:tc>
      </w:tr>
      <w:tr>
        <w:trPr>
          <w:trHeight w:val="374" w:hRule="exact"/>
        </w:trPr>
        <w:tc>
          <w:tcPr>
            <w:tcW w:w="4165" w:type="dxa"/>
            <w:tcBorders>
              <w:top w:val="single" w:sz="6" w:space="0" w:color="000000"/>
              <w:left w:val="nil" w:sz="6" w:space="0" w:color="auto"/>
              <w:bottom w:val="single" w:sz="12" w:space="0" w:color="000000"/>
              <w:right w:val="single" w:sz="6" w:space="0" w:color="000000"/>
            </w:tcBorders>
          </w:tcPr>
          <w:p>
            <w:pPr>
              <w:pStyle w:val="TableParagraph"/>
              <w:spacing w:line="203" w:lineRule="exact"/>
              <w:ind w:left="19" w:right="0"/>
              <w:jc w:val="center"/>
              <w:rPr>
                <w:rFonts w:ascii="宋体" w:hAnsi="宋体" w:cs="宋体" w:eastAsia="宋体" w:hint="default"/>
                <w:sz w:val="18"/>
                <w:szCs w:val="18"/>
              </w:rPr>
            </w:pPr>
            <w:r>
              <w:rPr>
                <w:rFonts w:ascii="宋体" w:hAnsi="宋体" w:cs="宋体" w:eastAsia="宋体" w:hint="default"/>
                <w:sz w:val="18"/>
                <w:szCs w:val="18"/>
              </w:rPr>
              <w:t>河北省唐山药材采购供应站</w:t>
            </w:r>
          </w:p>
        </w:tc>
        <w:tc>
          <w:tcPr>
            <w:tcW w:w="1697"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591"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687,855.15</w:t>
            </w:r>
          </w:p>
        </w:tc>
        <w:tc>
          <w:tcPr>
            <w:tcW w:w="1522"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23" w:type="dxa"/>
            <w:tcBorders>
              <w:top w:val="single" w:sz="6" w:space="0" w:color="000000"/>
              <w:left w:val="single" w:sz="6" w:space="0" w:color="000000"/>
              <w:bottom w:val="single" w:sz="12"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0.70%</w:t>
            </w:r>
          </w:p>
        </w:tc>
      </w:tr>
    </w:tbl>
    <w:p>
      <w:pPr>
        <w:spacing w:after="0" w:line="203" w:lineRule="exact"/>
        <w:jc w:val="right"/>
        <w:rPr>
          <w:rFonts w:ascii="宋体" w:hAnsi="宋体" w:cs="宋体" w:eastAsia="宋体" w:hint="default"/>
          <w:sz w:val="18"/>
          <w:szCs w:val="18"/>
        </w:rPr>
        <w:sectPr>
          <w:footerReference w:type="default" r:id="rId52"/>
          <w:pgSz w:w="11910" w:h="16840"/>
          <w:pgMar w:footer="956" w:header="720" w:top="1300" w:bottom="1140" w:left="480" w:right="0"/>
        </w:sectPr>
      </w:pPr>
    </w:p>
    <w:p>
      <w:pPr>
        <w:spacing w:line="240" w:lineRule="auto" w:before="7"/>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165"/>
        <w:gridCol w:w="1697"/>
        <w:gridCol w:w="1591"/>
        <w:gridCol w:w="1522"/>
        <w:gridCol w:w="1723"/>
      </w:tblGrid>
      <w:tr>
        <w:trPr>
          <w:trHeight w:val="379" w:hRule="exact"/>
        </w:trPr>
        <w:tc>
          <w:tcPr>
            <w:tcW w:w="4165" w:type="dxa"/>
            <w:tcBorders>
              <w:top w:val="single" w:sz="12" w:space="0" w:color="000000"/>
              <w:left w:val="nil" w:sz="6" w:space="0" w:color="auto"/>
              <w:bottom w:val="single" w:sz="6" w:space="0" w:color="000000"/>
              <w:right w:val="single" w:sz="6" w:space="0" w:color="000000"/>
            </w:tcBorders>
          </w:tcPr>
          <w:p>
            <w:pPr>
              <w:pStyle w:val="TableParagraph"/>
              <w:spacing w:line="210" w:lineRule="exact"/>
              <w:ind w:left="19" w:right="0"/>
              <w:jc w:val="center"/>
              <w:rPr>
                <w:rFonts w:ascii="宋体" w:hAnsi="宋体" w:cs="宋体" w:eastAsia="宋体" w:hint="default"/>
                <w:sz w:val="18"/>
                <w:szCs w:val="18"/>
              </w:rPr>
            </w:pPr>
            <w:r>
              <w:rPr>
                <w:rFonts w:ascii="宋体" w:hAnsi="宋体" w:cs="宋体" w:eastAsia="宋体" w:hint="default"/>
                <w:sz w:val="18"/>
                <w:szCs w:val="18"/>
              </w:rPr>
              <w:t>江苏省大丰市第一人民医院</w:t>
            </w:r>
          </w:p>
        </w:tc>
        <w:tc>
          <w:tcPr>
            <w:tcW w:w="1697" w:type="dxa"/>
            <w:tcBorders>
              <w:top w:val="single" w:sz="12" w:space="0" w:color="000000"/>
              <w:left w:val="single" w:sz="6" w:space="0" w:color="000000"/>
              <w:bottom w:val="single" w:sz="6" w:space="0" w:color="000000"/>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591" w:type="dxa"/>
            <w:tcBorders>
              <w:top w:val="single" w:sz="12" w:space="0" w:color="000000"/>
              <w:left w:val="single" w:sz="6" w:space="0" w:color="000000"/>
              <w:bottom w:val="single" w:sz="6" w:space="0" w:color="000000"/>
              <w:right w:val="single" w:sz="6" w:space="0" w:color="000000"/>
            </w:tcBorders>
          </w:tcPr>
          <w:p>
            <w:pPr>
              <w:pStyle w:val="TableParagraph"/>
              <w:spacing w:line="210" w:lineRule="exact"/>
              <w:ind w:right="103"/>
              <w:jc w:val="right"/>
              <w:rPr>
                <w:rFonts w:ascii="宋体" w:hAnsi="宋体" w:cs="宋体" w:eastAsia="宋体" w:hint="default"/>
                <w:sz w:val="18"/>
                <w:szCs w:val="18"/>
              </w:rPr>
            </w:pPr>
            <w:r>
              <w:rPr>
                <w:rFonts w:ascii="宋体"/>
                <w:spacing w:val="-1"/>
                <w:sz w:val="18"/>
              </w:rPr>
              <w:t>407,471.50</w:t>
            </w:r>
          </w:p>
        </w:tc>
        <w:tc>
          <w:tcPr>
            <w:tcW w:w="1522" w:type="dxa"/>
            <w:tcBorders>
              <w:top w:val="single" w:sz="12" w:space="0" w:color="000000"/>
              <w:left w:val="single" w:sz="6" w:space="0" w:color="000000"/>
              <w:bottom w:val="single" w:sz="6" w:space="0" w:color="000000"/>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23" w:type="dxa"/>
            <w:tcBorders>
              <w:top w:val="single" w:sz="12" w:space="0" w:color="000000"/>
              <w:left w:val="single" w:sz="6" w:space="0" w:color="000000"/>
              <w:bottom w:val="single" w:sz="6" w:space="0" w:color="000000"/>
              <w:right w:val="nil" w:sz="6" w:space="0" w:color="auto"/>
            </w:tcBorders>
          </w:tcPr>
          <w:p>
            <w:pPr>
              <w:pStyle w:val="TableParagraph"/>
              <w:spacing w:line="210" w:lineRule="exact"/>
              <w:ind w:right="104"/>
              <w:jc w:val="right"/>
              <w:rPr>
                <w:rFonts w:ascii="宋体" w:hAnsi="宋体" w:cs="宋体" w:eastAsia="宋体" w:hint="default"/>
                <w:sz w:val="18"/>
                <w:szCs w:val="18"/>
              </w:rPr>
            </w:pPr>
            <w:r>
              <w:rPr>
                <w:rFonts w:ascii="宋体"/>
                <w:sz w:val="18"/>
              </w:rPr>
              <w:t>0.42%</w:t>
            </w:r>
          </w:p>
        </w:tc>
      </w:tr>
      <w:tr>
        <w:trPr>
          <w:trHeight w:val="368" w:hRule="exact"/>
        </w:trPr>
        <w:tc>
          <w:tcPr>
            <w:tcW w:w="4165"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21" w:right="0"/>
              <w:jc w:val="center"/>
              <w:rPr>
                <w:rFonts w:ascii="宋体" w:hAnsi="宋体" w:cs="宋体" w:eastAsia="宋体" w:hint="default"/>
                <w:sz w:val="18"/>
                <w:szCs w:val="18"/>
              </w:rPr>
            </w:pPr>
            <w:r>
              <w:rPr>
                <w:rFonts w:ascii="宋体" w:hAnsi="宋体" w:cs="宋体" w:eastAsia="宋体" w:hint="default"/>
                <w:sz w:val="18"/>
                <w:szCs w:val="18"/>
              </w:rPr>
              <w:t>河南省安泰医药有限公司</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销售客户</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382,377.80</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723" w:type="dxa"/>
            <w:tcBorders>
              <w:top w:val="single" w:sz="6" w:space="0" w:color="000000"/>
              <w:left w:val="single" w:sz="6" w:space="0" w:color="000000"/>
              <w:bottom w:val="single" w:sz="6" w:space="0" w:color="000000"/>
              <w:right w:val="nil" w:sz="6" w:space="0" w:color="auto"/>
            </w:tcBorders>
          </w:tcPr>
          <w:p>
            <w:pPr>
              <w:pStyle w:val="TableParagraph"/>
              <w:spacing w:line="206" w:lineRule="exact"/>
              <w:ind w:right="105"/>
              <w:jc w:val="right"/>
              <w:rPr>
                <w:rFonts w:ascii="宋体" w:hAnsi="宋体" w:cs="宋体" w:eastAsia="宋体" w:hint="default"/>
                <w:sz w:val="18"/>
                <w:szCs w:val="18"/>
              </w:rPr>
            </w:pPr>
            <w:r>
              <w:rPr>
                <w:rFonts w:ascii="宋体"/>
                <w:sz w:val="18"/>
              </w:rPr>
              <w:t>0.39%</w:t>
            </w:r>
          </w:p>
        </w:tc>
      </w:tr>
      <w:tr>
        <w:trPr>
          <w:trHeight w:val="374" w:hRule="exact"/>
        </w:trPr>
        <w:tc>
          <w:tcPr>
            <w:tcW w:w="4165" w:type="dxa"/>
            <w:tcBorders>
              <w:top w:val="single" w:sz="6" w:space="0" w:color="000000"/>
              <w:left w:val="nil" w:sz="6" w:space="0" w:color="auto"/>
              <w:bottom w:val="single" w:sz="12" w:space="0" w:color="000000"/>
              <w:right w:val="single" w:sz="6" w:space="0" w:color="000000"/>
            </w:tcBorders>
          </w:tcPr>
          <w:p>
            <w:pPr>
              <w:pStyle w:val="TableParagraph"/>
              <w:tabs>
                <w:tab w:pos="563" w:val="left" w:leader="none"/>
              </w:tabs>
              <w:spacing w:line="203" w:lineRule="exact"/>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697" w:type="dxa"/>
            <w:tcBorders>
              <w:top w:val="single" w:sz="6" w:space="0" w:color="000000"/>
              <w:left w:val="single" w:sz="6" w:space="0" w:color="000000"/>
              <w:bottom w:val="single" w:sz="12" w:space="0" w:color="000000"/>
              <w:right w:val="single" w:sz="6" w:space="0" w:color="000000"/>
            </w:tcBorders>
          </w:tcPr>
          <w:p>
            <w:pPr/>
          </w:p>
        </w:tc>
        <w:tc>
          <w:tcPr>
            <w:tcW w:w="1591" w:type="dxa"/>
            <w:tcBorders>
              <w:top w:val="single" w:sz="6" w:space="0" w:color="000000"/>
              <w:left w:val="single" w:sz="6" w:space="0" w:color="000000"/>
              <w:bottom w:val="single" w:sz="12" w:space="0" w:color="000000"/>
              <w:right w:val="single" w:sz="6" w:space="0" w:color="000000"/>
            </w:tcBorders>
          </w:tcPr>
          <w:p>
            <w:pPr>
              <w:pStyle w:val="TableParagraph"/>
              <w:spacing w:line="203" w:lineRule="exact"/>
              <w:ind w:right="101"/>
              <w:jc w:val="right"/>
              <w:rPr>
                <w:rFonts w:ascii="宋体" w:hAnsi="宋体" w:cs="宋体" w:eastAsia="宋体" w:hint="default"/>
                <w:sz w:val="18"/>
                <w:szCs w:val="18"/>
              </w:rPr>
            </w:pPr>
            <w:r>
              <w:rPr>
                <w:rFonts w:ascii="宋体"/>
                <w:spacing w:val="-1"/>
                <w:sz w:val="18"/>
              </w:rPr>
              <w:t>4,871,983.39</w:t>
            </w:r>
          </w:p>
        </w:tc>
        <w:tc>
          <w:tcPr>
            <w:tcW w:w="1522" w:type="dxa"/>
            <w:tcBorders>
              <w:top w:val="single" w:sz="6" w:space="0" w:color="000000"/>
              <w:left w:val="single" w:sz="6" w:space="0" w:color="000000"/>
              <w:bottom w:val="single" w:sz="12" w:space="0" w:color="000000"/>
              <w:right w:val="single" w:sz="6" w:space="0" w:color="000000"/>
            </w:tcBorders>
          </w:tcPr>
          <w:p>
            <w:pPr/>
          </w:p>
        </w:tc>
        <w:tc>
          <w:tcPr>
            <w:tcW w:w="1723" w:type="dxa"/>
            <w:tcBorders>
              <w:top w:val="single" w:sz="6" w:space="0" w:color="000000"/>
              <w:left w:val="single" w:sz="6" w:space="0" w:color="000000"/>
              <w:bottom w:val="single" w:sz="12"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z w:val="18"/>
              </w:rPr>
              <w:t>4.96%</w:t>
            </w:r>
          </w:p>
        </w:tc>
      </w:tr>
    </w:tbl>
    <w:p>
      <w:pPr>
        <w:pStyle w:val="BodyText"/>
        <w:spacing w:line="240" w:lineRule="auto" w:before="86"/>
        <w:ind w:left="660" w:right="606"/>
        <w:jc w:val="left"/>
      </w:pPr>
      <w:r>
        <w:rPr/>
        <w:t>（</w:t>
      </w:r>
      <w:r>
        <w:rPr>
          <w:rFonts w:ascii="宋体" w:hAnsi="宋体" w:cs="宋体" w:eastAsia="宋体" w:hint="default"/>
        </w:rPr>
        <w:t>4</w:t>
      </w:r>
      <w:r>
        <w:rPr/>
        <w:t>）应收账款期末余额中无持有本公司</w:t>
      </w:r>
      <w:r>
        <w:rPr>
          <w:rFonts w:ascii="宋体" w:hAnsi="宋体" w:cs="宋体" w:eastAsia="宋体" w:hint="default"/>
        </w:rPr>
        <w:t>5%(</w:t>
      </w:r>
      <w:r>
        <w:rPr/>
        <w:t>含</w:t>
      </w:r>
      <w:r>
        <w:rPr>
          <w:rFonts w:ascii="宋体" w:hAnsi="宋体" w:cs="宋体" w:eastAsia="宋体" w:hint="default"/>
        </w:rPr>
        <w:t>5%)</w:t>
      </w:r>
      <w:r>
        <w:rPr/>
        <w:t>以上表决权股份的股东单位及关联方单位的款项。</w:t>
      </w:r>
    </w:p>
    <w:p>
      <w:pPr>
        <w:spacing w:line="355" w:lineRule="auto" w:before="133"/>
        <w:ind w:left="652" w:right="5634" w:firstLine="7"/>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5</w:t>
      </w:r>
      <w:r>
        <w:rPr>
          <w:rFonts w:ascii="宋体" w:hAnsi="宋体" w:cs="宋体" w:eastAsia="宋体" w:hint="default"/>
          <w:spacing w:val="-2"/>
          <w:sz w:val="21"/>
          <w:szCs w:val="21"/>
        </w:rPr>
        <w:t>）本公司本期不存在核销与终止确认的应收账款。</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BodyText"/>
        <w:spacing w:line="240" w:lineRule="auto"/>
        <w:ind w:left="660" w:right="606"/>
        <w:jc w:val="left"/>
        <w:rPr>
          <w:rFonts w:ascii="宋体" w:hAnsi="宋体" w:cs="宋体" w:eastAsia="宋体" w:hint="default"/>
        </w:rPr>
      </w:pPr>
      <w:r>
        <w:rPr/>
        <w:t>（</w:t>
      </w:r>
      <w:r>
        <w:rPr>
          <w:rFonts w:ascii="宋体" w:hAnsi="宋体" w:cs="宋体" w:eastAsia="宋体" w:hint="default"/>
        </w:rPr>
        <w:t>1</w:t>
      </w:r>
      <w:r>
        <w:rPr/>
        <w:t>）其他应收款按种类分类</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165"/>
        <w:gridCol w:w="1503"/>
        <w:gridCol w:w="982"/>
        <w:gridCol w:w="1296"/>
        <w:gridCol w:w="622"/>
        <w:gridCol w:w="1387"/>
        <w:gridCol w:w="709"/>
        <w:gridCol w:w="1296"/>
        <w:gridCol w:w="739"/>
      </w:tblGrid>
      <w:tr>
        <w:trPr>
          <w:trHeight w:val="427" w:hRule="exact"/>
        </w:trPr>
        <w:tc>
          <w:tcPr>
            <w:tcW w:w="2165"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tabs>
                <w:tab w:pos="1318" w:val="left" w:leader="none"/>
              </w:tabs>
              <w:spacing w:line="240" w:lineRule="auto"/>
              <w:ind w:left="684"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4403" w:type="dxa"/>
            <w:gridSpan w:val="4"/>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31" w:type="dxa"/>
            <w:gridSpan w:val="4"/>
            <w:tcBorders>
              <w:top w:val="single" w:sz="12" w:space="0" w:color="000000"/>
              <w:left w:val="single" w:sz="4" w:space="0" w:color="000000"/>
              <w:bottom w:val="single" w:sz="4" w:space="0" w:color="000000"/>
              <w:right w:val="nil" w:sz="6" w:space="0" w:color="auto"/>
            </w:tcBorders>
          </w:tcPr>
          <w:p>
            <w:pPr>
              <w:pStyle w:val="TableParagraph"/>
              <w:spacing w:line="232" w:lineRule="exact"/>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54" w:hRule="exact"/>
        </w:trPr>
        <w:tc>
          <w:tcPr>
            <w:tcW w:w="2165" w:type="dxa"/>
            <w:vMerge/>
            <w:tcBorders>
              <w:left w:val="nil" w:sz="6" w:space="0" w:color="auto"/>
              <w:right w:val="single" w:sz="4" w:space="0" w:color="000000"/>
            </w:tcBorders>
          </w:tcPr>
          <w:p>
            <w:pPr/>
          </w:p>
        </w:tc>
        <w:tc>
          <w:tcPr>
            <w:tcW w:w="2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8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035"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left="65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98" w:hRule="exact"/>
        </w:trPr>
        <w:tc>
          <w:tcPr>
            <w:tcW w:w="2165" w:type="dxa"/>
            <w:vMerge/>
            <w:tcBorders>
              <w:left w:val="nil" w:sz="6" w:space="0" w:color="auto"/>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0"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2"/>
                <w:sz w:val="18"/>
                <w:szCs w:val="18"/>
              </w:rPr>
              <w:t>单项金额重大的其他应</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收款</w:t>
            </w:r>
          </w:p>
        </w:tc>
        <w:tc>
          <w:tcPr>
            <w:tcW w:w="150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nil" w:sz="6" w:space="0" w:color="auto"/>
            </w:tcBorders>
          </w:tcPr>
          <w:p>
            <w:pPr/>
          </w:p>
        </w:tc>
      </w:tr>
      <w:tr>
        <w:trPr>
          <w:trHeight w:val="1411"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both"/>
              <w:rPr>
                <w:rFonts w:ascii="宋体" w:hAnsi="宋体" w:cs="宋体" w:eastAsia="宋体" w:hint="default"/>
                <w:sz w:val="18"/>
                <w:szCs w:val="18"/>
              </w:rPr>
            </w:pPr>
            <w:r>
              <w:rPr>
                <w:rFonts w:ascii="宋体" w:hAnsi="宋体" w:cs="宋体" w:eastAsia="宋体" w:hint="default"/>
                <w:spacing w:val="12"/>
                <w:sz w:val="18"/>
                <w:szCs w:val="18"/>
              </w:rPr>
              <w:t>单项金额不重大但按信</w:t>
            </w:r>
          </w:p>
          <w:p>
            <w:pPr>
              <w:pStyle w:val="TableParagraph"/>
              <w:spacing w:line="357" w:lineRule="auto" w:before="112"/>
              <w:ind w:left="122" w:right="105"/>
              <w:jc w:val="both"/>
              <w:rPr>
                <w:rFonts w:ascii="宋体" w:hAnsi="宋体" w:cs="宋体" w:eastAsia="宋体" w:hint="default"/>
                <w:sz w:val="18"/>
                <w:szCs w:val="18"/>
              </w:rPr>
            </w:pPr>
            <w:r>
              <w:rPr>
                <w:rFonts w:ascii="宋体" w:hAnsi="宋体" w:cs="宋体" w:eastAsia="宋体" w:hint="default"/>
                <w:spacing w:val="12"/>
                <w:sz w:val="18"/>
                <w:szCs w:val="18"/>
              </w:rPr>
              <w:t>用风险特征组合后该组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合的风险较大的其他应</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收款</w:t>
            </w:r>
          </w:p>
        </w:tc>
        <w:tc>
          <w:tcPr>
            <w:tcW w:w="1503"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nil" w:sz="6" w:space="0" w:color="auto"/>
            </w:tcBorders>
          </w:tcPr>
          <w:p>
            <w:pPr/>
          </w:p>
        </w:tc>
      </w:tr>
      <w:tr>
        <w:trPr>
          <w:trHeight w:val="482" w:hRule="exact"/>
        </w:trPr>
        <w:tc>
          <w:tcPr>
            <w:tcW w:w="21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122" w:right="0"/>
              <w:jc w:val="left"/>
              <w:rPr>
                <w:rFonts w:ascii="宋体" w:hAnsi="宋体" w:cs="宋体" w:eastAsia="宋体" w:hint="default"/>
                <w:sz w:val="18"/>
                <w:szCs w:val="18"/>
              </w:rPr>
            </w:pPr>
            <w:r>
              <w:rPr>
                <w:rFonts w:ascii="宋体" w:hAnsi="宋体" w:cs="宋体" w:eastAsia="宋体" w:hint="default"/>
                <w:sz w:val="18"/>
                <w:szCs w:val="18"/>
              </w:rPr>
              <w:t>其他不重大其他应收款</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1" w:right="0"/>
              <w:jc w:val="center"/>
              <w:rPr>
                <w:rFonts w:ascii="宋体" w:hAnsi="宋体" w:cs="宋体" w:eastAsia="宋体" w:hint="default"/>
                <w:sz w:val="18"/>
                <w:szCs w:val="18"/>
              </w:rPr>
            </w:pPr>
            <w:r>
              <w:rPr>
                <w:rFonts w:ascii="宋体"/>
                <w:sz w:val="18"/>
              </w:rPr>
              <w:t>323,505,418.30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1,381,300.46</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24" w:right="0"/>
              <w:jc w:val="left"/>
              <w:rPr>
                <w:rFonts w:ascii="宋体" w:hAnsi="宋体" w:cs="宋体" w:eastAsia="宋体" w:hint="default"/>
                <w:sz w:val="18"/>
                <w:szCs w:val="18"/>
              </w:rPr>
            </w:pPr>
            <w:r>
              <w:rPr>
                <w:rFonts w:ascii="宋体"/>
                <w:sz w:val="18"/>
              </w:rPr>
              <w:t>100%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80,621,093.07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35" w:right="0"/>
              <w:jc w:val="left"/>
              <w:rPr>
                <w:rFonts w:ascii="宋体" w:hAnsi="宋体" w:cs="宋体" w:eastAsia="宋体" w:hint="default"/>
                <w:sz w:val="18"/>
                <w:szCs w:val="18"/>
              </w:rPr>
            </w:pPr>
            <w:r>
              <w:rPr>
                <w:rFonts w:ascii="宋体"/>
                <w:sz w:val="18"/>
              </w:rPr>
              <w:t>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1,323,373.54</w:t>
            </w:r>
          </w:p>
        </w:tc>
        <w:tc>
          <w:tcPr>
            <w:tcW w:w="73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9"/>
              <w:ind w:right="1"/>
              <w:jc w:val="center"/>
              <w:rPr>
                <w:rFonts w:ascii="宋体" w:hAnsi="宋体" w:cs="宋体" w:eastAsia="宋体" w:hint="default"/>
                <w:sz w:val="18"/>
                <w:szCs w:val="18"/>
              </w:rPr>
            </w:pPr>
            <w:r>
              <w:rPr>
                <w:rFonts w:ascii="宋体"/>
                <w:sz w:val="18"/>
              </w:rPr>
              <w:t>100%</w:t>
            </w:r>
          </w:p>
        </w:tc>
      </w:tr>
      <w:tr>
        <w:trPr>
          <w:trHeight w:val="487" w:hRule="exact"/>
        </w:trPr>
        <w:tc>
          <w:tcPr>
            <w:tcW w:w="2165" w:type="dxa"/>
            <w:tcBorders>
              <w:top w:val="single" w:sz="4" w:space="0" w:color="000000"/>
              <w:left w:val="nil" w:sz="6" w:space="0" w:color="auto"/>
              <w:bottom w:val="single" w:sz="12" w:space="0" w:color="000000"/>
              <w:right w:val="single" w:sz="4" w:space="0" w:color="000000"/>
            </w:tcBorders>
          </w:tcPr>
          <w:p>
            <w:pPr>
              <w:pStyle w:val="TableParagraph"/>
              <w:tabs>
                <w:tab w:pos="1318" w:val="left" w:leader="none"/>
              </w:tabs>
              <w:spacing w:line="240" w:lineRule="auto" w:before="27"/>
              <w:ind w:left="68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0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1" w:right="0"/>
              <w:jc w:val="center"/>
              <w:rPr>
                <w:rFonts w:ascii="宋体" w:hAnsi="宋体" w:cs="宋体" w:eastAsia="宋体" w:hint="default"/>
                <w:sz w:val="18"/>
                <w:szCs w:val="18"/>
              </w:rPr>
            </w:pPr>
            <w:r>
              <w:rPr>
                <w:rFonts w:ascii="宋体"/>
                <w:sz w:val="18"/>
              </w:rPr>
              <w:t>323,505,418.30</w:t>
            </w:r>
          </w:p>
        </w:tc>
        <w:tc>
          <w:tcPr>
            <w:tcW w:w="9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100"/>
              <w:jc w:val="right"/>
              <w:rPr>
                <w:rFonts w:ascii="宋体" w:hAnsi="宋体" w:cs="宋体" w:eastAsia="宋体" w:hint="default"/>
                <w:sz w:val="18"/>
                <w:szCs w:val="18"/>
              </w:rPr>
            </w:pPr>
            <w:r>
              <w:rPr>
                <w:rFonts w:ascii="宋体"/>
                <w:sz w:val="18"/>
              </w:rPr>
              <w:t>100.00%</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1,381,300.46</w:t>
            </w:r>
          </w:p>
        </w:tc>
        <w:tc>
          <w:tcPr>
            <w:tcW w:w="62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124" w:right="0"/>
              <w:jc w:val="left"/>
              <w:rPr>
                <w:rFonts w:ascii="宋体" w:hAnsi="宋体" w:cs="宋体" w:eastAsia="宋体" w:hint="default"/>
                <w:sz w:val="18"/>
                <w:szCs w:val="18"/>
              </w:rPr>
            </w:pPr>
            <w:r>
              <w:rPr>
                <w:rFonts w:ascii="宋体"/>
                <w:sz w:val="18"/>
              </w:rPr>
              <w:t>100%</w:t>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80,621,093.07</w:t>
            </w:r>
          </w:p>
        </w:tc>
        <w:tc>
          <w:tcPr>
            <w:tcW w:w="70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left="235" w:right="0"/>
              <w:jc w:val="left"/>
              <w:rPr>
                <w:rFonts w:ascii="宋体" w:hAnsi="宋体" w:cs="宋体" w:eastAsia="宋体" w:hint="default"/>
                <w:sz w:val="18"/>
                <w:szCs w:val="18"/>
              </w:rPr>
            </w:pPr>
            <w:r>
              <w:rPr>
                <w:rFonts w:ascii="宋体"/>
                <w:sz w:val="18"/>
              </w:rPr>
              <w:t>100%</w:t>
            </w:r>
          </w:p>
        </w:tc>
        <w:tc>
          <w:tcPr>
            <w:tcW w:w="12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sz w:val="18"/>
              </w:rPr>
              <w:t>1,323,373.54</w:t>
            </w:r>
          </w:p>
        </w:tc>
        <w:tc>
          <w:tcPr>
            <w:tcW w:w="73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100%</w:t>
            </w:r>
          </w:p>
        </w:tc>
      </w:tr>
    </w:tbl>
    <w:p>
      <w:pPr>
        <w:pStyle w:val="BodyText"/>
        <w:spacing w:line="240" w:lineRule="auto" w:before="86"/>
        <w:ind w:left="660" w:right="606"/>
        <w:jc w:val="left"/>
        <w:rPr>
          <w:rFonts w:ascii="宋体" w:hAnsi="宋体" w:cs="宋体" w:eastAsia="宋体" w:hint="default"/>
        </w:rPr>
      </w:pPr>
      <w:r>
        <w:rPr/>
        <w:t>（</w:t>
      </w:r>
      <w:r>
        <w:rPr>
          <w:rFonts w:ascii="宋体" w:hAnsi="宋体" w:cs="宋体" w:eastAsia="宋体" w:hint="default"/>
        </w:rPr>
        <w:t>2</w:t>
      </w:r>
      <w:r>
        <w:rPr/>
        <w:t>）其他不重大其他应收款按账龄分类</w:t>
      </w:r>
      <w:r>
        <w:rPr>
          <w:rFonts w:ascii="宋体" w:hAnsi="宋体" w:cs="宋体" w:eastAsia="宋体" w:hint="default"/>
        </w:rPr>
        <w:t>:</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817"/>
        <w:gridCol w:w="1678"/>
        <w:gridCol w:w="1236"/>
        <w:gridCol w:w="1474"/>
        <w:gridCol w:w="1678"/>
        <w:gridCol w:w="1345"/>
        <w:gridCol w:w="1471"/>
      </w:tblGrid>
      <w:tr>
        <w:trPr>
          <w:trHeight w:val="384" w:hRule="exact"/>
        </w:trPr>
        <w:tc>
          <w:tcPr>
            <w:tcW w:w="1817" w:type="dxa"/>
            <w:vMerge w:val="restart"/>
            <w:tcBorders>
              <w:top w:val="single" w:sz="12"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tabs>
                <w:tab w:pos="1097" w:val="left" w:leader="none"/>
              </w:tabs>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388" w:type="dxa"/>
            <w:gridSpan w:val="3"/>
            <w:tcBorders>
              <w:top w:val="single" w:sz="12"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493" w:type="dxa"/>
            <w:gridSpan w:val="3"/>
            <w:tcBorders>
              <w:top w:val="single" w:sz="12" w:space="0" w:color="000000"/>
              <w:left w:val="single" w:sz="4" w:space="0" w:color="000000"/>
              <w:bottom w:val="single" w:sz="4" w:space="0" w:color="000000"/>
              <w:right w:val="nil" w:sz="6" w:space="0" w:color="auto"/>
            </w:tcBorders>
          </w:tcPr>
          <w:p>
            <w:pPr>
              <w:pStyle w:val="TableParagraph"/>
              <w:spacing w:line="210" w:lineRule="exact"/>
              <w:ind w:right="5"/>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72" w:hRule="exact"/>
        </w:trPr>
        <w:tc>
          <w:tcPr>
            <w:tcW w:w="1817" w:type="dxa"/>
            <w:vMerge/>
            <w:tcBorders>
              <w:left w:val="nil" w:sz="6" w:space="0" w:color="auto"/>
              <w:right w:val="single" w:sz="4" w:space="0" w:color="000000"/>
            </w:tcBorders>
          </w:tcPr>
          <w:p>
            <w:pPr/>
          </w:p>
        </w:tc>
        <w:tc>
          <w:tcPr>
            <w:tcW w:w="29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4" w:type="dxa"/>
            <w:vMerge w:val="restart"/>
            <w:tcBorders>
              <w:top w:val="single" w:sz="4" w:space="0" w:color="000000"/>
              <w:left w:val="single" w:sz="4" w:space="0" w:color="000000"/>
              <w:right w:val="single" w:sz="4" w:space="0" w:color="000000"/>
            </w:tcBorders>
          </w:tcPr>
          <w:p>
            <w:pPr>
              <w:pStyle w:val="TableParagraph"/>
              <w:spacing w:line="240" w:lineRule="auto" w:before="159"/>
              <w:ind w:left="3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0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71" w:type="dxa"/>
            <w:vMerge w:val="restart"/>
            <w:tcBorders>
              <w:top w:val="single" w:sz="4" w:space="0" w:color="000000"/>
              <w:left w:val="single" w:sz="4" w:space="0" w:color="000000"/>
              <w:right w:val="nil" w:sz="6" w:space="0" w:color="auto"/>
            </w:tcBorders>
          </w:tcPr>
          <w:p>
            <w:pPr>
              <w:pStyle w:val="TableParagraph"/>
              <w:spacing w:line="240" w:lineRule="auto" w:before="159"/>
              <w:ind w:left="3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4" w:hRule="exact"/>
        </w:trPr>
        <w:tc>
          <w:tcPr>
            <w:tcW w:w="1817" w:type="dxa"/>
            <w:vMerge/>
            <w:tcBorders>
              <w:left w:val="nil" w:sz="6" w:space="0" w:color="auto"/>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4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2"/>
              <w:jc w:val="center"/>
              <w:rPr>
                <w:rFonts w:ascii="宋体" w:hAnsi="宋体" w:cs="宋体" w:eastAsia="宋体" w:hint="default"/>
                <w:sz w:val="18"/>
                <w:szCs w:val="18"/>
              </w:rPr>
            </w:pPr>
            <w:r>
              <w:rPr>
                <w:rFonts w:ascii="宋体" w:hAnsi="宋体" w:cs="宋体" w:eastAsia="宋体" w:hint="default"/>
                <w:sz w:val="18"/>
                <w:szCs w:val="18"/>
              </w:rPr>
              <w:t>比例</w:t>
            </w:r>
          </w:p>
        </w:tc>
        <w:tc>
          <w:tcPr>
            <w:tcW w:w="1471" w:type="dxa"/>
            <w:vMerge/>
            <w:tcBorders>
              <w:left w:val="single" w:sz="4" w:space="0" w:color="000000"/>
              <w:bottom w:val="single" w:sz="4" w:space="0" w:color="000000"/>
              <w:right w:val="nil" w:sz="6" w:space="0" w:color="auto"/>
            </w:tcBorders>
          </w:tcPr>
          <w:p>
            <w:pPr/>
          </w:p>
        </w:tc>
      </w:tr>
      <w:tr>
        <w:trPr>
          <w:trHeight w:val="372"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4"/>
              <w:jc w:val="right"/>
              <w:rPr>
                <w:rFonts w:ascii="宋体" w:hAnsi="宋体" w:cs="宋体" w:eastAsia="宋体" w:hint="default"/>
                <w:sz w:val="18"/>
                <w:szCs w:val="18"/>
              </w:rPr>
            </w:pPr>
            <w:r>
              <w:rPr>
                <w:rFonts w:ascii="宋体"/>
                <w:spacing w:val="-1"/>
                <w:sz w:val="18"/>
              </w:rPr>
              <w:t>266,130,167.14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0"/>
              <w:jc w:val="right"/>
              <w:rPr>
                <w:rFonts w:ascii="宋体" w:hAnsi="宋体" w:cs="宋体" w:eastAsia="宋体" w:hint="default"/>
                <w:sz w:val="18"/>
                <w:szCs w:val="18"/>
              </w:rPr>
            </w:pPr>
            <w:r>
              <w:rPr>
                <w:rFonts w:ascii="宋体"/>
                <w:spacing w:val="-1"/>
                <w:sz w:val="18"/>
              </w:rPr>
              <w:t>82.26%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6"/>
              <w:jc w:val="right"/>
              <w:rPr>
                <w:rFonts w:ascii="宋体" w:hAnsi="宋体" w:cs="宋体" w:eastAsia="宋体" w:hint="default"/>
                <w:sz w:val="18"/>
                <w:szCs w:val="18"/>
              </w:rPr>
            </w:pPr>
            <w:r>
              <w:rPr>
                <w:rFonts w:ascii="宋体"/>
                <w:spacing w:val="-1"/>
                <w:sz w:val="18"/>
              </w:rPr>
              <w:t>1,321,318.35</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1"/>
              <w:jc w:val="right"/>
              <w:rPr>
                <w:rFonts w:ascii="宋体" w:hAnsi="宋体" w:cs="宋体" w:eastAsia="宋体" w:hint="default"/>
                <w:sz w:val="18"/>
                <w:szCs w:val="18"/>
              </w:rPr>
            </w:pPr>
            <w:r>
              <w:rPr>
                <w:rFonts w:ascii="宋体"/>
                <w:spacing w:val="-1"/>
                <w:sz w:val="18"/>
              </w:rPr>
              <w:t>27,245,316.83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02"/>
              <w:jc w:val="right"/>
              <w:rPr>
                <w:rFonts w:ascii="宋体" w:hAnsi="宋体" w:cs="宋体" w:eastAsia="宋体" w:hint="default"/>
                <w:sz w:val="18"/>
                <w:szCs w:val="18"/>
              </w:rPr>
            </w:pPr>
            <w:r>
              <w:rPr>
                <w:rFonts w:ascii="宋体"/>
                <w:spacing w:val="-1"/>
                <w:sz w:val="18"/>
              </w:rPr>
              <w:t>33.79%</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05"/>
              <w:jc w:val="right"/>
              <w:rPr>
                <w:rFonts w:ascii="宋体" w:hAnsi="宋体" w:cs="宋体" w:eastAsia="宋体" w:hint="default"/>
                <w:sz w:val="18"/>
                <w:szCs w:val="18"/>
              </w:rPr>
            </w:pPr>
            <w:r>
              <w:rPr>
                <w:rFonts w:ascii="宋体"/>
                <w:spacing w:val="-1"/>
                <w:sz w:val="18"/>
              </w:rPr>
              <w:t>1,191,229.88</w:t>
            </w:r>
          </w:p>
        </w:tc>
      </w:tr>
      <w:tr>
        <w:trPr>
          <w:trHeight w:val="372"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3"/>
              <w:jc w:val="right"/>
              <w:rPr>
                <w:rFonts w:ascii="宋体" w:hAnsi="宋体" w:cs="宋体" w:eastAsia="宋体" w:hint="default"/>
                <w:sz w:val="18"/>
                <w:szCs w:val="18"/>
              </w:rPr>
            </w:pPr>
            <w:r>
              <w:rPr>
                <w:rFonts w:ascii="宋体"/>
                <w:spacing w:val="-1"/>
                <w:sz w:val="18"/>
              </w:rPr>
              <w:t>7,331,349.82</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z w:val="18"/>
              </w:rPr>
              <w:t>2.27%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5"/>
              <w:jc w:val="right"/>
              <w:rPr>
                <w:rFonts w:ascii="宋体" w:hAnsi="宋体" w:cs="宋体" w:eastAsia="宋体" w:hint="default"/>
                <w:sz w:val="18"/>
                <w:szCs w:val="18"/>
              </w:rPr>
            </w:pPr>
            <w:r>
              <w:rPr>
                <w:rFonts w:ascii="宋体"/>
                <w:spacing w:val="-1"/>
                <w:sz w:val="18"/>
              </w:rPr>
              <w:t>13,055.81</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53,079,223.64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2"/>
              <w:jc w:val="right"/>
              <w:rPr>
                <w:rFonts w:ascii="宋体" w:hAnsi="宋体" w:cs="宋体" w:eastAsia="宋体" w:hint="default"/>
                <w:sz w:val="18"/>
                <w:szCs w:val="18"/>
              </w:rPr>
            </w:pPr>
            <w:r>
              <w:rPr>
                <w:rFonts w:ascii="宋体"/>
                <w:spacing w:val="-1"/>
                <w:sz w:val="18"/>
              </w:rPr>
              <w:t>65.84%</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right="105"/>
              <w:jc w:val="right"/>
              <w:rPr>
                <w:rFonts w:ascii="宋体" w:hAnsi="宋体" w:cs="宋体" w:eastAsia="宋体" w:hint="default"/>
                <w:sz w:val="18"/>
                <w:szCs w:val="18"/>
              </w:rPr>
            </w:pPr>
            <w:r>
              <w:rPr>
                <w:rFonts w:ascii="宋体"/>
                <w:spacing w:val="-1"/>
                <w:sz w:val="18"/>
              </w:rPr>
              <w:t>90,537.36</w:t>
            </w:r>
          </w:p>
        </w:tc>
      </w:tr>
      <w:tr>
        <w:trPr>
          <w:trHeight w:val="374"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4"/>
              <w:jc w:val="right"/>
              <w:rPr>
                <w:rFonts w:ascii="宋体" w:hAnsi="宋体" w:cs="宋体" w:eastAsia="宋体" w:hint="default"/>
                <w:sz w:val="18"/>
                <w:szCs w:val="18"/>
              </w:rPr>
            </w:pPr>
            <w:r>
              <w:rPr>
                <w:rFonts w:ascii="宋体"/>
                <w:spacing w:val="-1"/>
                <w:sz w:val="18"/>
              </w:rPr>
              <w:t>49,896,648.74</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pacing w:val="-1"/>
                <w:sz w:val="18"/>
              </w:rPr>
              <w:t>15.42%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5"/>
              <w:jc w:val="right"/>
              <w:rPr>
                <w:rFonts w:ascii="宋体" w:hAnsi="宋体" w:cs="宋体" w:eastAsia="宋体" w:hint="default"/>
                <w:sz w:val="18"/>
                <w:szCs w:val="18"/>
              </w:rPr>
            </w:pPr>
            <w:r>
              <w:rPr>
                <w:rFonts w:ascii="宋体"/>
                <w:spacing w:val="-1"/>
                <w:sz w:val="18"/>
              </w:rPr>
              <w:t>6,800.00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pacing w:val="-1"/>
                <w:sz w:val="18"/>
              </w:rPr>
              <w:t>201,000.00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2"/>
              <w:jc w:val="right"/>
              <w:rPr>
                <w:rFonts w:ascii="宋体" w:hAnsi="宋体" w:cs="宋体" w:eastAsia="宋体" w:hint="default"/>
                <w:sz w:val="18"/>
                <w:szCs w:val="18"/>
              </w:rPr>
            </w:pPr>
            <w:r>
              <w:rPr>
                <w:rFonts w:ascii="宋体"/>
                <w:sz w:val="18"/>
              </w:rPr>
              <w:t>0.25%</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right="105"/>
              <w:jc w:val="right"/>
              <w:rPr>
                <w:rFonts w:ascii="宋体" w:hAnsi="宋体" w:cs="宋体" w:eastAsia="宋体" w:hint="default"/>
                <w:sz w:val="18"/>
                <w:szCs w:val="18"/>
              </w:rPr>
            </w:pPr>
            <w:r>
              <w:rPr>
                <w:rFonts w:ascii="宋体"/>
                <w:spacing w:val="-1"/>
                <w:sz w:val="18"/>
              </w:rPr>
              <w:t>20,100.00</w:t>
            </w:r>
          </w:p>
        </w:tc>
      </w:tr>
      <w:tr>
        <w:trPr>
          <w:trHeight w:val="372"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三至四年</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3"/>
              <w:jc w:val="right"/>
              <w:rPr>
                <w:rFonts w:ascii="宋体" w:hAnsi="宋体" w:cs="宋体" w:eastAsia="宋体" w:hint="default"/>
                <w:sz w:val="18"/>
                <w:szCs w:val="18"/>
              </w:rPr>
            </w:pPr>
            <w:r>
              <w:rPr>
                <w:rFonts w:ascii="宋体"/>
                <w:spacing w:val="-1"/>
                <w:sz w:val="18"/>
              </w:rPr>
              <w:t>55,000.00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z w:val="18"/>
              </w:rPr>
              <w:t>0.02%</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5"/>
              <w:jc w:val="right"/>
              <w:rPr>
                <w:rFonts w:ascii="宋体" w:hAnsi="宋体" w:cs="宋体" w:eastAsia="宋体" w:hint="default"/>
                <w:sz w:val="18"/>
                <w:szCs w:val="18"/>
              </w:rPr>
            </w:pPr>
            <w:r>
              <w:rPr>
                <w:rFonts w:ascii="宋体"/>
                <w:spacing w:val="-1"/>
                <w:sz w:val="18"/>
              </w:rPr>
              <w:t>11,000.00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pacing w:val="-1"/>
                <w:sz w:val="18"/>
              </w:rPr>
              <w:t>85,500.00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2"/>
              <w:jc w:val="right"/>
              <w:rPr>
                <w:rFonts w:ascii="宋体" w:hAnsi="宋体" w:cs="宋体" w:eastAsia="宋体" w:hint="default"/>
                <w:sz w:val="18"/>
                <w:szCs w:val="18"/>
              </w:rPr>
            </w:pPr>
            <w:r>
              <w:rPr>
                <w:rFonts w:ascii="宋体"/>
                <w:sz w:val="18"/>
              </w:rPr>
              <w:t>0.11%</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right="105"/>
              <w:jc w:val="right"/>
              <w:rPr>
                <w:rFonts w:ascii="宋体" w:hAnsi="宋体" w:cs="宋体" w:eastAsia="宋体" w:hint="default"/>
                <w:sz w:val="18"/>
                <w:szCs w:val="18"/>
              </w:rPr>
            </w:pPr>
            <w:r>
              <w:rPr>
                <w:rFonts w:ascii="宋体"/>
                <w:spacing w:val="-1"/>
                <w:sz w:val="18"/>
              </w:rPr>
              <w:t>17,100.00</w:t>
            </w:r>
          </w:p>
        </w:tc>
      </w:tr>
      <w:tr>
        <w:trPr>
          <w:trHeight w:val="374"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四至五年</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3"/>
              <w:jc w:val="right"/>
              <w:rPr>
                <w:rFonts w:ascii="宋体" w:hAnsi="宋体" w:cs="宋体" w:eastAsia="宋体" w:hint="default"/>
                <w:sz w:val="18"/>
                <w:szCs w:val="18"/>
              </w:rPr>
            </w:pPr>
            <w:r>
              <w:rPr>
                <w:rFonts w:ascii="宋体"/>
                <w:spacing w:val="-1"/>
                <w:sz w:val="18"/>
              </w:rPr>
              <w:t>85,000.00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z w:val="18"/>
              </w:rPr>
              <w:t>0.03%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5"/>
              <w:jc w:val="right"/>
              <w:rPr>
                <w:rFonts w:ascii="宋体" w:hAnsi="宋体" w:cs="宋体" w:eastAsia="宋体" w:hint="default"/>
                <w:sz w:val="18"/>
                <w:szCs w:val="18"/>
              </w:rPr>
            </w:pPr>
            <w:r>
              <w:rPr>
                <w:rFonts w:ascii="宋体"/>
                <w:spacing w:val="-1"/>
                <w:sz w:val="18"/>
              </w:rPr>
              <w:t>25,500.00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pacing w:val="-1"/>
                <w:sz w:val="18"/>
              </w:rPr>
              <w:t>3,100.00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right="102"/>
              <w:jc w:val="right"/>
              <w:rPr>
                <w:rFonts w:ascii="宋体" w:hAnsi="宋体" w:cs="宋体" w:eastAsia="宋体" w:hint="default"/>
                <w:sz w:val="18"/>
                <w:szCs w:val="18"/>
              </w:rPr>
            </w:pPr>
            <w:r>
              <w:rPr>
                <w:rFonts w:ascii="宋体"/>
                <w:sz w:val="18"/>
              </w:rPr>
              <w:t>0.00%</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10" w:lineRule="exact"/>
              <w:ind w:right="103"/>
              <w:jc w:val="right"/>
              <w:rPr>
                <w:rFonts w:ascii="宋体" w:hAnsi="宋体" w:cs="宋体" w:eastAsia="宋体" w:hint="default"/>
                <w:sz w:val="18"/>
                <w:szCs w:val="18"/>
              </w:rPr>
            </w:pPr>
            <w:r>
              <w:rPr>
                <w:rFonts w:ascii="宋体"/>
                <w:sz w:val="18"/>
              </w:rPr>
              <w:t>930</w:t>
            </w:r>
          </w:p>
        </w:tc>
      </w:tr>
      <w:tr>
        <w:trPr>
          <w:trHeight w:val="373" w:hRule="exact"/>
        </w:trPr>
        <w:tc>
          <w:tcPr>
            <w:tcW w:w="1817"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3"/>
              <w:jc w:val="right"/>
              <w:rPr>
                <w:rFonts w:ascii="宋体" w:hAnsi="宋体" w:cs="宋体" w:eastAsia="宋体" w:hint="default"/>
                <w:sz w:val="18"/>
                <w:szCs w:val="18"/>
              </w:rPr>
            </w:pPr>
            <w:r>
              <w:rPr>
                <w:rFonts w:ascii="宋体"/>
                <w:spacing w:val="-1"/>
                <w:sz w:val="18"/>
              </w:rPr>
              <w:t>7,252.60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sz w:val="18"/>
              </w:rPr>
              <w:t>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5"/>
              <w:jc w:val="right"/>
              <w:rPr>
                <w:rFonts w:ascii="宋体" w:hAnsi="宋体" w:cs="宋体" w:eastAsia="宋体" w:hint="default"/>
                <w:sz w:val="18"/>
                <w:szCs w:val="18"/>
              </w:rPr>
            </w:pPr>
            <w:r>
              <w:rPr>
                <w:rFonts w:ascii="宋体"/>
                <w:spacing w:val="-1"/>
                <w:sz w:val="18"/>
              </w:rPr>
              <w:t>3,626.30</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0"/>
              <w:jc w:val="right"/>
              <w:rPr>
                <w:rFonts w:ascii="宋体" w:hAnsi="宋体" w:cs="宋体" w:eastAsia="宋体" w:hint="default"/>
                <w:sz w:val="18"/>
                <w:szCs w:val="18"/>
              </w:rPr>
            </w:pPr>
            <w:r>
              <w:rPr>
                <w:rFonts w:ascii="宋体"/>
                <w:spacing w:val="-1"/>
                <w:sz w:val="18"/>
              </w:rPr>
              <w:t>6,952.60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102"/>
              <w:jc w:val="right"/>
              <w:rPr>
                <w:rFonts w:ascii="宋体" w:hAnsi="宋体" w:cs="宋体" w:eastAsia="宋体" w:hint="default"/>
                <w:sz w:val="18"/>
                <w:szCs w:val="18"/>
              </w:rPr>
            </w:pPr>
            <w:r>
              <w:rPr>
                <w:rFonts w:ascii="宋体"/>
                <w:sz w:val="18"/>
              </w:rPr>
              <w:t>0.01%</w:t>
            </w:r>
          </w:p>
        </w:tc>
        <w:tc>
          <w:tcPr>
            <w:tcW w:w="1471" w:type="dxa"/>
            <w:tcBorders>
              <w:top w:val="single" w:sz="4" w:space="0" w:color="000000"/>
              <w:left w:val="single" w:sz="4" w:space="0" w:color="000000"/>
              <w:bottom w:val="single" w:sz="4" w:space="0" w:color="000000"/>
              <w:right w:val="nil" w:sz="6" w:space="0" w:color="auto"/>
            </w:tcBorders>
          </w:tcPr>
          <w:p>
            <w:pPr>
              <w:pStyle w:val="TableParagraph"/>
              <w:spacing w:line="211" w:lineRule="exact"/>
              <w:ind w:right="105"/>
              <w:jc w:val="right"/>
              <w:rPr>
                <w:rFonts w:ascii="宋体" w:hAnsi="宋体" w:cs="宋体" w:eastAsia="宋体" w:hint="default"/>
                <w:sz w:val="18"/>
                <w:szCs w:val="18"/>
              </w:rPr>
            </w:pPr>
            <w:r>
              <w:rPr>
                <w:rFonts w:ascii="宋体"/>
                <w:spacing w:val="-1"/>
                <w:sz w:val="18"/>
              </w:rPr>
              <w:t>3,476.30</w:t>
            </w:r>
          </w:p>
        </w:tc>
      </w:tr>
      <w:tr>
        <w:trPr>
          <w:trHeight w:val="384" w:hRule="exact"/>
        </w:trPr>
        <w:tc>
          <w:tcPr>
            <w:tcW w:w="1817" w:type="dxa"/>
            <w:tcBorders>
              <w:top w:val="single" w:sz="4" w:space="0" w:color="000000"/>
              <w:left w:val="nil" w:sz="6" w:space="0" w:color="auto"/>
              <w:bottom w:val="single" w:sz="12" w:space="0" w:color="000000"/>
              <w:right w:val="single" w:sz="4" w:space="0" w:color="000000"/>
            </w:tcBorders>
          </w:tcPr>
          <w:p>
            <w:pPr>
              <w:pStyle w:val="TableParagraph"/>
              <w:tabs>
                <w:tab w:pos="1097" w:val="left" w:leader="none"/>
              </w:tabs>
              <w:spacing w:line="210" w:lineRule="exact"/>
              <w:ind w:left="55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678" w:type="dxa"/>
            <w:tcBorders>
              <w:top w:val="single" w:sz="4" w:space="0" w:color="000000"/>
              <w:left w:val="single" w:sz="4" w:space="0" w:color="000000"/>
              <w:bottom w:val="single" w:sz="12" w:space="0" w:color="000000"/>
              <w:right w:val="single" w:sz="4" w:space="0" w:color="000000"/>
            </w:tcBorders>
          </w:tcPr>
          <w:p>
            <w:pPr>
              <w:pStyle w:val="TableParagraph"/>
              <w:spacing w:line="210" w:lineRule="exact"/>
              <w:ind w:right="104"/>
              <w:jc w:val="right"/>
              <w:rPr>
                <w:rFonts w:ascii="宋体" w:hAnsi="宋体" w:cs="宋体" w:eastAsia="宋体" w:hint="default"/>
                <w:sz w:val="18"/>
                <w:szCs w:val="18"/>
              </w:rPr>
            </w:pPr>
            <w:r>
              <w:rPr>
                <w:rFonts w:ascii="宋体"/>
                <w:spacing w:val="-1"/>
                <w:sz w:val="18"/>
              </w:rPr>
              <w:t>323,505,418.30</w:t>
            </w:r>
          </w:p>
        </w:tc>
        <w:tc>
          <w:tcPr>
            <w:tcW w:w="1236" w:type="dxa"/>
            <w:tcBorders>
              <w:top w:val="single" w:sz="4" w:space="0" w:color="000000"/>
              <w:left w:val="single" w:sz="4" w:space="0" w:color="000000"/>
              <w:bottom w:val="single" w:sz="12" w:space="0" w:color="000000"/>
              <w:right w:val="single" w:sz="4" w:space="0" w:color="000000"/>
            </w:tcBorders>
          </w:tcPr>
          <w:p>
            <w:pPr>
              <w:pStyle w:val="TableParagraph"/>
              <w:spacing w:line="210" w:lineRule="exact"/>
              <w:ind w:right="100"/>
              <w:jc w:val="right"/>
              <w:rPr>
                <w:rFonts w:ascii="宋体" w:hAnsi="宋体" w:cs="宋体" w:eastAsia="宋体" w:hint="default"/>
                <w:sz w:val="18"/>
                <w:szCs w:val="18"/>
              </w:rPr>
            </w:pPr>
            <w:r>
              <w:rPr>
                <w:rFonts w:ascii="宋体"/>
                <w:sz w:val="18"/>
              </w:rPr>
              <w:t>100.00%</w:t>
            </w:r>
          </w:p>
        </w:tc>
        <w:tc>
          <w:tcPr>
            <w:tcW w:w="1474" w:type="dxa"/>
            <w:tcBorders>
              <w:top w:val="single" w:sz="4" w:space="0" w:color="000000"/>
              <w:left w:val="single" w:sz="4" w:space="0" w:color="000000"/>
              <w:bottom w:val="single" w:sz="12" w:space="0" w:color="000000"/>
              <w:right w:val="single" w:sz="4" w:space="0" w:color="000000"/>
            </w:tcBorders>
          </w:tcPr>
          <w:p>
            <w:pPr>
              <w:pStyle w:val="TableParagraph"/>
              <w:spacing w:line="210" w:lineRule="exact"/>
              <w:ind w:right="105"/>
              <w:jc w:val="right"/>
              <w:rPr>
                <w:rFonts w:ascii="宋体" w:hAnsi="宋体" w:cs="宋体" w:eastAsia="宋体" w:hint="default"/>
                <w:sz w:val="18"/>
                <w:szCs w:val="18"/>
              </w:rPr>
            </w:pPr>
            <w:r>
              <w:rPr>
                <w:rFonts w:ascii="宋体"/>
                <w:spacing w:val="-1"/>
                <w:sz w:val="18"/>
              </w:rPr>
              <w:t>1,381,300.46</w:t>
            </w:r>
          </w:p>
        </w:tc>
        <w:tc>
          <w:tcPr>
            <w:tcW w:w="1678" w:type="dxa"/>
            <w:tcBorders>
              <w:top w:val="single" w:sz="4" w:space="0" w:color="000000"/>
              <w:left w:val="single" w:sz="4" w:space="0" w:color="000000"/>
              <w:bottom w:val="single" w:sz="12" w:space="0" w:color="000000"/>
              <w:right w:val="single" w:sz="4" w:space="0" w:color="000000"/>
            </w:tcBorders>
          </w:tcPr>
          <w:p>
            <w:pPr>
              <w:pStyle w:val="TableParagraph"/>
              <w:spacing w:line="210" w:lineRule="exact"/>
              <w:ind w:right="101"/>
              <w:jc w:val="right"/>
              <w:rPr>
                <w:rFonts w:ascii="宋体" w:hAnsi="宋体" w:cs="宋体" w:eastAsia="宋体" w:hint="default"/>
                <w:sz w:val="18"/>
                <w:szCs w:val="18"/>
              </w:rPr>
            </w:pPr>
            <w:r>
              <w:rPr>
                <w:rFonts w:ascii="宋体"/>
                <w:spacing w:val="-1"/>
                <w:sz w:val="18"/>
              </w:rPr>
              <w:t>80,621,093.07</w:t>
            </w:r>
          </w:p>
        </w:tc>
        <w:tc>
          <w:tcPr>
            <w:tcW w:w="1345" w:type="dxa"/>
            <w:tcBorders>
              <w:top w:val="single" w:sz="4" w:space="0" w:color="000000"/>
              <w:left w:val="single" w:sz="4" w:space="0" w:color="000000"/>
              <w:bottom w:val="single" w:sz="12" w:space="0" w:color="000000"/>
              <w:right w:val="single" w:sz="4" w:space="0" w:color="000000"/>
            </w:tcBorders>
          </w:tcPr>
          <w:p>
            <w:pPr>
              <w:pStyle w:val="TableParagraph"/>
              <w:spacing w:line="210" w:lineRule="exact"/>
              <w:ind w:right="104"/>
              <w:jc w:val="right"/>
              <w:rPr>
                <w:rFonts w:ascii="宋体" w:hAnsi="宋体" w:cs="宋体" w:eastAsia="宋体" w:hint="default"/>
                <w:sz w:val="18"/>
                <w:szCs w:val="18"/>
              </w:rPr>
            </w:pPr>
            <w:r>
              <w:rPr>
                <w:rFonts w:ascii="宋体"/>
                <w:sz w:val="18"/>
              </w:rPr>
              <w:t>100.00%</w:t>
            </w:r>
          </w:p>
        </w:tc>
        <w:tc>
          <w:tcPr>
            <w:tcW w:w="1471" w:type="dxa"/>
            <w:tcBorders>
              <w:top w:val="single" w:sz="4" w:space="0" w:color="000000"/>
              <w:left w:val="single" w:sz="4" w:space="0" w:color="000000"/>
              <w:bottom w:val="single" w:sz="12" w:space="0" w:color="000000"/>
              <w:right w:val="nil" w:sz="6" w:space="0" w:color="auto"/>
            </w:tcBorders>
          </w:tcPr>
          <w:p>
            <w:pPr>
              <w:pStyle w:val="TableParagraph"/>
              <w:spacing w:line="210" w:lineRule="exact"/>
              <w:ind w:right="105"/>
              <w:jc w:val="right"/>
              <w:rPr>
                <w:rFonts w:ascii="宋体" w:hAnsi="宋体" w:cs="宋体" w:eastAsia="宋体" w:hint="default"/>
                <w:sz w:val="18"/>
                <w:szCs w:val="18"/>
              </w:rPr>
            </w:pPr>
            <w:r>
              <w:rPr>
                <w:rFonts w:ascii="宋体"/>
                <w:spacing w:val="-1"/>
                <w:sz w:val="18"/>
              </w:rPr>
              <w:t>1,323,373.54</w:t>
            </w:r>
          </w:p>
        </w:tc>
      </w:tr>
    </w:tbl>
    <w:p>
      <w:pPr>
        <w:pStyle w:val="BodyText"/>
        <w:spacing w:line="240" w:lineRule="auto" w:before="86"/>
        <w:ind w:left="660" w:right="606"/>
        <w:jc w:val="left"/>
      </w:pPr>
      <w:r>
        <w:rPr/>
        <w:t>（</w:t>
      </w:r>
      <w:r>
        <w:rPr>
          <w:rFonts w:ascii="宋体" w:hAnsi="宋体" w:cs="宋体" w:eastAsia="宋体" w:hint="default"/>
        </w:rPr>
        <w:t>3</w:t>
      </w:r>
      <w:r>
        <w:rPr/>
        <w:t>）其他应收款期末余额位列前五名的单位：</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775"/>
        <w:gridCol w:w="1981"/>
        <w:gridCol w:w="1980"/>
        <w:gridCol w:w="1983"/>
        <w:gridCol w:w="1980"/>
      </w:tblGrid>
      <w:tr>
        <w:trPr>
          <w:trHeight w:val="725" w:hRule="exact"/>
        </w:trPr>
        <w:tc>
          <w:tcPr>
            <w:tcW w:w="2775" w:type="dxa"/>
            <w:tcBorders>
              <w:top w:val="single" w:sz="12" w:space="0" w:color="000000"/>
              <w:left w:val="nil" w:sz="6" w:space="0" w:color="auto"/>
              <w:bottom w:val="single" w:sz="8" w:space="0" w:color="000000"/>
              <w:right w:val="single" w:sz="8" w:space="0" w:color="000000"/>
            </w:tcBorders>
          </w:tcPr>
          <w:p>
            <w:pPr>
              <w:pStyle w:val="TableParagraph"/>
              <w:spacing w:line="240" w:lineRule="auto" w:before="142"/>
              <w:ind w:left="2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2"/>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80"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2"/>
              <w:ind w:left="2" w:right="0"/>
              <w:jc w:val="center"/>
              <w:rPr>
                <w:rFonts w:ascii="宋体" w:hAnsi="宋体" w:cs="宋体" w:eastAsia="宋体" w:hint="default"/>
                <w:sz w:val="18"/>
                <w:szCs w:val="18"/>
              </w:rPr>
            </w:pPr>
            <w:r>
              <w:rPr>
                <w:rFonts w:ascii="宋体" w:hAnsi="宋体" w:cs="宋体" w:eastAsia="宋体" w:hint="default"/>
                <w:sz w:val="18"/>
                <w:szCs w:val="18"/>
              </w:rPr>
              <w:t>金 </w:t>
            </w:r>
            <w:r>
              <w:rPr>
                <w:rFonts w:ascii="宋体" w:hAnsi="宋体" w:cs="宋体" w:eastAsia="宋体" w:hint="default"/>
                <w:spacing w:val="2"/>
                <w:sz w:val="18"/>
                <w:szCs w:val="18"/>
              </w:rPr>
              <w:t> </w:t>
            </w:r>
            <w:r>
              <w:rPr>
                <w:rFonts w:ascii="宋体" w:hAnsi="宋体" w:cs="宋体" w:eastAsia="宋体" w:hint="default"/>
                <w:sz w:val="18"/>
                <w:szCs w:val="18"/>
              </w:rPr>
              <w:t>额</w:t>
            </w:r>
          </w:p>
        </w:tc>
        <w:tc>
          <w:tcPr>
            <w:tcW w:w="1983"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42"/>
              <w:ind w:right="622"/>
              <w:jc w:val="right"/>
              <w:rPr>
                <w:rFonts w:ascii="宋体" w:hAnsi="宋体" w:cs="宋体" w:eastAsia="宋体" w:hint="default"/>
                <w:sz w:val="18"/>
                <w:szCs w:val="18"/>
              </w:rPr>
            </w:pPr>
            <w:r>
              <w:rPr>
                <w:rFonts w:ascii="宋体" w:hAnsi="宋体" w:cs="宋体" w:eastAsia="宋体" w:hint="default"/>
                <w:sz w:val="18"/>
                <w:szCs w:val="18"/>
              </w:rPr>
              <w:t>欠款年限</w:t>
            </w:r>
          </w:p>
        </w:tc>
        <w:tc>
          <w:tcPr>
            <w:tcW w:w="1980" w:type="dxa"/>
            <w:tcBorders>
              <w:top w:val="single" w:sz="12" w:space="0" w:color="000000"/>
              <w:left w:val="single" w:sz="8" w:space="0" w:color="000000"/>
              <w:bottom w:val="single" w:sz="8" w:space="0" w:color="000000"/>
              <w:right w:val="nil" w:sz="6" w:space="0" w:color="auto"/>
            </w:tcBorders>
          </w:tcPr>
          <w:p>
            <w:pPr>
              <w:pStyle w:val="TableParagraph"/>
              <w:spacing w:line="203" w:lineRule="exact"/>
              <w:ind w:right="7"/>
              <w:jc w:val="center"/>
              <w:rPr>
                <w:rFonts w:ascii="宋体" w:hAnsi="宋体" w:cs="宋体" w:eastAsia="宋体" w:hint="default"/>
                <w:sz w:val="18"/>
                <w:szCs w:val="18"/>
              </w:rPr>
            </w:pPr>
            <w:r>
              <w:rPr>
                <w:rFonts w:ascii="宋体" w:hAnsi="宋体" w:cs="宋体" w:eastAsia="宋体" w:hint="default"/>
                <w:sz w:val="18"/>
                <w:szCs w:val="18"/>
              </w:rPr>
              <w:t>占其他应收款总额的</w:t>
            </w:r>
          </w:p>
          <w:p>
            <w:pPr>
              <w:pStyle w:val="TableParagraph"/>
              <w:spacing w:line="240" w:lineRule="auto" w:before="115"/>
              <w:ind w:right="1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96" w:hRule="exact"/>
        </w:trPr>
        <w:tc>
          <w:tcPr>
            <w:tcW w:w="2775"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梁利剑</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销售员</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96"/>
              <w:jc w:val="right"/>
              <w:rPr>
                <w:rFonts w:ascii="宋体" w:hAnsi="宋体" w:cs="宋体" w:eastAsia="宋体" w:hint="default"/>
                <w:sz w:val="18"/>
                <w:szCs w:val="18"/>
              </w:rPr>
            </w:pPr>
            <w:r>
              <w:rPr>
                <w:rFonts w:ascii="宋体"/>
                <w:spacing w:val="-1"/>
                <w:sz w:val="18"/>
              </w:rPr>
              <w:t>442,226.72</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62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1.97%</w:t>
            </w:r>
          </w:p>
        </w:tc>
      </w:tr>
      <w:tr>
        <w:trPr>
          <w:trHeight w:val="396" w:hRule="exact"/>
        </w:trPr>
        <w:tc>
          <w:tcPr>
            <w:tcW w:w="2775"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王娜</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销售员</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96"/>
              <w:jc w:val="right"/>
              <w:rPr>
                <w:rFonts w:ascii="宋体" w:hAnsi="宋体" w:cs="宋体" w:eastAsia="宋体" w:hint="default"/>
                <w:sz w:val="18"/>
                <w:szCs w:val="18"/>
              </w:rPr>
            </w:pPr>
            <w:r>
              <w:rPr>
                <w:rFonts w:ascii="宋体"/>
                <w:spacing w:val="-1"/>
                <w:sz w:val="18"/>
              </w:rPr>
              <w:t>427,535.77</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62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1.91%</w:t>
            </w:r>
          </w:p>
        </w:tc>
      </w:tr>
      <w:tr>
        <w:trPr>
          <w:trHeight w:val="401" w:hRule="exact"/>
        </w:trPr>
        <w:tc>
          <w:tcPr>
            <w:tcW w:w="2775" w:type="dxa"/>
            <w:tcBorders>
              <w:top w:val="single" w:sz="8" w:space="0" w:color="000000"/>
              <w:left w:val="nil" w:sz="6" w:space="0" w:color="auto"/>
              <w:bottom w:val="single" w:sz="12" w:space="0" w:color="000000"/>
              <w:right w:val="single" w:sz="8"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王相乾</w:t>
            </w:r>
          </w:p>
        </w:tc>
        <w:tc>
          <w:tcPr>
            <w:tcW w:w="1981" w:type="dxa"/>
            <w:tcBorders>
              <w:top w:val="single" w:sz="8" w:space="0" w:color="000000"/>
              <w:left w:val="single" w:sz="8" w:space="0" w:color="000000"/>
              <w:bottom w:val="single" w:sz="12" w:space="0" w:color="000000"/>
              <w:right w:val="single" w:sz="8" w:space="0" w:color="000000"/>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销售员</w:t>
            </w:r>
          </w:p>
        </w:tc>
        <w:tc>
          <w:tcPr>
            <w:tcW w:w="1980" w:type="dxa"/>
            <w:tcBorders>
              <w:top w:val="single" w:sz="8" w:space="0" w:color="000000"/>
              <w:left w:val="single" w:sz="8" w:space="0" w:color="000000"/>
              <w:bottom w:val="single" w:sz="12" w:space="0" w:color="000000"/>
              <w:right w:val="single" w:sz="8" w:space="0" w:color="000000"/>
            </w:tcBorders>
          </w:tcPr>
          <w:p>
            <w:pPr>
              <w:pStyle w:val="TableParagraph"/>
              <w:spacing w:line="215" w:lineRule="exact"/>
              <w:ind w:right="96"/>
              <w:jc w:val="right"/>
              <w:rPr>
                <w:rFonts w:ascii="宋体" w:hAnsi="宋体" w:cs="宋体" w:eastAsia="宋体" w:hint="default"/>
                <w:sz w:val="18"/>
                <w:szCs w:val="18"/>
              </w:rPr>
            </w:pPr>
            <w:r>
              <w:rPr>
                <w:rFonts w:ascii="宋体"/>
                <w:spacing w:val="-1"/>
                <w:sz w:val="18"/>
              </w:rPr>
              <w:t>418,314.21</w:t>
            </w:r>
          </w:p>
        </w:tc>
        <w:tc>
          <w:tcPr>
            <w:tcW w:w="1983" w:type="dxa"/>
            <w:tcBorders>
              <w:top w:val="single" w:sz="8" w:space="0" w:color="000000"/>
              <w:left w:val="single" w:sz="8" w:space="0" w:color="000000"/>
              <w:bottom w:val="single" w:sz="12" w:space="0" w:color="000000"/>
              <w:right w:val="single" w:sz="8" w:space="0" w:color="000000"/>
            </w:tcBorders>
          </w:tcPr>
          <w:p>
            <w:pPr>
              <w:pStyle w:val="TableParagraph"/>
              <w:spacing w:line="215" w:lineRule="exact"/>
              <w:ind w:right="62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80" w:type="dxa"/>
            <w:tcBorders>
              <w:top w:val="single" w:sz="8" w:space="0" w:color="000000"/>
              <w:left w:val="single" w:sz="8" w:space="0" w:color="000000"/>
              <w:bottom w:val="single" w:sz="12" w:space="0" w:color="000000"/>
              <w:right w:val="nil" w:sz="6" w:space="0" w:color="auto"/>
            </w:tcBorders>
          </w:tcPr>
          <w:p>
            <w:pPr>
              <w:pStyle w:val="TableParagraph"/>
              <w:spacing w:line="215" w:lineRule="exact"/>
              <w:ind w:right="105"/>
              <w:jc w:val="right"/>
              <w:rPr>
                <w:rFonts w:ascii="宋体" w:hAnsi="宋体" w:cs="宋体" w:eastAsia="宋体" w:hint="default"/>
                <w:sz w:val="18"/>
                <w:szCs w:val="18"/>
              </w:rPr>
            </w:pPr>
            <w:r>
              <w:rPr>
                <w:rFonts w:ascii="宋体"/>
                <w:sz w:val="18"/>
              </w:rPr>
              <w:t>1.87%</w:t>
            </w:r>
          </w:p>
        </w:tc>
      </w:tr>
    </w:tbl>
    <w:p>
      <w:pPr>
        <w:spacing w:after="0" w:line="215" w:lineRule="exact"/>
        <w:jc w:val="right"/>
        <w:rPr>
          <w:rFonts w:ascii="宋体" w:hAnsi="宋体" w:cs="宋体" w:eastAsia="宋体" w:hint="default"/>
          <w:sz w:val="18"/>
          <w:szCs w:val="18"/>
        </w:rPr>
        <w:sectPr>
          <w:footerReference w:type="default" r:id="rId53"/>
          <w:pgSz w:w="11910" w:h="16840"/>
          <w:pgMar w:footer="947" w:header="720" w:top="1300" w:bottom="1140" w:left="480" w:right="0"/>
          <w:pgNumType w:start="101"/>
        </w:sectPr>
      </w:pPr>
    </w:p>
    <w:p>
      <w:pPr>
        <w:spacing w:line="240" w:lineRule="auto" w:before="7"/>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775"/>
        <w:gridCol w:w="1981"/>
        <w:gridCol w:w="1980"/>
        <w:gridCol w:w="1983"/>
        <w:gridCol w:w="1980"/>
      </w:tblGrid>
      <w:tr>
        <w:trPr>
          <w:trHeight w:val="408" w:hRule="exact"/>
        </w:trPr>
        <w:tc>
          <w:tcPr>
            <w:tcW w:w="2775" w:type="dxa"/>
            <w:tcBorders>
              <w:top w:val="single" w:sz="12" w:space="0" w:color="000000"/>
              <w:left w:val="nil" w:sz="6" w:space="0" w:color="auto"/>
              <w:bottom w:val="single" w:sz="8" w:space="0" w:color="000000"/>
              <w:right w:val="single" w:sz="8" w:space="0" w:color="000000"/>
            </w:tcBorders>
          </w:tcPr>
          <w:p>
            <w:pPr>
              <w:pStyle w:val="TableParagraph"/>
              <w:spacing w:line="225" w:lineRule="exact"/>
              <w:ind w:left="122" w:right="0"/>
              <w:jc w:val="left"/>
              <w:rPr>
                <w:rFonts w:ascii="宋体" w:hAnsi="宋体" w:cs="宋体" w:eastAsia="宋体" w:hint="default"/>
                <w:sz w:val="18"/>
                <w:szCs w:val="18"/>
              </w:rPr>
            </w:pPr>
            <w:r>
              <w:rPr>
                <w:rFonts w:ascii="宋体" w:hAnsi="宋体" w:cs="宋体" w:eastAsia="宋体" w:hint="default"/>
                <w:sz w:val="18"/>
                <w:szCs w:val="18"/>
              </w:rPr>
              <w:t>丁建忠</w:t>
            </w:r>
          </w:p>
        </w:tc>
        <w:tc>
          <w:tcPr>
            <w:tcW w:w="1981" w:type="dxa"/>
            <w:tcBorders>
              <w:top w:val="single" w:sz="12" w:space="0" w:color="000000"/>
              <w:left w:val="single" w:sz="8" w:space="0" w:color="000000"/>
              <w:bottom w:val="single" w:sz="8" w:space="0" w:color="000000"/>
              <w:right w:val="single" w:sz="8" w:space="0" w:color="000000"/>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sz w:val="18"/>
                <w:szCs w:val="18"/>
              </w:rPr>
              <w:t>销售员</w:t>
            </w:r>
          </w:p>
        </w:tc>
        <w:tc>
          <w:tcPr>
            <w:tcW w:w="1980" w:type="dxa"/>
            <w:tcBorders>
              <w:top w:val="single" w:sz="12" w:space="0" w:color="000000"/>
              <w:left w:val="single" w:sz="8" w:space="0" w:color="000000"/>
              <w:bottom w:val="single" w:sz="8" w:space="0" w:color="000000"/>
              <w:right w:val="single" w:sz="8" w:space="0" w:color="000000"/>
            </w:tcBorders>
          </w:tcPr>
          <w:p>
            <w:pPr>
              <w:pStyle w:val="TableParagraph"/>
              <w:spacing w:line="225" w:lineRule="exact"/>
              <w:ind w:right="96"/>
              <w:jc w:val="right"/>
              <w:rPr>
                <w:rFonts w:ascii="宋体" w:hAnsi="宋体" w:cs="宋体" w:eastAsia="宋体" w:hint="default"/>
                <w:sz w:val="18"/>
                <w:szCs w:val="18"/>
              </w:rPr>
            </w:pPr>
            <w:r>
              <w:rPr>
                <w:rFonts w:ascii="宋体"/>
                <w:spacing w:val="-1"/>
                <w:sz w:val="18"/>
              </w:rPr>
              <w:t>417,453.40</w:t>
            </w:r>
          </w:p>
        </w:tc>
        <w:tc>
          <w:tcPr>
            <w:tcW w:w="1983" w:type="dxa"/>
            <w:tcBorders>
              <w:top w:val="single" w:sz="12" w:space="0" w:color="000000"/>
              <w:left w:val="single" w:sz="8" w:space="0" w:color="000000"/>
              <w:bottom w:val="single" w:sz="8" w:space="0" w:color="000000"/>
              <w:right w:val="single" w:sz="8" w:space="0" w:color="000000"/>
            </w:tcBorders>
          </w:tcPr>
          <w:p>
            <w:pPr>
              <w:pStyle w:val="TableParagraph"/>
              <w:spacing w:line="225" w:lineRule="exact"/>
              <w:ind w:right="62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80" w:type="dxa"/>
            <w:tcBorders>
              <w:top w:val="single" w:sz="12" w:space="0" w:color="000000"/>
              <w:left w:val="single" w:sz="8" w:space="0" w:color="000000"/>
              <w:bottom w:val="single" w:sz="8" w:space="0" w:color="000000"/>
              <w:right w:val="nil" w:sz="6" w:space="0" w:color="auto"/>
            </w:tcBorders>
          </w:tcPr>
          <w:p>
            <w:pPr>
              <w:pStyle w:val="TableParagraph"/>
              <w:spacing w:line="225" w:lineRule="exact"/>
              <w:ind w:right="105"/>
              <w:jc w:val="right"/>
              <w:rPr>
                <w:rFonts w:ascii="宋体" w:hAnsi="宋体" w:cs="宋体" w:eastAsia="宋体" w:hint="default"/>
                <w:sz w:val="18"/>
                <w:szCs w:val="18"/>
              </w:rPr>
            </w:pPr>
            <w:r>
              <w:rPr>
                <w:rFonts w:ascii="宋体"/>
                <w:sz w:val="18"/>
              </w:rPr>
              <w:t>1.86%</w:t>
            </w:r>
          </w:p>
        </w:tc>
      </w:tr>
      <w:tr>
        <w:trPr>
          <w:trHeight w:val="396" w:hRule="exact"/>
        </w:trPr>
        <w:tc>
          <w:tcPr>
            <w:tcW w:w="2775"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杜国民</w:t>
            </w:r>
          </w:p>
        </w:tc>
        <w:tc>
          <w:tcPr>
            <w:tcW w:w="1981"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销售员</w:t>
            </w:r>
          </w:p>
        </w:tc>
        <w:tc>
          <w:tcPr>
            <w:tcW w:w="1980"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95"/>
              <w:jc w:val="right"/>
              <w:rPr>
                <w:rFonts w:ascii="宋体" w:hAnsi="宋体" w:cs="宋体" w:eastAsia="宋体" w:hint="default"/>
                <w:sz w:val="18"/>
                <w:szCs w:val="18"/>
              </w:rPr>
            </w:pPr>
            <w:r>
              <w:rPr>
                <w:rFonts w:ascii="宋体"/>
                <w:spacing w:val="-1"/>
                <w:sz w:val="18"/>
              </w:rPr>
              <w:t>414,194.13</w:t>
            </w:r>
          </w:p>
        </w:tc>
        <w:tc>
          <w:tcPr>
            <w:tcW w:w="1983"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622"/>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1980" w:type="dxa"/>
            <w:tcBorders>
              <w:top w:val="single" w:sz="8" w:space="0" w:color="000000"/>
              <w:left w:val="single" w:sz="8" w:space="0" w:color="000000"/>
              <w:bottom w:val="single" w:sz="8" w:space="0" w:color="000000"/>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1.85%</w:t>
            </w:r>
          </w:p>
        </w:tc>
      </w:tr>
      <w:tr>
        <w:trPr>
          <w:trHeight w:val="401" w:hRule="exact"/>
        </w:trPr>
        <w:tc>
          <w:tcPr>
            <w:tcW w:w="2775" w:type="dxa"/>
            <w:tcBorders>
              <w:top w:val="single" w:sz="8" w:space="0" w:color="000000"/>
              <w:left w:val="nil" w:sz="6" w:space="0" w:color="auto"/>
              <w:bottom w:val="single" w:sz="12" w:space="0" w:color="000000"/>
              <w:right w:val="single" w:sz="8" w:space="0" w:color="000000"/>
            </w:tcBorders>
          </w:tcPr>
          <w:p>
            <w:pPr>
              <w:pStyle w:val="TableParagraph"/>
              <w:tabs>
                <w:tab w:pos="569" w:val="left" w:leader="none"/>
              </w:tabs>
              <w:spacing w:line="217" w:lineRule="exact"/>
              <w:ind w:left="26"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81" w:type="dxa"/>
            <w:tcBorders>
              <w:top w:val="single" w:sz="8" w:space="0" w:color="000000"/>
              <w:left w:val="single" w:sz="8" w:space="0" w:color="000000"/>
              <w:bottom w:val="single" w:sz="12" w:space="0" w:color="000000"/>
              <w:right w:val="single" w:sz="8" w:space="0" w:color="000000"/>
            </w:tcBorders>
          </w:tcPr>
          <w:p>
            <w:pPr/>
          </w:p>
        </w:tc>
        <w:tc>
          <w:tcPr>
            <w:tcW w:w="1980" w:type="dxa"/>
            <w:tcBorders>
              <w:top w:val="single" w:sz="8" w:space="0" w:color="000000"/>
              <w:left w:val="single" w:sz="8" w:space="0" w:color="000000"/>
              <w:bottom w:val="single" w:sz="12" w:space="0" w:color="000000"/>
              <w:right w:val="single" w:sz="8" w:space="0" w:color="000000"/>
            </w:tcBorders>
          </w:tcPr>
          <w:p>
            <w:pPr>
              <w:pStyle w:val="TableParagraph"/>
              <w:spacing w:line="217" w:lineRule="exact"/>
              <w:ind w:right="96"/>
              <w:jc w:val="right"/>
              <w:rPr>
                <w:rFonts w:ascii="宋体" w:hAnsi="宋体" w:cs="宋体" w:eastAsia="宋体" w:hint="default"/>
                <w:sz w:val="18"/>
                <w:szCs w:val="18"/>
              </w:rPr>
            </w:pPr>
            <w:r>
              <w:rPr>
                <w:rFonts w:ascii="宋体"/>
                <w:spacing w:val="-1"/>
                <w:sz w:val="18"/>
              </w:rPr>
              <w:t>2,119,724.23</w:t>
            </w:r>
          </w:p>
        </w:tc>
        <w:tc>
          <w:tcPr>
            <w:tcW w:w="1983" w:type="dxa"/>
            <w:tcBorders>
              <w:top w:val="single" w:sz="8" w:space="0" w:color="000000"/>
              <w:left w:val="single" w:sz="8" w:space="0" w:color="000000"/>
              <w:bottom w:val="single" w:sz="12" w:space="0" w:color="000000"/>
              <w:right w:val="single" w:sz="8" w:space="0" w:color="000000"/>
            </w:tcBorders>
          </w:tcPr>
          <w:p>
            <w:pPr/>
          </w:p>
        </w:tc>
        <w:tc>
          <w:tcPr>
            <w:tcW w:w="1980" w:type="dxa"/>
            <w:tcBorders>
              <w:top w:val="single" w:sz="8" w:space="0" w:color="000000"/>
              <w:left w:val="single" w:sz="8" w:space="0" w:color="000000"/>
              <w:bottom w:val="single" w:sz="12" w:space="0" w:color="000000"/>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z w:val="18"/>
              </w:rPr>
              <w:t>9.46%</w:t>
            </w:r>
          </w:p>
        </w:tc>
      </w:tr>
    </w:tbl>
    <w:p>
      <w:pPr>
        <w:pStyle w:val="BodyText"/>
        <w:spacing w:line="357" w:lineRule="auto" w:before="86"/>
        <w:ind w:left="652" w:right="606" w:firstLine="7"/>
        <w:jc w:val="left"/>
        <w:rPr>
          <w:rFonts w:ascii="宋体" w:hAnsi="宋体" w:cs="宋体" w:eastAsia="宋体" w:hint="default"/>
        </w:rPr>
      </w:pPr>
      <w:r>
        <w:rPr>
          <w:spacing w:val="-2"/>
        </w:rPr>
        <w:t>（</w:t>
      </w:r>
      <w:r>
        <w:rPr>
          <w:rFonts w:ascii="宋体" w:hAnsi="宋体" w:cs="宋体" w:eastAsia="宋体" w:hint="default"/>
          <w:spacing w:val="-2"/>
        </w:rPr>
        <w:t>4</w:t>
      </w:r>
      <w:r>
        <w:rPr>
          <w:spacing w:val="-2"/>
        </w:rPr>
        <w:t>）其他应收款期末余额中无持有本公司</w:t>
      </w:r>
      <w:r>
        <w:rPr>
          <w:rFonts w:ascii="宋体" w:hAnsi="宋体" w:cs="宋体" w:eastAsia="宋体" w:hint="default"/>
          <w:spacing w:val="-2"/>
        </w:rPr>
        <w:t>5%(</w:t>
      </w:r>
      <w:r>
        <w:rPr>
          <w:spacing w:val="-2"/>
        </w:rPr>
        <w:t>含</w:t>
      </w:r>
      <w:r>
        <w:rPr>
          <w:rFonts w:ascii="宋体" w:hAnsi="宋体" w:cs="宋体" w:eastAsia="宋体" w:hint="default"/>
          <w:spacing w:val="-2"/>
        </w:rPr>
        <w:t>5%)</w:t>
      </w:r>
      <w:r>
        <w:rPr>
          <w:spacing w:val="-2"/>
        </w:rPr>
        <w:t>以上表决权股份的股东单位及关联方单位的款项。</w:t>
      </w:r>
      <w:r>
        <w:rPr>
          <w:spacing w:val="-23"/>
        </w:rPr>
        <w:t> </w:t>
      </w:r>
      <w:r>
        <w:rPr>
          <w:spacing w:val="-23"/>
        </w:rPr>
      </w:r>
      <w:r>
        <w:rPr>
          <w:rFonts w:ascii="宋体" w:hAnsi="宋体" w:cs="宋体" w:eastAsia="宋体" w:hint="default"/>
          <w:b/>
          <w:bCs/>
        </w:rPr>
        <w:t>3</w:t>
      </w:r>
      <w:r>
        <w:rPr>
          <w:rFonts w:ascii="宋体" w:hAnsi="宋体" w:cs="宋体" w:eastAsia="宋体" w:hint="default"/>
          <w:b/>
          <w:bCs/>
        </w:rPr>
        <w:t>、长期股权投资</w:t>
      </w:r>
      <w:r>
        <w:rPr>
          <w:rFonts w:ascii="宋体" w:hAnsi="宋体" w:cs="宋体" w:eastAsia="宋体" w:hint="default"/>
        </w:rPr>
      </w:r>
    </w:p>
    <w:p>
      <w:pPr>
        <w:pStyle w:val="BodyText"/>
        <w:spacing w:line="240" w:lineRule="auto" w:before="30"/>
        <w:ind w:left="271" w:right="606"/>
        <w:jc w:val="left"/>
      </w:pPr>
      <w:r>
        <w:rPr/>
        <w:t>（</w:t>
      </w:r>
      <w:r>
        <w:rPr>
          <w:rFonts w:ascii="宋体" w:hAnsi="宋体" w:cs="宋体" w:eastAsia="宋体" w:hint="default"/>
        </w:rPr>
        <w:t>1</w:t>
      </w:r>
      <w:r>
        <w:rPr/>
        <w:t>）长期股权投资按明细分类：</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126"/>
        <w:gridCol w:w="581"/>
        <w:gridCol w:w="1387"/>
        <w:gridCol w:w="1385"/>
        <w:gridCol w:w="1388"/>
        <w:gridCol w:w="1476"/>
        <w:gridCol w:w="847"/>
        <w:gridCol w:w="845"/>
        <w:gridCol w:w="367"/>
        <w:gridCol w:w="1296"/>
      </w:tblGrid>
      <w:tr>
        <w:trPr>
          <w:trHeight w:val="2360" w:hRule="exact"/>
        </w:trPr>
        <w:tc>
          <w:tcPr>
            <w:tcW w:w="1126" w:type="dxa"/>
            <w:tcBorders>
              <w:top w:val="single" w:sz="12" w:space="0" w:color="000000"/>
              <w:left w:val="nil" w:sz="6" w:space="0" w:color="auto"/>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57" w:lineRule="auto"/>
              <w:ind w:left="477" w:right="185" w:hanging="269"/>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581"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57" w:lineRule="auto"/>
              <w:ind w:left="100" w:right="98"/>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38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8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88"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增减变动</w:t>
            </w:r>
          </w:p>
        </w:tc>
        <w:tc>
          <w:tcPr>
            <w:tcW w:w="147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47"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57" w:lineRule="auto"/>
              <w:ind w:left="144" w:right="143"/>
              <w:jc w:val="center"/>
              <w:rPr>
                <w:rFonts w:ascii="宋体" w:hAnsi="宋体" w:cs="宋体" w:eastAsia="宋体" w:hint="default"/>
                <w:sz w:val="18"/>
                <w:szCs w:val="18"/>
              </w:rPr>
            </w:pPr>
            <w:r>
              <w:rPr>
                <w:rFonts w:ascii="宋体" w:hAnsi="宋体" w:cs="宋体" w:eastAsia="宋体" w:hint="default"/>
                <w:sz w:val="18"/>
                <w:szCs w:val="18"/>
              </w:rPr>
              <w:t>在被投 资单位 持股比 例</w:t>
            </w:r>
          </w:p>
        </w:tc>
        <w:tc>
          <w:tcPr>
            <w:tcW w:w="845"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57" w:lineRule="auto"/>
              <w:ind w:left="144" w:right="139"/>
              <w:jc w:val="both"/>
              <w:rPr>
                <w:rFonts w:ascii="宋体" w:hAnsi="宋体" w:cs="宋体" w:eastAsia="宋体" w:hint="default"/>
                <w:sz w:val="18"/>
                <w:szCs w:val="18"/>
              </w:rPr>
            </w:pPr>
            <w:r>
              <w:rPr>
                <w:rFonts w:ascii="宋体" w:hAnsi="宋体" w:cs="宋体" w:eastAsia="宋体" w:hint="default"/>
                <w:sz w:val="18"/>
                <w:szCs w:val="18"/>
              </w:rPr>
              <w:t>在被投 资单位 表决权 比例</w:t>
            </w:r>
          </w:p>
        </w:tc>
        <w:tc>
          <w:tcPr>
            <w:tcW w:w="367" w:type="dxa"/>
            <w:tcBorders>
              <w:top w:val="single" w:sz="12" w:space="0" w:color="000000"/>
              <w:left w:val="single" w:sz="8" w:space="0" w:color="000000"/>
              <w:bottom w:val="single" w:sz="8" w:space="0" w:color="000000"/>
              <w:right w:val="single" w:sz="8" w:space="0" w:color="000000"/>
            </w:tcBorders>
          </w:tcPr>
          <w:p>
            <w:pPr>
              <w:pStyle w:val="TableParagraph"/>
              <w:spacing w:line="170" w:lineRule="exact"/>
              <w:ind w:left="98" w:right="0"/>
              <w:jc w:val="both"/>
              <w:rPr>
                <w:rFonts w:ascii="宋体" w:hAnsi="宋体" w:cs="宋体" w:eastAsia="宋体" w:hint="default"/>
                <w:sz w:val="15"/>
                <w:szCs w:val="15"/>
              </w:rPr>
            </w:pPr>
            <w:r>
              <w:rPr>
                <w:rFonts w:ascii="宋体" w:hAnsi="宋体" w:cs="宋体" w:eastAsia="宋体" w:hint="default"/>
                <w:w w:val="100"/>
                <w:sz w:val="15"/>
                <w:szCs w:val="15"/>
              </w:rPr>
              <w:t>本</w:t>
            </w:r>
          </w:p>
          <w:p>
            <w:pPr>
              <w:pStyle w:val="TableParagraph"/>
              <w:spacing w:line="357" w:lineRule="auto" w:before="96"/>
              <w:ind w:left="98" w:right="96"/>
              <w:jc w:val="both"/>
              <w:rPr>
                <w:rFonts w:ascii="宋体" w:hAnsi="宋体" w:cs="宋体" w:eastAsia="宋体" w:hint="default"/>
                <w:sz w:val="15"/>
                <w:szCs w:val="15"/>
              </w:rPr>
            </w:pPr>
            <w:r>
              <w:rPr>
                <w:rFonts w:ascii="宋体" w:hAnsi="宋体" w:cs="宋体" w:eastAsia="宋体" w:hint="default"/>
                <w:sz w:val="15"/>
                <w:szCs w:val="15"/>
              </w:rPr>
              <w:t>期</w:t>
            </w:r>
            <w:r>
              <w:rPr>
                <w:rFonts w:ascii="宋体" w:hAnsi="宋体" w:cs="宋体" w:eastAsia="宋体" w:hint="default"/>
                <w:w w:val="100"/>
                <w:sz w:val="15"/>
                <w:szCs w:val="15"/>
              </w:rPr>
              <w:t> </w:t>
            </w:r>
            <w:r>
              <w:rPr>
                <w:rFonts w:ascii="宋体" w:hAnsi="宋体" w:cs="宋体" w:eastAsia="宋体" w:hint="default"/>
                <w:sz w:val="15"/>
                <w:szCs w:val="15"/>
              </w:rPr>
              <w:t>计</w:t>
            </w:r>
            <w:r>
              <w:rPr>
                <w:rFonts w:ascii="宋体" w:hAnsi="宋体" w:cs="宋体" w:eastAsia="宋体" w:hint="default"/>
                <w:w w:val="100"/>
                <w:sz w:val="15"/>
                <w:szCs w:val="15"/>
              </w:rPr>
              <w:t> </w:t>
            </w:r>
            <w:r>
              <w:rPr>
                <w:rFonts w:ascii="宋体" w:hAnsi="宋体" w:cs="宋体" w:eastAsia="宋体" w:hint="default"/>
                <w:sz w:val="15"/>
                <w:szCs w:val="15"/>
              </w:rPr>
              <w:t>提</w:t>
            </w:r>
            <w:r>
              <w:rPr>
                <w:rFonts w:ascii="宋体" w:hAnsi="宋体" w:cs="宋体" w:eastAsia="宋体" w:hint="default"/>
                <w:w w:val="100"/>
                <w:sz w:val="15"/>
                <w:szCs w:val="15"/>
              </w:rPr>
              <w:t> </w:t>
            </w:r>
            <w:r>
              <w:rPr>
                <w:rFonts w:ascii="宋体" w:hAnsi="宋体" w:cs="宋体" w:eastAsia="宋体" w:hint="default"/>
                <w:sz w:val="15"/>
                <w:szCs w:val="15"/>
              </w:rPr>
              <w:t>减</w:t>
            </w:r>
            <w:r>
              <w:rPr>
                <w:rFonts w:ascii="宋体" w:hAnsi="宋体" w:cs="宋体" w:eastAsia="宋体" w:hint="default"/>
                <w:w w:val="100"/>
                <w:sz w:val="15"/>
                <w:szCs w:val="15"/>
              </w:rPr>
              <w:t> </w:t>
            </w:r>
            <w:r>
              <w:rPr>
                <w:rFonts w:ascii="宋体" w:hAnsi="宋体" w:cs="宋体" w:eastAsia="宋体" w:hint="default"/>
                <w:sz w:val="15"/>
                <w:szCs w:val="15"/>
              </w:rPr>
              <w:t>值</w:t>
            </w:r>
            <w:r>
              <w:rPr>
                <w:rFonts w:ascii="宋体" w:hAnsi="宋体" w:cs="宋体" w:eastAsia="宋体" w:hint="default"/>
                <w:w w:val="100"/>
                <w:sz w:val="15"/>
                <w:szCs w:val="15"/>
              </w:rPr>
              <w:t> </w:t>
            </w:r>
            <w:r>
              <w:rPr>
                <w:rFonts w:ascii="宋体" w:hAnsi="宋体" w:cs="宋体" w:eastAsia="宋体" w:hint="default"/>
                <w:sz w:val="15"/>
                <w:szCs w:val="15"/>
              </w:rPr>
              <w:t>值</w:t>
            </w:r>
            <w:r>
              <w:rPr>
                <w:rFonts w:ascii="宋体" w:hAnsi="宋体" w:cs="宋体" w:eastAsia="宋体" w:hint="default"/>
                <w:w w:val="100"/>
                <w:sz w:val="15"/>
                <w:szCs w:val="15"/>
              </w:rPr>
              <w:t> </w:t>
            </w:r>
            <w:r>
              <w:rPr>
                <w:rFonts w:ascii="宋体" w:hAnsi="宋体" w:cs="宋体" w:eastAsia="宋体" w:hint="default"/>
                <w:sz w:val="15"/>
                <w:szCs w:val="15"/>
              </w:rPr>
              <w:t>备</w:t>
            </w:r>
          </w:p>
        </w:tc>
        <w:tc>
          <w:tcPr>
            <w:tcW w:w="1296" w:type="dxa"/>
            <w:tcBorders>
              <w:top w:val="single" w:sz="12"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现金红利</w:t>
            </w:r>
          </w:p>
        </w:tc>
      </w:tr>
      <w:tr>
        <w:trPr>
          <w:trHeight w:val="1421" w:hRule="exact"/>
        </w:trPr>
        <w:tc>
          <w:tcPr>
            <w:tcW w:w="1126"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122" w:right="0"/>
              <w:jc w:val="both"/>
              <w:rPr>
                <w:rFonts w:ascii="宋体" w:hAnsi="宋体" w:cs="宋体" w:eastAsia="宋体" w:hint="default"/>
                <w:sz w:val="18"/>
                <w:szCs w:val="18"/>
              </w:rPr>
            </w:pPr>
            <w:r>
              <w:rPr>
                <w:rFonts w:ascii="宋体" w:hAnsi="宋体" w:cs="宋体" w:eastAsia="宋体" w:hint="default"/>
                <w:spacing w:val="42"/>
                <w:sz w:val="18"/>
                <w:szCs w:val="18"/>
              </w:rPr>
              <w:t>吉林紫鑫</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357" w:lineRule="auto" w:before="115"/>
              <w:ind w:left="122" w:right="41"/>
              <w:jc w:val="both"/>
              <w:rPr>
                <w:rFonts w:ascii="宋体" w:hAnsi="宋体" w:cs="宋体" w:eastAsia="宋体" w:hint="default"/>
                <w:sz w:val="18"/>
                <w:szCs w:val="18"/>
              </w:rPr>
            </w:pPr>
            <w:r>
              <w:rPr>
                <w:rFonts w:ascii="宋体" w:hAnsi="宋体" w:cs="宋体" w:eastAsia="宋体" w:hint="default"/>
                <w:spacing w:val="42"/>
                <w:sz w:val="18"/>
                <w:szCs w:val="18"/>
              </w:rPr>
              <w:t>敦化医药</w:t>
            </w:r>
            <w:r>
              <w:rPr>
                <w:rFonts w:ascii="宋体" w:hAnsi="宋体" w:cs="宋体" w:eastAsia="宋体" w:hint="default"/>
                <w:spacing w:val="-88"/>
                <w:sz w:val="18"/>
                <w:szCs w:val="18"/>
              </w:rPr>
              <w:t> </w:t>
            </w:r>
            <w:r>
              <w:rPr>
                <w:rFonts w:ascii="宋体" w:hAnsi="宋体" w:cs="宋体" w:eastAsia="宋体" w:hint="default"/>
                <w:spacing w:val="42"/>
                <w:sz w:val="18"/>
                <w:szCs w:val="18"/>
              </w:rPr>
              <w:t>药材有限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192" w:right="98"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990,000.00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990,000.00</w:t>
            </w:r>
          </w:p>
        </w:tc>
        <w:tc>
          <w:tcPr>
            <w:tcW w:w="13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990,000.00</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99.00%</w:t>
            </w:r>
          </w:p>
        </w:tc>
        <w:tc>
          <w:tcPr>
            <w:tcW w:w="8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4" w:right="0"/>
              <w:jc w:val="center"/>
              <w:rPr>
                <w:rFonts w:ascii="宋体" w:hAnsi="宋体" w:cs="宋体" w:eastAsia="宋体" w:hint="default"/>
                <w:sz w:val="18"/>
                <w:szCs w:val="18"/>
              </w:rPr>
            </w:pPr>
            <w:r>
              <w:rPr>
                <w:rFonts w:ascii="宋体"/>
                <w:sz w:val="18"/>
              </w:rPr>
              <w:t>99.00%</w:t>
            </w:r>
          </w:p>
        </w:tc>
        <w:tc>
          <w:tcPr>
            <w:tcW w:w="367"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nil" w:sz="6" w:space="0" w:color="auto"/>
            </w:tcBorders>
          </w:tcPr>
          <w:p>
            <w:pPr/>
          </w:p>
        </w:tc>
      </w:tr>
      <w:tr>
        <w:trPr>
          <w:trHeight w:val="1070" w:hRule="exact"/>
        </w:trPr>
        <w:tc>
          <w:tcPr>
            <w:tcW w:w="1126"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42"/>
                <w:sz w:val="18"/>
                <w:szCs w:val="18"/>
              </w:rPr>
              <w:t>吉林融安</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357" w:lineRule="auto" w:before="115"/>
              <w:ind w:left="122" w:right="41"/>
              <w:jc w:val="left"/>
              <w:rPr>
                <w:rFonts w:ascii="宋体" w:hAnsi="宋体" w:cs="宋体" w:eastAsia="宋体" w:hint="default"/>
                <w:sz w:val="18"/>
                <w:szCs w:val="18"/>
              </w:rPr>
            </w:pPr>
            <w:r>
              <w:rPr>
                <w:rFonts w:ascii="宋体" w:hAnsi="宋体" w:cs="宋体" w:eastAsia="宋体" w:hint="default"/>
                <w:spacing w:val="42"/>
                <w:sz w:val="18"/>
                <w:szCs w:val="18"/>
              </w:rPr>
              <w:t>科工贸有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142"/>
              <w:ind w:left="192" w:right="98"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1,000,000.00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1,000,000.00</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-1,000,000.00</w:t>
            </w:r>
          </w:p>
        </w:tc>
        <w:tc>
          <w:tcPr>
            <w:tcW w:w="1476" w:type="dxa"/>
            <w:tcBorders>
              <w:top w:val="single" w:sz="8" w:space="0" w:color="000000"/>
              <w:left w:val="single" w:sz="8" w:space="0" w:color="000000"/>
              <w:bottom w:val="single" w:sz="8" w:space="0" w:color="000000"/>
              <w:right w:val="single" w:sz="8" w:space="0" w:color="000000"/>
            </w:tcBorders>
          </w:tcPr>
          <w:p>
            <w:pPr/>
          </w:p>
        </w:tc>
        <w:tc>
          <w:tcPr>
            <w:tcW w:w="847" w:type="dxa"/>
            <w:tcBorders>
              <w:top w:val="single" w:sz="8" w:space="0" w:color="000000"/>
              <w:left w:val="single" w:sz="8" w:space="0" w:color="000000"/>
              <w:bottom w:val="single" w:sz="8" w:space="0" w:color="000000"/>
              <w:right w:val="single" w:sz="8" w:space="0" w:color="000000"/>
            </w:tcBorders>
          </w:tcPr>
          <w:p>
            <w:pPr/>
          </w:p>
        </w:tc>
        <w:tc>
          <w:tcPr>
            <w:tcW w:w="845" w:type="dxa"/>
            <w:tcBorders>
              <w:top w:val="single" w:sz="8" w:space="0" w:color="000000"/>
              <w:left w:val="single" w:sz="8" w:space="0" w:color="000000"/>
              <w:bottom w:val="single" w:sz="8" w:space="0" w:color="000000"/>
              <w:right w:val="single" w:sz="8" w:space="0" w:color="000000"/>
            </w:tcBorders>
          </w:tcPr>
          <w:p>
            <w:pPr/>
          </w:p>
        </w:tc>
        <w:tc>
          <w:tcPr>
            <w:tcW w:w="367"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nil" w:sz="6" w:space="0" w:color="auto"/>
            </w:tcBorders>
          </w:tcPr>
          <w:p>
            <w:pPr/>
          </w:p>
        </w:tc>
      </w:tr>
      <w:tr>
        <w:trPr>
          <w:trHeight w:val="1421" w:hRule="exact"/>
        </w:trPr>
        <w:tc>
          <w:tcPr>
            <w:tcW w:w="1126"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122" w:right="0"/>
              <w:jc w:val="both"/>
              <w:rPr>
                <w:rFonts w:ascii="宋体" w:hAnsi="宋体" w:cs="宋体" w:eastAsia="宋体" w:hint="default"/>
                <w:sz w:val="18"/>
                <w:szCs w:val="18"/>
              </w:rPr>
            </w:pPr>
            <w:r>
              <w:rPr>
                <w:rFonts w:ascii="宋体" w:hAnsi="宋体" w:cs="宋体" w:eastAsia="宋体" w:hint="default"/>
                <w:spacing w:val="42"/>
                <w:sz w:val="18"/>
                <w:szCs w:val="18"/>
              </w:rPr>
              <w:t>吉林紫鑫</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357" w:lineRule="auto" w:before="115"/>
              <w:ind w:left="122" w:right="41"/>
              <w:jc w:val="both"/>
              <w:rPr>
                <w:rFonts w:ascii="宋体" w:hAnsi="宋体" w:cs="宋体" w:eastAsia="宋体" w:hint="default"/>
                <w:sz w:val="18"/>
                <w:szCs w:val="18"/>
              </w:rPr>
            </w:pPr>
            <w:r>
              <w:rPr>
                <w:rFonts w:ascii="宋体" w:hAnsi="宋体" w:cs="宋体" w:eastAsia="宋体" w:hint="default"/>
                <w:spacing w:val="42"/>
                <w:sz w:val="18"/>
                <w:szCs w:val="18"/>
              </w:rPr>
              <w:t>红石种养</w:t>
            </w:r>
            <w:r>
              <w:rPr>
                <w:rFonts w:ascii="宋体" w:hAnsi="宋体" w:cs="宋体" w:eastAsia="宋体" w:hint="default"/>
                <w:spacing w:val="-88"/>
                <w:sz w:val="18"/>
                <w:szCs w:val="18"/>
              </w:rPr>
              <w:t> </w:t>
            </w:r>
            <w:r>
              <w:rPr>
                <w:rFonts w:ascii="宋体" w:hAnsi="宋体" w:cs="宋体" w:eastAsia="宋体" w:hint="default"/>
                <w:spacing w:val="42"/>
                <w:sz w:val="18"/>
                <w:szCs w:val="18"/>
              </w:rPr>
              <w:t>殖有限公</w:t>
            </w:r>
            <w:r>
              <w:rPr>
                <w:rFonts w:ascii="宋体" w:hAnsi="宋体" w:cs="宋体" w:eastAsia="宋体" w:hint="default"/>
                <w:spacing w:val="-88"/>
                <w:sz w:val="18"/>
                <w:szCs w:val="18"/>
              </w:rPr>
              <w:t> </w:t>
            </w:r>
            <w:r>
              <w:rPr>
                <w:rFonts w:ascii="宋体" w:hAnsi="宋体" w:cs="宋体" w:eastAsia="宋体" w:hint="default"/>
                <w:sz w:val="18"/>
                <w:szCs w:val="18"/>
              </w:rPr>
              <w:t>司</w:t>
            </w:r>
          </w:p>
        </w:tc>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192" w:right="98"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10,000,000.00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10,000,000.00</w:t>
            </w:r>
          </w:p>
        </w:tc>
        <w:tc>
          <w:tcPr>
            <w:tcW w:w="13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10,000,000.00</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z w:val="18"/>
              </w:rPr>
              <w:t>100.00%</w:t>
            </w:r>
          </w:p>
        </w:tc>
        <w:tc>
          <w:tcPr>
            <w:tcW w:w="8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sz w:val="18"/>
              </w:rPr>
              <w:t>100.00%</w:t>
            </w:r>
          </w:p>
        </w:tc>
        <w:tc>
          <w:tcPr>
            <w:tcW w:w="367"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nil" w:sz="6" w:space="0" w:color="auto"/>
            </w:tcBorders>
          </w:tcPr>
          <w:p>
            <w:pPr/>
          </w:p>
        </w:tc>
      </w:tr>
      <w:tr>
        <w:trPr>
          <w:trHeight w:val="1070" w:hRule="exact"/>
        </w:trPr>
        <w:tc>
          <w:tcPr>
            <w:tcW w:w="1126"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42"/>
                <w:sz w:val="18"/>
                <w:szCs w:val="18"/>
              </w:rPr>
              <w:t>吉林草还</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357" w:lineRule="auto" w:before="115"/>
              <w:ind w:left="122" w:right="41"/>
              <w:jc w:val="left"/>
              <w:rPr>
                <w:rFonts w:ascii="宋体" w:hAnsi="宋体" w:cs="宋体" w:eastAsia="宋体" w:hint="default"/>
                <w:sz w:val="18"/>
                <w:szCs w:val="18"/>
              </w:rPr>
            </w:pPr>
            <w:r>
              <w:rPr>
                <w:rFonts w:ascii="宋体" w:hAnsi="宋体" w:cs="宋体" w:eastAsia="宋体" w:hint="default"/>
                <w:spacing w:val="42"/>
                <w:sz w:val="18"/>
                <w:szCs w:val="18"/>
              </w:rPr>
              <w:t>丹药业有</w:t>
            </w:r>
            <w:r>
              <w:rPr>
                <w:rFonts w:ascii="宋体" w:hAnsi="宋体" w:cs="宋体" w:eastAsia="宋体" w:hint="default"/>
                <w:spacing w:val="-88"/>
                <w:sz w:val="18"/>
                <w:szCs w:val="18"/>
              </w:rPr>
              <w:t> </w:t>
            </w:r>
            <w:r>
              <w:rPr>
                <w:rFonts w:ascii="宋体" w:hAnsi="宋体" w:cs="宋体" w:eastAsia="宋体" w:hint="default"/>
                <w:sz w:val="18"/>
                <w:szCs w:val="18"/>
              </w:rPr>
              <w:t>限公司</w:t>
            </w:r>
          </w:p>
        </w:tc>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142"/>
              <w:ind w:left="192" w:right="98"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10,247,641.41</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10,247,641.41</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36,000,000.00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46,247,641.41</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5"/>
              <w:jc w:val="right"/>
              <w:rPr>
                <w:rFonts w:ascii="宋体" w:hAnsi="宋体" w:cs="宋体" w:eastAsia="宋体" w:hint="default"/>
                <w:sz w:val="18"/>
                <w:szCs w:val="18"/>
              </w:rPr>
            </w:pPr>
            <w:r>
              <w:rPr>
                <w:rFonts w:ascii="宋体"/>
                <w:sz w:val="18"/>
              </w:rPr>
              <w:t>100.00%</w:t>
            </w:r>
          </w:p>
        </w:tc>
        <w:tc>
          <w:tcPr>
            <w:tcW w:w="8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100.00%</w:t>
            </w:r>
          </w:p>
        </w:tc>
        <w:tc>
          <w:tcPr>
            <w:tcW w:w="367"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nil" w:sz="6" w:space="0" w:color="auto"/>
            </w:tcBorders>
          </w:tcPr>
          <w:p>
            <w:pPr/>
          </w:p>
        </w:tc>
      </w:tr>
      <w:tr>
        <w:trPr>
          <w:trHeight w:val="1421" w:hRule="exact"/>
        </w:trPr>
        <w:tc>
          <w:tcPr>
            <w:tcW w:w="1126"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122" w:right="0"/>
              <w:jc w:val="both"/>
              <w:rPr>
                <w:rFonts w:ascii="宋体" w:hAnsi="宋体" w:cs="宋体" w:eastAsia="宋体" w:hint="default"/>
                <w:sz w:val="18"/>
                <w:szCs w:val="18"/>
              </w:rPr>
            </w:pPr>
            <w:r>
              <w:rPr>
                <w:rFonts w:ascii="宋体" w:hAnsi="宋体" w:cs="宋体" w:eastAsia="宋体" w:hint="default"/>
                <w:spacing w:val="42"/>
                <w:sz w:val="18"/>
                <w:szCs w:val="18"/>
              </w:rPr>
              <w:t>长春农村</w:t>
            </w:r>
            <w:r>
              <w:rPr>
                <w:rFonts w:ascii="宋体" w:hAnsi="宋体" w:cs="宋体" w:eastAsia="宋体" w:hint="default"/>
                <w:spacing w:val="-33"/>
                <w:sz w:val="18"/>
                <w:szCs w:val="18"/>
              </w:rPr>
              <w:t> </w:t>
            </w:r>
            <w:r>
              <w:rPr>
                <w:rFonts w:ascii="宋体" w:hAnsi="宋体" w:cs="宋体" w:eastAsia="宋体" w:hint="default"/>
                <w:sz w:val="18"/>
                <w:szCs w:val="18"/>
              </w:rPr>
            </w:r>
          </w:p>
          <w:p>
            <w:pPr>
              <w:pStyle w:val="TableParagraph"/>
              <w:spacing w:line="357" w:lineRule="auto" w:before="115"/>
              <w:ind w:left="122" w:right="41"/>
              <w:jc w:val="both"/>
              <w:rPr>
                <w:rFonts w:ascii="宋体" w:hAnsi="宋体" w:cs="宋体" w:eastAsia="宋体" w:hint="default"/>
                <w:sz w:val="18"/>
                <w:szCs w:val="18"/>
              </w:rPr>
            </w:pPr>
            <w:r>
              <w:rPr>
                <w:rFonts w:ascii="宋体" w:hAnsi="宋体" w:cs="宋体" w:eastAsia="宋体" w:hint="default"/>
                <w:spacing w:val="42"/>
                <w:sz w:val="18"/>
                <w:szCs w:val="18"/>
              </w:rPr>
              <w:t>商业银行</w:t>
            </w:r>
            <w:r>
              <w:rPr>
                <w:rFonts w:ascii="宋体" w:hAnsi="宋体" w:cs="宋体" w:eastAsia="宋体" w:hint="default"/>
                <w:spacing w:val="-88"/>
                <w:sz w:val="18"/>
                <w:szCs w:val="18"/>
              </w:rPr>
              <w:t> </w:t>
            </w:r>
            <w:r>
              <w:rPr>
                <w:rFonts w:ascii="宋体" w:hAnsi="宋体" w:cs="宋体" w:eastAsia="宋体" w:hint="default"/>
                <w:spacing w:val="42"/>
                <w:sz w:val="18"/>
                <w:szCs w:val="18"/>
              </w:rPr>
              <w:t>股份有限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192" w:right="98"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28,000,000.00</w:t>
            </w:r>
          </w:p>
        </w:tc>
        <w:tc>
          <w:tcPr>
            <w:tcW w:w="13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28,000,000.00</w:t>
            </w:r>
          </w:p>
        </w:tc>
        <w:tc>
          <w:tcPr>
            <w:tcW w:w="1388"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28,000,000.00</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z w:val="18"/>
              </w:rPr>
              <w:t>5.2083%</w:t>
            </w:r>
          </w:p>
        </w:tc>
        <w:tc>
          <w:tcPr>
            <w:tcW w:w="8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sz w:val="18"/>
              </w:rPr>
              <w:t>5.2083%</w:t>
            </w:r>
          </w:p>
        </w:tc>
        <w:tc>
          <w:tcPr>
            <w:tcW w:w="367"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7"/>
              <w:jc w:val="center"/>
              <w:rPr>
                <w:rFonts w:ascii="宋体" w:hAnsi="宋体" w:cs="宋体" w:eastAsia="宋体" w:hint="default"/>
                <w:sz w:val="18"/>
                <w:szCs w:val="18"/>
              </w:rPr>
            </w:pPr>
            <w:r>
              <w:rPr>
                <w:rFonts w:ascii="宋体"/>
                <w:sz w:val="18"/>
              </w:rPr>
              <w:t>1,960,000.00</w:t>
            </w:r>
          </w:p>
        </w:tc>
      </w:tr>
      <w:tr>
        <w:trPr>
          <w:trHeight w:val="1070" w:hRule="exact"/>
        </w:trPr>
        <w:tc>
          <w:tcPr>
            <w:tcW w:w="1126"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295" w:right="0"/>
              <w:jc w:val="left"/>
              <w:rPr>
                <w:rFonts w:ascii="宋体" w:hAnsi="宋体" w:cs="宋体" w:eastAsia="宋体" w:hint="default"/>
                <w:sz w:val="18"/>
                <w:szCs w:val="18"/>
              </w:rPr>
            </w:pPr>
            <w:r>
              <w:rPr>
                <w:rFonts w:ascii="宋体" w:hAnsi="宋体" w:cs="宋体" w:eastAsia="宋体" w:hint="default"/>
                <w:sz w:val="18"/>
                <w:szCs w:val="18"/>
              </w:rPr>
              <w:t>吉林紫鑫</w:t>
            </w:r>
          </w:p>
          <w:p>
            <w:pPr>
              <w:pStyle w:val="TableParagraph"/>
              <w:spacing w:line="357" w:lineRule="auto" w:before="115"/>
              <w:ind w:left="295" w:right="99"/>
              <w:jc w:val="left"/>
              <w:rPr>
                <w:rFonts w:ascii="宋体" w:hAnsi="宋体" w:cs="宋体" w:eastAsia="宋体" w:hint="default"/>
                <w:sz w:val="18"/>
                <w:szCs w:val="18"/>
              </w:rPr>
            </w:pPr>
            <w:r>
              <w:rPr>
                <w:rFonts w:ascii="宋体" w:hAnsi="宋体" w:cs="宋体" w:eastAsia="宋体" w:hint="default"/>
                <w:sz w:val="18"/>
                <w:szCs w:val="18"/>
              </w:rPr>
              <w:t>般若药业 有限公司</w:t>
            </w:r>
          </w:p>
        </w:tc>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142"/>
              <w:ind w:left="285" w:right="93" w:hanging="180"/>
              <w:jc w:val="left"/>
              <w:rPr>
                <w:rFonts w:ascii="宋体" w:hAnsi="宋体" w:cs="宋体" w:eastAsia="宋体" w:hint="default"/>
                <w:sz w:val="18"/>
                <w:szCs w:val="18"/>
              </w:rPr>
            </w:pPr>
            <w:r>
              <w:rPr>
                <w:rFonts w:ascii="宋体" w:hAnsi="宋体" w:cs="宋体" w:eastAsia="宋体" w:hint="default"/>
                <w:sz w:val="18"/>
                <w:szCs w:val="18"/>
              </w:rPr>
              <w:t>成本 法</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20,000,000.00</w:t>
            </w:r>
          </w:p>
        </w:tc>
        <w:tc>
          <w:tcPr>
            <w:tcW w:w="1385"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20,000,000.00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20,000,000.00</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5"/>
              <w:jc w:val="right"/>
              <w:rPr>
                <w:rFonts w:ascii="宋体" w:hAnsi="宋体" w:cs="宋体" w:eastAsia="宋体" w:hint="default"/>
                <w:sz w:val="18"/>
                <w:szCs w:val="18"/>
              </w:rPr>
            </w:pPr>
            <w:r>
              <w:rPr>
                <w:rFonts w:ascii="宋体"/>
                <w:sz w:val="18"/>
              </w:rPr>
              <w:t>100.00%</w:t>
            </w:r>
          </w:p>
        </w:tc>
        <w:tc>
          <w:tcPr>
            <w:tcW w:w="8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100.00%</w:t>
            </w:r>
          </w:p>
        </w:tc>
        <w:tc>
          <w:tcPr>
            <w:tcW w:w="367"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nil" w:sz="6" w:space="0" w:color="auto"/>
            </w:tcBorders>
          </w:tcPr>
          <w:p>
            <w:pPr/>
          </w:p>
        </w:tc>
      </w:tr>
      <w:tr>
        <w:trPr>
          <w:trHeight w:val="1070" w:hRule="exact"/>
        </w:trPr>
        <w:tc>
          <w:tcPr>
            <w:tcW w:w="1126"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295" w:right="0"/>
              <w:jc w:val="left"/>
              <w:rPr>
                <w:rFonts w:ascii="宋体" w:hAnsi="宋体" w:cs="宋体" w:eastAsia="宋体" w:hint="default"/>
                <w:sz w:val="18"/>
                <w:szCs w:val="18"/>
              </w:rPr>
            </w:pPr>
            <w:r>
              <w:rPr>
                <w:rFonts w:ascii="宋体" w:hAnsi="宋体" w:cs="宋体" w:eastAsia="宋体" w:hint="default"/>
                <w:sz w:val="18"/>
                <w:szCs w:val="18"/>
              </w:rPr>
              <w:t>吉林紫鑫</w:t>
            </w:r>
          </w:p>
          <w:p>
            <w:pPr>
              <w:pStyle w:val="TableParagraph"/>
              <w:spacing w:line="357" w:lineRule="auto" w:before="115"/>
              <w:ind w:left="295" w:right="99"/>
              <w:jc w:val="left"/>
              <w:rPr>
                <w:rFonts w:ascii="宋体" w:hAnsi="宋体" w:cs="宋体" w:eastAsia="宋体" w:hint="default"/>
                <w:sz w:val="18"/>
                <w:szCs w:val="18"/>
              </w:rPr>
            </w:pPr>
            <w:r>
              <w:rPr>
                <w:rFonts w:ascii="宋体" w:hAnsi="宋体" w:cs="宋体" w:eastAsia="宋体" w:hint="default"/>
                <w:sz w:val="18"/>
                <w:szCs w:val="18"/>
              </w:rPr>
              <w:t>初元药业 有限公司</w:t>
            </w:r>
          </w:p>
        </w:tc>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142"/>
              <w:ind w:left="285" w:right="93" w:hanging="180"/>
              <w:jc w:val="left"/>
              <w:rPr>
                <w:rFonts w:ascii="宋体" w:hAnsi="宋体" w:cs="宋体" w:eastAsia="宋体" w:hint="default"/>
                <w:sz w:val="18"/>
                <w:szCs w:val="18"/>
              </w:rPr>
            </w:pPr>
            <w:r>
              <w:rPr>
                <w:rFonts w:ascii="宋体" w:hAnsi="宋体" w:cs="宋体" w:eastAsia="宋体" w:hint="default"/>
                <w:sz w:val="18"/>
                <w:szCs w:val="18"/>
              </w:rPr>
              <w:t>成本 法</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20,000,000.00</w:t>
            </w:r>
          </w:p>
        </w:tc>
        <w:tc>
          <w:tcPr>
            <w:tcW w:w="1385"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20,000,000.00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20,000,000.00</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5"/>
              <w:jc w:val="right"/>
              <w:rPr>
                <w:rFonts w:ascii="宋体" w:hAnsi="宋体" w:cs="宋体" w:eastAsia="宋体" w:hint="default"/>
                <w:sz w:val="18"/>
                <w:szCs w:val="18"/>
              </w:rPr>
            </w:pPr>
            <w:r>
              <w:rPr>
                <w:rFonts w:ascii="宋体"/>
                <w:sz w:val="18"/>
              </w:rPr>
              <w:t>100.00%</w:t>
            </w:r>
          </w:p>
        </w:tc>
        <w:tc>
          <w:tcPr>
            <w:tcW w:w="8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100.00%</w:t>
            </w:r>
          </w:p>
        </w:tc>
        <w:tc>
          <w:tcPr>
            <w:tcW w:w="367"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nil" w:sz="6" w:space="0" w:color="auto"/>
            </w:tcBorders>
          </w:tcPr>
          <w:p>
            <w:pPr/>
          </w:p>
        </w:tc>
      </w:tr>
      <w:tr>
        <w:trPr>
          <w:trHeight w:val="816" w:hRule="exact"/>
        </w:trPr>
        <w:tc>
          <w:tcPr>
            <w:tcW w:w="1126" w:type="dxa"/>
            <w:tcBorders>
              <w:top w:val="single" w:sz="8" w:space="0" w:color="000000"/>
              <w:left w:val="nil" w:sz="6" w:space="0" w:color="auto"/>
              <w:bottom w:val="single" w:sz="12" w:space="0" w:color="000000"/>
              <w:right w:val="single" w:sz="8" w:space="0" w:color="000000"/>
            </w:tcBorders>
          </w:tcPr>
          <w:p>
            <w:pPr>
              <w:pStyle w:val="TableParagraph"/>
              <w:spacing w:line="357" w:lineRule="auto" w:before="13"/>
              <w:ind w:left="295" w:right="99"/>
              <w:jc w:val="left"/>
              <w:rPr>
                <w:rFonts w:ascii="宋体" w:hAnsi="宋体" w:cs="宋体" w:eastAsia="宋体" w:hint="default"/>
                <w:sz w:val="18"/>
                <w:szCs w:val="18"/>
              </w:rPr>
            </w:pPr>
            <w:r>
              <w:rPr>
                <w:rFonts w:ascii="宋体" w:hAnsi="宋体" w:cs="宋体" w:eastAsia="宋体" w:hint="default"/>
                <w:sz w:val="18"/>
                <w:szCs w:val="18"/>
              </w:rPr>
              <w:t>吉林紫鑫 药物研究</w:t>
            </w:r>
          </w:p>
        </w:tc>
        <w:tc>
          <w:tcPr>
            <w:tcW w:w="581" w:type="dxa"/>
            <w:tcBorders>
              <w:top w:val="single" w:sz="8" w:space="0" w:color="000000"/>
              <w:left w:val="single" w:sz="8" w:space="0" w:color="000000"/>
              <w:bottom w:val="single" w:sz="12" w:space="0" w:color="000000"/>
              <w:right w:val="single" w:sz="8" w:space="0" w:color="000000"/>
            </w:tcBorders>
          </w:tcPr>
          <w:p>
            <w:pPr>
              <w:pStyle w:val="TableParagraph"/>
              <w:spacing w:line="357" w:lineRule="auto" w:before="13"/>
              <w:ind w:left="285" w:right="93" w:hanging="180"/>
              <w:jc w:val="left"/>
              <w:rPr>
                <w:rFonts w:ascii="宋体" w:hAnsi="宋体" w:cs="宋体" w:eastAsia="宋体" w:hint="default"/>
                <w:sz w:val="18"/>
                <w:szCs w:val="18"/>
              </w:rPr>
            </w:pPr>
            <w:r>
              <w:rPr>
                <w:rFonts w:ascii="宋体" w:hAnsi="宋体" w:cs="宋体" w:eastAsia="宋体" w:hint="default"/>
                <w:sz w:val="18"/>
                <w:szCs w:val="18"/>
              </w:rPr>
              <w:t>成本 法</w:t>
            </w:r>
          </w:p>
        </w:tc>
        <w:tc>
          <w:tcPr>
            <w:tcW w:w="138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2,000,000.00</w:t>
            </w:r>
          </w:p>
        </w:tc>
        <w:tc>
          <w:tcPr>
            <w:tcW w:w="1385" w:type="dxa"/>
            <w:tcBorders>
              <w:top w:val="single" w:sz="8" w:space="0" w:color="000000"/>
              <w:left w:val="single" w:sz="8" w:space="0" w:color="000000"/>
              <w:bottom w:val="single" w:sz="12" w:space="0" w:color="000000"/>
              <w:right w:val="single" w:sz="8" w:space="0" w:color="000000"/>
            </w:tcBorders>
          </w:tcPr>
          <w:p>
            <w:pPr/>
          </w:p>
        </w:tc>
        <w:tc>
          <w:tcPr>
            <w:tcW w:w="138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0" w:right="0"/>
              <w:jc w:val="center"/>
              <w:rPr>
                <w:rFonts w:ascii="宋体" w:hAnsi="宋体" w:cs="宋体" w:eastAsia="宋体" w:hint="default"/>
                <w:sz w:val="18"/>
                <w:szCs w:val="18"/>
              </w:rPr>
            </w:pPr>
            <w:r>
              <w:rPr>
                <w:rFonts w:ascii="宋体"/>
                <w:sz w:val="18"/>
              </w:rPr>
              <w:t>2,000,000.00</w:t>
            </w: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2,000,000.00</w:t>
            </w:r>
          </w:p>
        </w:tc>
        <w:tc>
          <w:tcPr>
            <w:tcW w:w="84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z w:val="18"/>
              </w:rPr>
              <w:t>100.00%</w:t>
            </w:r>
          </w:p>
        </w:tc>
        <w:tc>
          <w:tcPr>
            <w:tcW w:w="84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8"/>
                <w:szCs w:val="18"/>
              </w:rPr>
            </w:pPr>
            <w:r>
              <w:rPr>
                <w:rFonts w:ascii="宋体"/>
                <w:sz w:val="18"/>
              </w:rPr>
              <w:t>100.00%</w:t>
            </w:r>
          </w:p>
        </w:tc>
        <w:tc>
          <w:tcPr>
            <w:tcW w:w="367" w:type="dxa"/>
            <w:tcBorders>
              <w:top w:val="single" w:sz="8" w:space="0" w:color="000000"/>
              <w:left w:val="single" w:sz="8" w:space="0" w:color="000000"/>
              <w:bottom w:val="single" w:sz="12" w:space="0" w:color="000000"/>
              <w:right w:val="single" w:sz="8" w:space="0" w:color="000000"/>
            </w:tcBorders>
          </w:tcPr>
          <w:p>
            <w:pPr/>
          </w:p>
        </w:tc>
        <w:tc>
          <w:tcPr>
            <w:tcW w:w="1296" w:type="dxa"/>
            <w:tcBorders>
              <w:top w:val="single" w:sz="8" w:space="0" w:color="000000"/>
              <w:left w:val="single" w:sz="8" w:space="0" w:color="000000"/>
              <w:bottom w:val="single" w:sz="12" w:space="0" w:color="000000"/>
              <w:right w:val="nil" w:sz="6" w:space="0" w:color="auto"/>
            </w:tcBorders>
          </w:tcPr>
          <w:p>
            <w:pPr/>
          </w:p>
        </w:tc>
      </w:tr>
    </w:tbl>
    <w:p>
      <w:pPr>
        <w:spacing w:after="0"/>
        <w:sectPr>
          <w:pgSz w:w="11910" w:h="16840"/>
          <w:pgMar w:header="720" w:footer="947" w:top="1300" w:bottom="1140" w:left="480" w:right="0"/>
        </w:sectPr>
      </w:pPr>
    </w:p>
    <w:p>
      <w:pPr>
        <w:spacing w:line="240" w:lineRule="auto" w:before="7"/>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126"/>
        <w:gridCol w:w="581"/>
        <w:gridCol w:w="1387"/>
        <w:gridCol w:w="1385"/>
        <w:gridCol w:w="1388"/>
        <w:gridCol w:w="1476"/>
        <w:gridCol w:w="847"/>
        <w:gridCol w:w="845"/>
        <w:gridCol w:w="367"/>
        <w:gridCol w:w="1296"/>
      </w:tblGrid>
      <w:tr>
        <w:trPr>
          <w:trHeight w:val="821" w:hRule="exact"/>
        </w:trPr>
        <w:tc>
          <w:tcPr>
            <w:tcW w:w="1126" w:type="dxa"/>
            <w:tcBorders>
              <w:top w:val="single" w:sz="12" w:space="0" w:color="000000"/>
              <w:left w:val="nil" w:sz="6" w:space="0" w:color="auto"/>
              <w:bottom w:val="single" w:sz="8" w:space="0" w:color="000000"/>
              <w:right w:val="single" w:sz="8" w:space="0" w:color="000000"/>
            </w:tcBorders>
          </w:tcPr>
          <w:p>
            <w:pPr>
              <w:pStyle w:val="TableParagraph"/>
              <w:spacing w:line="210" w:lineRule="exact"/>
              <w:ind w:right="99"/>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581" w:type="dxa"/>
            <w:tcBorders>
              <w:top w:val="single" w:sz="12" w:space="0" w:color="000000"/>
              <w:left w:val="single" w:sz="8" w:space="0" w:color="000000"/>
              <w:bottom w:val="single" w:sz="8" w:space="0" w:color="000000"/>
              <w:right w:val="single" w:sz="8" w:space="0" w:color="000000"/>
            </w:tcBorders>
          </w:tcPr>
          <w:p>
            <w:pPr/>
          </w:p>
        </w:tc>
        <w:tc>
          <w:tcPr>
            <w:tcW w:w="1387" w:type="dxa"/>
            <w:tcBorders>
              <w:top w:val="single" w:sz="12" w:space="0" w:color="000000"/>
              <w:left w:val="single" w:sz="8" w:space="0" w:color="000000"/>
              <w:bottom w:val="single" w:sz="8" w:space="0" w:color="000000"/>
              <w:right w:val="single" w:sz="8" w:space="0" w:color="000000"/>
            </w:tcBorders>
          </w:tcPr>
          <w:p>
            <w:pPr/>
          </w:p>
        </w:tc>
        <w:tc>
          <w:tcPr>
            <w:tcW w:w="1385" w:type="dxa"/>
            <w:tcBorders>
              <w:top w:val="single" w:sz="12" w:space="0" w:color="000000"/>
              <w:left w:val="single" w:sz="8" w:space="0" w:color="000000"/>
              <w:bottom w:val="single" w:sz="8" w:space="0" w:color="000000"/>
              <w:right w:val="single" w:sz="8" w:space="0" w:color="000000"/>
            </w:tcBorders>
          </w:tcPr>
          <w:p>
            <w:pPr/>
          </w:p>
        </w:tc>
        <w:tc>
          <w:tcPr>
            <w:tcW w:w="1388" w:type="dxa"/>
            <w:tcBorders>
              <w:top w:val="single" w:sz="12" w:space="0" w:color="000000"/>
              <w:left w:val="single" w:sz="8" w:space="0" w:color="000000"/>
              <w:bottom w:val="single" w:sz="8" w:space="0" w:color="000000"/>
              <w:right w:val="single" w:sz="8" w:space="0" w:color="000000"/>
            </w:tcBorders>
          </w:tcPr>
          <w:p>
            <w:pPr/>
          </w:p>
        </w:tc>
        <w:tc>
          <w:tcPr>
            <w:tcW w:w="1476" w:type="dxa"/>
            <w:tcBorders>
              <w:top w:val="single" w:sz="12" w:space="0" w:color="000000"/>
              <w:left w:val="single" w:sz="8" w:space="0" w:color="000000"/>
              <w:bottom w:val="single" w:sz="8" w:space="0" w:color="000000"/>
              <w:right w:val="single" w:sz="8" w:space="0" w:color="000000"/>
            </w:tcBorders>
          </w:tcPr>
          <w:p>
            <w:pPr/>
          </w:p>
        </w:tc>
        <w:tc>
          <w:tcPr>
            <w:tcW w:w="847" w:type="dxa"/>
            <w:tcBorders>
              <w:top w:val="single" w:sz="12" w:space="0" w:color="000000"/>
              <w:left w:val="single" w:sz="8" w:space="0" w:color="000000"/>
              <w:bottom w:val="single" w:sz="8" w:space="0" w:color="000000"/>
              <w:right w:val="single" w:sz="8" w:space="0" w:color="000000"/>
            </w:tcBorders>
          </w:tcPr>
          <w:p>
            <w:pPr/>
          </w:p>
        </w:tc>
        <w:tc>
          <w:tcPr>
            <w:tcW w:w="845" w:type="dxa"/>
            <w:tcBorders>
              <w:top w:val="single" w:sz="12" w:space="0" w:color="000000"/>
              <w:left w:val="single" w:sz="8" w:space="0" w:color="000000"/>
              <w:bottom w:val="single" w:sz="8" w:space="0" w:color="000000"/>
              <w:right w:val="single" w:sz="8" w:space="0" w:color="000000"/>
            </w:tcBorders>
          </w:tcPr>
          <w:p>
            <w:pPr/>
          </w:p>
        </w:tc>
        <w:tc>
          <w:tcPr>
            <w:tcW w:w="367" w:type="dxa"/>
            <w:tcBorders>
              <w:top w:val="single" w:sz="12" w:space="0" w:color="000000"/>
              <w:left w:val="single" w:sz="8" w:space="0" w:color="000000"/>
              <w:bottom w:val="single" w:sz="8" w:space="0" w:color="000000"/>
              <w:right w:val="single" w:sz="8" w:space="0" w:color="000000"/>
            </w:tcBorders>
          </w:tcPr>
          <w:p>
            <w:pPr/>
          </w:p>
        </w:tc>
        <w:tc>
          <w:tcPr>
            <w:tcW w:w="1296" w:type="dxa"/>
            <w:tcBorders>
              <w:top w:val="single" w:sz="12" w:space="0" w:color="000000"/>
              <w:left w:val="single" w:sz="8" w:space="0" w:color="000000"/>
              <w:bottom w:val="single" w:sz="8" w:space="0" w:color="000000"/>
              <w:right w:val="nil" w:sz="6" w:space="0" w:color="auto"/>
            </w:tcBorders>
          </w:tcPr>
          <w:p>
            <w:pPr/>
          </w:p>
        </w:tc>
      </w:tr>
      <w:tr>
        <w:trPr>
          <w:trHeight w:val="1070" w:hRule="exact"/>
        </w:trPr>
        <w:tc>
          <w:tcPr>
            <w:tcW w:w="1126"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left="295" w:right="0"/>
              <w:jc w:val="left"/>
              <w:rPr>
                <w:rFonts w:ascii="宋体" w:hAnsi="宋体" w:cs="宋体" w:eastAsia="宋体" w:hint="default"/>
                <w:sz w:val="18"/>
                <w:szCs w:val="18"/>
              </w:rPr>
            </w:pPr>
            <w:r>
              <w:rPr>
                <w:rFonts w:ascii="宋体" w:hAnsi="宋体" w:cs="宋体" w:eastAsia="宋体" w:hint="default"/>
                <w:sz w:val="18"/>
                <w:szCs w:val="18"/>
              </w:rPr>
              <w:t>吉林紫鑫</w:t>
            </w:r>
          </w:p>
          <w:p>
            <w:pPr>
              <w:pStyle w:val="TableParagraph"/>
              <w:spacing w:line="357" w:lineRule="auto" w:before="115"/>
              <w:ind w:left="295" w:right="99"/>
              <w:jc w:val="left"/>
              <w:rPr>
                <w:rFonts w:ascii="宋体" w:hAnsi="宋体" w:cs="宋体" w:eastAsia="宋体" w:hint="default"/>
                <w:sz w:val="18"/>
                <w:szCs w:val="18"/>
              </w:rPr>
            </w:pPr>
            <w:r>
              <w:rPr>
                <w:rFonts w:ascii="宋体" w:hAnsi="宋体" w:cs="宋体" w:eastAsia="宋体" w:hint="default"/>
                <w:sz w:val="18"/>
                <w:szCs w:val="18"/>
              </w:rPr>
              <w:t>人参研发 有限公司</w:t>
            </w:r>
          </w:p>
        </w:tc>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357" w:lineRule="auto" w:before="142"/>
              <w:ind w:left="285" w:right="93" w:hanging="180"/>
              <w:jc w:val="left"/>
              <w:rPr>
                <w:rFonts w:ascii="宋体" w:hAnsi="宋体" w:cs="宋体" w:eastAsia="宋体" w:hint="default"/>
                <w:sz w:val="18"/>
                <w:szCs w:val="18"/>
              </w:rPr>
            </w:pPr>
            <w:r>
              <w:rPr>
                <w:rFonts w:ascii="宋体" w:hAnsi="宋体" w:cs="宋体" w:eastAsia="宋体" w:hint="default"/>
                <w:sz w:val="18"/>
                <w:szCs w:val="18"/>
              </w:rPr>
              <w:t>成本 法</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2,000,000.00</w:t>
            </w:r>
          </w:p>
        </w:tc>
        <w:tc>
          <w:tcPr>
            <w:tcW w:w="1385"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2,000,000.00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2,000,000.00</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5"/>
              <w:jc w:val="right"/>
              <w:rPr>
                <w:rFonts w:ascii="宋体" w:hAnsi="宋体" w:cs="宋体" w:eastAsia="宋体" w:hint="default"/>
                <w:sz w:val="18"/>
                <w:szCs w:val="18"/>
              </w:rPr>
            </w:pPr>
            <w:r>
              <w:rPr>
                <w:rFonts w:ascii="宋体"/>
                <w:sz w:val="18"/>
              </w:rPr>
              <w:t>100.00%</w:t>
            </w:r>
          </w:p>
        </w:tc>
        <w:tc>
          <w:tcPr>
            <w:tcW w:w="8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 w:right="0"/>
              <w:jc w:val="center"/>
              <w:rPr>
                <w:rFonts w:ascii="宋体" w:hAnsi="宋体" w:cs="宋体" w:eastAsia="宋体" w:hint="default"/>
                <w:sz w:val="18"/>
                <w:szCs w:val="18"/>
              </w:rPr>
            </w:pPr>
            <w:r>
              <w:rPr>
                <w:rFonts w:ascii="宋体"/>
                <w:sz w:val="18"/>
              </w:rPr>
              <w:t>100.00%</w:t>
            </w:r>
          </w:p>
        </w:tc>
        <w:tc>
          <w:tcPr>
            <w:tcW w:w="367"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nil" w:sz="6" w:space="0" w:color="auto"/>
            </w:tcBorders>
          </w:tcPr>
          <w:p>
            <w:pPr/>
          </w:p>
        </w:tc>
      </w:tr>
      <w:tr>
        <w:trPr>
          <w:trHeight w:val="1421" w:hRule="exact"/>
        </w:trPr>
        <w:tc>
          <w:tcPr>
            <w:tcW w:w="1126" w:type="dxa"/>
            <w:tcBorders>
              <w:top w:val="single" w:sz="8" w:space="0" w:color="000000"/>
              <w:left w:val="nil" w:sz="6" w:space="0" w:color="auto"/>
              <w:bottom w:val="single" w:sz="8" w:space="0" w:color="000000"/>
              <w:right w:val="single" w:sz="8" w:space="0" w:color="000000"/>
            </w:tcBorders>
          </w:tcPr>
          <w:p>
            <w:pPr>
              <w:pStyle w:val="TableParagraph"/>
              <w:spacing w:line="203" w:lineRule="exact"/>
              <w:ind w:right="99"/>
              <w:jc w:val="right"/>
              <w:rPr>
                <w:rFonts w:ascii="宋体" w:hAnsi="宋体" w:cs="宋体" w:eastAsia="宋体" w:hint="default"/>
                <w:sz w:val="18"/>
                <w:szCs w:val="18"/>
              </w:rPr>
            </w:pPr>
            <w:r>
              <w:rPr>
                <w:rFonts w:ascii="宋体" w:hAnsi="宋体" w:cs="宋体" w:eastAsia="宋体" w:hint="default"/>
                <w:sz w:val="18"/>
                <w:szCs w:val="18"/>
              </w:rPr>
              <w:t>吉林环境</w:t>
            </w:r>
          </w:p>
          <w:p>
            <w:pPr>
              <w:pStyle w:val="TableParagraph"/>
              <w:spacing w:line="357" w:lineRule="auto" w:before="115"/>
              <w:ind w:left="295" w:right="99"/>
              <w:jc w:val="right"/>
              <w:rPr>
                <w:rFonts w:ascii="宋体" w:hAnsi="宋体" w:cs="宋体" w:eastAsia="宋体" w:hint="default"/>
                <w:sz w:val="18"/>
                <w:szCs w:val="18"/>
              </w:rPr>
            </w:pPr>
            <w:r>
              <w:rPr>
                <w:rFonts w:ascii="宋体" w:hAnsi="宋体" w:cs="宋体" w:eastAsia="宋体" w:hint="default"/>
                <w:sz w:val="18"/>
                <w:szCs w:val="18"/>
              </w:rPr>
              <w:t>能源交易 所有线公</w:t>
            </w:r>
          </w:p>
          <w:p>
            <w:pPr>
              <w:pStyle w:val="TableParagraph"/>
              <w:spacing w:line="240" w:lineRule="auto" w:before="26"/>
              <w:ind w:right="98"/>
              <w:jc w:val="right"/>
              <w:rPr>
                <w:rFonts w:ascii="宋体" w:hAnsi="宋体" w:cs="宋体" w:eastAsia="宋体" w:hint="default"/>
                <w:sz w:val="18"/>
                <w:szCs w:val="18"/>
              </w:rPr>
            </w:pPr>
            <w:r>
              <w:rPr>
                <w:rFonts w:ascii="宋体" w:hAnsi="宋体" w:cs="宋体" w:eastAsia="宋体" w:hint="default"/>
                <w:sz w:val="18"/>
                <w:szCs w:val="18"/>
              </w:rPr>
              <w:t>司</w:t>
            </w:r>
          </w:p>
        </w:tc>
        <w:tc>
          <w:tcPr>
            <w:tcW w:w="58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357" w:lineRule="auto"/>
              <w:ind w:left="285" w:right="93" w:hanging="180"/>
              <w:jc w:val="left"/>
              <w:rPr>
                <w:rFonts w:ascii="宋体" w:hAnsi="宋体" w:cs="宋体" w:eastAsia="宋体" w:hint="default"/>
                <w:sz w:val="18"/>
                <w:szCs w:val="18"/>
              </w:rPr>
            </w:pPr>
            <w:r>
              <w:rPr>
                <w:rFonts w:ascii="宋体" w:hAnsi="宋体" w:cs="宋体" w:eastAsia="宋体" w:hint="default"/>
                <w:sz w:val="18"/>
                <w:szCs w:val="18"/>
              </w:rPr>
              <w:t>成本 法</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600,000.00</w:t>
            </w:r>
          </w:p>
        </w:tc>
        <w:tc>
          <w:tcPr>
            <w:tcW w:w="1385"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600,000.00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600,000.00</w:t>
            </w:r>
          </w:p>
        </w:tc>
        <w:tc>
          <w:tcPr>
            <w:tcW w:w="84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15.00%</w:t>
            </w:r>
          </w:p>
        </w:tc>
        <w:tc>
          <w:tcPr>
            <w:tcW w:w="84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94" w:right="0"/>
              <w:jc w:val="center"/>
              <w:rPr>
                <w:rFonts w:ascii="宋体" w:hAnsi="宋体" w:cs="宋体" w:eastAsia="宋体" w:hint="default"/>
                <w:sz w:val="18"/>
                <w:szCs w:val="18"/>
              </w:rPr>
            </w:pPr>
            <w:r>
              <w:rPr>
                <w:rFonts w:ascii="宋体"/>
                <w:sz w:val="18"/>
              </w:rPr>
              <w:t>15.00%</w:t>
            </w:r>
          </w:p>
        </w:tc>
        <w:tc>
          <w:tcPr>
            <w:tcW w:w="367" w:type="dxa"/>
            <w:tcBorders>
              <w:top w:val="single" w:sz="8" w:space="0" w:color="000000"/>
              <w:left w:val="single" w:sz="8" w:space="0" w:color="000000"/>
              <w:bottom w:val="single" w:sz="8" w:space="0" w:color="000000"/>
              <w:right w:val="single" w:sz="8" w:space="0" w:color="000000"/>
            </w:tcBorders>
          </w:tcPr>
          <w:p>
            <w:pPr/>
          </w:p>
        </w:tc>
        <w:tc>
          <w:tcPr>
            <w:tcW w:w="1296" w:type="dxa"/>
            <w:tcBorders>
              <w:top w:val="single" w:sz="8" w:space="0" w:color="000000"/>
              <w:left w:val="single" w:sz="8" w:space="0" w:color="000000"/>
              <w:bottom w:val="single" w:sz="8" w:space="0" w:color="000000"/>
              <w:right w:val="nil" w:sz="6" w:space="0" w:color="auto"/>
            </w:tcBorders>
          </w:tcPr>
          <w:p>
            <w:pPr/>
          </w:p>
        </w:tc>
      </w:tr>
      <w:tr>
        <w:trPr>
          <w:trHeight w:val="814" w:hRule="exact"/>
        </w:trPr>
        <w:tc>
          <w:tcPr>
            <w:tcW w:w="1126"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tabs>
                <w:tab w:pos="454" w:val="left" w:leader="none"/>
              </w:tabs>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581" w:type="dxa"/>
            <w:tcBorders>
              <w:top w:val="single" w:sz="8" w:space="0" w:color="000000"/>
              <w:left w:val="single" w:sz="8" w:space="0" w:color="000000"/>
              <w:bottom w:val="single" w:sz="12" w:space="0" w:color="000000"/>
              <w:right w:val="single" w:sz="8" w:space="0" w:color="000000"/>
            </w:tcBorders>
          </w:tcPr>
          <w:p>
            <w:pPr/>
          </w:p>
        </w:tc>
        <w:tc>
          <w:tcPr>
            <w:tcW w:w="138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50,237,641.41</w:t>
            </w:r>
          </w:p>
        </w:tc>
        <w:tc>
          <w:tcPr>
            <w:tcW w:w="138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6" w:right="0"/>
              <w:jc w:val="left"/>
              <w:rPr>
                <w:rFonts w:ascii="宋体" w:hAnsi="宋体" w:cs="宋体" w:eastAsia="宋体" w:hint="default"/>
                <w:sz w:val="18"/>
                <w:szCs w:val="18"/>
              </w:rPr>
            </w:pPr>
            <w:r>
              <w:rPr>
                <w:rFonts w:ascii="宋体"/>
                <w:sz w:val="18"/>
              </w:rPr>
              <w:t>50,237,641.41</w:t>
            </w:r>
          </w:p>
        </w:tc>
        <w:tc>
          <w:tcPr>
            <w:tcW w:w="138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79,600,000.00</w:t>
            </w:r>
          </w:p>
        </w:tc>
        <w:tc>
          <w:tcPr>
            <w:tcW w:w="147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129,837,641.41</w:t>
            </w:r>
          </w:p>
        </w:tc>
        <w:tc>
          <w:tcPr>
            <w:tcW w:w="847" w:type="dxa"/>
            <w:tcBorders>
              <w:top w:val="single" w:sz="8" w:space="0" w:color="000000"/>
              <w:left w:val="single" w:sz="8" w:space="0" w:color="000000"/>
              <w:bottom w:val="single" w:sz="12" w:space="0" w:color="000000"/>
              <w:right w:val="single" w:sz="8" w:space="0" w:color="000000"/>
            </w:tcBorders>
          </w:tcPr>
          <w:p>
            <w:pPr/>
          </w:p>
        </w:tc>
        <w:tc>
          <w:tcPr>
            <w:tcW w:w="845" w:type="dxa"/>
            <w:tcBorders>
              <w:top w:val="single" w:sz="8" w:space="0" w:color="000000"/>
              <w:left w:val="single" w:sz="8" w:space="0" w:color="000000"/>
              <w:bottom w:val="single" w:sz="12" w:space="0" w:color="000000"/>
              <w:right w:val="single" w:sz="8" w:space="0" w:color="000000"/>
            </w:tcBorders>
          </w:tcPr>
          <w:p>
            <w:pPr/>
          </w:p>
        </w:tc>
        <w:tc>
          <w:tcPr>
            <w:tcW w:w="367" w:type="dxa"/>
            <w:tcBorders>
              <w:top w:val="single" w:sz="8" w:space="0" w:color="000000"/>
              <w:left w:val="single" w:sz="8" w:space="0" w:color="000000"/>
              <w:bottom w:val="single" w:sz="12" w:space="0" w:color="000000"/>
              <w:right w:val="single" w:sz="8" w:space="0" w:color="000000"/>
            </w:tcBorders>
          </w:tcPr>
          <w:p>
            <w:pPr/>
          </w:p>
        </w:tc>
        <w:tc>
          <w:tcPr>
            <w:tcW w:w="129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sz w:val="18"/>
              </w:rPr>
              <w:t>1,960,000.00</w:t>
            </w:r>
          </w:p>
        </w:tc>
      </w:tr>
    </w:tbl>
    <w:p>
      <w:pPr>
        <w:pStyle w:val="BodyText"/>
        <w:spacing w:line="357" w:lineRule="auto" w:before="86"/>
        <w:ind w:left="240" w:right="606" w:firstLine="525"/>
        <w:jc w:val="left"/>
      </w:pPr>
      <w:r>
        <w:rPr/>
        <w:t>根据</w:t>
      </w:r>
      <w:r>
        <w:rPr>
          <w:spacing w:val="-52"/>
        </w:rPr>
        <w:t> </w:t>
      </w:r>
      <w:r>
        <w:rPr>
          <w:rFonts w:ascii="宋体" w:hAnsi="宋体" w:cs="宋体" w:eastAsia="宋体" w:hint="default"/>
        </w:rPr>
        <w:t>2010</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日安图县工商行政管理局下发的核准号为“安图核注通内字【</w:t>
      </w:r>
      <w:r>
        <w:rPr>
          <w:rFonts w:ascii="宋体" w:hAnsi="宋体" w:cs="宋体" w:eastAsia="宋体" w:hint="default"/>
        </w:rPr>
        <w:t>2010</w:t>
      </w:r>
      <w:r>
        <w:rPr/>
        <w:t>】第</w:t>
      </w:r>
      <w:r>
        <w:rPr>
          <w:spacing w:val="-53"/>
        </w:rPr>
        <w:t> </w:t>
      </w:r>
      <w:r>
        <w:rPr>
          <w:rFonts w:ascii="宋体" w:hAnsi="宋体" w:cs="宋体" w:eastAsia="宋体" w:hint="default"/>
        </w:rPr>
        <w:t>1000614783</w:t>
      </w:r>
      <w:r>
        <w:rPr>
          <w:rFonts w:ascii="宋体" w:hAnsi="宋体" w:cs="宋体" w:eastAsia="宋体" w:hint="default"/>
          <w:spacing w:val="-53"/>
        </w:rPr>
        <w:t> </w:t>
      </w:r>
      <w:r>
        <w:rPr>
          <w:spacing w:val="-3"/>
        </w:rPr>
        <w:t>号”</w:t>
      </w:r>
      <w:r>
        <w:rPr>
          <w:spacing w:val="-3"/>
          <w:w w:val="100"/>
        </w:rPr>
        <w:t> </w:t>
      </w:r>
      <w:r>
        <w:rPr/>
        <w:t>注销登记通知书，子公司吉林融安科工贸有限公司予以注销。</w:t>
      </w:r>
    </w:p>
    <w:p>
      <w:pPr>
        <w:pStyle w:val="BodyText"/>
        <w:spacing w:line="357" w:lineRule="auto" w:before="30"/>
        <w:ind w:left="240" w:right="712" w:firstLine="420"/>
        <w:jc w:val="both"/>
      </w:pPr>
      <w:r>
        <w:rPr/>
        <w:t>根据本公司</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23</w:t>
      </w:r>
      <w:r>
        <w:rPr/>
        <w:t>日第三届董事会第二十二次会议决议，审议通过了《关于向子公司吉林草还丹药业有</w:t>
      </w:r>
      <w:r>
        <w:rPr>
          <w:w w:val="100"/>
        </w:rPr>
        <w:t> </w:t>
      </w:r>
      <w:r>
        <w:rPr>
          <w:spacing w:val="-2"/>
          <w:w w:val="100"/>
        </w:rPr>
        <w:t>限公司增资的议案》，拟增加注册资本</w:t>
      </w:r>
      <w:r>
        <w:rPr>
          <w:rFonts w:ascii="宋体" w:hAnsi="宋体" w:cs="宋体" w:eastAsia="宋体" w:hint="default"/>
          <w:spacing w:val="-2"/>
          <w:w w:val="100"/>
        </w:rPr>
        <w:t>3,600</w:t>
      </w:r>
      <w:r>
        <w:rPr>
          <w:spacing w:val="-2"/>
          <w:w w:val="100"/>
        </w:rPr>
        <w:t>万元，本公司出资</w:t>
      </w:r>
      <w:r>
        <w:rPr>
          <w:rFonts w:ascii="宋体" w:hAnsi="宋体" w:cs="宋体" w:eastAsia="宋体" w:hint="default"/>
          <w:spacing w:val="-2"/>
          <w:w w:val="100"/>
        </w:rPr>
        <w:t>3,600</w:t>
      </w:r>
      <w:r>
        <w:rPr>
          <w:spacing w:val="-2"/>
          <w:w w:val="100"/>
        </w:rPr>
        <w:t>万元。根据延边天平会计师事务有限公司敦化</w:t>
      </w:r>
      <w:r>
        <w:rPr>
          <w:spacing w:val="-91"/>
          <w:w w:val="100"/>
        </w:rPr>
        <w:t> </w:t>
      </w:r>
      <w:r>
        <w:rPr>
          <w:spacing w:val="-91"/>
          <w:w w:val="100"/>
        </w:rPr>
      </w:r>
      <w:r>
        <w:rPr>
          <w:spacing w:val="2"/>
        </w:rPr>
        <w:t>分所于</w:t>
      </w:r>
      <w:r>
        <w:rPr>
          <w:rFonts w:ascii="宋体" w:hAnsi="宋体" w:cs="宋体" w:eastAsia="宋体" w:hint="default"/>
          <w:spacing w:val="2"/>
        </w:rPr>
        <w:t>2010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w:t>
      </w:r>
      <w:r>
        <w:rPr>
          <w:spacing w:val="2"/>
        </w:rPr>
        <w:t>日出具的延天会敦验字</w:t>
      </w:r>
      <w:r>
        <w:rPr>
          <w:rFonts w:ascii="宋体" w:hAnsi="宋体" w:cs="宋体" w:eastAsia="宋体" w:hint="default"/>
          <w:spacing w:val="2"/>
        </w:rPr>
        <w:t>[2010]</w:t>
      </w:r>
      <w:r>
        <w:rPr>
          <w:spacing w:val="2"/>
        </w:rPr>
        <w:t>第</w:t>
      </w:r>
      <w:r>
        <w:rPr>
          <w:rFonts w:ascii="宋体" w:hAnsi="宋体" w:cs="宋体" w:eastAsia="宋体" w:hint="default"/>
          <w:spacing w:val="2"/>
        </w:rPr>
        <w:t>037</w:t>
      </w:r>
      <w:r>
        <w:rPr>
          <w:spacing w:val="2"/>
        </w:rPr>
        <w:t>号验资报告予以验资</w:t>
      </w:r>
      <w:r>
        <w:rPr>
          <w:rFonts w:ascii="宋体" w:hAnsi="宋体" w:cs="宋体" w:eastAsia="宋体" w:hint="default"/>
          <w:spacing w:val="2"/>
        </w:rPr>
        <w:t>,</w:t>
      </w:r>
      <w:r>
        <w:rPr>
          <w:spacing w:val="2"/>
        </w:rPr>
        <w:t>本公司出资</w:t>
      </w:r>
      <w:r>
        <w:rPr>
          <w:rFonts w:ascii="宋体" w:hAnsi="宋体" w:cs="宋体" w:eastAsia="宋体" w:hint="default"/>
          <w:spacing w:val="2"/>
        </w:rPr>
        <w:t>3,600</w:t>
      </w:r>
      <w:r>
        <w:rPr>
          <w:spacing w:val="2"/>
        </w:rPr>
        <w:t>万元。该公司已于</w:t>
      </w:r>
      <w:r>
        <w:rPr>
          <w:spacing w:val="31"/>
        </w:rPr>
        <w:t> </w:t>
      </w:r>
      <w:r>
        <w:rPr>
          <w:spacing w:val="31"/>
        </w:rPr>
      </w:r>
      <w:r>
        <w:rPr>
          <w:rFonts w:ascii="宋体" w:hAnsi="宋体" w:cs="宋体" w:eastAsia="宋体" w:hint="default"/>
          <w:spacing w:val="-4"/>
        </w:rPr>
        <w:t>2010</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15</w:t>
      </w:r>
      <w:r>
        <w:rPr>
          <w:spacing w:val="-4"/>
        </w:rPr>
        <w:t>日领取了敦化市工商行政管理局核发的企业法人营业执照，注册号为</w:t>
      </w:r>
      <w:r>
        <w:rPr>
          <w:rFonts w:ascii="宋体" w:hAnsi="宋体" w:cs="宋体" w:eastAsia="宋体" w:hint="default"/>
          <w:spacing w:val="-4"/>
        </w:rPr>
        <w:t>222403000001919</w:t>
      </w:r>
      <w:r>
        <w:rPr>
          <w:spacing w:val="-4"/>
        </w:rPr>
        <w:t>、注册资本</w:t>
      </w:r>
      <w:r>
        <w:rPr>
          <w:rFonts w:ascii="宋体" w:hAnsi="宋体" w:cs="宋体" w:eastAsia="宋体" w:hint="default"/>
          <w:spacing w:val="-4"/>
        </w:rPr>
        <w:t>5,000</w:t>
      </w:r>
      <w:r>
        <w:rPr>
          <w:rFonts w:ascii="宋体" w:hAnsi="宋体" w:cs="宋体" w:eastAsia="宋体" w:hint="default"/>
          <w:spacing w:val="-1"/>
        </w:rPr>
        <w:t> </w:t>
      </w:r>
      <w:r>
        <w:rPr>
          <w:rFonts w:ascii="宋体" w:hAnsi="宋体" w:cs="宋体" w:eastAsia="宋体" w:hint="default"/>
          <w:spacing w:val="-1"/>
        </w:rPr>
      </w:r>
      <w:r>
        <w:rPr/>
        <w:t>万元。</w:t>
      </w:r>
    </w:p>
    <w:p>
      <w:pPr>
        <w:pStyle w:val="BodyText"/>
        <w:spacing w:line="240" w:lineRule="auto" w:before="30"/>
        <w:ind w:left="660" w:right="606"/>
        <w:jc w:val="left"/>
      </w:pPr>
      <w:r>
        <w:rPr/>
        <w:t>根据长春农村商业银行股份有限公司</w:t>
      </w:r>
      <w:r>
        <w:rPr>
          <w:spacing w:val="-44"/>
        </w:rPr>
        <w:t> </w:t>
      </w:r>
      <w:r>
        <w:rPr>
          <w:rFonts w:ascii="宋体" w:hAnsi="宋体" w:cs="宋体" w:eastAsia="宋体" w:hint="default"/>
        </w:rPr>
        <w:t>2009</w:t>
      </w:r>
      <w:r>
        <w:rPr>
          <w:rFonts w:ascii="宋体" w:hAnsi="宋体" w:cs="宋体" w:eastAsia="宋体" w:hint="default"/>
          <w:spacing w:val="-45"/>
        </w:rPr>
        <w:t> </w:t>
      </w:r>
      <w:r>
        <w:rPr>
          <w:spacing w:val="-3"/>
        </w:rPr>
        <w:t>年度股东大会决议，审议通过了</w:t>
      </w:r>
      <w:r>
        <w:rPr>
          <w:spacing w:val="-45"/>
        </w:rPr>
        <w:t> </w:t>
      </w:r>
      <w:r>
        <w:rPr>
          <w:rFonts w:ascii="宋体" w:hAnsi="宋体" w:cs="宋体" w:eastAsia="宋体" w:hint="default"/>
        </w:rPr>
        <w:t>2009</w:t>
      </w:r>
      <w:r>
        <w:rPr>
          <w:rFonts w:ascii="宋体" w:hAnsi="宋体" w:cs="宋体" w:eastAsia="宋体" w:hint="default"/>
          <w:spacing w:val="-45"/>
        </w:rPr>
        <w:t> </w:t>
      </w:r>
      <w:r>
        <w:rPr>
          <w:spacing w:val="-3"/>
        </w:rPr>
        <w:t>年度利润分配方案，以总股本</w:t>
      </w:r>
    </w:p>
    <w:p>
      <w:pPr>
        <w:pStyle w:val="BodyText"/>
        <w:spacing w:line="355" w:lineRule="auto" w:before="133"/>
        <w:ind w:left="660" w:right="606" w:hanging="420"/>
        <w:jc w:val="left"/>
      </w:pPr>
      <w:r>
        <w:rPr>
          <w:rFonts w:ascii="宋体" w:hAnsi="宋体" w:cs="宋体" w:eastAsia="宋体" w:hint="default"/>
          <w:spacing w:val="-1"/>
          <w:w w:val="100"/>
        </w:rPr>
        <w:t>30,000</w:t>
      </w:r>
      <w:r>
        <w:rPr>
          <w:rFonts w:ascii="宋体" w:hAnsi="宋体" w:cs="宋体" w:eastAsia="宋体" w:hint="default"/>
          <w:spacing w:val="-52"/>
          <w:w w:val="100"/>
        </w:rPr>
        <w:t> </w:t>
      </w:r>
      <w:r>
        <w:rPr>
          <w:spacing w:val="-2"/>
          <w:w w:val="100"/>
        </w:rPr>
        <w:t>万股为基数，向全体股东每</w:t>
      </w:r>
      <w:r>
        <w:rPr>
          <w:spacing w:val="-53"/>
          <w:w w:val="100"/>
        </w:rPr>
        <w:t> </w:t>
      </w:r>
      <w:r>
        <w:rPr>
          <w:rFonts w:ascii="宋体" w:hAnsi="宋体" w:cs="宋体" w:eastAsia="宋体" w:hint="default"/>
          <w:spacing w:val="-2"/>
          <w:w w:val="100"/>
        </w:rPr>
        <w:t>10</w:t>
      </w:r>
      <w:r>
        <w:rPr>
          <w:rFonts w:ascii="宋体" w:hAnsi="宋体" w:cs="宋体" w:eastAsia="宋体" w:hint="default"/>
          <w:spacing w:val="-53"/>
          <w:w w:val="100"/>
        </w:rPr>
        <w:t> </w:t>
      </w:r>
      <w:r>
        <w:rPr>
          <w:spacing w:val="-2"/>
          <w:w w:val="100"/>
        </w:rPr>
        <w:t>股派发现金红利</w:t>
      </w:r>
      <w:r>
        <w:rPr>
          <w:spacing w:val="-53"/>
          <w:w w:val="100"/>
        </w:rPr>
        <w:t> </w:t>
      </w:r>
      <w:r>
        <w:rPr>
          <w:rFonts w:ascii="宋体" w:hAnsi="宋体" w:cs="宋体" w:eastAsia="宋体" w:hint="default"/>
          <w:w w:val="100"/>
        </w:rPr>
        <w:t>0.7</w:t>
      </w:r>
      <w:r>
        <w:rPr>
          <w:rFonts w:ascii="宋体" w:hAnsi="宋体" w:cs="宋体" w:eastAsia="宋体" w:hint="default"/>
          <w:spacing w:val="-55"/>
          <w:w w:val="100"/>
        </w:rPr>
        <w:t> </w:t>
      </w:r>
      <w:r>
        <w:rPr>
          <w:spacing w:val="-8"/>
          <w:w w:val="100"/>
        </w:rPr>
        <w:t>元（含税），本公司本期取得现金红利</w:t>
      </w:r>
      <w:r>
        <w:rPr>
          <w:spacing w:val="-52"/>
          <w:w w:val="100"/>
        </w:rPr>
        <w:t> </w:t>
      </w:r>
      <w:r>
        <w:rPr>
          <w:rFonts w:ascii="宋体" w:hAnsi="宋体" w:cs="宋体" w:eastAsia="宋体" w:hint="default"/>
          <w:spacing w:val="-1"/>
          <w:w w:val="100"/>
        </w:rPr>
        <w:t>196</w:t>
      </w:r>
      <w:r>
        <w:rPr>
          <w:rFonts w:ascii="宋体" w:hAnsi="宋体" w:cs="宋体" w:eastAsia="宋体" w:hint="default"/>
          <w:spacing w:val="-53"/>
          <w:w w:val="100"/>
        </w:rPr>
        <w:t> </w:t>
      </w:r>
      <w:r>
        <w:rPr>
          <w:spacing w:val="-1"/>
          <w:w w:val="100"/>
        </w:rPr>
        <w:t>万元。</w:t>
      </w:r>
      <w:r>
        <w:rPr>
          <w:spacing w:val="-95"/>
          <w:w w:val="100"/>
        </w:rPr>
        <w:t> </w:t>
      </w:r>
      <w:r>
        <w:rPr>
          <w:spacing w:val="-95"/>
          <w:w w:val="100"/>
        </w:rPr>
      </w:r>
      <w:r>
        <w:rPr>
          <w:spacing w:val="-2"/>
        </w:rPr>
        <w:t>根据长春农村商业银行股份有限公司</w:t>
      </w:r>
      <w:r>
        <w:rPr>
          <w:rFonts w:ascii="宋体" w:hAnsi="宋体" w:cs="宋体" w:eastAsia="宋体" w:hint="default"/>
          <w:spacing w:val="-2"/>
        </w:rPr>
        <w:t>2010</w:t>
      </w:r>
      <w:r>
        <w:rPr>
          <w:spacing w:val="-2"/>
        </w:rPr>
        <w:t>年度临时股东大会第二次会议决议规定，在原注册资本</w:t>
      </w:r>
      <w:r>
        <w:rPr>
          <w:rFonts w:ascii="宋体" w:hAnsi="宋体" w:cs="宋体" w:eastAsia="宋体" w:hint="default"/>
          <w:spacing w:val="-2"/>
        </w:rPr>
        <w:t>30,000</w:t>
      </w:r>
      <w:r>
        <w:rPr>
          <w:spacing w:val="-2"/>
        </w:rPr>
        <w:t>万元的</w:t>
      </w:r>
    </w:p>
    <w:p>
      <w:pPr>
        <w:pStyle w:val="BodyText"/>
        <w:spacing w:line="355" w:lineRule="auto" w:before="34"/>
        <w:ind w:left="240" w:right="712"/>
        <w:jc w:val="both"/>
      </w:pPr>
      <w:r>
        <w:rPr>
          <w:spacing w:val="15"/>
        </w:rPr>
        <w:t>基础上增资</w:t>
      </w:r>
      <w:r>
        <w:rPr>
          <w:spacing w:val="-77"/>
        </w:rPr>
        <w:t> </w:t>
      </w:r>
      <w:r>
        <w:rPr>
          <w:rFonts w:ascii="宋体" w:hAnsi="宋体" w:cs="宋体" w:eastAsia="宋体" w:hint="default"/>
        </w:rPr>
        <w:t>23,760</w:t>
      </w:r>
      <w:r>
        <w:rPr>
          <w:rFonts w:ascii="宋体" w:hAnsi="宋体" w:cs="宋体" w:eastAsia="宋体" w:hint="default"/>
          <w:spacing w:val="-76"/>
        </w:rPr>
        <w:t> </w:t>
      </w:r>
      <w:r>
        <w:rPr>
          <w:spacing w:val="12"/>
        </w:rPr>
        <w:t>万元，</w:t>
      </w:r>
      <w:r>
        <w:rPr>
          <w:spacing w:val="-76"/>
        </w:rPr>
        <w:t> </w:t>
      </w:r>
      <w:r>
        <w:rPr>
          <w:spacing w:val="18"/>
        </w:rPr>
        <w:t>此次增资事宜业经中准会计师事务所有限公司于</w:t>
      </w:r>
      <w:r>
        <w:rPr>
          <w:spacing w:val="-67"/>
        </w:rPr>
        <w:t> </w:t>
      </w:r>
      <w:r>
        <w:rPr>
          <w:rFonts w:ascii="宋体" w:hAnsi="宋体" w:cs="宋体" w:eastAsia="宋体" w:hint="default"/>
        </w:rPr>
        <w:t>2010</w:t>
      </w:r>
      <w:r>
        <w:rPr>
          <w:rFonts w:ascii="宋体" w:hAnsi="宋体" w:cs="宋体" w:eastAsia="宋体" w:hint="default"/>
          <w:spacing w:val="-76"/>
        </w:rPr>
        <w:t> </w:t>
      </w:r>
      <w:r>
        <w:rPr/>
        <w:t>年</w:t>
      </w:r>
      <w:r>
        <w:rPr>
          <w:spacing w:val="-78"/>
        </w:rPr>
        <w:t> </w:t>
      </w:r>
      <w:r>
        <w:rPr>
          <w:rFonts w:ascii="宋体" w:hAnsi="宋体" w:cs="宋体" w:eastAsia="宋体" w:hint="default"/>
        </w:rPr>
        <w:t>11</w:t>
      </w:r>
      <w:r>
        <w:rPr>
          <w:rFonts w:ascii="宋体" w:hAnsi="宋体" w:cs="宋体" w:eastAsia="宋体" w:hint="default"/>
          <w:spacing w:val="-74"/>
        </w:rPr>
        <w:t> </w:t>
      </w:r>
      <w:r>
        <w:rPr/>
        <w:t>月</w:t>
      </w:r>
      <w:r>
        <w:rPr>
          <w:spacing w:val="-76"/>
        </w:rPr>
        <w:t> </w:t>
      </w:r>
      <w:r>
        <w:rPr>
          <w:rFonts w:ascii="宋体" w:hAnsi="宋体" w:cs="宋体" w:eastAsia="宋体" w:hint="default"/>
        </w:rPr>
        <w:t>2</w:t>
      </w:r>
      <w:r>
        <w:rPr>
          <w:rFonts w:ascii="宋体" w:hAnsi="宋体" w:cs="宋体" w:eastAsia="宋体" w:hint="default"/>
          <w:spacing w:val="-78"/>
        </w:rPr>
        <w:t> </w:t>
      </w:r>
      <w:r>
        <w:rPr>
          <w:spacing w:val="16"/>
        </w:rPr>
        <w:t>日出具的中准验字</w:t>
      </w:r>
      <w:r>
        <w:rPr>
          <w:spacing w:val="-95"/>
        </w:rPr>
        <w:t> </w:t>
      </w:r>
      <w:r>
        <w:rPr>
          <w:spacing w:val="-95"/>
        </w:rPr>
      </w:r>
      <w:r>
        <w:rPr>
          <w:rFonts w:ascii="宋体" w:hAnsi="宋体" w:cs="宋体" w:eastAsia="宋体" w:hint="default"/>
        </w:rPr>
        <w:t>[2010]2048</w:t>
      </w:r>
      <w:r>
        <w:rPr/>
        <w:t>号验资报告予以验证，变更后的注册资本为</w:t>
      </w:r>
      <w:r>
        <w:rPr>
          <w:rFonts w:ascii="宋体" w:hAnsi="宋体" w:cs="宋体" w:eastAsia="宋体" w:hint="default"/>
        </w:rPr>
        <w:t>53,760</w:t>
      </w:r>
      <w:r>
        <w:rPr/>
        <w:t>万元，本公司出资</w:t>
      </w:r>
      <w:r>
        <w:rPr>
          <w:rFonts w:ascii="宋体" w:hAnsi="宋体" w:cs="宋体" w:eastAsia="宋体" w:hint="default"/>
        </w:rPr>
        <w:t>2,800</w:t>
      </w:r>
      <w:r>
        <w:rPr/>
        <w:t>万元，占变更后股本总额的</w:t>
      </w:r>
      <w:r>
        <w:rPr>
          <w:spacing w:val="-35"/>
        </w:rPr>
        <w:t> </w:t>
      </w:r>
      <w:r>
        <w:rPr>
          <w:spacing w:val="-35"/>
        </w:rPr>
      </w:r>
      <w:r>
        <w:rPr>
          <w:rFonts w:ascii="宋体" w:hAnsi="宋体" w:cs="宋体" w:eastAsia="宋体" w:hint="default"/>
        </w:rPr>
        <w:t>5.2083%</w:t>
      </w:r>
      <w:r>
        <w:rPr/>
        <w:t>。</w:t>
      </w:r>
    </w:p>
    <w:p>
      <w:pPr>
        <w:pStyle w:val="BodyText"/>
        <w:spacing w:line="357" w:lineRule="auto"/>
        <w:ind w:left="240" w:right="711" w:firstLine="420"/>
        <w:jc w:val="both"/>
      </w:pPr>
      <w:r>
        <w:rPr/>
        <w:t>根据本公司</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10</w:t>
      </w:r>
      <w:r>
        <w:rPr/>
        <w:t>日第四届董事会第四次会议决议，审议通过了《关于成立吉林紫鑫般若药业有限公司</w:t>
      </w:r>
      <w:r>
        <w:rPr>
          <w:w w:val="100"/>
        </w:rPr>
        <w:t> </w:t>
      </w:r>
      <w:r>
        <w:rPr>
          <w:spacing w:val="-4"/>
          <w:w w:val="100"/>
        </w:rPr>
        <w:t>的议案》，注册资本</w:t>
      </w:r>
      <w:r>
        <w:rPr>
          <w:rFonts w:ascii="宋体" w:hAnsi="宋体" w:cs="宋体" w:eastAsia="宋体" w:hint="default"/>
          <w:spacing w:val="-4"/>
          <w:w w:val="100"/>
        </w:rPr>
        <w:t>2,000</w:t>
      </w:r>
      <w:r>
        <w:rPr>
          <w:spacing w:val="-4"/>
          <w:w w:val="100"/>
        </w:rPr>
        <w:t>万元，本公司出资</w:t>
      </w:r>
      <w:r>
        <w:rPr>
          <w:rFonts w:ascii="宋体" w:hAnsi="宋体" w:cs="宋体" w:eastAsia="宋体" w:hint="default"/>
          <w:spacing w:val="-4"/>
          <w:w w:val="100"/>
        </w:rPr>
        <w:t>2,000</w:t>
      </w:r>
      <w:r>
        <w:rPr>
          <w:spacing w:val="-4"/>
          <w:w w:val="100"/>
        </w:rPr>
        <w:t>万元。根据中准会计师事务所有限公司于</w:t>
      </w:r>
      <w:r>
        <w:rPr>
          <w:rFonts w:ascii="宋体" w:hAnsi="宋体" w:cs="宋体" w:eastAsia="宋体" w:hint="default"/>
          <w:spacing w:val="-4"/>
          <w:w w:val="100"/>
        </w:rPr>
        <w:t>2010</w:t>
      </w:r>
      <w:r>
        <w:rPr>
          <w:spacing w:val="-4"/>
          <w:w w:val="100"/>
        </w:rPr>
        <w:t>年</w:t>
      </w:r>
      <w:r>
        <w:rPr>
          <w:rFonts w:ascii="宋体" w:hAnsi="宋体" w:cs="宋体" w:eastAsia="宋体" w:hint="default"/>
          <w:spacing w:val="-4"/>
          <w:w w:val="100"/>
        </w:rPr>
        <w:t>6</w:t>
      </w:r>
      <w:r>
        <w:rPr>
          <w:spacing w:val="-4"/>
          <w:w w:val="100"/>
        </w:rPr>
        <w:t>月</w:t>
      </w:r>
      <w:r>
        <w:rPr>
          <w:rFonts w:ascii="宋体" w:hAnsi="宋体" w:cs="宋体" w:eastAsia="宋体" w:hint="default"/>
          <w:spacing w:val="-4"/>
          <w:w w:val="100"/>
        </w:rPr>
        <w:t>25</w:t>
      </w:r>
      <w:r>
        <w:rPr>
          <w:spacing w:val="-4"/>
          <w:w w:val="100"/>
        </w:rPr>
        <w:t>日出具的中</w:t>
      </w:r>
      <w:r>
        <w:rPr>
          <w:spacing w:val="-82"/>
          <w:w w:val="100"/>
        </w:rPr>
        <w:t> </w:t>
      </w:r>
      <w:r>
        <w:rPr>
          <w:spacing w:val="-82"/>
          <w:w w:val="100"/>
        </w:rPr>
      </w:r>
      <w:r>
        <w:rPr/>
        <w:t>准验字</w:t>
      </w:r>
      <w:r>
        <w:rPr>
          <w:rFonts w:ascii="宋体" w:hAnsi="宋体" w:cs="宋体" w:eastAsia="宋体" w:hint="default"/>
        </w:rPr>
        <w:t>[2010]2030</w:t>
      </w:r>
      <w:r>
        <w:rPr/>
        <w:t>号验资报告予以验资</w:t>
      </w:r>
      <w:r>
        <w:rPr>
          <w:rFonts w:ascii="宋体" w:hAnsi="宋体" w:cs="宋体" w:eastAsia="宋体" w:hint="default"/>
        </w:rPr>
        <w:t>,</w:t>
      </w:r>
      <w:r>
        <w:rPr/>
        <w:t>本公司出资</w:t>
      </w:r>
      <w:r>
        <w:rPr>
          <w:rFonts w:ascii="宋体" w:hAnsi="宋体" w:cs="宋体" w:eastAsia="宋体" w:hint="default"/>
        </w:rPr>
        <w:t>2,000</w:t>
      </w:r>
      <w:r>
        <w:rPr/>
        <w:t>万元。该公司已于</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28</w:t>
      </w:r>
      <w:r>
        <w:rPr/>
        <w:t>日领取了磐石市工商行政</w:t>
      </w:r>
      <w:r>
        <w:rPr>
          <w:spacing w:val="-37"/>
        </w:rPr>
        <w:t> </w:t>
      </w:r>
      <w:r>
        <w:rPr>
          <w:spacing w:val="-37"/>
        </w:rPr>
      </w:r>
      <w:r>
        <w:rPr/>
        <w:t>管理局核发的企业法人营业执照，注册号为</w:t>
      </w:r>
      <w:r>
        <w:rPr>
          <w:rFonts w:ascii="宋体" w:hAnsi="宋体" w:cs="宋体" w:eastAsia="宋体" w:hint="default"/>
        </w:rPr>
        <w:t>220284000087797</w:t>
      </w:r>
      <w:r>
        <w:rPr/>
        <w:t>、注册资本</w:t>
      </w:r>
      <w:r>
        <w:rPr>
          <w:rFonts w:ascii="宋体" w:hAnsi="宋体" w:cs="宋体" w:eastAsia="宋体" w:hint="default"/>
        </w:rPr>
        <w:t>2,000</w:t>
      </w:r>
      <w:r>
        <w:rPr/>
        <w:t>万元。</w:t>
      </w:r>
    </w:p>
    <w:p>
      <w:pPr>
        <w:pStyle w:val="BodyText"/>
        <w:spacing w:line="357" w:lineRule="auto" w:before="31"/>
        <w:ind w:left="240" w:right="711" w:firstLine="420"/>
        <w:jc w:val="both"/>
      </w:pPr>
      <w:r>
        <w:rPr/>
        <w:t>根据本公司</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10</w:t>
      </w:r>
      <w:r>
        <w:rPr/>
        <w:t>日第四届董事会第四次会议决议，审议通过了《关于成立吉林紫鑫初元药业有限公司</w:t>
      </w:r>
      <w:r>
        <w:rPr>
          <w:w w:val="100"/>
        </w:rPr>
        <w:t> </w:t>
      </w:r>
      <w:r>
        <w:rPr>
          <w:spacing w:val="-4"/>
          <w:w w:val="100"/>
        </w:rPr>
        <w:t>的议案》，注册资本</w:t>
      </w:r>
      <w:r>
        <w:rPr>
          <w:rFonts w:ascii="宋体" w:hAnsi="宋体" w:cs="宋体" w:eastAsia="宋体" w:hint="default"/>
          <w:spacing w:val="-4"/>
          <w:w w:val="100"/>
        </w:rPr>
        <w:t>2,000</w:t>
      </w:r>
      <w:r>
        <w:rPr>
          <w:spacing w:val="-4"/>
          <w:w w:val="100"/>
        </w:rPr>
        <w:t>万元，本公司出资</w:t>
      </w:r>
      <w:r>
        <w:rPr>
          <w:rFonts w:ascii="宋体" w:hAnsi="宋体" w:cs="宋体" w:eastAsia="宋体" w:hint="default"/>
          <w:spacing w:val="-4"/>
          <w:w w:val="100"/>
        </w:rPr>
        <w:t>2,000</w:t>
      </w:r>
      <w:r>
        <w:rPr>
          <w:spacing w:val="-4"/>
          <w:w w:val="100"/>
        </w:rPr>
        <w:t>万元。根据中准会计师事务所有限公司于</w:t>
      </w:r>
      <w:r>
        <w:rPr>
          <w:rFonts w:ascii="宋体" w:hAnsi="宋体" w:cs="宋体" w:eastAsia="宋体" w:hint="default"/>
          <w:spacing w:val="-4"/>
          <w:w w:val="100"/>
        </w:rPr>
        <w:t>2010</w:t>
      </w:r>
      <w:r>
        <w:rPr>
          <w:spacing w:val="-4"/>
          <w:w w:val="100"/>
        </w:rPr>
        <w:t>年</w:t>
      </w:r>
      <w:r>
        <w:rPr>
          <w:rFonts w:ascii="宋体" w:hAnsi="宋体" w:cs="宋体" w:eastAsia="宋体" w:hint="default"/>
          <w:spacing w:val="-4"/>
          <w:w w:val="100"/>
        </w:rPr>
        <w:t>6</w:t>
      </w:r>
      <w:r>
        <w:rPr>
          <w:spacing w:val="-4"/>
          <w:w w:val="100"/>
        </w:rPr>
        <w:t>月</w:t>
      </w:r>
      <w:r>
        <w:rPr>
          <w:rFonts w:ascii="宋体" w:hAnsi="宋体" w:cs="宋体" w:eastAsia="宋体" w:hint="default"/>
          <w:spacing w:val="-4"/>
          <w:w w:val="100"/>
        </w:rPr>
        <w:t>11</w:t>
      </w:r>
      <w:r>
        <w:rPr>
          <w:spacing w:val="-4"/>
          <w:w w:val="100"/>
        </w:rPr>
        <w:t>日出具的中</w:t>
      </w:r>
      <w:r>
        <w:rPr>
          <w:spacing w:val="-82"/>
          <w:w w:val="100"/>
        </w:rPr>
        <w:t> </w:t>
      </w:r>
      <w:r>
        <w:rPr>
          <w:spacing w:val="-82"/>
          <w:w w:val="100"/>
        </w:rPr>
      </w:r>
      <w:r>
        <w:rPr/>
        <w:t>准验字</w:t>
      </w:r>
      <w:r>
        <w:rPr>
          <w:rFonts w:ascii="宋体" w:hAnsi="宋体" w:cs="宋体" w:eastAsia="宋体" w:hint="default"/>
        </w:rPr>
        <w:t>[2010]2027</w:t>
      </w:r>
      <w:r>
        <w:rPr/>
        <w:t>号验资报告予以验资</w:t>
      </w:r>
      <w:r>
        <w:rPr>
          <w:rFonts w:ascii="宋体" w:hAnsi="宋体" w:cs="宋体" w:eastAsia="宋体" w:hint="default"/>
        </w:rPr>
        <w:t>,</w:t>
      </w:r>
      <w:r>
        <w:rPr/>
        <w:t>本公司出资</w:t>
      </w:r>
      <w:r>
        <w:rPr>
          <w:rFonts w:ascii="宋体" w:hAnsi="宋体" w:cs="宋体" w:eastAsia="宋体" w:hint="default"/>
        </w:rPr>
        <w:t>2,000</w:t>
      </w:r>
      <w:r>
        <w:rPr/>
        <w:t>万元。该公司已于</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30</w:t>
      </w:r>
      <w:r>
        <w:rPr/>
        <w:t>日领取了延边朝鲜族自治</w:t>
      </w:r>
      <w:r>
        <w:rPr>
          <w:spacing w:val="-37"/>
        </w:rPr>
        <w:t> </w:t>
      </w:r>
      <w:r>
        <w:rPr>
          <w:spacing w:val="-37"/>
        </w:rPr>
      </w:r>
      <w:r>
        <w:rPr/>
        <w:t>州工商行政管理局核发的企业法人营业执照，注册号为</w:t>
      </w:r>
      <w:r>
        <w:rPr>
          <w:rFonts w:ascii="宋体" w:hAnsi="宋体" w:cs="宋体" w:eastAsia="宋体" w:hint="default"/>
        </w:rPr>
        <w:t>222400000036056</w:t>
      </w:r>
      <w:r>
        <w:rPr/>
        <w:t>、注册资本</w:t>
      </w:r>
      <w:r>
        <w:rPr>
          <w:rFonts w:ascii="宋体" w:hAnsi="宋体" w:cs="宋体" w:eastAsia="宋体" w:hint="default"/>
        </w:rPr>
        <w:t>2,000</w:t>
      </w:r>
      <w:r>
        <w:rPr/>
        <w:t>万元。</w:t>
      </w:r>
    </w:p>
    <w:p>
      <w:pPr>
        <w:pStyle w:val="BodyText"/>
        <w:spacing w:line="355" w:lineRule="auto" w:before="30"/>
        <w:ind w:left="240" w:right="713" w:firstLine="420"/>
        <w:jc w:val="both"/>
      </w:pPr>
      <w:r>
        <w:rPr/>
        <w:t>根据本公司</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12</w:t>
      </w:r>
      <w:r>
        <w:rPr/>
        <w:t>日第四届董事会第六次会议决议，审议通过了《关于成立吉林紫鑫药物研究有限公司</w:t>
      </w:r>
      <w:r>
        <w:rPr>
          <w:w w:val="100"/>
        </w:rPr>
        <w:t> </w:t>
      </w:r>
      <w:r>
        <w:rPr>
          <w:spacing w:val="-4"/>
          <w:w w:val="100"/>
        </w:rPr>
        <w:t>的议案》，注册资本</w:t>
      </w:r>
      <w:r>
        <w:rPr>
          <w:rFonts w:ascii="宋体" w:hAnsi="宋体" w:cs="宋体" w:eastAsia="宋体" w:hint="default"/>
          <w:spacing w:val="-4"/>
          <w:w w:val="100"/>
        </w:rPr>
        <w:t>200</w:t>
      </w:r>
      <w:r>
        <w:rPr>
          <w:spacing w:val="-4"/>
          <w:w w:val="100"/>
        </w:rPr>
        <w:t>万元，本公司出资</w:t>
      </w:r>
      <w:r>
        <w:rPr>
          <w:rFonts w:ascii="宋体" w:hAnsi="宋体" w:cs="宋体" w:eastAsia="宋体" w:hint="default"/>
          <w:spacing w:val="-4"/>
          <w:w w:val="100"/>
        </w:rPr>
        <w:t>200</w:t>
      </w:r>
      <w:r>
        <w:rPr>
          <w:spacing w:val="-4"/>
          <w:w w:val="100"/>
        </w:rPr>
        <w:t>万元。根据延边天平会计师事务有限公司敦化分所于</w:t>
      </w:r>
      <w:r>
        <w:rPr>
          <w:rFonts w:ascii="宋体" w:hAnsi="宋体" w:cs="宋体" w:eastAsia="宋体" w:hint="default"/>
          <w:spacing w:val="-4"/>
          <w:w w:val="100"/>
        </w:rPr>
        <w:t>2010</w:t>
      </w:r>
      <w:r>
        <w:rPr>
          <w:spacing w:val="-4"/>
          <w:w w:val="100"/>
        </w:rPr>
        <w:t>年</w:t>
      </w:r>
      <w:r>
        <w:rPr>
          <w:rFonts w:ascii="宋体" w:hAnsi="宋体" w:cs="宋体" w:eastAsia="宋体" w:hint="default"/>
          <w:spacing w:val="-4"/>
          <w:w w:val="100"/>
        </w:rPr>
        <w:t>8</w:t>
      </w:r>
      <w:r>
        <w:rPr>
          <w:spacing w:val="-4"/>
          <w:w w:val="100"/>
        </w:rPr>
        <w:t>月</w:t>
      </w:r>
      <w:r>
        <w:rPr>
          <w:rFonts w:ascii="宋体" w:hAnsi="宋体" w:cs="宋体" w:eastAsia="宋体" w:hint="default"/>
          <w:spacing w:val="-4"/>
          <w:w w:val="100"/>
        </w:rPr>
        <w:t>20</w:t>
      </w:r>
      <w:r>
        <w:rPr>
          <w:spacing w:val="-4"/>
          <w:w w:val="100"/>
        </w:rPr>
        <w:t>日出</w:t>
      </w:r>
      <w:r>
        <w:rPr>
          <w:spacing w:val="-93"/>
          <w:w w:val="100"/>
        </w:rPr>
        <w:t> </w:t>
      </w:r>
      <w:r>
        <w:rPr>
          <w:spacing w:val="-2"/>
        </w:rPr>
        <w:t>具的延天会敦验字</w:t>
      </w:r>
      <w:r>
        <w:rPr>
          <w:rFonts w:ascii="宋体" w:hAnsi="宋体" w:cs="宋体" w:eastAsia="宋体" w:hint="default"/>
          <w:spacing w:val="-2"/>
        </w:rPr>
        <w:t>[2010]</w:t>
      </w:r>
      <w:r>
        <w:rPr>
          <w:spacing w:val="-2"/>
        </w:rPr>
        <w:t>第</w:t>
      </w:r>
      <w:r>
        <w:rPr>
          <w:rFonts w:ascii="宋体" w:hAnsi="宋体" w:cs="宋体" w:eastAsia="宋体" w:hint="default"/>
          <w:spacing w:val="-2"/>
        </w:rPr>
        <w:t>081</w:t>
      </w:r>
      <w:r>
        <w:rPr>
          <w:spacing w:val="-2"/>
        </w:rPr>
        <w:t>号验资报告予以验资</w:t>
      </w:r>
      <w:r>
        <w:rPr>
          <w:rFonts w:ascii="宋体" w:hAnsi="宋体" w:cs="宋体" w:eastAsia="宋体" w:hint="default"/>
          <w:spacing w:val="-2"/>
        </w:rPr>
        <w:t>,</w:t>
      </w:r>
      <w:r>
        <w:rPr>
          <w:spacing w:val="-2"/>
        </w:rPr>
        <w:t>本公司出资</w:t>
      </w:r>
      <w:r>
        <w:rPr>
          <w:rFonts w:ascii="宋体" w:hAnsi="宋体" w:cs="宋体" w:eastAsia="宋体" w:hint="default"/>
          <w:spacing w:val="-2"/>
        </w:rPr>
        <w:t>200</w:t>
      </w:r>
      <w:r>
        <w:rPr>
          <w:spacing w:val="-2"/>
        </w:rPr>
        <w:t>万元。该公司已于</w:t>
      </w:r>
      <w:r>
        <w:rPr>
          <w:rFonts w:ascii="宋体" w:hAnsi="宋体" w:cs="宋体" w:eastAsia="宋体" w:hint="default"/>
          <w:spacing w:val="-2"/>
        </w:rPr>
        <w:t>2010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日领取了吉林省</w:t>
      </w:r>
    </w:p>
    <w:p>
      <w:pPr>
        <w:spacing w:after="0" w:line="355" w:lineRule="auto"/>
        <w:jc w:val="both"/>
        <w:sectPr>
          <w:pgSz w:w="11910" w:h="16840"/>
          <w:pgMar w:header="720" w:footer="947" w:top="1300" w:bottom="1140" w:left="480" w:right="0"/>
        </w:sectPr>
      </w:pPr>
    </w:p>
    <w:p>
      <w:pPr>
        <w:pStyle w:val="BodyText"/>
        <w:spacing w:line="357" w:lineRule="auto" w:before="19"/>
        <w:ind w:left="660" w:right="606" w:hanging="420"/>
        <w:jc w:val="left"/>
      </w:pPr>
      <w:r>
        <w:rPr/>
        <w:pict>
          <v:group style="position:absolute;margin-left:34.560001pt;margin-top:2.293643pt;width:508.3pt;height:.1pt;mso-position-horizontal-relative:page;mso-position-vertical-relative:paragraph;z-index:-532264" coordorigin="691,46" coordsize="10166,2">
            <v:shape style="position:absolute;left:691;top:46;width:10166;height:2" coordorigin="691,46" coordsize="10166,0" path="m691,46l10857,46e" filled="false" stroked="true" strokeweight=".72pt" strokecolor="#000000">
              <v:path arrowok="t"/>
            </v:shape>
            <w10:wrap type="none"/>
          </v:group>
        </w:pict>
      </w:r>
      <w:r>
        <w:rPr/>
        <w:t>工商行政管理局核发的企业法人营业执照，注册号为</w:t>
      </w:r>
      <w:r>
        <w:rPr>
          <w:rFonts w:ascii="宋体" w:hAnsi="宋体" w:cs="宋体" w:eastAsia="宋体" w:hint="default"/>
        </w:rPr>
        <w:t>220000000158235</w:t>
      </w:r>
      <w:r>
        <w:rPr/>
        <w:t>、注册资本</w:t>
      </w:r>
      <w:r>
        <w:rPr>
          <w:rFonts w:ascii="宋体" w:hAnsi="宋体" w:cs="宋体" w:eastAsia="宋体" w:hint="default"/>
        </w:rPr>
        <w:t>200</w:t>
      </w:r>
      <w:r>
        <w:rPr/>
        <w:t>万元。</w:t>
      </w:r>
      <w:r>
        <w:rPr>
          <w:w w:val="100"/>
        </w:rPr>
        <w:t> </w:t>
      </w:r>
      <w:r>
        <w:rPr/>
        <w:t>根据本公司</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12</w:t>
      </w:r>
      <w:r>
        <w:rPr/>
        <w:t>日第四届董事会第六次会议决议，审议通过了《关于成立吉林紫鑫人参研发有限公司</w:t>
      </w:r>
    </w:p>
    <w:p>
      <w:pPr>
        <w:pStyle w:val="BodyText"/>
        <w:spacing w:line="357" w:lineRule="auto" w:before="30"/>
        <w:ind w:left="240" w:right="713"/>
        <w:jc w:val="both"/>
      </w:pPr>
      <w:r>
        <w:rPr>
          <w:spacing w:val="-4"/>
          <w:w w:val="100"/>
        </w:rPr>
        <w:t>的议案》，注册资本</w:t>
      </w:r>
      <w:r>
        <w:rPr>
          <w:rFonts w:ascii="宋体" w:hAnsi="宋体" w:cs="宋体" w:eastAsia="宋体" w:hint="default"/>
          <w:spacing w:val="-4"/>
          <w:w w:val="100"/>
        </w:rPr>
        <w:t>200</w:t>
      </w:r>
      <w:r>
        <w:rPr>
          <w:spacing w:val="-4"/>
          <w:w w:val="100"/>
        </w:rPr>
        <w:t>万元，本公司出资</w:t>
      </w:r>
      <w:r>
        <w:rPr>
          <w:rFonts w:ascii="宋体" w:hAnsi="宋体" w:cs="宋体" w:eastAsia="宋体" w:hint="default"/>
          <w:spacing w:val="-4"/>
          <w:w w:val="100"/>
        </w:rPr>
        <w:t>200</w:t>
      </w:r>
      <w:r>
        <w:rPr>
          <w:spacing w:val="-4"/>
          <w:w w:val="100"/>
        </w:rPr>
        <w:t>万元。根据延边天平会计师事务有限公司敦化分所于</w:t>
      </w:r>
      <w:r>
        <w:rPr>
          <w:rFonts w:ascii="宋体" w:hAnsi="宋体" w:cs="宋体" w:eastAsia="宋体" w:hint="default"/>
          <w:spacing w:val="-4"/>
          <w:w w:val="100"/>
        </w:rPr>
        <w:t>2010</w:t>
      </w:r>
      <w:r>
        <w:rPr>
          <w:spacing w:val="-4"/>
          <w:w w:val="100"/>
        </w:rPr>
        <w:t>年</w:t>
      </w:r>
      <w:r>
        <w:rPr>
          <w:rFonts w:ascii="宋体" w:hAnsi="宋体" w:cs="宋体" w:eastAsia="宋体" w:hint="default"/>
          <w:spacing w:val="-4"/>
          <w:w w:val="100"/>
        </w:rPr>
        <w:t>8</w:t>
      </w:r>
      <w:r>
        <w:rPr>
          <w:spacing w:val="-4"/>
          <w:w w:val="100"/>
        </w:rPr>
        <w:t>月</w:t>
      </w:r>
      <w:r>
        <w:rPr>
          <w:rFonts w:ascii="宋体" w:hAnsi="宋体" w:cs="宋体" w:eastAsia="宋体" w:hint="default"/>
          <w:spacing w:val="-4"/>
          <w:w w:val="100"/>
        </w:rPr>
        <w:t>20</w:t>
      </w:r>
      <w:r>
        <w:rPr>
          <w:spacing w:val="-4"/>
          <w:w w:val="100"/>
        </w:rPr>
        <w:t>日出</w:t>
      </w:r>
      <w:r>
        <w:rPr>
          <w:spacing w:val="-93"/>
          <w:w w:val="100"/>
        </w:rPr>
        <w:t> </w:t>
      </w:r>
      <w:r>
        <w:rPr>
          <w:spacing w:val="-2"/>
        </w:rPr>
        <w:t>具的延天会敦验字</w:t>
      </w:r>
      <w:r>
        <w:rPr>
          <w:rFonts w:ascii="宋体" w:hAnsi="宋体" w:cs="宋体" w:eastAsia="宋体" w:hint="default"/>
          <w:spacing w:val="-2"/>
        </w:rPr>
        <w:t>[2010]</w:t>
      </w:r>
      <w:r>
        <w:rPr>
          <w:spacing w:val="-2"/>
        </w:rPr>
        <w:t>第</w:t>
      </w:r>
      <w:r>
        <w:rPr>
          <w:rFonts w:ascii="宋体" w:hAnsi="宋体" w:cs="宋体" w:eastAsia="宋体" w:hint="default"/>
          <w:spacing w:val="-2"/>
        </w:rPr>
        <w:t>082</w:t>
      </w:r>
      <w:r>
        <w:rPr>
          <w:spacing w:val="-2"/>
        </w:rPr>
        <w:t>号验资报告予以验资</w:t>
      </w:r>
      <w:r>
        <w:rPr>
          <w:rFonts w:ascii="宋体" w:hAnsi="宋体" w:cs="宋体" w:eastAsia="宋体" w:hint="default"/>
          <w:spacing w:val="-2"/>
        </w:rPr>
        <w:t>,</w:t>
      </w:r>
      <w:r>
        <w:rPr>
          <w:spacing w:val="-2"/>
        </w:rPr>
        <w:t>本公司出资</w:t>
      </w:r>
      <w:r>
        <w:rPr>
          <w:rFonts w:ascii="宋体" w:hAnsi="宋体" w:cs="宋体" w:eastAsia="宋体" w:hint="default"/>
          <w:spacing w:val="-2"/>
        </w:rPr>
        <w:t>200</w:t>
      </w:r>
      <w:r>
        <w:rPr>
          <w:spacing w:val="-2"/>
        </w:rPr>
        <w:t>万元。该公司已于</w:t>
      </w:r>
      <w:r>
        <w:rPr>
          <w:rFonts w:ascii="宋体" w:hAnsi="宋体" w:cs="宋体" w:eastAsia="宋体" w:hint="default"/>
          <w:spacing w:val="-2"/>
        </w:rPr>
        <w:t>2010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日领取了吉林省</w:t>
      </w:r>
      <w:r>
        <w:rPr>
          <w:spacing w:val="-31"/>
        </w:rPr>
        <w:t> </w:t>
      </w:r>
      <w:r>
        <w:rPr>
          <w:spacing w:val="-31"/>
        </w:rPr>
      </w:r>
      <w:r>
        <w:rPr/>
        <w:t>工商行政管理局核发的企业法人营业执照，注册号为</w:t>
      </w:r>
      <w:r>
        <w:rPr>
          <w:rFonts w:ascii="宋体" w:hAnsi="宋体" w:cs="宋体" w:eastAsia="宋体" w:hint="default"/>
        </w:rPr>
        <w:t>220000000158227</w:t>
      </w:r>
      <w:r>
        <w:rPr/>
        <w:t>、注册资本</w:t>
      </w:r>
      <w:r>
        <w:rPr>
          <w:rFonts w:ascii="宋体" w:hAnsi="宋体" w:cs="宋体" w:eastAsia="宋体" w:hint="default"/>
        </w:rPr>
        <w:t>200</w:t>
      </w:r>
      <w:r>
        <w:rPr/>
        <w:t>万元。</w:t>
      </w:r>
    </w:p>
    <w:p>
      <w:pPr>
        <w:pStyle w:val="BodyText"/>
        <w:spacing w:line="357" w:lineRule="auto" w:before="30"/>
        <w:ind w:left="240" w:right="712" w:firstLine="420"/>
        <w:jc w:val="both"/>
      </w:pPr>
      <w:r>
        <w:rPr/>
        <w:t>根据本公司</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8</w:t>
      </w:r>
      <w:r>
        <w:rPr/>
        <w:t>日第四届董事会第九次会议决议，审议通过了《关于向吉林环境能源交易所有限公司</w:t>
      </w:r>
      <w:r>
        <w:rPr>
          <w:w w:val="100"/>
        </w:rPr>
        <w:t> </w:t>
      </w:r>
      <w:r>
        <w:rPr>
          <w:spacing w:val="5"/>
          <w:w w:val="100"/>
        </w:rPr>
        <w:t>进行股权投资的议案》，本公司拟以自有资金认缴其注册资本</w:t>
      </w:r>
      <w:r>
        <w:rPr>
          <w:rFonts w:ascii="宋体" w:hAnsi="宋体" w:cs="宋体" w:eastAsia="宋体" w:hint="default"/>
          <w:spacing w:val="5"/>
          <w:w w:val="100"/>
        </w:rPr>
        <w:t>300</w:t>
      </w:r>
      <w:r>
        <w:rPr>
          <w:spacing w:val="5"/>
          <w:w w:val="100"/>
        </w:rPr>
        <w:t>万元，占其注册资本总额</w:t>
      </w:r>
      <w:r>
        <w:rPr>
          <w:rFonts w:ascii="宋体" w:hAnsi="宋体" w:cs="宋体" w:eastAsia="宋体" w:hint="default"/>
          <w:spacing w:val="5"/>
          <w:w w:val="100"/>
        </w:rPr>
        <w:t>2,000</w:t>
      </w:r>
      <w:r>
        <w:rPr>
          <w:spacing w:val="5"/>
          <w:w w:val="100"/>
        </w:rPr>
        <w:t>万元的比例为</w:t>
      </w:r>
      <w:r>
        <w:rPr>
          <w:spacing w:val="-60"/>
          <w:w w:val="100"/>
        </w:rPr>
        <w:t> </w:t>
      </w:r>
      <w:r>
        <w:rPr>
          <w:spacing w:val="-60"/>
          <w:w w:val="100"/>
        </w:rPr>
      </w:r>
      <w:r>
        <w:rPr>
          <w:rFonts w:ascii="宋体" w:hAnsi="宋体" w:cs="宋体" w:eastAsia="宋体" w:hint="default"/>
          <w:spacing w:val="-6"/>
          <w:w w:val="100"/>
        </w:rPr>
        <w:t>15.00%</w:t>
      </w:r>
      <w:r>
        <w:rPr>
          <w:spacing w:val="-6"/>
          <w:w w:val="100"/>
        </w:rPr>
        <w:t>。根据吉林环境能源交易所有限公司协议和章程的规定，首次出资总额为</w:t>
      </w:r>
      <w:r>
        <w:rPr>
          <w:rFonts w:ascii="宋体" w:hAnsi="宋体" w:cs="宋体" w:eastAsia="宋体" w:hint="default"/>
          <w:spacing w:val="-6"/>
          <w:w w:val="100"/>
        </w:rPr>
        <w:t>400</w:t>
      </w:r>
      <w:r>
        <w:rPr>
          <w:spacing w:val="-6"/>
          <w:w w:val="100"/>
        </w:rPr>
        <w:t>万元，剩余出资</w:t>
      </w:r>
      <w:r>
        <w:rPr>
          <w:rFonts w:ascii="宋体" w:hAnsi="宋体" w:cs="宋体" w:eastAsia="宋体" w:hint="default"/>
          <w:spacing w:val="-6"/>
          <w:w w:val="100"/>
        </w:rPr>
        <w:t>1,600</w:t>
      </w:r>
      <w:r>
        <w:rPr>
          <w:spacing w:val="-6"/>
          <w:w w:val="100"/>
        </w:rPr>
        <w:t>万元在</w:t>
      </w:r>
      <w:r>
        <w:rPr>
          <w:rFonts w:ascii="宋体" w:hAnsi="宋体" w:cs="宋体" w:eastAsia="宋体" w:hint="default"/>
          <w:spacing w:val="-6"/>
          <w:w w:val="100"/>
        </w:rPr>
        <w:t>2012</w:t>
      </w:r>
      <w:r>
        <w:rPr>
          <w:rFonts w:ascii="宋体" w:hAnsi="宋体" w:cs="宋体" w:eastAsia="宋体" w:hint="default"/>
          <w:spacing w:val="-64"/>
          <w:w w:val="100"/>
        </w:rPr>
        <w:t> </w:t>
      </w:r>
      <w:r>
        <w:rPr>
          <w:rFonts w:ascii="宋体" w:hAnsi="宋体" w:cs="宋体" w:eastAsia="宋体" w:hint="default"/>
          <w:spacing w:val="-64"/>
          <w:w w:val="100"/>
        </w:rPr>
      </w:r>
      <w:r>
        <w:rPr/>
        <w:t>年</w:t>
      </w:r>
      <w:r>
        <w:rPr>
          <w:rFonts w:ascii="宋体" w:hAnsi="宋体" w:cs="宋体" w:eastAsia="宋体" w:hint="default"/>
        </w:rPr>
        <w:t>12</w:t>
      </w:r>
      <w:r>
        <w:rPr/>
        <w:t>月</w:t>
      </w:r>
      <w:r>
        <w:rPr>
          <w:rFonts w:ascii="宋体" w:hAnsi="宋体" w:cs="宋体" w:eastAsia="宋体" w:hint="default"/>
        </w:rPr>
        <w:t>30</w:t>
      </w:r>
      <w:r>
        <w:rPr/>
        <w:t>日之前缴足。各股东首次出资</w:t>
      </w:r>
      <w:r>
        <w:rPr>
          <w:rFonts w:ascii="宋体" w:hAnsi="宋体" w:cs="宋体" w:eastAsia="宋体" w:hint="default"/>
        </w:rPr>
        <w:t>400</w:t>
      </w:r>
      <w:r>
        <w:rPr/>
        <w:t>万元经吉林金石会计师事务所有限责任公司于</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30</w:t>
      </w:r>
      <w:r>
        <w:rPr/>
        <w:t>日出具的吉</w:t>
      </w:r>
      <w:r>
        <w:rPr>
          <w:spacing w:val="-37"/>
        </w:rPr>
        <w:t> </w:t>
      </w:r>
      <w:r>
        <w:rPr>
          <w:spacing w:val="-37"/>
        </w:rPr>
      </w:r>
      <w:r>
        <w:rPr/>
        <w:t>金石验字</w:t>
      </w:r>
      <w:r>
        <w:rPr>
          <w:rFonts w:ascii="宋体" w:hAnsi="宋体" w:cs="宋体" w:eastAsia="宋体" w:hint="default"/>
        </w:rPr>
        <w:t>[2010]</w:t>
      </w:r>
      <w:r>
        <w:rPr/>
        <w:t>第</w:t>
      </w:r>
      <w:r>
        <w:rPr>
          <w:rFonts w:ascii="宋体" w:hAnsi="宋体" w:cs="宋体" w:eastAsia="宋体" w:hint="default"/>
        </w:rPr>
        <w:t>113</w:t>
      </w:r>
      <w:r>
        <w:rPr/>
        <w:t>号验资报告予以验证，本公司首次出资</w:t>
      </w:r>
      <w:r>
        <w:rPr>
          <w:rFonts w:ascii="宋体" w:hAnsi="宋体" w:cs="宋体" w:eastAsia="宋体" w:hint="default"/>
        </w:rPr>
        <w:t>60</w:t>
      </w:r>
      <w:r>
        <w:rPr/>
        <w:t>万元，占首次认缴注册资本总额</w:t>
      </w:r>
      <w:r>
        <w:rPr>
          <w:rFonts w:ascii="宋体" w:hAnsi="宋体" w:cs="宋体" w:eastAsia="宋体" w:hint="default"/>
        </w:rPr>
        <w:t>400</w:t>
      </w:r>
      <w:r>
        <w:rPr/>
        <w:t>万元的比例为</w:t>
      </w:r>
      <w:r>
        <w:rPr>
          <w:spacing w:val="61"/>
        </w:rPr>
        <w:t> </w:t>
      </w:r>
      <w:r>
        <w:rPr>
          <w:spacing w:val="61"/>
        </w:rPr>
      </w:r>
      <w:r>
        <w:rPr>
          <w:rFonts w:ascii="宋体" w:hAnsi="宋体" w:cs="宋体" w:eastAsia="宋体" w:hint="default"/>
        </w:rPr>
        <w:t>15.00%</w:t>
      </w:r>
      <w:r>
        <w:rPr/>
        <w:t>。</w:t>
      </w:r>
    </w:p>
    <w:p>
      <w:pPr>
        <w:pStyle w:val="BodyText"/>
        <w:spacing w:line="355" w:lineRule="auto" w:before="30"/>
        <w:ind w:left="240" w:right="711" w:firstLine="420"/>
        <w:jc w:val="both"/>
      </w:pPr>
      <w:r>
        <w:rPr>
          <w:spacing w:val="-3"/>
        </w:rPr>
        <w:t>（</w:t>
      </w:r>
      <w:r>
        <w:rPr>
          <w:rFonts w:ascii="宋体" w:hAnsi="宋体" w:cs="宋体" w:eastAsia="宋体" w:hint="default"/>
          <w:spacing w:val="-3"/>
        </w:rPr>
        <w:t>2</w:t>
      </w:r>
      <w:r>
        <w:rPr>
          <w:spacing w:val="-3"/>
        </w:rPr>
        <w:t>）截至</w:t>
      </w:r>
      <w:r>
        <w:rPr>
          <w:spacing w:val="-40"/>
        </w:rPr>
        <w:t> </w:t>
      </w:r>
      <w:r>
        <w:rPr>
          <w:rFonts w:ascii="宋体" w:hAnsi="宋体" w:cs="宋体" w:eastAsia="宋体" w:hint="default"/>
        </w:rPr>
        <w:t>2010</w:t>
      </w:r>
      <w:r>
        <w:rPr>
          <w:rFonts w:ascii="宋体" w:hAnsi="宋体" w:cs="宋体" w:eastAsia="宋体" w:hint="default"/>
          <w:spacing w:val="-43"/>
        </w:rPr>
        <w:t> </w:t>
      </w:r>
      <w:r>
        <w:rPr/>
        <w:t>年</w:t>
      </w:r>
      <w:r>
        <w:rPr>
          <w:spacing w:val="-40"/>
        </w:rPr>
        <w:t> </w:t>
      </w:r>
      <w:r>
        <w:rPr>
          <w:rFonts w:ascii="宋体" w:hAnsi="宋体" w:cs="宋体" w:eastAsia="宋体" w:hint="default"/>
        </w:rPr>
        <w:t>12</w:t>
      </w:r>
      <w:r>
        <w:rPr>
          <w:rFonts w:ascii="宋体" w:hAnsi="宋体" w:cs="宋体" w:eastAsia="宋体" w:hint="default"/>
          <w:spacing w:val="-43"/>
        </w:rPr>
        <w:t> </w:t>
      </w:r>
      <w:r>
        <w:rPr/>
        <w:t>月</w:t>
      </w:r>
      <w:r>
        <w:rPr>
          <w:spacing w:val="-40"/>
        </w:rPr>
        <w:t> </w:t>
      </w:r>
      <w:r>
        <w:rPr>
          <w:rFonts w:ascii="宋体" w:hAnsi="宋体" w:cs="宋体" w:eastAsia="宋体" w:hint="default"/>
        </w:rPr>
        <w:t>31</w:t>
      </w:r>
      <w:r>
        <w:rPr>
          <w:rFonts w:ascii="宋体" w:hAnsi="宋体" w:cs="宋体" w:eastAsia="宋体" w:hint="default"/>
          <w:spacing w:val="-40"/>
        </w:rPr>
        <w:t> </w:t>
      </w:r>
      <w:r>
        <w:rPr>
          <w:spacing w:val="-3"/>
        </w:rPr>
        <w:t>日止，本公司长期股权投资期末余额无账面价值高于可收回金额的情况，未计提长</w:t>
      </w:r>
      <w:r>
        <w:rPr>
          <w:w w:val="100"/>
        </w:rPr>
        <w:t> </w:t>
      </w:r>
      <w:r>
        <w:rPr/>
        <w:t>期股权投资减值准备。</w:t>
      </w:r>
    </w:p>
    <w:p>
      <w:pPr>
        <w:pStyle w:val="Heading4"/>
        <w:spacing w:line="240" w:lineRule="auto" w:before="32"/>
        <w:ind w:right="606"/>
        <w:jc w:val="left"/>
        <w:rPr>
          <w:b w:val="0"/>
          <w:bCs w:val="0"/>
        </w:rPr>
      </w:pPr>
      <w:r>
        <w:rPr>
          <w:rFonts w:ascii="宋体" w:hAnsi="宋体" w:cs="宋体" w:eastAsia="宋体" w:hint="default"/>
        </w:rPr>
        <w:t>4</w:t>
      </w:r>
      <w:r>
        <w:rPr/>
        <w:t>、营业收入</w:t>
      </w:r>
      <w:r>
        <w:rPr>
          <w:rFonts w:ascii="宋体" w:hAnsi="宋体" w:cs="宋体" w:eastAsia="宋体" w:hint="default"/>
        </w:rPr>
        <w:t>/</w:t>
      </w:r>
      <w:r>
        <w:rPr/>
        <w:t>营业成本</w:t>
      </w:r>
      <w:r>
        <w:rPr>
          <w:b w:val="0"/>
          <w:bCs w:val="0"/>
        </w:rPr>
      </w:r>
    </w:p>
    <w:p>
      <w:pPr>
        <w:pStyle w:val="BodyText"/>
        <w:spacing w:line="240" w:lineRule="auto" w:before="135"/>
        <w:ind w:left="660" w:right="606"/>
        <w:jc w:val="left"/>
      </w:pPr>
      <w:r>
        <w:rPr/>
        <w:t>（</w:t>
      </w:r>
      <w:r>
        <w:rPr>
          <w:rFonts w:ascii="宋体" w:hAnsi="宋体" w:cs="宋体" w:eastAsia="宋体" w:hint="default"/>
        </w:rPr>
        <w:t>1</w:t>
      </w:r>
      <w:r>
        <w:rPr/>
        <w:t>）营业收入、营业成本明细情况：</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575"/>
        <w:gridCol w:w="3562"/>
        <w:gridCol w:w="3562"/>
      </w:tblGrid>
      <w:tr>
        <w:trPr>
          <w:trHeight w:val="538" w:hRule="exact"/>
        </w:trPr>
        <w:tc>
          <w:tcPr>
            <w:tcW w:w="3575" w:type="dxa"/>
            <w:tcBorders>
              <w:top w:val="single" w:sz="12" w:space="0" w:color="000000"/>
              <w:left w:val="nil" w:sz="6" w:space="0" w:color="auto"/>
              <w:bottom w:val="single" w:sz="8" w:space="0" w:color="000000"/>
              <w:right w:val="single" w:sz="8" w:space="0" w:color="000000"/>
            </w:tcBorders>
          </w:tcPr>
          <w:p>
            <w:pPr>
              <w:pStyle w:val="TableParagraph"/>
              <w:tabs>
                <w:tab w:pos="566" w:val="left" w:leader="none"/>
              </w:tabs>
              <w:spacing w:line="240" w:lineRule="auto" w:before="49"/>
              <w:ind w:left="2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6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62" w:type="dxa"/>
            <w:tcBorders>
              <w:top w:val="single" w:sz="12" w:space="0" w:color="000000"/>
              <w:left w:val="single" w:sz="8" w:space="0" w:color="000000"/>
              <w:bottom w:val="single" w:sz="8" w:space="0" w:color="000000"/>
              <w:right w:val="nil" w:sz="6" w:space="0" w:color="auto"/>
            </w:tcBorders>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533"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宋体" w:hAnsi="宋体" w:cs="宋体" w:eastAsia="宋体" w:hint="default"/>
                <w:sz w:val="18"/>
                <w:szCs w:val="18"/>
              </w:rPr>
            </w:pPr>
            <w:r>
              <w:rPr>
                <w:rFonts w:ascii="宋体"/>
                <w:spacing w:val="-1"/>
                <w:sz w:val="18"/>
              </w:rPr>
              <w:t>277,634,347.03</w:t>
            </w:r>
          </w:p>
        </w:tc>
        <w:tc>
          <w:tcPr>
            <w:tcW w:w="35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218,328,556.52</w:t>
            </w:r>
          </w:p>
        </w:tc>
      </w:tr>
      <w:tr>
        <w:trPr>
          <w:trHeight w:val="536"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right="958"/>
              <w:jc w:val="right"/>
              <w:rPr>
                <w:rFonts w:ascii="宋体" w:hAnsi="宋体" w:cs="宋体" w:eastAsia="宋体" w:hint="default"/>
                <w:sz w:val="18"/>
                <w:szCs w:val="18"/>
              </w:rPr>
            </w:pPr>
            <w:r>
              <w:rPr>
                <w:rFonts w:ascii="宋体" w:hAnsi="宋体" w:cs="宋体" w:eastAsia="宋体" w:hint="default"/>
                <w:sz w:val="18"/>
                <w:szCs w:val="18"/>
              </w:rPr>
              <w:t>其中：主营业务收入</w:t>
            </w:r>
          </w:p>
        </w:tc>
        <w:tc>
          <w:tcPr>
            <w:tcW w:w="3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
                <w:sz w:val="18"/>
              </w:rPr>
              <w:t>275,482,308.43</w:t>
            </w:r>
          </w:p>
        </w:tc>
        <w:tc>
          <w:tcPr>
            <w:tcW w:w="35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214,516,645.35</w:t>
            </w:r>
          </w:p>
        </w:tc>
      </w:tr>
      <w:tr>
        <w:trPr>
          <w:trHeight w:val="533"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right="958"/>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3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spacing w:val="-1"/>
                <w:sz w:val="18"/>
              </w:rPr>
              <w:t>2,152,038.60</w:t>
            </w:r>
          </w:p>
        </w:tc>
        <w:tc>
          <w:tcPr>
            <w:tcW w:w="35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3,811,911.17</w:t>
            </w:r>
          </w:p>
        </w:tc>
      </w:tr>
      <w:tr>
        <w:trPr>
          <w:trHeight w:val="533"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49"/>
              <w:ind w:left="208"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3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right="96"/>
              <w:jc w:val="right"/>
              <w:rPr>
                <w:rFonts w:ascii="宋体" w:hAnsi="宋体" w:cs="宋体" w:eastAsia="宋体" w:hint="default"/>
                <w:sz w:val="18"/>
                <w:szCs w:val="18"/>
              </w:rPr>
            </w:pPr>
            <w:r>
              <w:rPr>
                <w:rFonts w:ascii="宋体"/>
                <w:spacing w:val="-1"/>
                <w:sz w:val="18"/>
              </w:rPr>
              <w:t>89,958,745.40</w:t>
            </w:r>
          </w:p>
        </w:tc>
        <w:tc>
          <w:tcPr>
            <w:tcW w:w="35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49"/>
              <w:ind w:right="105"/>
              <w:jc w:val="right"/>
              <w:rPr>
                <w:rFonts w:ascii="宋体" w:hAnsi="宋体" w:cs="宋体" w:eastAsia="宋体" w:hint="default"/>
                <w:sz w:val="18"/>
                <w:szCs w:val="18"/>
              </w:rPr>
            </w:pPr>
            <w:r>
              <w:rPr>
                <w:rFonts w:ascii="宋体"/>
                <w:spacing w:val="-1"/>
                <w:sz w:val="18"/>
              </w:rPr>
              <w:t>52,407,693.61</w:t>
            </w:r>
          </w:p>
        </w:tc>
      </w:tr>
      <w:tr>
        <w:trPr>
          <w:trHeight w:val="533" w:hRule="exact"/>
        </w:trPr>
        <w:tc>
          <w:tcPr>
            <w:tcW w:w="357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51"/>
              <w:ind w:right="958"/>
              <w:jc w:val="righ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35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宋体" w:hAnsi="宋体" w:cs="宋体" w:eastAsia="宋体" w:hint="default"/>
                <w:sz w:val="18"/>
                <w:szCs w:val="18"/>
              </w:rPr>
            </w:pPr>
            <w:r>
              <w:rPr>
                <w:rFonts w:ascii="宋体"/>
                <w:spacing w:val="-1"/>
                <w:sz w:val="18"/>
              </w:rPr>
              <w:t>87,843,076.35</w:t>
            </w:r>
          </w:p>
        </w:tc>
        <w:tc>
          <w:tcPr>
            <w:tcW w:w="3562"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49,082,362.53</w:t>
            </w:r>
          </w:p>
        </w:tc>
      </w:tr>
      <w:tr>
        <w:trPr>
          <w:trHeight w:val="540" w:hRule="exact"/>
        </w:trPr>
        <w:tc>
          <w:tcPr>
            <w:tcW w:w="357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51"/>
              <w:ind w:right="958"/>
              <w:jc w:val="right"/>
              <w:rPr>
                <w:rFonts w:ascii="宋体" w:hAnsi="宋体" w:cs="宋体" w:eastAsia="宋体" w:hint="default"/>
                <w:sz w:val="18"/>
                <w:szCs w:val="18"/>
              </w:rPr>
            </w:pPr>
            <w:r>
              <w:rPr>
                <w:rFonts w:ascii="宋体" w:hAnsi="宋体" w:cs="宋体" w:eastAsia="宋体" w:hint="default"/>
                <w:sz w:val="18"/>
                <w:szCs w:val="18"/>
              </w:rPr>
              <w:t>其他业务支出</w:t>
            </w:r>
          </w:p>
        </w:tc>
        <w:tc>
          <w:tcPr>
            <w:tcW w:w="356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1"/>
              <w:ind w:right="98"/>
              <w:jc w:val="right"/>
              <w:rPr>
                <w:rFonts w:ascii="宋体" w:hAnsi="宋体" w:cs="宋体" w:eastAsia="宋体" w:hint="default"/>
                <w:sz w:val="18"/>
                <w:szCs w:val="18"/>
              </w:rPr>
            </w:pPr>
            <w:r>
              <w:rPr>
                <w:rFonts w:ascii="宋体"/>
                <w:spacing w:val="-1"/>
                <w:sz w:val="18"/>
              </w:rPr>
              <w:t>2,115,669.05</w:t>
            </w:r>
          </w:p>
        </w:tc>
        <w:tc>
          <w:tcPr>
            <w:tcW w:w="3562"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51"/>
              <w:ind w:right="105"/>
              <w:jc w:val="right"/>
              <w:rPr>
                <w:rFonts w:ascii="宋体" w:hAnsi="宋体" w:cs="宋体" w:eastAsia="宋体" w:hint="default"/>
                <w:sz w:val="18"/>
                <w:szCs w:val="18"/>
              </w:rPr>
            </w:pPr>
            <w:r>
              <w:rPr>
                <w:rFonts w:ascii="宋体"/>
                <w:spacing w:val="-1"/>
                <w:sz w:val="18"/>
              </w:rPr>
              <w:t>3,325,331.08</w:t>
            </w:r>
          </w:p>
        </w:tc>
      </w:tr>
    </w:tbl>
    <w:p>
      <w:pPr>
        <w:pStyle w:val="BodyText"/>
        <w:spacing w:line="240" w:lineRule="auto" w:before="86"/>
        <w:ind w:left="660" w:right="606"/>
        <w:jc w:val="left"/>
      </w:pPr>
      <w:r>
        <w:rPr/>
        <w:t>（</w:t>
      </w:r>
      <w:r>
        <w:rPr>
          <w:rFonts w:ascii="宋体" w:hAnsi="宋体" w:cs="宋体" w:eastAsia="宋体" w:hint="default"/>
        </w:rPr>
        <w:t>2</w:t>
      </w:r>
      <w:r>
        <w:rPr/>
        <w:t>）按主要品种分类</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637"/>
        <w:gridCol w:w="1609"/>
        <w:gridCol w:w="1406"/>
        <w:gridCol w:w="1582"/>
        <w:gridCol w:w="1582"/>
        <w:gridCol w:w="1407"/>
        <w:gridCol w:w="1476"/>
      </w:tblGrid>
      <w:tr>
        <w:trPr>
          <w:trHeight w:val="473" w:hRule="exact"/>
        </w:trPr>
        <w:tc>
          <w:tcPr>
            <w:tcW w:w="1637" w:type="dxa"/>
            <w:vMerge w:val="restart"/>
            <w:tcBorders>
              <w:top w:val="single" w:sz="12" w:space="0" w:color="000000"/>
              <w:left w:val="nil" w:sz="6" w:space="0" w:color="auto"/>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品 </w:t>
            </w:r>
            <w:r>
              <w:rPr>
                <w:rFonts w:ascii="宋体" w:hAnsi="宋体" w:cs="宋体" w:eastAsia="宋体" w:hint="default"/>
                <w:spacing w:val="2"/>
                <w:sz w:val="18"/>
                <w:szCs w:val="18"/>
              </w:rPr>
              <w:t> </w:t>
            </w:r>
            <w:r>
              <w:rPr>
                <w:rFonts w:ascii="宋体" w:hAnsi="宋体" w:cs="宋体" w:eastAsia="宋体" w:hint="default"/>
                <w:sz w:val="18"/>
                <w:szCs w:val="18"/>
              </w:rPr>
              <w:t>种</w:t>
            </w:r>
          </w:p>
        </w:tc>
        <w:tc>
          <w:tcPr>
            <w:tcW w:w="4597"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465"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17"/>
              <w:ind w:right="8"/>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6" w:hRule="exact"/>
        </w:trPr>
        <w:tc>
          <w:tcPr>
            <w:tcW w:w="1637" w:type="dxa"/>
            <w:vMerge/>
            <w:tcBorders>
              <w:left w:val="nil" w:sz="6" w:space="0" w:color="auto"/>
              <w:bottom w:val="single" w:sz="6" w:space="0" w:color="000000"/>
              <w:right w:val="single" w:sz="6" w:space="0" w:color="000000"/>
            </w:tcBorders>
          </w:tcPr>
          <w:p>
            <w:pP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3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22"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8"/>
              <w:ind w:left="369"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466" w:hRule="exact"/>
        </w:trPr>
        <w:tc>
          <w:tcPr>
            <w:tcW w:w="16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sz w:val="18"/>
                <w:szCs w:val="18"/>
              </w:rPr>
              <w:t>四妙丸</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56,602,977.11</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center"/>
              <w:rPr>
                <w:rFonts w:ascii="宋体" w:hAnsi="宋体" w:cs="宋体" w:eastAsia="宋体" w:hint="default"/>
                <w:sz w:val="18"/>
                <w:szCs w:val="18"/>
              </w:rPr>
            </w:pPr>
            <w:r>
              <w:rPr>
                <w:rFonts w:ascii="宋体"/>
                <w:sz w:val="18"/>
              </w:rPr>
              <w:t>7,758,085.03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48,844,892.08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49,861,879.95</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5,949,957.13</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43,911,922.82</w:t>
            </w:r>
          </w:p>
        </w:tc>
      </w:tr>
      <w:tr>
        <w:trPr>
          <w:trHeight w:val="466" w:hRule="exact"/>
        </w:trPr>
        <w:tc>
          <w:tcPr>
            <w:tcW w:w="16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sz w:val="18"/>
                <w:szCs w:val="18"/>
              </w:rPr>
              <w:t>活血通脉片</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39,008,654.09</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 w:right="0"/>
              <w:jc w:val="center"/>
              <w:rPr>
                <w:rFonts w:ascii="宋体" w:hAnsi="宋体" w:cs="宋体" w:eastAsia="宋体" w:hint="default"/>
                <w:sz w:val="18"/>
                <w:szCs w:val="18"/>
              </w:rPr>
            </w:pPr>
            <w:r>
              <w:rPr>
                <w:rFonts w:ascii="宋体"/>
                <w:sz w:val="18"/>
              </w:rPr>
              <w:t>14,084,968.23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24,923,685.86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36,274,335.97</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9,917,751.13</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26,356,584.84</w:t>
            </w:r>
          </w:p>
        </w:tc>
      </w:tr>
      <w:tr>
        <w:trPr>
          <w:trHeight w:val="466" w:hRule="exact"/>
        </w:trPr>
        <w:tc>
          <w:tcPr>
            <w:tcW w:w="16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醒脑再造胶囊</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28,752,699.49</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5" w:right="0"/>
              <w:jc w:val="center"/>
              <w:rPr>
                <w:rFonts w:ascii="宋体" w:hAnsi="宋体" w:cs="宋体" w:eastAsia="宋体" w:hint="default"/>
                <w:sz w:val="18"/>
                <w:szCs w:val="18"/>
              </w:rPr>
            </w:pPr>
            <w:r>
              <w:rPr>
                <w:rFonts w:ascii="宋体"/>
                <w:sz w:val="18"/>
              </w:rPr>
              <w:t>5,543,873.78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23,208,825.71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28,937,345.50</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5,008,691.74</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23,928,653.76</w:t>
            </w:r>
          </w:p>
        </w:tc>
      </w:tr>
      <w:tr>
        <w:trPr>
          <w:trHeight w:val="466" w:hRule="exact"/>
        </w:trPr>
        <w:tc>
          <w:tcPr>
            <w:tcW w:w="16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sz w:val="18"/>
                <w:szCs w:val="18"/>
              </w:rPr>
              <w:t>肾复康胶囊</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23,077,183.30</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5" w:right="0"/>
              <w:jc w:val="center"/>
              <w:rPr>
                <w:rFonts w:ascii="宋体" w:hAnsi="宋体" w:cs="宋体" w:eastAsia="宋体" w:hint="default"/>
                <w:sz w:val="18"/>
                <w:szCs w:val="18"/>
              </w:rPr>
            </w:pPr>
            <w:r>
              <w:rPr>
                <w:rFonts w:ascii="宋体"/>
                <w:sz w:val="18"/>
              </w:rPr>
              <w:t>4,069,064.61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19,008,118.69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19,423,439.23</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0"/>
              <w:jc w:val="right"/>
              <w:rPr>
                <w:rFonts w:ascii="宋体" w:hAnsi="宋体" w:cs="宋体" w:eastAsia="宋体" w:hint="default"/>
                <w:sz w:val="18"/>
                <w:szCs w:val="18"/>
              </w:rPr>
            </w:pPr>
            <w:r>
              <w:rPr>
                <w:rFonts w:ascii="宋体"/>
                <w:spacing w:val="-1"/>
                <w:sz w:val="18"/>
              </w:rPr>
              <w:t>3,703,910.33</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15,719,528.90</w:t>
            </w:r>
          </w:p>
        </w:tc>
      </w:tr>
      <w:tr>
        <w:trPr>
          <w:trHeight w:val="466" w:hRule="exact"/>
        </w:trPr>
        <w:tc>
          <w:tcPr>
            <w:tcW w:w="16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hAnsi="宋体" w:cs="宋体" w:eastAsia="宋体" w:hint="default"/>
                <w:sz w:val="18"/>
                <w:szCs w:val="18"/>
              </w:rPr>
              <w:t>补肾安神口服液</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21,932,306.19</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5" w:right="0"/>
              <w:jc w:val="center"/>
              <w:rPr>
                <w:rFonts w:ascii="宋体" w:hAnsi="宋体" w:cs="宋体" w:eastAsia="宋体" w:hint="default"/>
                <w:sz w:val="18"/>
                <w:szCs w:val="18"/>
              </w:rPr>
            </w:pPr>
            <w:r>
              <w:rPr>
                <w:rFonts w:ascii="宋体"/>
                <w:sz w:val="18"/>
              </w:rPr>
              <w:t>8,965,165.21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12,967,140.98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19,213,058.40</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8,549,402.21</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10,663,656.19</w:t>
            </w:r>
          </w:p>
        </w:tc>
      </w:tr>
      <w:tr>
        <w:trPr>
          <w:trHeight w:val="468" w:hRule="exact"/>
        </w:trPr>
        <w:tc>
          <w:tcPr>
            <w:tcW w:w="16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复方益肝灵片</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20,156,613.19</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5" w:right="0"/>
              <w:jc w:val="center"/>
              <w:rPr>
                <w:rFonts w:ascii="宋体" w:hAnsi="宋体" w:cs="宋体" w:eastAsia="宋体" w:hint="default"/>
                <w:sz w:val="18"/>
                <w:szCs w:val="18"/>
              </w:rPr>
            </w:pPr>
            <w:r>
              <w:rPr>
                <w:rFonts w:ascii="宋体"/>
                <w:sz w:val="18"/>
              </w:rPr>
              <w:t>4,525,798.02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15,630,815.17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19,662,647.11</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4,089,321.13</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15,573,325.98</w:t>
            </w:r>
          </w:p>
        </w:tc>
      </w:tr>
    </w:tbl>
    <w:p>
      <w:pPr>
        <w:spacing w:after="0" w:line="240" w:lineRule="auto"/>
        <w:jc w:val="right"/>
        <w:rPr>
          <w:rFonts w:ascii="宋体" w:hAnsi="宋体" w:cs="宋体" w:eastAsia="宋体" w:hint="default"/>
          <w:sz w:val="18"/>
          <w:szCs w:val="18"/>
        </w:rPr>
        <w:sectPr>
          <w:pgSz w:w="11910" w:h="16840"/>
          <w:pgMar w:header="720" w:footer="947" w:top="1300" w:bottom="1140" w:left="480" w:right="0"/>
        </w:sectPr>
      </w:pP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637"/>
        <w:gridCol w:w="1609"/>
        <w:gridCol w:w="1406"/>
        <w:gridCol w:w="1582"/>
        <w:gridCol w:w="1582"/>
        <w:gridCol w:w="1407"/>
        <w:gridCol w:w="1476"/>
      </w:tblGrid>
      <w:tr>
        <w:trPr>
          <w:trHeight w:val="480" w:hRule="exact"/>
        </w:trPr>
        <w:tc>
          <w:tcPr>
            <w:tcW w:w="1637"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人参系列产品</w:t>
            </w:r>
          </w:p>
        </w:tc>
        <w:tc>
          <w:tcPr>
            <w:tcW w:w="16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35,152,565.78</w:t>
            </w:r>
          </w:p>
        </w:tc>
        <w:tc>
          <w:tcPr>
            <w:tcW w:w="14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left="15" w:right="0"/>
              <w:jc w:val="center"/>
              <w:rPr>
                <w:rFonts w:ascii="宋体" w:hAnsi="宋体" w:cs="宋体" w:eastAsia="宋体" w:hint="default"/>
                <w:sz w:val="18"/>
                <w:szCs w:val="18"/>
              </w:rPr>
            </w:pPr>
            <w:r>
              <w:rPr>
                <w:rFonts w:ascii="宋体"/>
                <w:sz w:val="18"/>
              </w:rPr>
              <w:t>28,100,089.67</w:t>
            </w:r>
          </w:p>
        </w:tc>
        <w:tc>
          <w:tcPr>
            <w:tcW w:w="15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spacing w:val="-1"/>
                <w:sz w:val="18"/>
              </w:rPr>
              <w:t>7,052,476.11</w:t>
            </w:r>
          </w:p>
        </w:tc>
        <w:tc>
          <w:tcPr>
            <w:tcW w:w="1582" w:type="dxa"/>
            <w:tcBorders>
              <w:top w:val="single" w:sz="12" w:space="0" w:color="000000"/>
              <w:left w:val="single" w:sz="6" w:space="0" w:color="000000"/>
              <w:bottom w:val="single" w:sz="6" w:space="0" w:color="000000"/>
              <w:right w:val="single" w:sz="6" w:space="0" w:color="000000"/>
            </w:tcBorders>
          </w:tcPr>
          <w:p>
            <w:pPr/>
          </w:p>
        </w:tc>
        <w:tc>
          <w:tcPr>
            <w:tcW w:w="1407" w:type="dxa"/>
            <w:tcBorders>
              <w:top w:val="single" w:sz="12" w:space="0" w:color="000000"/>
              <w:left w:val="single" w:sz="6" w:space="0" w:color="000000"/>
              <w:bottom w:val="single" w:sz="6" w:space="0" w:color="000000"/>
              <w:right w:val="single" w:sz="6" w:space="0" w:color="000000"/>
            </w:tcBorders>
          </w:tcPr>
          <w:p>
            <w:pPr/>
          </w:p>
        </w:tc>
        <w:tc>
          <w:tcPr>
            <w:tcW w:w="1476" w:type="dxa"/>
            <w:tcBorders>
              <w:top w:val="single" w:sz="12" w:space="0" w:color="000000"/>
              <w:left w:val="single" w:sz="6" w:space="0" w:color="000000"/>
              <w:bottom w:val="single" w:sz="6" w:space="0" w:color="000000"/>
              <w:right w:val="nil" w:sz="6" w:space="0" w:color="auto"/>
            </w:tcBorders>
          </w:tcPr>
          <w:p>
            <w:pPr/>
          </w:p>
        </w:tc>
      </w:tr>
      <w:tr>
        <w:trPr>
          <w:trHeight w:val="466" w:hRule="exact"/>
        </w:trPr>
        <w:tc>
          <w:tcPr>
            <w:tcW w:w="1637"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6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52,951,347.88</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4" w:right="0"/>
              <w:jc w:val="center"/>
              <w:rPr>
                <w:rFonts w:ascii="宋体" w:hAnsi="宋体" w:cs="宋体" w:eastAsia="宋体" w:hint="default"/>
                <w:sz w:val="18"/>
                <w:szCs w:val="18"/>
              </w:rPr>
            </w:pPr>
            <w:r>
              <w:rPr>
                <w:rFonts w:ascii="宋体"/>
                <w:sz w:val="18"/>
              </w:rPr>
              <w:t>16,911,700.85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36,039,647.03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spacing w:val="-1"/>
                <w:sz w:val="18"/>
              </w:rPr>
              <w:t>44,955,850.36</w:t>
            </w:r>
          </w:p>
        </w:tc>
        <w:tc>
          <w:tcPr>
            <w:tcW w:w="14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15,188,659.94</w:t>
            </w:r>
          </w:p>
        </w:tc>
        <w:tc>
          <w:tcPr>
            <w:tcW w:w="147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105"/>
              <w:jc w:val="right"/>
              <w:rPr>
                <w:rFonts w:ascii="宋体" w:hAnsi="宋体" w:cs="宋体" w:eastAsia="宋体" w:hint="default"/>
                <w:sz w:val="18"/>
                <w:szCs w:val="18"/>
              </w:rPr>
            </w:pPr>
            <w:r>
              <w:rPr>
                <w:rFonts w:ascii="宋体"/>
                <w:spacing w:val="-1"/>
                <w:sz w:val="18"/>
              </w:rPr>
              <w:t>29,767,190.42</w:t>
            </w:r>
          </w:p>
        </w:tc>
      </w:tr>
      <w:tr>
        <w:trPr>
          <w:trHeight w:val="475" w:hRule="exact"/>
        </w:trPr>
        <w:tc>
          <w:tcPr>
            <w:tcW w:w="1637" w:type="dxa"/>
            <w:tcBorders>
              <w:top w:val="single" w:sz="6" w:space="0" w:color="000000"/>
              <w:left w:val="nil" w:sz="6" w:space="0" w:color="auto"/>
              <w:bottom w:val="single" w:sz="12" w:space="0" w:color="000000"/>
              <w:right w:val="single" w:sz="6"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60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277,634,347.03</w:t>
            </w:r>
          </w:p>
        </w:tc>
        <w:tc>
          <w:tcPr>
            <w:tcW w:w="14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4" w:right="0"/>
              <w:jc w:val="center"/>
              <w:rPr>
                <w:rFonts w:ascii="宋体" w:hAnsi="宋体" w:cs="宋体" w:eastAsia="宋体" w:hint="default"/>
                <w:sz w:val="18"/>
                <w:szCs w:val="18"/>
              </w:rPr>
            </w:pPr>
            <w:r>
              <w:rPr>
                <w:rFonts w:ascii="宋体"/>
                <w:sz w:val="18"/>
              </w:rPr>
              <w:t>89,958,745.40</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99"/>
              <w:jc w:val="right"/>
              <w:rPr>
                <w:rFonts w:ascii="宋体" w:hAnsi="宋体" w:cs="宋体" w:eastAsia="宋体" w:hint="default"/>
                <w:sz w:val="18"/>
                <w:szCs w:val="18"/>
              </w:rPr>
            </w:pPr>
            <w:r>
              <w:rPr>
                <w:rFonts w:ascii="宋体"/>
                <w:spacing w:val="-1"/>
                <w:sz w:val="18"/>
              </w:rPr>
              <w:t>187,675,601.63</w:t>
            </w:r>
          </w:p>
        </w:tc>
        <w:tc>
          <w:tcPr>
            <w:tcW w:w="15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pacing w:val="-1"/>
                <w:sz w:val="18"/>
              </w:rPr>
              <w:t>218,328,556.52</w:t>
            </w:r>
          </w:p>
        </w:tc>
        <w:tc>
          <w:tcPr>
            <w:tcW w:w="14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18" w:right="0"/>
              <w:jc w:val="center"/>
              <w:rPr>
                <w:rFonts w:ascii="宋体" w:hAnsi="宋体" w:cs="宋体" w:eastAsia="宋体" w:hint="default"/>
                <w:sz w:val="18"/>
                <w:szCs w:val="18"/>
              </w:rPr>
            </w:pPr>
            <w:r>
              <w:rPr>
                <w:rFonts w:ascii="宋体"/>
                <w:sz w:val="18"/>
              </w:rPr>
              <w:t>52,407,693.61</w:t>
            </w:r>
          </w:p>
        </w:tc>
        <w:tc>
          <w:tcPr>
            <w:tcW w:w="147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107"/>
              <w:jc w:val="right"/>
              <w:rPr>
                <w:rFonts w:ascii="宋体" w:hAnsi="宋体" w:cs="宋体" w:eastAsia="宋体" w:hint="default"/>
                <w:sz w:val="18"/>
                <w:szCs w:val="18"/>
              </w:rPr>
            </w:pPr>
            <w:r>
              <w:rPr>
                <w:rFonts w:ascii="宋体"/>
                <w:spacing w:val="-1"/>
                <w:sz w:val="18"/>
              </w:rPr>
              <w:t>165,920,862.91</w:t>
            </w:r>
          </w:p>
        </w:tc>
      </w:tr>
    </w:tbl>
    <w:p>
      <w:pPr>
        <w:pStyle w:val="BodyText"/>
        <w:spacing w:line="240" w:lineRule="auto" w:before="86"/>
        <w:ind w:left="660" w:right="606"/>
        <w:jc w:val="left"/>
      </w:pPr>
      <w:r>
        <w:rPr/>
        <w:t>（</w:t>
      </w:r>
      <w:r>
        <w:rPr>
          <w:rFonts w:ascii="宋体" w:hAnsi="宋体" w:cs="宋体" w:eastAsia="宋体" w:hint="default"/>
        </w:rPr>
        <w:t>3</w:t>
      </w:r>
      <w:r>
        <w:rPr/>
        <w:t>）按业务地区分类：</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1683"/>
        <w:gridCol w:w="1575"/>
        <w:gridCol w:w="1399"/>
        <w:gridCol w:w="1575"/>
        <w:gridCol w:w="1577"/>
        <w:gridCol w:w="1400"/>
        <w:gridCol w:w="1490"/>
      </w:tblGrid>
      <w:tr>
        <w:trPr>
          <w:trHeight w:val="422" w:hRule="exact"/>
        </w:trPr>
        <w:tc>
          <w:tcPr>
            <w:tcW w:w="1683" w:type="dxa"/>
            <w:vMerge w:val="restart"/>
            <w:tcBorders>
              <w:top w:val="single" w:sz="12"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sz w:val="18"/>
                <w:szCs w:val="18"/>
              </w:rPr>
              <w:t>地 </w:t>
            </w:r>
            <w:r>
              <w:rPr>
                <w:rFonts w:ascii="宋体" w:hAnsi="宋体" w:cs="宋体" w:eastAsia="宋体" w:hint="default"/>
                <w:spacing w:val="2"/>
                <w:sz w:val="18"/>
                <w:szCs w:val="18"/>
              </w:rPr>
              <w:t> </w:t>
            </w:r>
            <w:r>
              <w:rPr>
                <w:rFonts w:ascii="宋体" w:hAnsi="宋体" w:cs="宋体" w:eastAsia="宋体" w:hint="default"/>
                <w:sz w:val="18"/>
                <w:szCs w:val="18"/>
              </w:rPr>
              <w:t>区</w:t>
            </w:r>
          </w:p>
        </w:tc>
        <w:tc>
          <w:tcPr>
            <w:tcW w:w="4549" w:type="dxa"/>
            <w:gridSpan w:val="3"/>
            <w:tcBorders>
              <w:top w:val="single" w:sz="12"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467" w:type="dxa"/>
            <w:gridSpan w:val="3"/>
            <w:tcBorders>
              <w:top w:val="single" w:sz="12" w:space="0" w:color="000000"/>
              <w:left w:val="single" w:sz="6" w:space="0" w:color="000000"/>
              <w:bottom w:val="single" w:sz="6" w:space="0" w:color="000000"/>
              <w:right w:val="nil" w:sz="6" w:space="0" w:color="auto"/>
            </w:tcBorders>
          </w:tcPr>
          <w:p>
            <w:pPr>
              <w:pStyle w:val="TableParagraph"/>
              <w:spacing w:line="229" w:lineRule="exact"/>
              <w:ind w:right="1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15" w:hRule="exact"/>
        </w:trPr>
        <w:tc>
          <w:tcPr>
            <w:tcW w:w="1683" w:type="dxa"/>
            <w:vMerge/>
            <w:tcBorders>
              <w:left w:val="nil" w:sz="6" w:space="0" w:color="auto"/>
              <w:bottom w:val="single" w:sz="6" w:space="0" w:color="000000"/>
              <w:right w:val="single" w:sz="6" w:space="0" w:color="000000"/>
            </w:tcBorders>
          </w:tcPr>
          <w:p>
            <w:pP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2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19"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4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33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29" w:lineRule="exact"/>
              <w:ind w:left="376" w:right="0"/>
              <w:jc w:val="left"/>
              <w:rPr>
                <w:rFonts w:ascii="宋体" w:hAnsi="宋体" w:cs="宋体" w:eastAsia="宋体" w:hint="default"/>
                <w:sz w:val="18"/>
                <w:szCs w:val="18"/>
              </w:rPr>
            </w:pPr>
            <w:r>
              <w:rPr>
                <w:rFonts w:ascii="宋体" w:hAnsi="宋体" w:cs="宋体" w:eastAsia="宋体" w:hint="default"/>
                <w:sz w:val="18"/>
                <w:szCs w:val="18"/>
              </w:rPr>
              <w:t>营业毛利</w:t>
            </w:r>
          </w:p>
        </w:tc>
      </w:tr>
      <w:tr>
        <w:trPr>
          <w:trHeight w:val="418" w:hRule="exact"/>
        </w:trPr>
        <w:tc>
          <w:tcPr>
            <w:tcW w:w="1683"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8" w:right="0"/>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9"/>
              <w:jc w:val="right"/>
              <w:rPr>
                <w:rFonts w:ascii="宋体" w:hAnsi="宋体" w:cs="宋体" w:eastAsia="宋体" w:hint="default"/>
                <w:sz w:val="18"/>
                <w:szCs w:val="18"/>
              </w:rPr>
            </w:pPr>
            <w:r>
              <w:rPr>
                <w:rFonts w:ascii="宋体"/>
                <w:spacing w:val="-1"/>
                <w:sz w:val="18"/>
              </w:rPr>
              <w:t>103,356,982.37</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2" w:right="0"/>
              <w:jc w:val="center"/>
              <w:rPr>
                <w:rFonts w:ascii="宋体" w:hAnsi="宋体" w:cs="宋体" w:eastAsia="宋体" w:hint="default"/>
                <w:sz w:val="18"/>
                <w:szCs w:val="18"/>
              </w:rPr>
            </w:pPr>
            <w:r>
              <w:rPr>
                <w:rFonts w:ascii="宋体"/>
                <w:sz w:val="18"/>
              </w:rPr>
              <w:t>34,817,657.80</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9"/>
              <w:jc w:val="right"/>
              <w:rPr>
                <w:rFonts w:ascii="宋体" w:hAnsi="宋体" w:cs="宋体" w:eastAsia="宋体" w:hint="default"/>
                <w:sz w:val="18"/>
                <w:szCs w:val="18"/>
              </w:rPr>
            </w:pPr>
            <w:r>
              <w:rPr>
                <w:rFonts w:ascii="宋体"/>
                <w:spacing w:val="-1"/>
                <w:sz w:val="18"/>
              </w:rPr>
              <w:t>68,539,324.57</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114,959,751.73</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9"/>
              <w:jc w:val="right"/>
              <w:rPr>
                <w:rFonts w:ascii="宋体" w:hAnsi="宋体" w:cs="宋体" w:eastAsia="宋体" w:hint="default"/>
                <w:sz w:val="18"/>
                <w:szCs w:val="18"/>
              </w:rPr>
            </w:pPr>
            <w:r>
              <w:rPr>
                <w:rFonts w:ascii="宋体"/>
                <w:spacing w:val="-1"/>
                <w:sz w:val="18"/>
              </w:rPr>
              <w:t>28,810,251.20</w:t>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29" w:lineRule="exact"/>
              <w:ind w:right="108"/>
              <w:jc w:val="right"/>
              <w:rPr>
                <w:rFonts w:ascii="宋体" w:hAnsi="宋体" w:cs="宋体" w:eastAsia="宋体" w:hint="default"/>
                <w:sz w:val="18"/>
                <w:szCs w:val="18"/>
              </w:rPr>
            </w:pPr>
            <w:r>
              <w:rPr>
                <w:rFonts w:ascii="宋体"/>
                <w:spacing w:val="-1"/>
                <w:sz w:val="18"/>
              </w:rPr>
              <w:t>86,149,500.53</w:t>
            </w:r>
          </w:p>
        </w:tc>
      </w:tr>
      <w:tr>
        <w:trPr>
          <w:trHeight w:val="415" w:hRule="exact"/>
        </w:trPr>
        <w:tc>
          <w:tcPr>
            <w:tcW w:w="1683" w:type="dxa"/>
            <w:tcBorders>
              <w:top w:val="single" w:sz="6" w:space="0" w:color="000000"/>
              <w:left w:val="nil" w:sz="6" w:space="0" w:color="auto"/>
              <w:bottom w:val="single" w:sz="6" w:space="0" w:color="000000"/>
              <w:right w:val="single" w:sz="6" w:space="0" w:color="000000"/>
            </w:tcBorders>
          </w:tcPr>
          <w:p>
            <w:pPr>
              <w:pStyle w:val="TableParagraph"/>
              <w:spacing w:line="227" w:lineRule="exact"/>
              <w:ind w:left="18" w:right="0"/>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66,341,459.91</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2" w:right="0"/>
              <w:jc w:val="center"/>
              <w:rPr>
                <w:rFonts w:ascii="宋体" w:hAnsi="宋体" w:cs="宋体" w:eastAsia="宋体" w:hint="default"/>
                <w:sz w:val="18"/>
                <w:szCs w:val="18"/>
              </w:rPr>
            </w:pPr>
            <w:r>
              <w:rPr>
                <w:rFonts w:ascii="宋体"/>
                <w:sz w:val="18"/>
              </w:rPr>
              <w:t>20,990,334.92</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45,351,124.99</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22,839,600.18</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5,189,935.53</w:t>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spacing w:val="-1"/>
                <w:sz w:val="18"/>
              </w:rPr>
              <w:t>17,649,664.65</w:t>
            </w:r>
          </w:p>
        </w:tc>
      </w:tr>
      <w:tr>
        <w:trPr>
          <w:trHeight w:val="416" w:hRule="exact"/>
        </w:trPr>
        <w:tc>
          <w:tcPr>
            <w:tcW w:w="1683" w:type="dxa"/>
            <w:tcBorders>
              <w:top w:val="single" w:sz="6" w:space="0" w:color="000000"/>
              <w:left w:val="nil" w:sz="6" w:space="0" w:color="auto"/>
              <w:bottom w:val="single" w:sz="6" w:space="0" w:color="000000"/>
              <w:right w:val="single" w:sz="6" w:space="0" w:color="000000"/>
            </w:tcBorders>
          </w:tcPr>
          <w:p>
            <w:pPr>
              <w:pStyle w:val="TableParagraph"/>
              <w:spacing w:line="227" w:lineRule="exact"/>
              <w:ind w:left="18" w:right="0"/>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8"/>
              <w:jc w:val="right"/>
              <w:rPr>
                <w:rFonts w:ascii="宋体" w:hAnsi="宋体" w:cs="宋体" w:eastAsia="宋体" w:hint="default"/>
                <w:sz w:val="18"/>
                <w:szCs w:val="18"/>
              </w:rPr>
            </w:pPr>
            <w:r>
              <w:rPr>
                <w:rFonts w:ascii="宋体"/>
                <w:spacing w:val="-1"/>
                <w:sz w:val="18"/>
              </w:rPr>
              <w:t>58,192,663.14</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left="12" w:right="0"/>
              <w:jc w:val="center"/>
              <w:rPr>
                <w:rFonts w:ascii="宋体" w:hAnsi="宋体" w:cs="宋体" w:eastAsia="宋体" w:hint="default"/>
                <w:sz w:val="18"/>
                <w:szCs w:val="18"/>
              </w:rPr>
            </w:pPr>
            <w:r>
              <w:rPr>
                <w:rFonts w:ascii="宋体"/>
                <w:sz w:val="18"/>
              </w:rPr>
              <w:t>18,412,068.27</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39,780,594.87</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103"/>
              <w:jc w:val="right"/>
              <w:rPr>
                <w:rFonts w:ascii="宋体" w:hAnsi="宋体" w:cs="宋体" w:eastAsia="宋体" w:hint="default"/>
                <w:sz w:val="18"/>
                <w:szCs w:val="18"/>
              </w:rPr>
            </w:pPr>
            <w:r>
              <w:rPr>
                <w:rFonts w:ascii="宋体"/>
                <w:spacing w:val="-1"/>
                <w:sz w:val="18"/>
              </w:rPr>
              <w:t>56,107,335.84</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12,837,607.98</w:t>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spacing w:val="-1"/>
                <w:sz w:val="18"/>
              </w:rPr>
              <w:t>43,269,727.86</w:t>
            </w:r>
          </w:p>
        </w:tc>
      </w:tr>
      <w:tr>
        <w:trPr>
          <w:trHeight w:val="415" w:hRule="exact"/>
        </w:trPr>
        <w:tc>
          <w:tcPr>
            <w:tcW w:w="1683"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8" w:right="0"/>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9"/>
              <w:jc w:val="right"/>
              <w:rPr>
                <w:rFonts w:ascii="宋体" w:hAnsi="宋体" w:cs="宋体" w:eastAsia="宋体" w:hint="default"/>
                <w:sz w:val="18"/>
                <w:szCs w:val="18"/>
              </w:rPr>
            </w:pPr>
            <w:r>
              <w:rPr>
                <w:rFonts w:ascii="宋体"/>
                <w:spacing w:val="-1"/>
                <w:sz w:val="18"/>
              </w:rPr>
              <w:t>33,872,996.23</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2" w:right="0"/>
              <w:jc w:val="center"/>
              <w:rPr>
                <w:rFonts w:ascii="宋体" w:hAnsi="宋体" w:cs="宋体" w:eastAsia="宋体" w:hint="default"/>
                <w:sz w:val="18"/>
                <w:szCs w:val="18"/>
              </w:rPr>
            </w:pPr>
            <w:r>
              <w:rPr>
                <w:rFonts w:ascii="宋体"/>
                <w:sz w:val="18"/>
              </w:rPr>
              <w:t>10,717,363.41</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9"/>
              <w:jc w:val="right"/>
              <w:rPr>
                <w:rFonts w:ascii="宋体" w:hAnsi="宋体" w:cs="宋体" w:eastAsia="宋体" w:hint="default"/>
                <w:sz w:val="18"/>
                <w:szCs w:val="18"/>
              </w:rPr>
            </w:pPr>
            <w:r>
              <w:rPr>
                <w:rFonts w:ascii="宋体"/>
                <w:spacing w:val="-1"/>
                <w:sz w:val="18"/>
              </w:rPr>
              <w:t>23,155,632.82</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11,767,824.28</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9"/>
              <w:jc w:val="right"/>
              <w:rPr>
                <w:rFonts w:ascii="宋体" w:hAnsi="宋体" w:cs="宋体" w:eastAsia="宋体" w:hint="default"/>
                <w:sz w:val="18"/>
                <w:szCs w:val="18"/>
              </w:rPr>
            </w:pPr>
            <w:r>
              <w:rPr>
                <w:rFonts w:ascii="宋体"/>
                <w:spacing w:val="-1"/>
                <w:sz w:val="18"/>
              </w:rPr>
              <w:t>2,674,597.25</w:t>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29" w:lineRule="exact"/>
              <w:ind w:right="108"/>
              <w:jc w:val="right"/>
              <w:rPr>
                <w:rFonts w:ascii="宋体" w:hAnsi="宋体" w:cs="宋体" w:eastAsia="宋体" w:hint="default"/>
                <w:sz w:val="18"/>
                <w:szCs w:val="18"/>
              </w:rPr>
            </w:pPr>
            <w:r>
              <w:rPr>
                <w:rFonts w:ascii="宋体"/>
                <w:spacing w:val="-1"/>
                <w:sz w:val="18"/>
              </w:rPr>
              <w:t>9,093,227.03</w:t>
            </w:r>
          </w:p>
        </w:tc>
      </w:tr>
      <w:tr>
        <w:trPr>
          <w:trHeight w:val="415" w:hRule="exact"/>
        </w:trPr>
        <w:tc>
          <w:tcPr>
            <w:tcW w:w="1683"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8" w:right="0"/>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9"/>
              <w:jc w:val="right"/>
              <w:rPr>
                <w:rFonts w:ascii="宋体" w:hAnsi="宋体" w:cs="宋体" w:eastAsia="宋体" w:hint="default"/>
                <w:sz w:val="18"/>
                <w:szCs w:val="18"/>
              </w:rPr>
            </w:pPr>
            <w:r>
              <w:rPr>
                <w:rFonts w:ascii="宋体"/>
                <w:spacing w:val="-1"/>
                <w:sz w:val="18"/>
              </w:rPr>
              <w:t>10,564,087.78</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3" w:right="0"/>
              <w:jc w:val="center"/>
              <w:rPr>
                <w:rFonts w:ascii="宋体" w:hAnsi="宋体" w:cs="宋体" w:eastAsia="宋体" w:hint="default"/>
                <w:sz w:val="18"/>
                <w:szCs w:val="18"/>
              </w:rPr>
            </w:pPr>
            <w:r>
              <w:rPr>
                <w:rFonts w:ascii="宋体"/>
                <w:sz w:val="18"/>
              </w:rPr>
              <w:t>3,342,460.97</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9"/>
              <w:jc w:val="right"/>
              <w:rPr>
                <w:rFonts w:ascii="宋体" w:hAnsi="宋体" w:cs="宋体" w:eastAsia="宋体" w:hint="default"/>
                <w:sz w:val="18"/>
                <w:szCs w:val="18"/>
              </w:rPr>
            </w:pPr>
            <w:r>
              <w:rPr>
                <w:rFonts w:ascii="宋体"/>
                <w:spacing w:val="-1"/>
                <w:sz w:val="18"/>
              </w:rPr>
              <w:t>7,221,626.81</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8,389,701.94</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8"/>
              <w:jc w:val="right"/>
              <w:rPr>
                <w:rFonts w:ascii="宋体" w:hAnsi="宋体" w:cs="宋体" w:eastAsia="宋体" w:hint="default"/>
                <w:sz w:val="18"/>
                <w:szCs w:val="18"/>
              </w:rPr>
            </w:pPr>
            <w:r>
              <w:rPr>
                <w:rFonts w:ascii="宋体"/>
                <w:spacing w:val="-1"/>
                <w:sz w:val="18"/>
              </w:rPr>
              <w:t>1,919,601.12</w:t>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29" w:lineRule="exact"/>
              <w:ind w:right="108"/>
              <w:jc w:val="right"/>
              <w:rPr>
                <w:rFonts w:ascii="宋体" w:hAnsi="宋体" w:cs="宋体" w:eastAsia="宋体" w:hint="default"/>
                <w:sz w:val="18"/>
                <w:szCs w:val="18"/>
              </w:rPr>
            </w:pPr>
            <w:r>
              <w:rPr>
                <w:rFonts w:ascii="宋体"/>
                <w:spacing w:val="-1"/>
                <w:sz w:val="18"/>
              </w:rPr>
              <w:t>6,470,100.82</w:t>
            </w:r>
          </w:p>
        </w:tc>
      </w:tr>
      <w:tr>
        <w:trPr>
          <w:trHeight w:val="418" w:hRule="exact"/>
        </w:trPr>
        <w:tc>
          <w:tcPr>
            <w:tcW w:w="1683" w:type="dxa"/>
            <w:tcBorders>
              <w:top w:val="single" w:sz="6" w:space="0" w:color="000000"/>
              <w:left w:val="nil" w:sz="6" w:space="0" w:color="auto"/>
              <w:bottom w:val="single" w:sz="6" w:space="0" w:color="000000"/>
              <w:right w:val="single" w:sz="6" w:space="0" w:color="000000"/>
            </w:tcBorders>
          </w:tcPr>
          <w:p>
            <w:pPr>
              <w:pStyle w:val="TableParagraph"/>
              <w:spacing w:line="229" w:lineRule="exact"/>
              <w:ind w:left="18" w:right="0"/>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9"/>
              <w:jc w:val="right"/>
              <w:rPr>
                <w:rFonts w:ascii="宋体" w:hAnsi="宋体" w:cs="宋体" w:eastAsia="宋体" w:hint="default"/>
                <w:sz w:val="18"/>
                <w:szCs w:val="18"/>
              </w:rPr>
            </w:pPr>
            <w:r>
              <w:rPr>
                <w:rFonts w:ascii="宋体"/>
                <w:spacing w:val="-1"/>
                <w:sz w:val="18"/>
              </w:rPr>
              <w:t>5,306,157.60</w:t>
            </w:r>
          </w:p>
        </w:tc>
        <w:tc>
          <w:tcPr>
            <w:tcW w:w="1399"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left="103" w:right="0"/>
              <w:jc w:val="center"/>
              <w:rPr>
                <w:rFonts w:ascii="宋体" w:hAnsi="宋体" w:cs="宋体" w:eastAsia="宋体" w:hint="default"/>
                <w:sz w:val="18"/>
                <w:szCs w:val="18"/>
              </w:rPr>
            </w:pPr>
            <w:r>
              <w:rPr>
                <w:rFonts w:ascii="宋体"/>
                <w:sz w:val="18"/>
              </w:rPr>
              <w:t>1,678,860.03</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9"/>
              <w:jc w:val="right"/>
              <w:rPr>
                <w:rFonts w:ascii="宋体" w:hAnsi="宋体" w:cs="宋体" w:eastAsia="宋体" w:hint="default"/>
                <w:sz w:val="18"/>
                <w:szCs w:val="18"/>
              </w:rPr>
            </w:pPr>
            <w:r>
              <w:rPr>
                <w:rFonts w:ascii="宋体"/>
                <w:spacing w:val="-1"/>
                <w:sz w:val="18"/>
              </w:rPr>
              <w:t>3,627,297.57</w:t>
            </w: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101"/>
              <w:jc w:val="right"/>
              <w:rPr>
                <w:rFonts w:ascii="宋体" w:hAnsi="宋体" w:cs="宋体" w:eastAsia="宋体" w:hint="default"/>
                <w:sz w:val="18"/>
                <w:szCs w:val="18"/>
              </w:rPr>
            </w:pPr>
            <w:r>
              <w:rPr>
                <w:rFonts w:ascii="宋体"/>
                <w:spacing w:val="-1"/>
                <w:sz w:val="18"/>
              </w:rPr>
              <w:t>4,264,342.55</w:t>
            </w:r>
          </w:p>
        </w:tc>
        <w:tc>
          <w:tcPr>
            <w:tcW w:w="1400" w:type="dxa"/>
            <w:tcBorders>
              <w:top w:val="single" w:sz="6" w:space="0" w:color="000000"/>
              <w:left w:val="single" w:sz="6" w:space="0" w:color="000000"/>
              <w:bottom w:val="single" w:sz="6" w:space="0" w:color="000000"/>
              <w:right w:val="single" w:sz="6" w:space="0" w:color="000000"/>
            </w:tcBorders>
          </w:tcPr>
          <w:p>
            <w:pPr>
              <w:pStyle w:val="TableParagraph"/>
              <w:spacing w:line="229" w:lineRule="exact"/>
              <w:ind w:right="99"/>
              <w:jc w:val="right"/>
              <w:rPr>
                <w:rFonts w:ascii="宋体" w:hAnsi="宋体" w:cs="宋体" w:eastAsia="宋体" w:hint="default"/>
                <w:sz w:val="18"/>
                <w:szCs w:val="18"/>
              </w:rPr>
            </w:pPr>
            <w:r>
              <w:rPr>
                <w:rFonts w:ascii="宋体"/>
                <w:spacing w:val="-1"/>
                <w:sz w:val="18"/>
              </w:rPr>
              <w:t>975,700.53</w:t>
            </w:r>
          </w:p>
        </w:tc>
        <w:tc>
          <w:tcPr>
            <w:tcW w:w="1490" w:type="dxa"/>
            <w:tcBorders>
              <w:top w:val="single" w:sz="6" w:space="0" w:color="000000"/>
              <w:left w:val="single" w:sz="6" w:space="0" w:color="000000"/>
              <w:bottom w:val="single" w:sz="6" w:space="0" w:color="000000"/>
              <w:right w:val="nil" w:sz="6" w:space="0" w:color="auto"/>
            </w:tcBorders>
          </w:tcPr>
          <w:p>
            <w:pPr>
              <w:pStyle w:val="TableParagraph"/>
              <w:spacing w:line="229" w:lineRule="exact"/>
              <w:ind w:right="108"/>
              <w:jc w:val="right"/>
              <w:rPr>
                <w:rFonts w:ascii="宋体" w:hAnsi="宋体" w:cs="宋体" w:eastAsia="宋体" w:hint="default"/>
                <w:sz w:val="18"/>
                <w:szCs w:val="18"/>
              </w:rPr>
            </w:pPr>
            <w:r>
              <w:rPr>
                <w:rFonts w:ascii="宋体"/>
                <w:spacing w:val="-1"/>
                <w:sz w:val="18"/>
              </w:rPr>
              <w:t>3,288,642.02</w:t>
            </w:r>
          </w:p>
        </w:tc>
      </w:tr>
      <w:tr>
        <w:trPr>
          <w:trHeight w:val="422" w:hRule="exact"/>
        </w:trPr>
        <w:tc>
          <w:tcPr>
            <w:tcW w:w="1683" w:type="dxa"/>
            <w:tcBorders>
              <w:top w:val="single" w:sz="6" w:space="0" w:color="000000"/>
              <w:left w:val="nil" w:sz="6" w:space="0" w:color="auto"/>
              <w:bottom w:val="single" w:sz="12" w:space="0" w:color="000000"/>
              <w:right w:val="single" w:sz="6" w:space="0" w:color="000000"/>
            </w:tcBorders>
          </w:tcPr>
          <w:p>
            <w:pPr>
              <w:pStyle w:val="TableParagraph"/>
              <w:spacing w:line="227" w:lineRule="exact"/>
              <w:ind w:left="2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277,634,347.03</w:t>
            </w:r>
          </w:p>
        </w:tc>
        <w:tc>
          <w:tcPr>
            <w:tcW w:w="1399" w:type="dxa"/>
            <w:tcBorders>
              <w:top w:val="single" w:sz="6" w:space="0" w:color="000000"/>
              <w:left w:val="single" w:sz="6" w:space="0" w:color="000000"/>
              <w:bottom w:val="single" w:sz="12" w:space="0" w:color="000000"/>
              <w:right w:val="single" w:sz="6" w:space="0" w:color="000000"/>
            </w:tcBorders>
          </w:tcPr>
          <w:p>
            <w:pPr>
              <w:pStyle w:val="TableParagraph"/>
              <w:spacing w:line="227" w:lineRule="exact"/>
              <w:ind w:left="12" w:right="0"/>
              <w:jc w:val="center"/>
              <w:rPr>
                <w:rFonts w:ascii="宋体" w:hAnsi="宋体" w:cs="宋体" w:eastAsia="宋体" w:hint="default"/>
                <w:sz w:val="18"/>
                <w:szCs w:val="18"/>
              </w:rPr>
            </w:pPr>
            <w:r>
              <w:rPr>
                <w:rFonts w:ascii="宋体"/>
                <w:sz w:val="18"/>
              </w:rPr>
              <w:t>89,958,745.40</w:t>
            </w:r>
          </w:p>
        </w:tc>
        <w:tc>
          <w:tcPr>
            <w:tcW w:w="1575" w:type="dxa"/>
            <w:tcBorders>
              <w:top w:val="single" w:sz="6" w:space="0" w:color="000000"/>
              <w:left w:val="single" w:sz="6" w:space="0" w:color="000000"/>
              <w:bottom w:val="single" w:sz="12" w:space="0" w:color="000000"/>
              <w:right w:val="single" w:sz="6"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187,675,601.63</w:t>
            </w:r>
          </w:p>
        </w:tc>
        <w:tc>
          <w:tcPr>
            <w:tcW w:w="1577" w:type="dxa"/>
            <w:tcBorders>
              <w:top w:val="single" w:sz="6" w:space="0" w:color="000000"/>
              <w:left w:val="single" w:sz="6" w:space="0" w:color="000000"/>
              <w:bottom w:val="single" w:sz="12" w:space="0" w:color="000000"/>
              <w:right w:val="single" w:sz="6" w:space="0" w:color="000000"/>
            </w:tcBorders>
          </w:tcPr>
          <w:p>
            <w:pPr>
              <w:pStyle w:val="TableParagraph"/>
              <w:spacing w:line="227" w:lineRule="exact"/>
              <w:ind w:right="101"/>
              <w:jc w:val="right"/>
              <w:rPr>
                <w:rFonts w:ascii="宋体" w:hAnsi="宋体" w:cs="宋体" w:eastAsia="宋体" w:hint="default"/>
                <w:sz w:val="18"/>
                <w:szCs w:val="18"/>
              </w:rPr>
            </w:pPr>
            <w:r>
              <w:rPr>
                <w:rFonts w:ascii="宋体"/>
                <w:spacing w:val="-1"/>
                <w:sz w:val="18"/>
              </w:rPr>
              <w:t>218,328,556.52</w:t>
            </w:r>
          </w:p>
        </w:tc>
        <w:tc>
          <w:tcPr>
            <w:tcW w:w="1400" w:type="dxa"/>
            <w:tcBorders>
              <w:top w:val="single" w:sz="6" w:space="0" w:color="000000"/>
              <w:left w:val="single" w:sz="6" w:space="0" w:color="000000"/>
              <w:bottom w:val="single" w:sz="12" w:space="0" w:color="000000"/>
              <w:right w:val="single" w:sz="6" w:space="0" w:color="000000"/>
            </w:tcBorders>
          </w:tcPr>
          <w:p>
            <w:pPr>
              <w:pStyle w:val="TableParagraph"/>
              <w:spacing w:line="227" w:lineRule="exact"/>
              <w:ind w:right="99"/>
              <w:jc w:val="right"/>
              <w:rPr>
                <w:rFonts w:ascii="宋体" w:hAnsi="宋体" w:cs="宋体" w:eastAsia="宋体" w:hint="default"/>
                <w:sz w:val="18"/>
                <w:szCs w:val="18"/>
              </w:rPr>
            </w:pPr>
            <w:r>
              <w:rPr>
                <w:rFonts w:ascii="宋体"/>
                <w:spacing w:val="-1"/>
                <w:sz w:val="18"/>
              </w:rPr>
              <w:t>52,407,693.61</w:t>
            </w:r>
          </w:p>
        </w:tc>
        <w:tc>
          <w:tcPr>
            <w:tcW w:w="1490" w:type="dxa"/>
            <w:tcBorders>
              <w:top w:val="single" w:sz="6" w:space="0" w:color="000000"/>
              <w:left w:val="single" w:sz="6" w:space="0" w:color="000000"/>
              <w:bottom w:val="single" w:sz="12" w:space="0" w:color="000000"/>
              <w:right w:val="nil" w:sz="6" w:space="0" w:color="auto"/>
            </w:tcBorders>
          </w:tcPr>
          <w:p>
            <w:pPr>
              <w:pStyle w:val="TableParagraph"/>
              <w:spacing w:line="227" w:lineRule="exact"/>
              <w:ind w:right="108"/>
              <w:jc w:val="right"/>
              <w:rPr>
                <w:rFonts w:ascii="宋体" w:hAnsi="宋体" w:cs="宋体" w:eastAsia="宋体" w:hint="default"/>
                <w:sz w:val="18"/>
                <w:szCs w:val="18"/>
              </w:rPr>
            </w:pPr>
            <w:r>
              <w:rPr>
                <w:rFonts w:ascii="宋体"/>
                <w:spacing w:val="-1"/>
                <w:sz w:val="18"/>
              </w:rPr>
              <w:t>165,920,862.91</w:t>
            </w:r>
          </w:p>
        </w:tc>
      </w:tr>
    </w:tbl>
    <w:p>
      <w:pPr>
        <w:spacing w:line="240" w:lineRule="auto" w:before="7"/>
        <w:rPr>
          <w:rFonts w:ascii="宋体" w:hAnsi="宋体" w:cs="宋体" w:eastAsia="宋体" w:hint="default"/>
          <w:sz w:val="6"/>
          <w:szCs w:val="6"/>
        </w:rPr>
      </w:pPr>
    </w:p>
    <w:p>
      <w:pPr>
        <w:pStyle w:val="BodyText"/>
        <w:spacing w:line="240" w:lineRule="auto" w:before="36"/>
        <w:ind w:left="660" w:right="606"/>
        <w:jc w:val="left"/>
      </w:pPr>
      <w:r>
        <w:rPr/>
        <w:t>（</w:t>
      </w:r>
      <w:r>
        <w:rPr>
          <w:rFonts w:ascii="宋体" w:hAnsi="宋体" w:cs="宋体" w:eastAsia="宋体" w:hint="default"/>
        </w:rPr>
        <w:t>4</w:t>
      </w:r>
      <w:r>
        <w:rPr/>
        <w:t>）本公司前五名客户的营业收入情况：</w:t>
      </w:r>
    </w:p>
    <w:p>
      <w:pPr>
        <w:spacing w:line="240" w:lineRule="auto" w:before="13"/>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3575"/>
        <w:gridCol w:w="3562"/>
        <w:gridCol w:w="3562"/>
      </w:tblGrid>
      <w:tr>
        <w:trPr>
          <w:trHeight w:val="485" w:hRule="exact"/>
        </w:trPr>
        <w:tc>
          <w:tcPr>
            <w:tcW w:w="3575"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356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56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25"/>
              <w:ind w:left="604" w:right="0"/>
              <w:jc w:val="left"/>
              <w:rPr>
                <w:rFonts w:ascii="宋体" w:hAnsi="宋体" w:cs="宋体" w:eastAsia="宋体" w:hint="default"/>
                <w:sz w:val="18"/>
                <w:szCs w:val="18"/>
              </w:rPr>
            </w:pPr>
            <w:r>
              <w:rPr>
                <w:rFonts w:ascii="宋体" w:hAnsi="宋体" w:cs="宋体" w:eastAsia="宋体" w:hint="default"/>
                <w:sz w:val="18"/>
                <w:szCs w:val="18"/>
              </w:rPr>
              <w:t>占本公司全部营业收入的比例</w:t>
            </w:r>
          </w:p>
        </w:tc>
      </w:tr>
      <w:tr>
        <w:trPr>
          <w:trHeight w:val="478"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吉林正德药业有限公司</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29,661,452.99</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10.68%</w:t>
            </w:r>
          </w:p>
        </w:tc>
      </w:tr>
      <w:tr>
        <w:trPr>
          <w:trHeight w:val="478"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中国药材集团有限公司</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14,681,552.29</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5.29%</w:t>
            </w:r>
          </w:p>
        </w:tc>
      </w:tr>
      <w:tr>
        <w:trPr>
          <w:trHeight w:val="480"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19" w:right="0"/>
              <w:jc w:val="center"/>
              <w:rPr>
                <w:rFonts w:ascii="宋体" w:hAnsi="宋体" w:cs="宋体" w:eastAsia="宋体" w:hint="default"/>
                <w:sz w:val="18"/>
                <w:szCs w:val="18"/>
              </w:rPr>
            </w:pPr>
            <w:r>
              <w:rPr>
                <w:rFonts w:ascii="宋体" w:hAnsi="宋体" w:cs="宋体" w:eastAsia="宋体" w:hint="default"/>
                <w:sz w:val="18"/>
                <w:szCs w:val="18"/>
              </w:rPr>
              <w:t>广州中山医药有限公司</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4,751,028.97</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1.71%</w:t>
            </w:r>
          </w:p>
        </w:tc>
      </w:tr>
      <w:tr>
        <w:trPr>
          <w:trHeight w:val="478"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亳州千草药业饮片厂</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4,289,316.24</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z w:val="18"/>
              </w:rPr>
              <w:t>1.54%</w:t>
            </w:r>
          </w:p>
        </w:tc>
      </w:tr>
      <w:tr>
        <w:trPr>
          <w:trHeight w:val="715"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8" w:right="0"/>
              <w:jc w:val="center"/>
              <w:rPr>
                <w:rFonts w:ascii="宋体" w:hAnsi="宋体" w:cs="宋体" w:eastAsia="宋体" w:hint="default"/>
                <w:sz w:val="18"/>
                <w:szCs w:val="18"/>
              </w:rPr>
            </w:pPr>
            <w:r>
              <w:rPr>
                <w:rFonts w:ascii="宋体" w:hAnsi="宋体" w:cs="宋体" w:eastAsia="宋体" w:hint="default"/>
                <w:sz w:val="18"/>
                <w:szCs w:val="18"/>
              </w:rPr>
              <w:t>北京金象复星医药股份有限公司地安门分</w:t>
            </w:r>
          </w:p>
          <w:p>
            <w:pPr>
              <w:pStyle w:val="TableParagraph"/>
              <w:spacing w:line="240" w:lineRule="auto" w:before="115"/>
              <w:ind w:left="19"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
                <w:sz w:val="18"/>
              </w:rPr>
              <w:t>3,461,742.62</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z w:val="18"/>
              </w:rPr>
              <w:t>1.25%</w:t>
            </w:r>
          </w:p>
        </w:tc>
      </w:tr>
      <w:tr>
        <w:trPr>
          <w:trHeight w:val="487" w:hRule="exact"/>
        </w:trPr>
        <w:tc>
          <w:tcPr>
            <w:tcW w:w="3575" w:type="dxa"/>
            <w:tcBorders>
              <w:top w:val="single" w:sz="6" w:space="0" w:color="000000"/>
              <w:left w:val="nil" w:sz="6" w:space="0" w:color="auto"/>
              <w:bottom w:val="single" w:sz="12" w:space="0" w:color="000000"/>
              <w:right w:val="single" w:sz="6" w:space="0" w:color="000000"/>
            </w:tcBorders>
          </w:tcPr>
          <w:p>
            <w:pPr>
              <w:pStyle w:val="TableParagraph"/>
              <w:tabs>
                <w:tab w:pos="563" w:val="left" w:leader="none"/>
              </w:tabs>
              <w:spacing w:line="240" w:lineRule="auto" w:before="25"/>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62" w:type="dxa"/>
            <w:tcBorders>
              <w:top w:val="single" w:sz="6" w:space="0" w:color="000000"/>
              <w:left w:val="single" w:sz="6" w:space="0" w:color="000000"/>
              <w:bottom w:val="single" w:sz="12"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pacing w:val="-1"/>
                <w:sz w:val="18"/>
              </w:rPr>
              <w:t>56,845,093.11</w:t>
            </w:r>
          </w:p>
        </w:tc>
        <w:tc>
          <w:tcPr>
            <w:tcW w:w="3562"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25"/>
              <w:ind w:right="105"/>
              <w:jc w:val="right"/>
              <w:rPr>
                <w:rFonts w:ascii="宋体" w:hAnsi="宋体" w:cs="宋体" w:eastAsia="宋体" w:hint="default"/>
                <w:sz w:val="18"/>
                <w:szCs w:val="18"/>
              </w:rPr>
            </w:pPr>
            <w:r>
              <w:rPr>
                <w:rFonts w:ascii="宋体"/>
                <w:spacing w:val="-1"/>
                <w:sz w:val="18"/>
              </w:rPr>
              <w:t>20.47%</w:t>
            </w:r>
          </w:p>
        </w:tc>
      </w:tr>
    </w:tbl>
    <w:p>
      <w:pPr>
        <w:pStyle w:val="Heading4"/>
        <w:spacing w:line="240" w:lineRule="auto"/>
        <w:ind w:right="606"/>
        <w:jc w:val="left"/>
        <w:rPr>
          <w:b w:val="0"/>
          <w:bCs w:val="0"/>
        </w:rPr>
      </w:pPr>
      <w:r>
        <w:rPr>
          <w:rFonts w:ascii="宋体" w:hAnsi="宋体" w:cs="宋体" w:eastAsia="宋体" w:hint="default"/>
        </w:rPr>
        <w:t>5.</w:t>
      </w:r>
      <w:r>
        <w:rPr>
          <w:rFonts w:ascii="宋体" w:hAnsi="宋体" w:cs="宋体" w:eastAsia="宋体" w:hint="default"/>
          <w:spacing w:val="1"/>
        </w:rPr>
        <w:t> </w:t>
      </w:r>
      <w:r>
        <w:rPr/>
        <w:t>投资收益</w:t>
      </w:r>
      <w:r>
        <w:rPr>
          <w:b w:val="0"/>
          <w:bCs w:val="0"/>
        </w:rPr>
      </w:r>
    </w:p>
    <w:p>
      <w:pPr>
        <w:spacing w:line="240" w:lineRule="auto" w:before="10"/>
        <w:rPr>
          <w:rFonts w:ascii="宋体" w:hAnsi="宋体" w:cs="宋体" w:eastAsia="宋体" w:hint="default"/>
          <w:b/>
          <w:bCs/>
          <w:sz w:val="12"/>
          <w:szCs w:val="12"/>
        </w:rPr>
      </w:pPr>
    </w:p>
    <w:tbl>
      <w:tblPr>
        <w:tblW w:w="0" w:type="auto"/>
        <w:jc w:val="left"/>
        <w:tblInd w:w="103" w:type="dxa"/>
        <w:tblLayout w:type="fixed"/>
        <w:tblCellMar>
          <w:top w:w="0" w:type="dxa"/>
          <w:left w:w="0" w:type="dxa"/>
          <w:bottom w:w="0" w:type="dxa"/>
          <w:right w:w="0" w:type="dxa"/>
        </w:tblCellMar>
        <w:tblLook w:val="01E0"/>
      </w:tblPr>
      <w:tblGrid>
        <w:gridCol w:w="3575"/>
        <w:gridCol w:w="3562"/>
        <w:gridCol w:w="3562"/>
      </w:tblGrid>
      <w:tr>
        <w:trPr>
          <w:trHeight w:val="437" w:hRule="exact"/>
        </w:trPr>
        <w:tc>
          <w:tcPr>
            <w:tcW w:w="3575" w:type="dxa"/>
            <w:tcBorders>
              <w:top w:val="single" w:sz="12" w:space="0" w:color="000000"/>
              <w:left w:val="nil" w:sz="6" w:space="0" w:color="auto"/>
              <w:bottom w:val="single" w:sz="6" w:space="0" w:color="000000"/>
              <w:right w:val="single" w:sz="6" w:space="0" w:color="000000"/>
            </w:tcBorders>
          </w:tcPr>
          <w:p>
            <w:pPr>
              <w:pStyle w:val="TableParagraph"/>
              <w:tabs>
                <w:tab w:pos="563" w:val="left" w:leader="none"/>
              </w:tabs>
              <w:spacing w:line="240" w:lineRule="auto" w:before="1"/>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562"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1"/>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6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
              <w:ind w:right="4"/>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28"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35" w:lineRule="exact"/>
              <w:ind w:left="18" w:right="0"/>
              <w:jc w:val="center"/>
              <w:rPr>
                <w:rFonts w:ascii="宋体" w:hAnsi="宋体" w:cs="宋体" w:eastAsia="宋体" w:hint="default"/>
                <w:sz w:val="18"/>
                <w:szCs w:val="18"/>
              </w:rPr>
            </w:pPr>
            <w:r>
              <w:rPr>
                <w:rFonts w:ascii="宋体" w:hAnsi="宋体" w:cs="宋体" w:eastAsia="宋体" w:hint="default"/>
                <w:sz w:val="18"/>
                <w:szCs w:val="18"/>
              </w:rPr>
              <w:t>成本法核算的长期股权投资处置收益</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101"/>
              <w:jc w:val="right"/>
              <w:rPr>
                <w:rFonts w:ascii="宋体" w:hAnsi="宋体" w:cs="宋体" w:eastAsia="宋体" w:hint="default"/>
                <w:sz w:val="18"/>
                <w:szCs w:val="18"/>
              </w:rPr>
            </w:pPr>
            <w:r>
              <w:rPr>
                <w:rFonts w:ascii="宋体"/>
                <w:spacing w:val="-1"/>
                <w:sz w:val="18"/>
              </w:rPr>
              <w:t>4,296,729.38</w:t>
            </w:r>
          </w:p>
        </w:tc>
        <w:tc>
          <w:tcPr>
            <w:tcW w:w="3562" w:type="dxa"/>
            <w:tcBorders>
              <w:top w:val="single" w:sz="6" w:space="0" w:color="000000"/>
              <w:left w:val="single" w:sz="4" w:space="0" w:color="000000"/>
              <w:bottom w:val="single" w:sz="6" w:space="0" w:color="000000"/>
              <w:right w:val="nil" w:sz="6" w:space="0" w:color="auto"/>
            </w:tcBorders>
          </w:tcPr>
          <w:p>
            <w:pPr/>
          </w:p>
        </w:tc>
      </w:tr>
      <w:tr>
        <w:trPr>
          <w:trHeight w:val="430" w:hRule="exact"/>
        </w:trPr>
        <w:tc>
          <w:tcPr>
            <w:tcW w:w="357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18" w:right="0"/>
              <w:jc w:val="center"/>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56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right="101"/>
              <w:jc w:val="right"/>
              <w:rPr>
                <w:rFonts w:ascii="宋体" w:hAnsi="宋体" w:cs="宋体" w:eastAsia="宋体" w:hint="default"/>
                <w:sz w:val="18"/>
                <w:szCs w:val="18"/>
              </w:rPr>
            </w:pPr>
            <w:r>
              <w:rPr>
                <w:rFonts w:ascii="宋体"/>
                <w:spacing w:val="-1"/>
                <w:sz w:val="18"/>
              </w:rPr>
              <w:t>1,960,000.00</w:t>
            </w:r>
          </w:p>
        </w:tc>
        <w:tc>
          <w:tcPr>
            <w:tcW w:w="3562"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
              <w:ind w:right="105"/>
              <w:jc w:val="right"/>
              <w:rPr>
                <w:rFonts w:ascii="宋体" w:hAnsi="宋体" w:cs="宋体" w:eastAsia="宋体" w:hint="default"/>
                <w:sz w:val="18"/>
                <w:szCs w:val="18"/>
              </w:rPr>
            </w:pPr>
            <w:r>
              <w:rPr>
                <w:rFonts w:ascii="宋体"/>
                <w:spacing w:val="-1"/>
                <w:sz w:val="18"/>
              </w:rPr>
              <w:t>28,200,000.00</w:t>
            </w:r>
          </w:p>
        </w:tc>
      </w:tr>
      <w:tr>
        <w:trPr>
          <w:trHeight w:val="437" w:hRule="exact"/>
        </w:trPr>
        <w:tc>
          <w:tcPr>
            <w:tcW w:w="3575" w:type="dxa"/>
            <w:tcBorders>
              <w:top w:val="single" w:sz="6" w:space="0" w:color="000000"/>
              <w:left w:val="nil" w:sz="6" w:space="0" w:color="auto"/>
              <w:bottom w:val="single" w:sz="12" w:space="0" w:color="000000"/>
              <w:right w:val="single" w:sz="6" w:space="0" w:color="000000"/>
            </w:tcBorders>
          </w:tcPr>
          <w:p>
            <w:pPr>
              <w:pStyle w:val="TableParagraph"/>
              <w:tabs>
                <w:tab w:pos="563" w:val="left" w:leader="none"/>
              </w:tabs>
              <w:spacing w:line="234" w:lineRule="exact"/>
              <w:ind w:left="2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562" w:type="dxa"/>
            <w:tcBorders>
              <w:top w:val="single" w:sz="6" w:space="0" w:color="000000"/>
              <w:left w:val="single" w:sz="6" w:space="0" w:color="000000"/>
              <w:bottom w:val="single" w:sz="12" w:space="0" w:color="000000"/>
              <w:right w:val="single" w:sz="4" w:space="0" w:color="000000"/>
            </w:tcBorders>
          </w:tcPr>
          <w:p>
            <w:pPr>
              <w:pStyle w:val="TableParagraph"/>
              <w:spacing w:line="234" w:lineRule="exact"/>
              <w:ind w:right="101"/>
              <w:jc w:val="right"/>
              <w:rPr>
                <w:rFonts w:ascii="宋体" w:hAnsi="宋体" w:cs="宋体" w:eastAsia="宋体" w:hint="default"/>
                <w:sz w:val="18"/>
                <w:szCs w:val="18"/>
              </w:rPr>
            </w:pPr>
            <w:r>
              <w:rPr>
                <w:rFonts w:ascii="宋体"/>
                <w:spacing w:val="-1"/>
                <w:sz w:val="18"/>
              </w:rPr>
              <w:t>6,256,729.38</w:t>
            </w:r>
          </w:p>
        </w:tc>
        <w:tc>
          <w:tcPr>
            <w:tcW w:w="3562" w:type="dxa"/>
            <w:tcBorders>
              <w:top w:val="single" w:sz="6" w:space="0" w:color="000000"/>
              <w:left w:val="single" w:sz="4" w:space="0" w:color="000000"/>
              <w:bottom w:val="single" w:sz="12"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28,200,000.00</w:t>
            </w:r>
          </w:p>
        </w:tc>
      </w:tr>
    </w:tbl>
    <w:p>
      <w:pPr>
        <w:pStyle w:val="BodyText"/>
        <w:spacing w:line="355" w:lineRule="auto" w:before="86"/>
        <w:ind w:left="240" w:right="694" w:firstLine="525"/>
        <w:jc w:val="both"/>
      </w:pPr>
      <w:r>
        <w:rPr/>
        <w:t>根据</w:t>
      </w:r>
      <w:r>
        <w:rPr>
          <w:spacing w:val="-53"/>
        </w:rPr>
        <w:t> </w:t>
      </w:r>
      <w:r>
        <w:rPr>
          <w:rFonts w:ascii="宋体" w:hAnsi="宋体" w:cs="宋体" w:eastAsia="宋体" w:hint="default"/>
        </w:rPr>
        <w:t>2010</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6"/>
        </w:rPr>
        <w:t> </w:t>
      </w:r>
      <w:r>
        <w:rPr/>
        <w:t>日安图县工商行政管理局下发的核准号为“安图核注通内字</w:t>
      </w:r>
      <w:r>
        <w:rPr>
          <w:rFonts w:ascii="宋体" w:hAnsi="宋体" w:cs="宋体" w:eastAsia="宋体" w:hint="default"/>
        </w:rPr>
        <w:t>[2010]</w:t>
      </w:r>
      <w:r>
        <w:rPr/>
        <w:t>第</w:t>
      </w:r>
      <w:r>
        <w:rPr>
          <w:spacing w:val="-54"/>
        </w:rPr>
        <w:t> </w:t>
      </w:r>
      <w:r>
        <w:rPr>
          <w:rFonts w:ascii="宋体" w:hAnsi="宋体" w:cs="宋体" w:eastAsia="宋体" w:hint="default"/>
        </w:rPr>
        <w:t>1000614783</w:t>
      </w:r>
      <w:r>
        <w:rPr>
          <w:rFonts w:ascii="宋体" w:hAnsi="宋体" w:cs="宋体" w:eastAsia="宋体" w:hint="default"/>
          <w:spacing w:val="-56"/>
        </w:rPr>
        <w:t> </w:t>
      </w:r>
      <w:r>
        <w:rPr>
          <w:spacing w:val="-4"/>
        </w:rPr>
        <w:t>号”注</w:t>
      </w:r>
      <w:r>
        <w:rPr>
          <w:w w:val="100"/>
        </w:rPr>
        <w:t> </w:t>
      </w:r>
      <w:r>
        <w:rPr>
          <w:spacing w:val="15"/>
        </w:rPr>
        <w:t>销登记通知书，子公司吉林融安科工贸有限公司予以注销，本公司由于此子公司注销而产生的投资收益为</w:t>
      </w:r>
      <w:r>
        <w:rPr>
          <w:spacing w:val="-6"/>
        </w:rPr>
        <w:t> </w:t>
      </w:r>
      <w:r>
        <w:rPr>
          <w:spacing w:val="-6"/>
        </w:rPr>
      </w:r>
      <w:r>
        <w:rPr>
          <w:rFonts w:ascii="宋体" w:hAnsi="宋体" w:cs="宋体" w:eastAsia="宋体" w:hint="default"/>
        </w:rPr>
        <w:t>4,296,729.38</w:t>
      </w:r>
      <w:r>
        <w:rPr>
          <w:rFonts w:ascii="宋体" w:hAnsi="宋体" w:cs="宋体" w:eastAsia="宋体" w:hint="default"/>
          <w:spacing w:val="-52"/>
        </w:rPr>
        <w:t> </w:t>
      </w:r>
      <w:r>
        <w:rPr/>
        <w:t>元。</w:t>
      </w:r>
    </w:p>
    <w:p>
      <w:pPr>
        <w:pStyle w:val="BodyText"/>
        <w:spacing w:line="240" w:lineRule="auto" w:before="34"/>
        <w:ind w:left="660" w:right="606"/>
        <w:jc w:val="left"/>
      </w:pPr>
      <w:r>
        <w:rPr/>
        <w:t>根据长春农村商业银行股份有限公司</w:t>
      </w:r>
      <w:r>
        <w:rPr>
          <w:spacing w:val="-44"/>
        </w:rPr>
        <w:t> </w:t>
      </w:r>
      <w:r>
        <w:rPr>
          <w:rFonts w:ascii="宋体" w:hAnsi="宋体" w:cs="宋体" w:eastAsia="宋体" w:hint="default"/>
        </w:rPr>
        <w:t>2009</w:t>
      </w:r>
      <w:r>
        <w:rPr>
          <w:rFonts w:ascii="宋体" w:hAnsi="宋体" w:cs="宋体" w:eastAsia="宋体" w:hint="default"/>
          <w:spacing w:val="-45"/>
        </w:rPr>
        <w:t> </w:t>
      </w:r>
      <w:r>
        <w:rPr>
          <w:spacing w:val="-3"/>
        </w:rPr>
        <w:t>年度股东大会决议，审议通过了</w:t>
      </w:r>
      <w:r>
        <w:rPr>
          <w:spacing w:val="-45"/>
        </w:rPr>
        <w:t> </w:t>
      </w:r>
      <w:r>
        <w:rPr>
          <w:rFonts w:ascii="宋体" w:hAnsi="宋体" w:cs="宋体" w:eastAsia="宋体" w:hint="default"/>
        </w:rPr>
        <w:t>2009</w:t>
      </w:r>
      <w:r>
        <w:rPr>
          <w:rFonts w:ascii="宋体" w:hAnsi="宋体" w:cs="宋体" w:eastAsia="宋体" w:hint="default"/>
          <w:spacing w:val="-45"/>
        </w:rPr>
        <w:t> </w:t>
      </w:r>
      <w:r>
        <w:rPr>
          <w:spacing w:val="-3"/>
        </w:rPr>
        <w:t>年度利润分配方案，以总股本</w:t>
      </w:r>
    </w:p>
    <w:p>
      <w:pPr>
        <w:pStyle w:val="BodyText"/>
        <w:spacing w:line="240" w:lineRule="auto" w:before="133"/>
        <w:ind w:left="240" w:right="606"/>
        <w:jc w:val="left"/>
      </w:pPr>
      <w:r>
        <w:rPr>
          <w:rFonts w:ascii="宋体" w:hAnsi="宋体" w:cs="宋体" w:eastAsia="宋体" w:hint="default"/>
          <w:w w:val="100"/>
        </w:rPr>
        <w:t>30,0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spacing w:val="-3"/>
          <w:w w:val="100"/>
        </w:rPr>
        <w:t>万</w:t>
      </w:r>
      <w:r>
        <w:rPr>
          <w:w w:val="100"/>
        </w:rPr>
        <w:t>股</w:t>
      </w:r>
      <w:r>
        <w:rPr>
          <w:spacing w:val="-3"/>
          <w:w w:val="100"/>
        </w:rPr>
        <w:t>为</w:t>
      </w:r>
      <w:r>
        <w:rPr>
          <w:w w:val="100"/>
        </w:rPr>
        <w:t>基</w:t>
      </w:r>
      <w:r>
        <w:rPr>
          <w:spacing w:val="-3"/>
          <w:w w:val="100"/>
        </w:rPr>
        <w:t>数</w:t>
      </w:r>
      <w:r>
        <w:rPr>
          <w:w w:val="100"/>
        </w:rPr>
        <w:t>，</w:t>
      </w:r>
      <w:r>
        <w:rPr>
          <w:spacing w:val="-3"/>
          <w:w w:val="100"/>
        </w:rPr>
        <w:t>向全</w:t>
      </w:r>
      <w:r>
        <w:rPr>
          <w:w w:val="100"/>
        </w:rPr>
        <w:t>体股</w:t>
      </w:r>
      <w:r>
        <w:rPr>
          <w:spacing w:val="-3"/>
          <w:w w:val="100"/>
        </w:rPr>
        <w:t>东</w:t>
      </w:r>
      <w:r>
        <w:rPr>
          <w:w w:val="100"/>
        </w:rPr>
        <w:t>每</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股</w:t>
      </w:r>
      <w:r>
        <w:rPr>
          <w:w w:val="100"/>
        </w:rPr>
        <w:t>派</w:t>
      </w:r>
      <w:r>
        <w:rPr>
          <w:spacing w:val="-3"/>
          <w:w w:val="100"/>
        </w:rPr>
        <w:t>发</w:t>
      </w:r>
      <w:r>
        <w:rPr>
          <w:w w:val="100"/>
        </w:rPr>
        <w:t>现</w:t>
      </w:r>
      <w:r>
        <w:rPr>
          <w:spacing w:val="-3"/>
          <w:w w:val="100"/>
        </w:rPr>
        <w:t>金红</w:t>
      </w:r>
      <w:r>
        <w:rPr>
          <w:w w:val="100"/>
        </w:rPr>
        <w:t>利</w:t>
      </w:r>
      <w:r>
        <w:rPr>
          <w:spacing w:val="-53"/>
        </w:rPr>
        <w:t> </w:t>
      </w:r>
      <w:r>
        <w:rPr>
          <w:rFonts w:ascii="宋体" w:hAnsi="宋体" w:cs="宋体" w:eastAsia="宋体" w:hint="default"/>
          <w:w w:val="100"/>
        </w:rPr>
        <w:t>0.7</w:t>
      </w:r>
      <w:r>
        <w:rPr>
          <w:rFonts w:ascii="宋体" w:hAnsi="宋体" w:cs="宋体" w:eastAsia="宋体" w:hint="default"/>
          <w:spacing w:val="-55"/>
        </w:rPr>
        <w:t> </w:t>
      </w:r>
      <w:r>
        <w:rPr>
          <w:w w:val="100"/>
        </w:rPr>
        <w:t>元</w:t>
      </w:r>
      <w:r>
        <w:rPr>
          <w:spacing w:val="-3"/>
          <w:w w:val="100"/>
        </w:rPr>
        <w:t>（</w:t>
      </w:r>
      <w:r>
        <w:rPr>
          <w:w w:val="100"/>
        </w:rPr>
        <w:t>含</w:t>
      </w:r>
      <w:r>
        <w:rPr>
          <w:spacing w:val="-3"/>
          <w:w w:val="100"/>
        </w:rPr>
        <w:t>税</w:t>
      </w:r>
      <w:r>
        <w:rPr>
          <w:spacing w:val="-106"/>
          <w:w w:val="100"/>
        </w:rPr>
        <w:t>）</w:t>
      </w:r>
      <w:r>
        <w:rPr>
          <w:spacing w:val="-3"/>
          <w:w w:val="100"/>
        </w:rPr>
        <w:t>，</w:t>
      </w:r>
      <w:r>
        <w:rPr>
          <w:w w:val="100"/>
        </w:rPr>
        <w:t>本</w:t>
      </w:r>
      <w:r>
        <w:rPr>
          <w:spacing w:val="-3"/>
          <w:w w:val="100"/>
        </w:rPr>
        <w:t>公司</w:t>
      </w:r>
      <w:r>
        <w:rPr>
          <w:w w:val="100"/>
        </w:rPr>
        <w:t>本期</w:t>
      </w:r>
      <w:r>
        <w:rPr>
          <w:spacing w:val="-3"/>
          <w:w w:val="100"/>
        </w:rPr>
        <w:t>取</w:t>
      </w:r>
      <w:r>
        <w:rPr>
          <w:w w:val="100"/>
        </w:rPr>
        <w:t>得</w:t>
      </w:r>
      <w:r>
        <w:rPr>
          <w:spacing w:val="-3"/>
          <w:w w:val="100"/>
        </w:rPr>
        <w:t>现</w:t>
      </w:r>
      <w:r>
        <w:rPr>
          <w:w w:val="100"/>
        </w:rPr>
        <w:t>金</w:t>
      </w:r>
      <w:r>
        <w:rPr>
          <w:spacing w:val="-3"/>
          <w:w w:val="100"/>
        </w:rPr>
        <w:t>红</w:t>
      </w:r>
      <w:r>
        <w:rPr>
          <w:w w:val="100"/>
        </w:rPr>
        <w:t>利</w:t>
      </w:r>
      <w:r>
        <w:rPr>
          <w:spacing w:val="-52"/>
        </w:rPr>
        <w:t> </w:t>
      </w:r>
      <w:r>
        <w:rPr>
          <w:rFonts w:ascii="宋体" w:hAnsi="宋体" w:cs="宋体" w:eastAsia="宋体" w:hint="default"/>
          <w:spacing w:val="-3"/>
          <w:w w:val="100"/>
        </w:rPr>
        <w:t>1</w:t>
      </w:r>
      <w:r>
        <w:rPr>
          <w:rFonts w:ascii="宋体" w:hAnsi="宋体" w:cs="宋体" w:eastAsia="宋体" w:hint="default"/>
          <w:w w:val="100"/>
        </w:rPr>
        <w:t>96</w:t>
      </w:r>
      <w:r>
        <w:rPr>
          <w:rFonts w:ascii="宋体" w:hAnsi="宋体" w:cs="宋体" w:eastAsia="宋体" w:hint="default"/>
          <w:spacing w:val="-53"/>
        </w:rPr>
        <w:t> </w:t>
      </w:r>
      <w:r>
        <w:rPr>
          <w:spacing w:val="-3"/>
          <w:w w:val="100"/>
        </w:rPr>
        <w:t>万</w:t>
      </w:r>
      <w:r>
        <w:rPr>
          <w:w w:val="100"/>
        </w:rPr>
        <w:t>元。</w:t>
      </w:r>
    </w:p>
    <w:p>
      <w:pPr>
        <w:spacing w:after="0" w:line="240" w:lineRule="auto"/>
        <w:jc w:val="left"/>
        <w:sectPr>
          <w:pgSz w:w="11910" w:h="16840"/>
          <w:pgMar w:header="720" w:footer="947" w:top="1300" w:bottom="1140" w:left="480" w:right="0"/>
        </w:sectPr>
      </w:pPr>
    </w:p>
    <w:p>
      <w:pPr>
        <w:pStyle w:val="Heading4"/>
        <w:spacing w:line="240" w:lineRule="auto" w:before="19"/>
        <w:ind w:right="606"/>
        <w:jc w:val="left"/>
        <w:rPr>
          <w:b w:val="0"/>
          <w:bCs w:val="0"/>
        </w:rPr>
      </w:pPr>
      <w:r>
        <w:rPr/>
        <w:pict>
          <v:group style="position:absolute;margin-left:34.560001pt;margin-top:2.293643pt;width:508.3pt;height:.1pt;mso-position-horizontal-relative:page;mso-position-vertical-relative:paragraph;z-index:-532240" coordorigin="691,46" coordsize="10166,2">
            <v:shape style="position:absolute;left:691;top:46;width:10166;height:2" coordorigin="691,46" coordsize="10166,0" path="m691,46l10857,46e" filled="false" stroked="true" strokeweight=".72pt" strokecolor="#000000">
              <v:path arrowok="t"/>
            </v:shape>
            <w10:wrap type="none"/>
          </v:group>
        </w:pict>
      </w:r>
      <w:r>
        <w:rPr>
          <w:rFonts w:ascii="宋体" w:hAnsi="宋体" w:cs="宋体" w:eastAsia="宋体" w:hint="default"/>
        </w:rPr>
        <w:t>6</w:t>
      </w:r>
      <w:r>
        <w:rPr/>
        <w:t>、现金流量表补充资料</w:t>
      </w:r>
      <w:r>
        <w:rPr>
          <w:b w:val="0"/>
          <w:bCs w:val="0"/>
        </w:rPr>
      </w:r>
    </w:p>
    <w:p>
      <w:pPr>
        <w:spacing w:line="240" w:lineRule="auto" w:before="10"/>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6388"/>
        <w:gridCol w:w="2158"/>
        <w:gridCol w:w="2153"/>
      </w:tblGrid>
      <w:tr>
        <w:trPr>
          <w:trHeight w:val="435" w:hRule="exact"/>
        </w:trPr>
        <w:tc>
          <w:tcPr>
            <w:tcW w:w="6388" w:type="dxa"/>
            <w:tcBorders>
              <w:top w:val="single" w:sz="12" w:space="0" w:color="000000"/>
              <w:left w:val="nil" w:sz="6" w:space="0" w:color="auto"/>
              <w:bottom w:val="single" w:sz="6" w:space="0" w:color="000000"/>
              <w:right w:val="single" w:sz="6" w:space="0" w:color="000000"/>
            </w:tcBorders>
          </w:tcPr>
          <w:p>
            <w:pPr>
              <w:pStyle w:val="TableParagraph"/>
              <w:tabs>
                <w:tab w:pos="1198" w:val="left" w:leader="none"/>
              </w:tabs>
              <w:spacing w:line="234" w:lineRule="exact"/>
              <w:ind w:left="2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58" w:type="dxa"/>
            <w:tcBorders>
              <w:top w:val="single" w:sz="12" w:space="0" w:color="000000"/>
              <w:left w:val="single" w:sz="6" w:space="0" w:color="000000"/>
              <w:bottom w:val="single" w:sz="6" w:space="0" w:color="000000"/>
              <w:right w:val="single" w:sz="2" w:space="0" w:color="000000"/>
            </w:tcBorders>
          </w:tcPr>
          <w:p>
            <w:pPr>
              <w:pStyle w:val="TableParagraph"/>
              <w:spacing w:line="234" w:lineRule="exact"/>
              <w:ind w:left="61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53" w:type="dxa"/>
            <w:tcBorders>
              <w:top w:val="single" w:sz="12" w:space="0" w:color="000000"/>
              <w:left w:val="single" w:sz="2" w:space="0" w:color="000000"/>
              <w:bottom w:val="single" w:sz="6" w:space="0" w:color="000000"/>
              <w:right w:val="nil" w:sz="6" w:space="0" w:color="auto"/>
            </w:tcBorders>
          </w:tcPr>
          <w:p>
            <w:pPr>
              <w:pStyle w:val="TableParagraph"/>
              <w:spacing w:line="234" w:lineRule="exact"/>
              <w:ind w:left="62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30"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）将净利润调节为经营活动的现金流量</w:t>
            </w:r>
            <w:r>
              <w:rPr>
                <w:rFonts w:ascii="宋体" w:hAnsi="宋体" w:cs="宋体" w:eastAsia="宋体" w:hint="default"/>
                <w:sz w:val="18"/>
                <w:szCs w:val="18"/>
              </w:rPr>
            </w:r>
          </w:p>
        </w:tc>
        <w:tc>
          <w:tcPr>
            <w:tcW w:w="2158" w:type="dxa"/>
            <w:tcBorders>
              <w:top w:val="single" w:sz="6" w:space="0" w:color="000000"/>
              <w:left w:val="single" w:sz="6" w:space="0" w:color="000000"/>
              <w:bottom w:val="single" w:sz="6" w:space="0" w:color="000000"/>
              <w:right w:val="single" w:sz="2" w:space="0" w:color="000000"/>
            </w:tcBorders>
          </w:tcPr>
          <w:p>
            <w:pP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34" w:lineRule="exact"/>
              <w:ind w:right="106"/>
              <w:jc w:val="right"/>
              <w:rPr>
                <w:rFonts w:ascii="宋体" w:hAnsi="宋体" w:cs="宋体" w:eastAsia="宋体" w:hint="default"/>
                <w:sz w:val="18"/>
                <w:szCs w:val="18"/>
              </w:rPr>
            </w:pPr>
            <w:r>
              <w:rPr>
                <w:rFonts w:ascii="宋体"/>
                <w:spacing w:val="-1"/>
                <w:sz w:val="18"/>
              </w:rPr>
              <w:t>47,860,013.41</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79,983,533.93</w:t>
            </w: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34" w:lineRule="exact"/>
              <w:ind w:right="106"/>
              <w:jc w:val="right"/>
              <w:rPr>
                <w:rFonts w:ascii="宋体" w:hAnsi="宋体" w:cs="宋体" w:eastAsia="宋体" w:hint="default"/>
                <w:sz w:val="18"/>
                <w:szCs w:val="18"/>
              </w:rPr>
            </w:pPr>
            <w:r>
              <w:rPr>
                <w:rFonts w:ascii="宋体"/>
                <w:spacing w:val="-1"/>
                <w:sz w:val="18"/>
              </w:rPr>
              <w:t>-1,041,553.77</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4,344,143.91</w:t>
            </w:r>
          </w:p>
        </w:tc>
      </w:tr>
      <w:tr>
        <w:trPr>
          <w:trHeight w:val="430"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48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
              <w:ind w:right="106"/>
              <w:jc w:val="right"/>
              <w:rPr>
                <w:rFonts w:ascii="宋体" w:hAnsi="宋体" w:cs="宋体" w:eastAsia="宋体" w:hint="default"/>
                <w:sz w:val="18"/>
                <w:szCs w:val="18"/>
              </w:rPr>
            </w:pPr>
            <w:r>
              <w:rPr>
                <w:rFonts w:ascii="宋体"/>
                <w:spacing w:val="-1"/>
                <w:sz w:val="18"/>
              </w:rPr>
              <w:t>16,646,145.82</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
              <w:ind w:right="105"/>
              <w:jc w:val="right"/>
              <w:rPr>
                <w:rFonts w:ascii="宋体" w:hAnsi="宋体" w:cs="宋体" w:eastAsia="宋体" w:hint="default"/>
                <w:sz w:val="18"/>
                <w:szCs w:val="18"/>
              </w:rPr>
            </w:pPr>
            <w:r>
              <w:rPr>
                <w:rFonts w:ascii="宋体"/>
                <w:spacing w:val="-1"/>
                <w:sz w:val="18"/>
              </w:rPr>
              <w:t>15,136,224.93</w:t>
            </w:r>
          </w:p>
        </w:tc>
      </w:tr>
      <w:tr>
        <w:trPr>
          <w:trHeight w:val="430"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48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
              <w:ind w:right="106"/>
              <w:jc w:val="right"/>
              <w:rPr>
                <w:rFonts w:ascii="宋体" w:hAnsi="宋体" w:cs="宋体" w:eastAsia="宋体" w:hint="default"/>
                <w:sz w:val="18"/>
                <w:szCs w:val="18"/>
              </w:rPr>
            </w:pPr>
            <w:r>
              <w:rPr>
                <w:rFonts w:ascii="宋体"/>
                <w:spacing w:val="-1"/>
                <w:sz w:val="18"/>
              </w:rPr>
              <w:t>1,026,506.90</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
              <w:ind w:right="105"/>
              <w:jc w:val="right"/>
              <w:rPr>
                <w:rFonts w:ascii="宋体" w:hAnsi="宋体" w:cs="宋体" w:eastAsia="宋体" w:hint="default"/>
                <w:sz w:val="18"/>
                <w:szCs w:val="18"/>
              </w:rPr>
            </w:pPr>
            <w:r>
              <w:rPr>
                <w:rFonts w:ascii="宋体"/>
                <w:spacing w:val="-1"/>
                <w:sz w:val="18"/>
              </w:rPr>
              <w:t>713,505.73</w:t>
            </w: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长期待摊费用的摊销</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34" w:lineRule="exact"/>
              <w:ind w:right="106"/>
              <w:jc w:val="right"/>
              <w:rPr>
                <w:rFonts w:ascii="宋体" w:hAnsi="宋体" w:cs="宋体" w:eastAsia="宋体" w:hint="default"/>
                <w:sz w:val="18"/>
                <w:szCs w:val="18"/>
              </w:rPr>
            </w:pPr>
            <w:r>
              <w:rPr>
                <w:rFonts w:ascii="宋体"/>
                <w:spacing w:val="-1"/>
                <w:sz w:val="18"/>
              </w:rPr>
              <w:t>577,777.80</w:t>
            </w: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处置固定资产、无形资产和其他长期资产的损失（减：收益）</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34" w:lineRule="exact"/>
              <w:ind w:right="106"/>
              <w:jc w:val="right"/>
              <w:rPr>
                <w:rFonts w:ascii="宋体" w:hAnsi="宋体" w:cs="宋体" w:eastAsia="宋体" w:hint="default"/>
                <w:sz w:val="18"/>
                <w:szCs w:val="18"/>
              </w:rPr>
            </w:pPr>
            <w:r>
              <w:rPr>
                <w:rFonts w:ascii="宋体"/>
                <w:spacing w:val="-1"/>
                <w:sz w:val="18"/>
              </w:rPr>
              <w:t>35,332.88</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252,501.31</w:t>
            </w:r>
          </w:p>
        </w:tc>
      </w:tr>
      <w:tr>
        <w:trPr>
          <w:trHeight w:val="430"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482"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158" w:type="dxa"/>
            <w:tcBorders>
              <w:top w:val="single" w:sz="6" w:space="0" w:color="000000"/>
              <w:left w:val="single" w:sz="6" w:space="0" w:color="000000"/>
              <w:bottom w:val="single" w:sz="6" w:space="0" w:color="000000"/>
              <w:right w:val="single" w:sz="2" w:space="0" w:color="000000"/>
            </w:tcBorders>
          </w:tcPr>
          <w:p>
            <w:pP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公允价值变动损失（减：收益）</w:t>
            </w:r>
          </w:p>
        </w:tc>
        <w:tc>
          <w:tcPr>
            <w:tcW w:w="2158" w:type="dxa"/>
            <w:tcBorders>
              <w:top w:val="single" w:sz="6" w:space="0" w:color="000000"/>
              <w:left w:val="single" w:sz="6" w:space="0" w:color="000000"/>
              <w:bottom w:val="single" w:sz="6" w:space="0" w:color="000000"/>
              <w:right w:val="single" w:sz="2" w:space="0" w:color="000000"/>
            </w:tcBorders>
          </w:tcPr>
          <w:p>
            <w:pP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30"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482" w:right="0"/>
              <w:jc w:val="left"/>
              <w:rPr>
                <w:rFonts w:ascii="宋体" w:hAnsi="宋体" w:cs="宋体" w:eastAsia="宋体" w:hint="default"/>
                <w:sz w:val="18"/>
                <w:szCs w:val="18"/>
              </w:rPr>
            </w:pPr>
            <w:r>
              <w:rPr>
                <w:rFonts w:ascii="宋体" w:hAnsi="宋体" w:cs="宋体" w:eastAsia="宋体" w:hint="default"/>
                <w:sz w:val="18"/>
                <w:szCs w:val="18"/>
              </w:rPr>
              <w:t>财务费用（减：收益）</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
              <w:ind w:right="106"/>
              <w:jc w:val="right"/>
              <w:rPr>
                <w:rFonts w:ascii="宋体" w:hAnsi="宋体" w:cs="宋体" w:eastAsia="宋体" w:hint="default"/>
                <w:sz w:val="18"/>
                <w:szCs w:val="18"/>
              </w:rPr>
            </w:pPr>
            <w:r>
              <w:rPr>
                <w:rFonts w:ascii="宋体"/>
                <w:spacing w:val="-1"/>
                <w:sz w:val="18"/>
              </w:rPr>
              <w:t>24,082,325.04</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
              <w:ind w:right="105"/>
              <w:jc w:val="right"/>
              <w:rPr>
                <w:rFonts w:ascii="宋体" w:hAnsi="宋体" w:cs="宋体" w:eastAsia="宋体" w:hint="default"/>
                <w:sz w:val="18"/>
                <w:szCs w:val="18"/>
              </w:rPr>
            </w:pPr>
            <w:r>
              <w:rPr>
                <w:rFonts w:ascii="宋体"/>
                <w:spacing w:val="-1"/>
                <w:sz w:val="18"/>
              </w:rPr>
              <w:t>7,835,795.09</w:t>
            </w: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34" w:lineRule="exact"/>
              <w:ind w:right="106"/>
              <w:jc w:val="right"/>
              <w:rPr>
                <w:rFonts w:ascii="宋体" w:hAnsi="宋体" w:cs="宋体" w:eastAsia="宋体" w:hint="default"/>
                <w:sz w:val="18"/>
                <w:szCs w:val="18"/>
              </w:rPr>
            </w:pPr>
            <w:r>
              <w:rPr>
                <w:rFonts w:ascii="宋体"/>
                <w:spacing w:val="-1"/>
                <w:sz w:val="18"/>
              </w:rPr>
              <w:t>-6,256,729.38</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-28,200,000.00</w:t>
            </w: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递延所得税资产减少（减：增加）</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34" w:lineRule="exact"/>
              <w:ind w:right="106"/>
              <w:jc w:val="right"/>
              <w:rPr>
                <w:rFonts w:ascii="宋体" w:hAnsi="宋体" w:cs="宋体" w:eastAsia="宋体" w:hint="default"/>
                <w:sz w:val="18"/>
                <w:szCs w:val="18"/>
              </w:rPr>
            </w:pPr>
            <w:r>
              <w:rPr>
                <w:rFonts w:ascii="宋体"/>
                <w:spacing w:val="-1"/>
                <w:sz w:val="18"/>
              </w:rPr>
              <w:t>156,233.06</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-651,621.59</w:t>
            </w:r>
          </w:p>
        </w:tc>
      </w:tr>
      <w:tr>
        <w:trPr>
          <w:trHeight w:val="430"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482" w:right="0"/>
              <w:jc w:val="left"/>
              <w:rPr>
                <w:rFonts w:ascii="宋体" w:hAnsi="宋体" w:cs="宋体" w:eastAsia="宋体" w:hint="default"/>
                <w:sz w:val="18"/>
                <w:szCs w:val="18"/>
              </w:rPr>
            </w:pPr>
            <w:r>
              <w:rPr>
                <w:rFonts w:ascii="宋体" w:hAnsi="宋体" w:cs="宋体" w:eastAsia="宋体" w:hint="default"/>
                <w:sz w:val="18"/>
                <w:szCs w:val="18"/>
              </w:rPr>
              <w:t>递延所得税负债增加（减：减少）</w:t>
            </w:r>
          </w:p>
        </w:tc>
        <w:tc>
          <w:tcPr>
            <w:tcW w:w="2158" w:type="dxa"/>
            <w:tcBorders>
              <w:top w:val="single" w:sz="6" w:space="0" w:color="000000"/>
              <w:left w:val="single" w:sz="6" w:space="0" w:color="000000"/>
              <w:bottom w:val="single" w:sz="6" w:space="0" w:color="000000"/>
              <w:right w:val="single" w:sz="2" w:space="0" w:color="000000"/>
            </w:tcBorders>
          </w:tcPr>
          <w:p>
            <w:pP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34" w:lineRule="exact"/>
              <w:ind w:right="106"/>
              <w:jc w:val="right"/>
              <w:rPr>
                <w:rFonts w:ascii="宋体" w:hAnsi="宋体" w:cs="宋体" w:eastAsia="宋体" w:hint="default"/>
                <w:sz w:val="18"/>
                <w:szCs w:val="18"/>
              </w:rPr>
            </w:pPr>
            <w:r>
              <w:rPr>
                <w:rFonts w:ascii="宋体"/>
                <w:spacing w:val="-1"/>
                <w:sz w:val="18"/>
              </w:rPr>
              <w:t>-51,220,224.72</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-3,196,386.93</w:t>
            </w:r>
          </w:p>
        </w:tc>
      </w:tr>
      <w:tr>
        <w:trPr>
          <w:trHeight w:val="430"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482"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
              <w:ind w:right="106"/>
              <w:jc w:val="right"/>
              <w:rPr>
                <w:rFonts w:ascii="宋体" w:hAnsi="宋体" w:cs="宋体" w:eastAsia="宋体" w:hint="default"/>
                <w:sz w:val="18"/>
                <w:szCs w:val="18"/>
              </w:rPr>
            </w:pPr>
            <w:r>
              <w:rPr>
                <w:rFonts w:ascii="宋体"/>
                <w:spacing w:val="-1"/>
                <w:sz w:val="18"/>
              </w:rPr>
              <w:t>-236,717,181.93</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
              <w:ind w:right="105"/>
              <w:jc w:val="right"/>
              <w:rPr>
                <w:rFonts w:ascii="宋体" w:hAnsi="宋体" w:cs="宋体" w:eastAsia="宋体" w:hint="default"/>
                <w:sz w:val="18"/>
                <w:szCs w:val="18"/>
              </w:rPr>
            </w:pPr>
            <w:r>
              <w:rPr>
                <w:rFonts w:ascii="宋体"/>
                <w:spacing w:val="-1"/>
                <w:sz w:val="18"/>
              </w:rPr>
              <w:t>-80,289,165.22</w:t>
            </w:r>
          </w:p>
        </w:tc>
      </w:tr>
      <w:tr>
        <w:trPr>
          <w:trHeight w:val="428"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34" w:lineRule="exact"/>
              <w:ind w:right="106"/>
              <w:jc w:val="right"/>
              <w:rPr>
                <w:rFonts w:ascii="宋体" w:hAnsi="宋体" w:cs="宋体" w:eastAsia="宋体" w:hint="default"/>
                <w:sz w:val="18"/>
                <w:szCs w:val="18"/>
              </w:rPr>
            </w:pPr>
            <w:r>
              <w:rPr>
                <w:rFonts w:ascii="宋体"/>
                <w:spacing w:val="-1"/>
                <w:sz w:val="18"/>
              </w:rPr>
              <w:t>-47,292,796.66</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-15,818,681.67</w:t>
            </w: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4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58" w:type="dxa"/>
            <w:tcBorders>
              <w:top w:val="single" w:sz="6" w:space="0" w:color="000000"/>
              <w:left w:val="single" w:sz="6" w:space="0" w:color="000000"/>
              <w:bottom w:val="single" w:sz="6" w:space="0" w:color="000000"/>
              <w:right w:val="single" w:sz="2" w:space="0" w:color="000000"/>
            </w:tcBorders>
          </w:tcPr>
          <w:p>
            <w:pP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30"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48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40" w:lineRule="auto" w:before="1"/>
              <w:ind w:right="106"/>
              <w:jc w:val="right"/>
              <w:rPr>
                <w:rFonts w:ascii="宋体" w:hAnsi="宋体" w:cs="宋体" w:eastAsia="宋体" w:hint="default"/>
                <w:sz w:val="18"/>
                <w:szCs w:val="18"/>
              </w:rPr>
            </w:pPr>
            <w:r>
              <w:rPr>
                <w:rFonts w:ascii="宋体"/>
                <w:spacing w:val="-1"/>
                <w:sz w:val="18"/>
              </w:rPr>
              <w:t>-252,144,151.55</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
              <w:ind w:right="105"/>
              <w:jc w:val="right"/>
              <w:rPr>
                <w:rFonts w:ascii="宋体" w:hAnsi="宋体" w:cs="宋体" w:eastAsia="宋体" w:hint="default"/>
                <w:sz w:val="18"/>
                <w:szCs w:val="18"/>
              </w:rPr>
            </w:pPr>
            <w:r>
              <w:rPr>
                <w:rFonts w:ascii="宋体"/>
                <w:spacing w:val="-1"/>
                <w:sz w:val="18"/>
              </w:rPr>
              <w:t>-19,890,150.51</w:t>
            </w: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（２）不涉及现金收支的投资和筹资活动</w:t>
            </w:r>
            <w:r>
              <w:rPr>
                <w:rFonts w:ascii="宋体" w:hAnsi="宋体" w:cs="宋体" w:eastAsia="宋体" w:hint="default"/>
                <w:sz w:val="18"/>
                <w:szCs w:val="18"/>
              </w:rPr>
            </w:r>
          </w:p>
        </w:tc>
        <w:tc>
          <w:tcPr>
            <w:tcW w:w="2158" w:type="dxa"/>
            <w:tcBorders>
              <w:top w:val="single" w:sz="6" w:space="0" w:color="000000"/>
              <w:left w:val="single" w:sz="6" w:space="0" w:color="000000"/>
              <w:bottom w:val="single" w:sz="6" w:space="0" w:color="000000"/>
              <w:right w:val="single" w:sz="2" w:space="0" w:color="000000"/>
            </w:tcBorders>
          </w:tcPr>
          <w:p>
            <w:pP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30"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30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158" w:type="dxa"/>
            <w:tcBorders>
              <w:top w:val="single" w:sz="6" w:space="0" w:color="000000"/>
              <w:left w:val="single" w:sz="6" w:space="0" w:color="000000"/>
              <w:bottom w:val="single" w:sz="6" w:space="0" w:color="000000"/>
              <w:right w:val="single" w:sz="2" w:space="0" w:color="000000"/>
            </w:tcBorders>
          </w:tcPr>
          <w:p>
            <w:pP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30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158" w:type="dxa"/>
            <w:tcBorders>
              <w:top w:val="single" w:sz="6" w:space="0" w:color="000000"/>
              <w:left w:val="single" w:sz="6" w:space="0" w:color="000000"/>
              <w:bottom w:val="single" w:sz="6" w:space="0" w:color="000000"/>
              <w:right w:val="single" w:sz="2" w:space="0" w:color="000000"/>
            </w:tcBorders>
          </w:tcPr>
          <w:p>
            <w:pP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30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158" w:type="dxa"/>
            <w:tcBorders>
              <w:top w:val="single" w:sz="6" w:space="0" w:color="000000"/>
              <w:left w:val="single" w:sz="6" w:space="0" w:color="000000"/>
              <w:bottom w:val="single" w:sz="6" w:space="0" w:color="000000"/>
              <w:right w:val="single" w:sz="2" w:space="0" w:color="000000"/>
            </w:tcBorders>
          </w:tcPr>
          <w:p>
            <w:pP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30"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122" w:right="0"/>
              <w:jc w:val="left"/>
              <w:rPr>
                <w:rFonts w:ascii="宋体" w:hAnsi="宋体" w:cs="宋体" w:eastAsia="宋体" w:hint="default"/>
                <w:sz w:val="18"/>
                <w:szCs w:val="18"/>
              </w:rPr>
            </w:pPr>
            <w:r>
              <w:rPr>
                <w:rFonts w:ascii="宋体" w:hAnsi="宋体" w:cs="宋体" w:eastAsia="宋体" w:hint="default"/>
                <w:b/>
                <w:bCs/>
                <w:sz w:val="18"/>
                <w:szCs w:val="18"/>
              </w:rPr>
              <w:t>（３）现金及现金等价物净变动情况</w:t>
            </w:r>
            <w:r>
              <w:rPr>
                <w:rFonts w:ascii="宋体" w:hAnsi="宋体" w:cs="宋体" w:eastAsia="宋体" w:hint="default"/>
                <w:sz w:val="18"/>
                <w:szCs w:val="18"/>
              </w:rPr>
            </w:r>
          </w:p>
        </w:tc>
        <w:tc>
          <w:tcPr>
            <w:tcW w:w="2158" w:type="dxa"/>
            <w:tcBorders>
              <w:top w:val="single" w:sz="6" w:space="0" w:color="000000"/>
              <w:left w:val="single" w:sz="6" w:space="0" w:color="000000"/>
              <w:bottom w:val="single" w:sz="6" w:space="0" w:color="000000"/>
              <w:right w:val="single" w:sz="2" w:space="0" w:color="000000"/>
            </w:tcBorders>
          </w:tcPr>
          <w:p>
            <w:pP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30"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30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34" w:lineRule="exact"/>
              <w:ind w:right="106"/>
              <w:jc w:val="right"/>
              <w:rPr>
                <w:rFonts w:ascii="宋体" w:hAnsi="宋体" w:cs="宋体" w:eastAsia="宋体" w:hint="default"/>
                <w:sz w:val="18"/>
                <w:szCs w:val="18"/>
              </w:rPr>
            </w:pPr>
            <w:r>
              <w:rPr>
                <w:rFonts w:ascii="宋体"/>
                <w:spacing w:val="-1"/>
                <w:sz w:val="18"/>
              </w:rPr>
              <w:t>1,371,900,334.64</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78,409,700.24</w:t>
            </w: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30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58" w:type="dxa"/>
            <w:tcBorders>
              <w:top w:val="single" w:sz="6" w:space="0" w:color="000000"/>
              <w:left w:val="single" w:sz="6" w:space="0" w:color="000000"/>
              <w:bottom w:val="single" w:sz="6" w:space="0" w:color="000000"/>
              <w:right w:val="single" w:sz="2" w:space="0" w:color="000000"/>
            </w:tcBorders>
          </w:tcPr>
          <w:p>
            <w:pPr>
              <w:pStyle w:val="TableParagraph"/>
              <w:spacing w:line="234" w:lineRule="exact"/>
              <w:ind w:right="106"/>
              <w:jc w:val="right"/>
              <w:rPr>
                <w:rFonts w:ascii="宋体" w:hAnsi="宋体" w:cs="宋体" w:eastAsia="宋体" w:hint="default"/>
                <w:sz w:val="18"/>
                <w:szCs w:val="18"/>
              </w:rPr>
            </w:pPr>
            <w:r>
              <w:rPr>
                <w:rFonts w:ascii="宋体"/>
                <w:spacing w:val="-1"/>
                <w:sz w:val="18"/>
              </w:rPr>
              <w:t>78,409,700.24</w:t>
            </w:r>
          </w:p>
        </w:tc>
        <w:tc>
          <w:tcPr>
            <w:tcW w:w="2153" w:type="dxa"/>
            <w:tcBorders>
              <w:top w:val="single" w:sz="6" w:space="0" w:color="000000"/>
              <w:left w:val="single" w:sz="2" w:space="0" w:color="000000"/>
              <w:bottom w:val="single" w:sz="6"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87,956,368.75</w:t>
            </w:r>
          </w:p>
        </w:tc>
      </w:tr>
      <w:tr>
        <w:trPr>
          <w:trHeight w:val="427"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34" w:lineRule="exact"/>
              <w:ind w:left="30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158" w:type="dxa"/>
            <w:tcBorders>
              <w:top w:val="single" w:sz="6" w:space="0" w:color="000000"/>
              <w:left w:val="single" w:sz="6" w:space="0" w:color="000000"/>
              <w:bottom w:val="single" w:sz="6" w:space="0" w:color="000000"/>
              <w:right w:val="single" w:sz="2" w:space="0" w:color="000000"/>
            </w:tcBorders>
          </w:tcPr>
          <w:p>
            <w:pP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30" w:hRule="exact"/>
        </w:trPr>
        <w:tc>
          <w:tcPr>
            <w:tcW w:w="6388"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30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158" w:type="dxa"/>
            <w:tcBorders>
              <w:top w:val="single" w:sz="6" w:space="0" w:color="000000"/>
              <w:left w:val="single" w:sz="6" w:space="0" w:color="000000"/>
              <w:bottom w:val="single" w:sz="6" w:space="0" w:color="000000"/>
              <w:right w:val="single" w:sz="2" w:space="0" w:color="000000"/>
            </w:tcBorders>
          </w:tcPr>
          <w:p>
            <w:pPr/>
          </w:p>
        </w:tc>
        <w:tc>
          <w:tcPr>
            <w:tcW w:w="2153" w:type="dxa"/>
            <w:tcBorders>
              <w:top w:val="single" w:sz="6" w:space="0" w:color="000000"/>
              <w:left w:val="single" w:sz="2" w:space="0" w:color="000000"/>
              <w:bottom w:val="single" w:sz="6" w:space="0" w:color="000000"/>
              <w:right w:val="nil" w:sz="6" w:space="0" w:color="auto"/>
            </w:tcBorders>
          </w:tcPr>
          <w:p>
            <w:pPr/>
          </w:p>
        </w:tc>
      </w:tr>
      <w:tr>
        <w:trPr>
          <w:trHeight w:val="437" w:hRule="exact"/>
        </w:trPr>
        <w:tc>
          <w:tcPr>
            <w:tcW w:w="6388" w:type="dxa"/>
            <w:tcBorders>
              <w:top w:val="single" w:sz="6" w:space="0" w:color="000000"/>
              <w:left w:val="nil" w:sz="6" w:space="0" w:color="auto"/>
              <w:bottom w:val="single" w:sz="12" w:space="0" w:color="000000"/>
              <w:right w:val="single" w:sz="6" w:space="0" w:color="000000"/>
            </w:tcBorders>
          </w:tcPr>
          <w:p>
            <w:pPr>
              <w:pStyle w:val="TableParagraph"/>
              <w:spacing w:line="234" w:lineRule="exact"/>
              <w:ind w:left="30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58" w:type="dxa"/>
            <w:tcBorders>
              <w:top w:val="single" w:sz="6" w:space="0" w:color="000000"/>
              <w:left w:val="single" w:sz="6" w:space="0" w:color="000000"/>
              <w:bottom w:val="single" w:sz="12" w:space="0" w:color="000000"/>
              <w:right w:val="single" w:sz="2" w:space="0" w:color="000000"/>
            </w:tcBorders>
          </w:tcPr>
          <w:p>
            <w:pPr>
              <w:pStyle w:val="TableParagraph"/>
              <w:spacing w:line="234" w:lineRule="exact"/>
              <w:ind w:right="106"/>
              <w:jc w:val="right"/>
              <w:rPr>
                <w:rFonts w:ascii="宋体" w:hAnsi="宋体" w:cs="宋体" w:eastAsia="宋体" w:hint="default"/>
                <w:sz w:val="18"/>
                <w:szCs w:val="18"/>
              </w:rPr>
            </w:pPr>
            <w:r>
              <w:rPr>
                <w:rFonts w:ascii="宋体"/>
                <w:spacing w:val="-1"/>
                <w:sz w:val="18"/>
              </w:rPr>
              <w:t>1,293,490,634.40</w:t>
            </w:r>
          </w:p>
        </w:tc>
        <w:tc>
          <w:tcPr>
            <w:tcW w:w="2153" w:type="dxa"/>
            <w:tcBorders>
              <w:top w:val="single" w:sz="6" w:space="0" w:color="000000"/>
              <w:left w:val="single" w:sz="2" w:space="0" w:color="000000"/>
              <w:bottom w:val="single" w:sz="12" w:space="0" w:color="000000"/>
              <w:right w:val="nil" w:sz="6" w:space="0" w:color="auto"/>
            </w:tcBorders>
          </w:tcPr>
          <w:p>
            <w:pPr>
              <w:pStyle w:val="TableParagraph"/>
              <w:spacing w:line="234" w:lineRule="exact"/>
              <w:ind w:right="105"/>
              <w:jc w:val="right"/>
              <w:rPr>
                <w:rFonts w:ascii="宋体" w:hAnsi="宋体" w:cs="宋体" w:eastAsia="宋体" w:hint="default"/>
                <w:sz w:val="18"/>
                <w:szCs w:val="18"/>
              </w:rPr>
            </w:pPr>
            <w:r>
              <w:rPr>
                <w:rFonts w:ascii="宋体"/>
                <w:spacing w:val="-1"/>
                <w:sz w:val="18"/>
              </w:rPr>
              <w:t>-9,546,668.51</w:t>
            </w:r>
          </w:p>
        </w:tc>
      </w:tr>
    </w:tbl>
    <w:p>
      <w:pPr>
        <w:pStyle w:val="Heading2"/>
        <w:spacing w:line="240" w:lineRule="auto" w:before="79"/>
        <w:ind w:left="660" w:right="606"/>
        <w:jc w:val="left"/>
        <w:rPr>
          <w:b w:val="0"/>
          <w:bCs w:val="0"/>
        </w:rPr>
      </w:pPr>
      <w:r>
        <w:rPr/>
        <w:t>十二、补充资料</w:t>
      </w:r>
      <w:r>
        <w:rPr>
          <w:b w:val="0"/>
          <w:bCs w:val="0"/>
        </w:rPr>
      </w:r>
    </w:p>
    <w:p>
      <w:pPr>
        <w:pStyle w:val="Heading4"/>
        <w:spacing w:line="240" w:lineRule="auto" w:before="157"/>
        <w:ind w:right="606"/>
        <w:jc w:val="left"/>
        <w:rPr>
          <w:b w:val="0"/>
          <w:bCs w:val="0"/>
        </w:rPr>
      </w:pPr>
      <w:r>
        <w:rPr/>
        <w:t>（一）非经常性损益计算表</w:t>
      </w:r>
      <w:r>
        <w:rPr>
          <w:b w:val="0"/>
          <w:bCs w:val="0"/>
        </w:rPr>
      </w:r>
    </w:p>
    <w:p>
      <w:pPr>
        <w:spacing w:line="240" w:lineRule="auto" w:before="13"/>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6474"/>
        <w:gridCol w:w="2132"/>
        <w:gridCol w:w="2093"/>
      </w:tblGrid>
      <w:tr>
        <w:trPr>
          <w:trHeight w:val="372" w:hRule="exact"/>
        </w:trPr>
        <w:tc>
          <w:tcPr>
            <w:tcW w:w="6474" w:type="dxa"/>
            <w:tcBorders>
              <w:top w:val="single" w:sz="12" w:space="0" w:color="000000"/>
              <w:left w:val="nil" w:sz="6" w:space="0" w:color="auto"/>
              <w:bottom w:val="single" w:sz="6" w:space="0" w:color="000000"/>
              <w:right w:val="single" w:sz="6" w:space="0" w:color="000000"/>
            </w:tcBorders>
          </w:tcPr>
          <w:p>
            <w:pPr>
              <w:pStyle w:val="TableParagraph"/>
              <w:tabs>
                <w:tab w:pos="1198" w:val="left" w:leader="none"/>
              </w:tabs>
              <w:spacing w:line="203" w:lineRule="exact"/>
              <w:ind w:left="2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132" w:type="dxa"/>
            <w:tcBorders>
              <w:top w:val="single" w:sz="12" w:space="0" w:color="000000"/>
              <w:left w:val="single" w:sz="6" w:space="0" w:color="000000"/>
              <w:bottom w:val="single" w:sz="6" w:space="0" w:color="000000"/>
              <w:right w:val="single" w:sz="2" w:space="0" w:color="000000"/>
            </w:tcBorders>
          </w:tcPr>
          <w:p>
            <w:pPr>
              <w:pStyle w:val="TableParagraph"/>
              <w:spacing w:line="203" w:lineRule="exact"/>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93" w:type="dxa"/>
            <w:tcBorders>
              <w:top w:val="single" w:sz="12" w:space="0" w:color="000000"/>
              <w:left w:val="single" w:sz="2" w:space="0" w:color="000000"/>
              <w:bottom w:val="single" w:sz="6" w:space="0" w:color="000000"/>
              <w:right w:val="nil" w:sz="6" w:space="0" w:color="auto"/>
            </w:tcBorders>
          </w:tcPr>
          <w:p>
            <w:pPr>
              <w:pStyle w:val="TableParagraph"/>
              <w:spacing w:line="203" w:lineRule="exact"/>
              <w:ind w:left="59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03" w:lineRule="exact"/>
        <w:jc w:val="left"/>
        <w:rPr>
          <w:rFonts w:ascii="宋体" w:hAnsi="宋体" w:cs="宋体" w:eastAsia="宋体" w:hint="default"/>
          <w:sz w:val="18"/>
          <w:szCs w:val="18"/>
        </w:rPr>
        <w:sectPr>
          <w:pgSz w:w="11910" w:h="16840"/>
          <w:pgMar w:header="720" w:footer="947" w:top="1300" w:bottom="1140" w:left="480" w:right="0"/>
        </w:sectPr>
      </w:pPr>
    </w:p>
    <w:tbl>
      <w:tblPr>
        <w:tblW w:w="0" w:type="auto"/>
        <w:jc w:val="left"/>
        <w:tblInd w:w="103" w:type="dxa"/>
        <w:tblLayout w:type="fixed"/>
        <w:tblCellMar>
          <w:top w:w="0" w:type="dxa"/>
          <w:left w:w="0" w:type="dxa"/>
          <w:bottom w:w="0" w:type="dxa"/>
          <w:right w:w="0" w:type="dxa"/>
        </w:tblCellMar>
        <w:tblLook w:val="01E0"/>
      </w:tblPr>
      <w:tblGrid>
        <w:gridCol w:w="6474"/>
        <w:gridCol w:w="2132"/>
        <w:gridCol w:w="2093"/>
      </w:tblGrid>
      <w:tr>
        <w:trPr>
          <w:trHeight w:val="372" w:hRule="exact"/>
        </w:trPr>
        <w:tc>
          <w:tcPr>
            <w:tcW w:w="6474" w:type="dxa"/>
            <w:tcBorders>
              <w:top w:val="single" w:sz="12"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一、非经常性收入项目：</w:t>
            </w:r>
            <w:r>
              <w:rPr>
                <w:rFonts w:ascii="宋体" w:hAnsi="宋体" w:cs="宋体" w:eastAsia="宋体" w:hint="default"/>
                <w:sz w:val="18"/>
                <w:szCs w:val="18"/>
              </w:rPr>
            </w:r>
          </w:p>
        </w:tc>
        <w:tc>
          <w:tcPr>
            <w:tcW w:w="2132" w:type="dxa"/>
            <w:tcBorders>
              <w:top w:val="single" w:sz="12" w:space="0" w:color="000000"/>
              <w:left w:val="single" w:sz="6" w:space="0" w:color="000000"/>
              <w:bottom w:val="single" w:sz="6" w:space="0" w:color="000000"/>
              <w:right w:val="single" w:sz="2" w:space="0" w:color="000000"/>
            </w:tcBorders>
          </w:tcPr>
          <w:p>
            <w:pPr/>
          </w:p>
        </w:tc>
        <w:tc>
          <w:tcPr>
            <w:tcW w:w="2093" w:type="dxa"/>
            <w:tcBorders>
              <w:top w:val="single" w:sz="12" w:space="0" w:color="000000"/>
              <w:left w:val="single" w:sz="2" w:space="0" w:color="000000"/>
              <w:bottom w:val="single" w:sz="6" w:space="0" w:color="000000"/>
              <w:right w:val="nil" w:sz="6" w:space="0" w:color="auto"/>
            </w:tcBorders>
          </w:tcPr>
          <w:p>
            <w:pPr/>
          </w:p>
        </w:tc>
      </w:tr>
      <w:tr>
        <w:trPr>
          <w:trHeight w:val="365"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、非流动资产处置收益</w:t>
            </w:r>
            <w:r>
              <w:rPr>
                <w:rFonts w:ascii="宋体" w:hAnsi="宋体" w:cs="宋体" w:eastAsia="宋体" w:hint="default"/>
                <w:sz w:val="18"/>
                <w:szCs w:val="18"/>
              </w:rPr>
              <w:t>(</w:t>
            </w:r>
            <w:r>
              <w:rPr>
                <w:rFonts w:ascii="宋体" w:hAnsi="宋体" w:cs="宋体" w:eastAsia="宋体" w:hint="default"/>
                <w:sz w:val="18"/>
                <w:szCs w:val="18"/>
              </w:rPr>
              <w:t>包括已计提资产减值的冲销部分</w:t>
            </w:r>
            <w:r>
              <w:rPr>
                <w:rFonts w:ascii="宋体" w:hAnsi="宋体" w:cs="宋体" w:eastAsia="宋体" w:hint="default"/>
                <w:sz w:val="18"/>
                <w:szCs w:val="18"/>
              </w:rPr>
              <w:t>)</w:t>
            </w:r>
          </w:p>
        </w:tc>
        <w:tc>
          <w:tcPr>
            <w:tcW w:w="2132"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22,214.64</w:t>
            </w:r>
          </w:p>
        </w:tc>
        <w:tc>
          <w:tcPr>
            <w:tcW w:w="2093"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977,854.14</w:t>
            </w:r>
          </w:p>
        </w:tc>
      </w:tr>
      <w:tr>
        <w:trPr>
          <w:trHeight w:val="365"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、越权审批，或无正式批准文件，或偶发性的税收返还、减免</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715"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、计入当期收益的政府补助，但与公司正常业务密切相关，符合国家政策规定，</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按照一定标准定额或定量持续享受的政府补助除外</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Style w:val="TableParagraph"/>
              <w:spacing w:line="240" w:lineRule="auto" w:before="142"/>
              <w:ind w:right="105"/>
              <w:jc w:val="right"/>
              <w:rPr>
                <w:rFonts w:ascii="宋体" w:hAnsi="宋体" w:cs="宋体" w:eastAsia="宋体" w:hint="default"/>
                <w:sz w:val="18"/>
                <w:szCs w:val="18"/>
              </w:rPr>
            </w:pPr>
            <w:r>
              <w:rPr>
                <w:rFonts w:ascii="宋体"/>
                <w:spacing w:val="-1"/>
                <w:sz w:val="18"/>
              </w:rPr>
              <w:t>314,522.31</w:t>
            </w:r>
          </w:p>
        </w:tc>
      </w:tr>
      <w:tr>
        <w:trPr>
          <w:trHeight w:val="365"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、计入当期收益的对非金融企业收取的资金占用费</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715"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、企业取得子公司、联营企业及合营企业的投资成本小于取得投资时应享有被</w:t>
            </w:r>
          </w:p>
          <w:p>
            <w:pPr>
              <w:pStyle w:val="TableParagraph"/>
              <w:spacing w:line="240" w:lineRule="auto" w:before="112"/>
              <w:ind w:left="122" w:right="0"/>
              <w:jc w:val="left"/>
              <w:rPr>
                <w:rFonts w:ascii="宋体" w:hAnsi="宋体" w:cs="宋体" w:eastAsia="宋体" w:hint="default"/>
                <w:sz w:val="18"/>
                <w:szCs w:val="18"/>
              </w:rPr>
            </w:pPr>
            <w:r>
              <w:rPr>
                <w:rFonts w:ascii="宋体" w:hAnsi="宋体" w:cs="宋体" w:eastAsia="宋体" w:hint="default"/>
                <w:sz w:val="18"/>
                <w:szCs w:val="18"/>
              </w:rPr>
              <w:t>投资单位可辨认净资产公允价值产生的收益</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、非货币性资产交换收益</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422"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、委托他人投资或管理资产的收益</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423"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、债务重组收益</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422"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32" w:lineRule="exact"/>
              <w:ind w:left="1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、交易价格显失公允的交易产生的越过公允价值的收益</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、采用公允价值模式进行后续计量的投资性房地产公允价值变动产生的收益</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715"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z w:val="18"/>
                <w:szCs w:val="18"/>
              </w:rPr>
              <w:t>、根据税收、会计等法律、法规的要求对当期收益进行一次性调整对当期收益</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的影响</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、除上述各项之外的其他营业外收入</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70"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z w:val="18"/>
                <w:szCs w:val="18"/>
              </w:rPr>
              <w:t>、其他符合非经常性损益定义的收益项目</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132" w:type="dxa"/>
            <w:tcBorders>
              <w:top w:val="single" w:sz="6" w:space="0" w:color="000000"/>
              <w:left w:val="single" w:sz="6" w:space="0" w:color="000000"/>
              <w:bottom w:val="single" w:sz="6" w:space="0" w:color="000000"/>
              <w:right w:val="single" w:sz="2"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22,214.64</w:t>
            </w:r>
          </w:p>
        </w:tc>
        <w:tc>
          <w:tcPr>
            <w:tcW w:w="2093" w:type="dxa"/>
            <w:tcBorders>
              <w:top w:val="single" w:sz="6" w:space="0" w:color="000000"/>
              <w:left w:val="single" w:sz="2" w:space="0" w:color="000000"/>
              <w:bottom w:val="single" w:sz="6" w:space="0" w:color="000000"/>
              <w:right w:val="nil" w:sz="6" w:space="0" w:color="auto"/>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1,292,376.45</w:t>
            </w:r>
          </w:p>
        </w:tc>
      </w:tr>
      <w:tr>
        <w:trPr>
          <w:trHeight w:val="367"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二、非经常性支出项目：</w:t>
            </w:r>
            <w:r>
              <w:rPr>
                <w:rFonts w:ascii="宋体" w:hAnsi="宋体" w:cs="宋体" w:eastAsia="宋体" w:hint="default"/>
                <w:sz w:val="18"/>
                <w:szCs w:val="18"/>
              </w:rPr>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70"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、非流动资产处置损失</w:t>
            </w:r>
            <w:r>
              <w:rPr>
                <w:rFonts w:ascii="宋体" w:hAnsi="宋体" w:cs="宋体" w:eastAsia="宋体" w:hint="default"/>
                <w:sz w:val="18"/>
                <w:szCs w:val="18"/>
              </w:rPr>
              <w:t>(</w:t>
            </w:r>
            <w:r>
              <w:rPr>
                <w:rFonts w:ascii="宋体" w:hAnsi="宋体" w:cs="宋体" w:eastAsia="宋体" w:hint="default"/>
                <w:sz w:val="18"/>
                <w:szCs w:val="18"/>
              </w:rPr>
              <w:t>包括已计提资产减值的冲销部分</w:t>
            </w:r>
            <w:r>
              <w:rPr>
                <w:rFonts w:ascii="宋体" w:hAnsi="宋体" w:cs="宋体" w:eastAsia="宋体" w:hint="default"/>
                <w:sz w:val="18"/>
                <w:szCs w:val="18"/>
              </w:rPr>
              <w:t>)</w:t>
            </w:r>
          </w:p>
        </w:tc>
        <w:tc>
          <w:tcPr>
            <w:tcW w:w="2132" w:type="dxa"/>
            <w:tcBorders>
              <w:top w:val="single" w:sz="6" w:space="0" w:color="000000"/>
              <w:left w:val="single" w:sz="6" w:space="0" w:color="000000"/>
              <w:bottom w:val="single" w:sz="6" w:space="0" w:color="000000"/>
              <w:right w:val="single" w:sz="2" w:space="0" w:color="000000"/>
            </w:tcBorders>
          </w:tcPr>
          <w:p>
            <w:pPr>
              <w:pStyle w:val="TableParagraph"/>
              <w:spacing w:line="205" w:lineRule="exact"/>
              <w:ind w:right="103"/>
              <w:jc w:val="right"/>
              <w:rPr>
                <w:rFonts w:ascii="宋体" w:hAnsi="宋体" w:cs="宋体" w:eastAsia="宋体" w:hint="default"/>
                <w:sz w:val="18"/>
                <w:szCs w:val="18"/>
              </w:rPr>
            </w:pPr>
            <w:r>
              <w:rPr>
                <w:rFonts w:ascii="宋体"/>
                <w:spacing w:val="-1"/>
                <w:sz w:val="18"/>
              </w:rPr>
              <w:t>69,611.12</w:t>
            </w:r>
          </w:p>
        </w:tc>
        <w:tc>
          <w:tcPr>
            <w:tcW w:w="2093" w:type="dxa"/>
            <w:tcBorders>
              <w:top w:val="single" w:sz="6" w:space="0" w:color="000000"/>
              <w:left w:val="single" w:sz="2" w:space="0" w:color="000000"/>
              <w:bottom w:val="single" w:sz="6"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252,501.31</w:t>
            </w:r>
          </w:p>
        </w:tc>
      </w:tr>
      <w:tr>
        <w:trPr>
          <w:trHeight w:val="368"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、计入当期损益的对非金融企业支付的资金占用费</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70"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、非货币性资产交换损失</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、委托他人投资或管理资产的损失</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、因不可抗力因素，如遭受自然灾害而计提的各项资产减值准备</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70"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、债务重组损失</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70"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、企业重组费用</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、交易价格显失公允的交易产生的超过公允价值部分的损失</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67"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、除上述各项之外的其他营业外支出</w:t>
            </w:r>
          </w:p>
        </w:tc>
        <w:tc>
          <w:tcPr>
            <w:tcW w:w="2132" w:type="dxa"/>
            <w:tcBorders>
              <w:top w:val="single" w:sz="6" w:space="0" w:color="000000"/>
              <w:left w:val="single" w:sz="6" w:space="0" w:color="000000"/>
              <w:bottom w:val="single" w:sz="6" w:space="0" w:color="000000"/>
              <w:right w:val="single" w:sz="2"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3,839,855.69</w:t>
            </w:r>
          </w:p>
        </w:tc>
        <w:tc>
          <w:tcPr>
            <w:tcW w:w="2093" w:type="dxa"/>
            <w:tcBorders>
              <w:top w:val="single" w:sz="6" w:space="0" w:color="000000"/>
              <w:left w:val="single" w:sz="2" w:space="0" w:color="000000"/>
              <w:bottom w:val="single" w:sz="6"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12,961.63</w:t>
            </w:r>
          </w:p>
        </w:tc>
      </w:tr>
      <w:tr>
        <w:trPr>
          <w:trHeight w:val="365"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z w:val="18"/>
                <w:szCs w:val="18"/>
              </w:rPr>
              <w:t>、其他符合非经常性损益定义的损失项目</w:t>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2132" w:type="dxa"/>
            <w:tcBorders>
              <w:top w:val="single" w:sz="6" w:space="0" w:color="000000"/>
              <w:left w:val="single" w:sz="6" w:space="0" w:color="000000"/>
              <w:bottom w:val="single" w:sz="6" w:space="0" w:color="000000"/>
              <w:right w:val="single" w:sz="2" w:space="0" w:color="000000"/>
            </w:tcBorders>
          </w:tcPr>
          <w:p>
            <w:pPr>
              <w:pStyle w:val="TableParagraph"/>
              <w:spacing w:line="205" w:lineRule="exact"/>
              <w:ind w:right="104"/>
              <w:jc w:val="right"/>
              <w:rPr>
                <w:rFonts w:ascii="宋体" w:hAnsi="宋体" w:cs="宋体" w:eastAsia="宋体" w:hint="default"/>
                <w:sz w:val="18"/>
                <w:szCs w:val="18"/>
              </w:rPr>
            </w:pPr>
            <w:r>
              <w:rPr>
                <w:rFonts w:ascii="宋体"/>
                <w:spacing w:val="-1"/>
                <w:sz w:val="18"/>
              </w:rPr>
              <w:t>3,909,466.81</w:t>
            </w:r>
          </w:p>
        </w:tc>
        <w:tc>
          <w:tcPr>
            <w:tcW w:w="2093" w:type="dxa"/>
            <w:tcBorders>
              <w:top w:val="single" w:sz="6" w:space="0" w:color="000000"/>
              <w:left w:val="single" w:sz="2" w:space="0" w:color="000000"/>
              <w:bottom w:val="single" w:sz="6" w:space="0" w:color="000000"/>
              <w:right w:val="nil" w:sz="6" w:space="0" w:color="auto"/>
            </w:tcBorders>
          </w:tcPr>
          <w:p>
            <w:pPr>
              <w:pStyle w:val="TableParagraph"/>
              <w:spacing w:line="205" w:lineRule="exact"/>
              <w:ind w:right="105"/>
              <w:jc w:val="right"/>
              <w:rPr>
                <w:rFonts w:ascii="宋体" w:hAnsi="宋体" w:cs="宋体" w:eastAsia="宋体" w:hint="default"/>
                <w:sz w:val="18"/>
                <w:szCs w:val="18"/>
              </w:rPr>
            </w:pPr>
            <w:r>
              <w:rPr>
                <w:rFonts w:ascii="宋体"/>
                <w:spacing w:val="-1"/>
                <w:sz w:val="18"/>
              </w:rPr>
              <w:t>265,462.94</w:t>
            </w:r>
          </w:p>
        </w:tc>
      </w:tr>
      <w:tr>
        <w:trPr>
          <w:trHeight w:val="367"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三、扣除非经常性损益后归属于公司普通股股东的净利润计算过程：</w:t>
            </w:r>
            <w:r>
              <w:rPr>
                <w:rFonts w:ascii="宋体" w:hAnsi="宋体" w:cs="宋体" w:eastAsia="宋体" w:hint="default"/>
                <w:sz w:val="18"/>
                <w:szCs w:val="18"/>
              </w:rPr>
            </w:r>
          </w:p>
        </w:tc>
        <w:tc>
          <w:tcPr>
            <w:tcW w:w="2132" w:type="dxa"/>
            <w:tcBorders>
              <w:top w:val="single" w:sz="6" w:space="0" w:color="000000"/>
              <w:left w:val="single" w:sz="6" w:space="0" w:color="000000"/>
              <w:bottom w:val="single" w:sz="6" w:space="0" w:color="000000"/>
              <w:right w:val="single" w:sz="2" w:space="0" w:color="000000"/>
            </w:tcBorders>
          </w:tcPr>
          <w:p>
            <w:pPr/>
          </w:p>
        </w:tc>
        <w:tc>
          <w:tcPr>
            <w:tcW w:w="2093" w:type="dxa"/>
            <w:tcBorders>
              <w:top w:val="single" w:sz="6" w:space="0" w:color="000000"/>
              <w:left w:val="single" w:sz="2" w:space="0" w:color="000000"/>
              <w:bottom w:val="single" w:sz="6" w:space="0" w:color="000000"/>
              <w:right w:val="nil" w:sz="6" w:space="0" w:color="auto"/>
            </w:tcBorders>
          </w:tcPr>
          <w:p>
            <w:pPr/>
          </w:p>
        </w:tc>
      </w:tr>
      <w:tr>
        <w:trPr>
          <w:trHeight w:val="365"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所得税费用影响数</w:t>
            </w:r>
          </w:p>
        </w:tc>
        <w:tc>
          <w:tcPr>
            <w:tcW w:w="2132"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3"/>
              <w:jc w:val="right"/>
              <w:rPr>
                <w:rFonts w:ascii="宋体" w:hAnsi="宋体" w:cs="宋体" w:eastAsia="宋体" w:hint="default"/>
                <w:sz w:val="18"/>
                <w:szCs w:val="18"/>
              </w:rPr>
            </w:pPr>
            <w:r>
              <w:rPr>
                <w:rFonts w:ascii="宋体"/>
                <w:spacing w:val="-1"/>
                <w:sz w:val="18"/>
              </w:rPr>
              <w:t>-583,019.81</w:t>
            </w:r>
          </w:p>
        </w:tc>
        <w:tc>
          <w:tcPr>
            <w:tcW w:w="2093"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251,822.44</w:t>
            </w:r>
          </w:p>
        </w:tc>
      </w:tr>
      <w:tr>
        <w:trPr>
          <w:trHeight w:val="365"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税后净利润影响数</w:t>
            </w:r>
          </w:p>
        </w:tc>
        <w:tc>
          <w:tcPr>
            <w:tcW w:w="2132"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-3,304,232.36</w:t>
            </w:r>
          </w:p>
        </w:tc>
        <w:tc>
          <w:tcPr>
            <w:tcW w:w="2093"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775,091.07</w:t>
            </w:r>
          </w:p>
        </w:tc>
      </w:tr>
      <w:tr>
        <w:trPr>
          <w:trHeight w:val="365" w:hRule="exact"/>
        </w:trPr>
        <w:tc>
          <w:tcPr>
            <w:tcW w:w="6474" w:type="dxa"/>
            <w:tcBorders>
              <w:top w:val="single" w:sz="6" w:space="0" w:color="000000"/>
              <w:left w:val="nil" w:sz="6" w:space="0" w:color="auto"/>
              <w:bottom w:val="single" w:sz="6"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32" w:type="dxa"/>
            <w:tcBorders>
              <w:top w:val="single" w:sz="6" w:space="0" w:color="000000"/>
              <w:left w:val="single" w:sz="6" w:space="0" w:color="000000"/>
              <w:bottom w:val="single" w:sz="6" w:space="0" w:color="000000"/>
              <w:right w:val="single" w:sz="2"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173,173,606.20</w:t>
            </w:r>
          </w:p>
        </w:tc>
        <w:tc>
          <w:tcPr>
            <w:tcW w:w="2093" w:type="dxa"/>
            <w:tcBorders>
              <w:top w:val="single" w:sz="6" w:space="0" w:color="000000"/>
              <w:left w:val="single" w:sz="2" w:space="0" w:color="000000"/>
              <w:bottom w:val="single" w:sz="6" w:space="0" w:color="000000"/>
              <w:right w:val="nil" w:sz="6" w:space="0" w:color="auto"/>
            </w:tcBorders>
          </w:tcPr>
          <w:p>
            <w:pPr>
              <w:pStyle w:val="TableParagraph"/>
              <w:spacing w:line="203" w:lineRule="exact"/>
              <w:ind w:right="105"/>
              <w:jc w:val="right"/>
              <w:rPr>
                <w:rFonts w:ascii="宋体" w:hAnsi="宋体" w:cs="宋体" w:eastAsia="宋体" w:hint="default"/>
                <w:sz w:val="18"/>
                <w:szCs w:val="18"/>
              </w:rPr>
            </w:pPr>
            <w:r>
              <w:rPr>
                <w:rFonts w:ascii="宋体"/>
                <w:spacing w:val="-1"/>
                <w:sz w:val="18"/>
              </w:rPr>
              <w:t>61,078,754.08</w:t>
            </w:r>
          </w:p>
        </w:tc>
      </w:tr>
      <w:tr>
        <w:trPr>
          <w:trHeight w:val="374" w:hRule="exact"/>
        </w:trPr>
        <w:tc>
          <w:tcPr>
            <w:tcW w:w="6474" w:type="dxa"/>
            <w:tcBorders>
              <w:top w:val="single" w:sz="6" w:space="0" w:color="000000"/>
              <w:left w:val="nil" w:sz="6" w:space="0" w:color="auto"/>
              <w:bottom w:val="single" w:sz="12" w:space="0" w:color="000000"/>
              <w:right w:val="single" w:sz="6"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132" w:type="dxa"/>
            <w:tcBorders>
              <w:top w:val="single" w:sz="6" w:space="0" w:color="000000"/>
              <w:left w:val="single" w:sz="6" w:space="0" w:color="000000"/>
              <w:bottom w:val="single" w:sz="12" w:space="0" w:color="000000"/>
              <w:right w:val="single" w:sz="2" w:space="0" w:color="000000"/>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176,477,838.56</w:t>
            </w:r>
          </w:p>
        </w:tc>
        <w:tc>
          <w:tcPr>
            <w:tcW w:w="2093" w:type="dxa"/>
            <w:tcBorders>
              <w:top w:val="single" w:sz="6" w:space="0" w:color="000000"/>
              <w:left w:val="single" w:sz="2" w:space="0" w:color="000000"/>
              <w:bottom w:val="single" w:sz="12" w:space="0" w:color="000000"/>
              <w:right w:val="nil" w:sz="6" w:space="0" w:color="auto"/>
            </w:tcBorders>
          </w:tcPr>
          <w:p>
            <w:pPr>
              <w:pStyle w:val="TableParagraph"/>
              <w:spacing w:line="203" w:lineRule="exact"/>
              <w:ind w:right="104"/>
              <w:jc w:val="right"/>
              <w:rPr>
                <w:rFonts w:ascii="宋体" w:hAnsi="宋体" w:cs="宋体" w:eastAsia="宋体" w:hint="default"/>
                <w:sz w:val="18"/>
                <w:szCs w:val="18"/>
              </w:rPr>
            </w:pPr>
            <w:r>
              <w:rPr>
                <w:rFonts w:ascii="宋体"/>
                <w:spacing w:val="-1"/>
                <w:sz w:val="18"/>
              </w:rPr>
              <w:t>60,303,663.01</w:t>
            </w:r>
          </w:p>
        </w:tc>
      </w:tr>
    </w:tbl>
    <w:p>
      <w:pPr>
        <w:spacing w:line="355" w:lineRule="auto" w:before="86"/>
        <w:ind w:left="660" w:right="7808" w:firstLine="0"/>
        <w:jc w:val="left"/>
        <w:rPr>
          <w:rFonts w:ascii="宋体" w:hAnsi="宋体" w:cs="宋体" w:eastAsia="宋体" w:hint="default"/>
          <w:sz w:val="21"/>
          <w:szCs w:val="21"/>
        </w:rPr>
      </w:pPr>
      <w:r>
        <w:rPr>
          <w:rFonts w:ascii="宋体" w:hAnsi="宋体" w:cs="宋体" w:eastAsia="宋体" w:hint="default"/>
          <w:b/>
          <w:bCs/>
          <w:spacing w:val="-1"/>
          <w:sz w:val="21"/>
          <w:szCs w:val="21"/>
        </w:rPr>
        <w:t>（二）净资产收益率及每股收益</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1</w:t>
      </w:r>
      <w:r>
        <w:rPr>
          <w:rFonts w:ascii="宋体" w:hAnsi="宋体" w:cs="宋体" w:eastAsia="宋体" w:hint="default"/>
          <w:sz w:val="21"/>
          <w:szCs w:val="21"/>
        </w:rPr>
        <w:t>、指标情况汇总表</w:t>
      </w:r>
    </w:p>
    <w:p>
      <w:pPr>
        <w:spacing w:after="0" w:line="355" w:lineRule="auto"/>
        <w:jc w:val="left"/>
        <w:rPr>
          <w:rFonts w:ascii="宋体" w:hAnsi="宋体" w:cs="宋体" w:eastAsia="宋体" w:hint="default"/>
          <w:sz w:val="21"/>
          <w:szCs w:val="21"/>
        </w:rPr>
        <w:sectPr>
          <w:pgSz w:w="11910" w:h="16840"/>
          <w:pgMar w:header="720" w:footer="947" w:top="1340" w:bottom="1140" w:left="480" w:right="0"/>
        </w:sectPr>
      </w:pPr>
    </w:p>
    <w:p>
      <w:pPr>
        <w:spacing w:line="240" w:lineRule="auto" w:before="7"/>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24"/>
        <w:gridCol w:w="1635"/>
        <w:gridCol w:w="1102"/>
        <w:gridCol w:w="1164"/>
        <w:gridCol w:w="1755"/>
        <w:gridCol w:w="1010"/>
        <w:gridCol w:w="1008"/>
      </w:tblGrid>
      <w:tr>
        <w:trPr>
          <w:trHeight w:val="492" w:hRule="exact"/>
        </w:trPr>
        <w:tc>
          <w:tcPr>
            <w:tcW w:w="3024" w:type="dxa"/>
            <w:vMerge w:val="restart"/>
            <w:tcBorders>
              <w:top w:val="single" w:sz="12" w:space="0" w:color="000000"/>
              <w:left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 w:right="0"/>
              <w:jc w:val="center"/>
              <w:rPr>
                <w:rFonts w:ascii="宋体" w:hAnsi="宋体" w:cs="宋体" w:eastAsia="宋体" w:hint="default"/>
                <w:sz w:val="18"/>
                <w:szCs w:val="18"/>
              </w:rPr>
            </w:pPr>
            <w:r>
              <w:rPr>
                <w:rFonts w:ascii="宋体" w:hAnsi="宋体" w:cs="宋体" w:eastAsia="宋体" w:hint="default"/>
                <w:spacing w:val="15"/>
                <w:sz w:val="18"/>
                <w:szCs w:val="18"/>
              </w:rPr>
              <w:t>报告期利润</w:t>
            </w:r>
          </w:p>
        </w:tc>
        <w:tc>
          <w:tcPr>
            <w:tcW w:w="3901"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32"/>
              <w:ind w:right="19"/>
              <w:jc w:val="center"/>
              <w:rPr>
                <w:rFonts w:ascii="宋体" w:hAnsi="宋体" w:cs="宋体" w:eastAsia="宋体" w:hint="default"/>
                <w:sz w:val="18"/>
                <w:szCs w:val="18"/>
              </w:rPr>
            </w:pPr>
            <w:r>
              <w:rPr>
                <w:rFonts w:ascii="宋体" w:hAnsi="宋体" w:cs="宋体" w:eastAsia="宋体" w:hint="default"/>
                <w:spacing w:val="15"/>
                <w:sz w:val="18"/>
                <w:szCs w:val="18"/>
              </w:rPr>
              <w:t>本期发生额</w:t>
            </w:r>
          </w:p>
        </w:tc>
        <w:tc>
          <w:tcPr>
            <w:tcW w:w="3773" w:type="dxa"/>
            <w:gridSpan w:val="3"/>
            <w:tcBorders>
              <w:top w:val="single" w:sz="12" w:space="0" w:color="000000"/>
              <w:left w:val="single" w:sz="6" w:space="0" w:color="000000"/>
              <w:bottom w:val="single" w:sz="6" w:space="0" w:color="000000"/>
              <w:right w:val="nil" w:sz="6" w:space="0" w:color="auto"/>
            </w:tcBorders>
          </w:tcPr>
          <w:p>
            <w:pPr>
              <w:pStyle w:val="TableParagraph"/>
              <w:spacing w:line="240" w:lineRule="auto" w:before="32"/>
              <w:ind w:right="29"/>
              <w:jc w:val="center"/>
              <w:rPr>
                <w:rFonts w:ascii="宋体" w:hAnsi="宋体" w:cs="宋体" w:eastAsia="宋体" w:hint="default"/>
                <w:sz w:val="18"/>
                <w:szCs w:val="18"/>
              </w:rPr>
            </w:pPr>
            <w:r>
              <w:rPr>
                <w:rFonts w:ascii="宋体" w:hAnsi="宋体" w:cs="宋体" w:eastAsia="宋体" w:hint="default"/>
                <w:spacing w:val="15"/>
                <w:sz w:val="18"/>
                <w:szCs w:val="18"/>
              </w:rPr>
              <w:t>上期发生额</w:t>
            </w:r>
          </w:p>
        </w:tc>
      </w:tr>
      <w:tr>
        <w:trPr>
          <w:trHeight w:val="478" w:hRule="exact"/>
        </w:trPr>
        <w:tc>
          <w:tcPr>
            <w:tcW w:w="3024" w:type="dxa"/>
            <w:vMerge/>
            <w:tcBorders>
              <w:left w:val="nil" w:sz="6" w:space="0" w:color="auto"/>
              <w:right w:val="single" w:sz="6" w:space="0" w:color="000000"/>
            </w:tcBorders>
          </w:tcPr>
          <w:p>
            <w:pPr/>
          </w:p>
        </w:tc>
        <w:tc>
          <w:tcPr>
            <w:tcW w:w="163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57" w:lineRule="auto"/>
              <w:ind w:left="262" w:right="131" w:hanging="152"/>
              <w:jc w:val="left"/>
              <w:rPr>
                <w:rFonts w:ascii="宋体" w:hAnsi="宋体" w:cs="宋体" w:eastAsia="宋体" w:hint="default"/>
                <w:sz w:val="18"/>
                <w:szCs w:val="18"/>
              </w:rPr>
            </w:pPr>
            <w:r>
              <w:rPr>
                <w:rFonts w:ascii="宋体" w:hAnsi="宋体" w:cs="宋体" w:eastAsia="宋体" w:hint="default"/>
                <w:spacing w:val="16"/>
                <w:sz w:val="18"/>
                <w:szCs w:val="18"/>
              </w:rPr>
              <w:t>加权平均净资产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收益率（</w:t>
            </w:r>
            <w:r>
              <w:rPr>
                <w:rFonts w:ascii="宋体" w:hAnsi="宋体" w:cs="宋体" w:eastAsia="宋体" w:hint="default"/>
                <w:spacing w:val="14"/>
                <w:sz w:val="18"/>
                <w:szCs w:val="18"/>
              </w:rPr>
              <w:t>%</w:t>
            </w:r>
            <w:r>
              <w:rPr>
                <w:rFonts w:ascii="宋体" w:hAnsi="宋体" w:cs="宋体" w:eastAsia="宋体" w:hint="default"/>
                <w:spacing w:val="14"/>
                <w:sz w:val="18"/>
                <w:szCs w:val="18"/>
              </w:rPr>
              <w:t>）</w:t>
            </w:r>
          </w:p>
        </w:tc>
        <w:tc>
          <w:tcPr>
            <w:tcW w:w="22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724" w:right="0"/>
              <w:jc w:val="left"/>
              <w:rPr>
                <w:rFonts w:ascii="宋体" w:hAnsi="宋体" w:cs="宋体" w:eastAsia="宋体" w:hint="default"/>
                <w:sz w:val="18"/>
                <w:szCs w:val="18"/>
              </w:rPr>
            </w:pPr>
            <w:r>
              <w:rPr>
                <w:rFonts w:ascii="宋体" w:hAnsi="宋体" w:cs="宋体" w:eastAsia="宋体" w:hint="default"/>
                <w:spacing w:val="14"/>
                <w:sz w:val="18"/>
                <w:szCs w:val="18"/>
              </w:rPr>
              <w:t>每股收益</w:t>
            </w:r>
            <w:r>
              <w:rPr>
                <w:rFonts w:ascii="宋体" w:hAnsi="宋体" w:cs="宋体" w:eastAsia="宋体" w:hint="default"/>
                <w:spacing w:val="-71"/>
                <w:sz w:val="18"/>
                <w:szCs w:val="18"/>
              </w:rPr>
              <w:t> </w:t>
            </w:r>
            <w:r>
              <w:rPr>
                <w:rFonts w:ascii="宋体" w:hAnsi="宋体" w:cs="宋体" w:eastAsia="宋体" w:hint="default"/>
                <w:sz w:val="18"/>
                <w:szCs w:val="18"/>
              </w:rPr>
            </w:r>
          </w:p>
        </w:tc>
        <w:tc>
          <w:tcPr>
            <w:tcW w:w="175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57" w:lineRule="auto"/>
              <w:ind w:left="319" w:right="191" w:hanging="149"/>
              <w:jc w:val="left"/>
              <w:rPr>
                <w:rFonts w:ascii="宋体" w:hAnsi="宋体" w:cs="宋体" w:eastAsia="宋体" w:hint="default"/>
                <w:sz w:val="18"/>
                <w:szCs w:val="18"/>
              </w:rPr>
            </w:pPr>
            <w:r>
              <w:rPr>
                <w:rFonts w:ascii="宋体" w:hAnsi="宋体" w:cs="宋体" w:eastAsia="宋体" w:hint="default"/>
                <w:spacing w:val="16"/>
                <w:sz w:val="18"/>
                <w:szCs w:val="18"/>
              </w:rPr>
              <w:t>加权平均净资产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收益率（</w:t>
            </w:r>
            <w:r>
              <w:rPr>
                <w:rFonts w:ascii="宋体" w:hAnsi="宋体" w:cs="宋体" w:eastAsia="宋体" w:hint="default"/>
                <w:spacing w:val="14"/>
                <w:sz w:val="18"/>
                <w:szCs w:val="18"/>
              </w:rPr>
              <w:t>%</w:t>
            </w:r>
            <w:r>
              <w:rPr>
                <w:rFonts w:ascii="宋体" w:hAnsi="宋体" w:cs="宋体" w:eastAsia="宋体" w:hint="default"/>
                <w:spacing w:val="14"/>
                <w:sz w:val="18"/>
                <w:szCs w:val="18"/>
              </w:rPr>
              <w:t>）</w:t>
            </w:r>
          </w:p>
        </w:tc>
        <w:tc>
          <w:tcPr>
            <w:tcW w:w="2018"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left="602" w:right="0"/>
              <w:jc w:val="left"/>
              <w:rPr>
                <w:rFonts w:ascii="宋体" w:hAnsi="宋体" w:cs="宋体" w:eastAsia="宋体" w:hint="default"/>
                <w:sz w:val="18"/>
                <w:szCs w:val="18"/>
              </w:rPr>
            </w:pPr>
            <w:r>
              <w:rPr>
                <w:rFonts w:ascii="宋体" w:hAnsi="宋体" w:cs="宋体" w:eastAsia="宋体" w:hint="default"/>
                <w:spacing w:val="14"/>
                <w:sz w:val="18"/>
                <w:szCs w:val="18"/>
              </w:rPr>
              <w:t>每股收益</w:t>
            </w:r>
            <w:r>
              <w:rPr>
                <w:rFonts w:ascii="宋体" w:hAnsi="宋体" w:cs="宋体" w:eastAsia="宋体" w:hint="default"/>
                <w:spacing w:val="-71"/>
                <w:sz w:val="18"/>
                <w:szCs w:val="18"/>
              </w:rPr>
              <w:t> </w:t>
            </w:r>
            <w:r>
              <w:rPr>
                <w:rFonts w:ascii="宋体" w:hAnsi="宋体" w:cs="宋体" w:eastAsia="宋体" w:hint="default"/>
                <w:sz w:val="18"/>
                <w:szCs w:val="18"/>
              </w:rPr>
            </w:r>
          </w:p>
        </w:tc>
      </w:tr>
      <w:tr>
        <w:trPr>
          <w:trHeight w:val="715" w:hRule="exact"/>
        </w:trPr>
        <w:tc>
          <w:tcPr>
            <w:tcW w:w="3024" w:type="dxa"/>
            <w:vMerge/>
            <w:tcBorders>
              <w:left w:val="nil" w:sz="6" w:space="0" w:color="auto"/>
              <w:bottom w:val="single" w:sz="6" w:space="0" w:color="000000"/>
              <w:right w:val="single" w:sz="6" w:space="0" w:color="000000"/>
            </w:tcBorders>
          </w:tcPr>
          <w:p>
            <w:pPr/>
          </w:p>
        </w:tc>
        <w:tc>
          <w:tcPr>
            <w:tcW w:w="1635" w:type="dxa"/>
            <w:vMerge/>
            <w:tcBorders>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pacing w:val="14"/>
                <w:sz w:val="18"/>
                <w:szCs w:val="18"/>
              </w:rPr>
              <w:t>基本每股</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112"/>
              <w:ind w:right="5"/>
              <w:jc w:val="center"/>
              <w:rPr>
                <w:rFonts w:ascii="宋体" w:hAnsi="宋体" w:cs="宋体" w:eastAsia="宋体" w:hint="default"/>
                <w:sz w:val="18"/>
                <w:szCs w:val="18"/>
              </w:rPr>
            </w:pPr>
            <w:r>
              <w:rPr>
                <w:rFonts w:ascii="宋体" w:hAnsi="宋体" w:cs="宋体" w:eastAsia="宋体" w:hint="default"/>
                <w:spacing w:val="9"/>
                <w:sz w:val="18"/>
                <w:szCs w:val="18"/>
              </w:rPr>
              <w:t>收益</w:t>
            </w:r>
            <w:r>
              <w:rPr>
                <w:rFonts w:ascii="宋体" w:hAnsi="宋体" w:cs="宋体" w:eastAsia="宋体" w:hint="default"/>
                <w:spacing w:val="-71"/>
                <w:sz w:val="18"/>
                <w:szCs w:val="18"/>
              </w:rPr>
              <w:t> </w:t>
            </w:r>
            <w:r>
              <w:rPr>
                <w:rFonts w:ascii="宋体" w:hAnsi="宋体" w:cs="宋体" w:eastAsia="宋体" w:hint="default"/>
                <w:sz w:val="18"/>
                <w:szCs w:val="18"/>
              </w:rPr>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73" w:right="0" w:firstLine="2"/>
              <w:jc w:val="left"/>
              <w:rPr>
                <w:rFonts w:ascii="宋体" w:hAnsi="宋体" w:cs="宋体" w:eastAsia="宋体" w:hint="default"/>
                <w:sz w:val="18"/>
                <w:szCs w:val="18"/>
              </w:rPr>
            </w:pPr>
            <w:r>
              <w:rPr>
                <w:rFonts w:ascii="宋体" w:hAnsi="宋体" w:cs="宋体" w:eastAsia="宋体" w:hint="default"/>
                <w:spacing w:val="12"/>
                <w:sz w:val="18"/>
                <w:szCs w:val="18"/>
              </w:rPr>
              <w:t>稀释每</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112"/>
              <w:ind w:left="273" w:right="0"/>
              <w:jc w:val="left"/>
              <w:rPr>
                <w:rFonts w:ascii="宋体" w:hAnsi="宋体" w:cs="宋体" w:eastAsia="宋体" w:hint="default"/>
                <w:sz w:val="18"/>
                <w:szCs w:val="18"/>
              </w:rPr>
            </w:pPr>
            <w:r>
              <w:rPr>
                <w:rFonts w:ascii="宋体" w:hAnsi="宋体" w:cs="宋体" w:eastAsia="宋体" w:hint="default"/>
                <w:spacing w:val="12"/>
                <w:sz w:val="18"/>
                <w:szCs w:val="18"/>
              </w:rPr>
              <w:t>股收益</w:t>
            </w:r>
            <w:r>
              <w:rPr>
                <w:rFonts w:ascii="宋体" w:hAnsi="宋体" w:cs="宋体" w:eastAsia="宋体" w:hint="default"/>
                <w:spacing w:val="-71"/>
                <w:sz w:val="18"/>
                <w:szCs w:val="18"/>
              </w:rPr>
              <w:t> </w:t>
            </w:r>
            <w:r>
              <w:rPr>
                <w:rFonts w:ascii="宋体" w:hAnsi="宋体" w:cs="宋体" w:eastAsia="宋体" w:hint="default"/>
                <w:sz w:val="18"/>
                <w:szCs w:val="18"/>
              </w:rPr>
            </w:r>
          </w:p>
        </w:tc>
        <w:tc>
          <w:tcPr>
            <w:tcW w:w="1755" w:type="dxa"/>
            <w:vMerge/>
            <w:tcBorders>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6" w:right="0"/>
              <w:jc w:val="left"/>
              <w:rPr>
                <w:rFonts w:ascii="宋体" w:hAnsi="宋体" w:cs="宋体" w:eastAsia="宋体" w:hint="default"/>
                <w:sz w:val="18"/>
                <w:szCs w:val="18"/>
              </w:rPr>
            </w:pPr>
            <w:r>
              <w:rPr>
                <w:rFonts w:ascii="宋体" w:hAnsi="宋体" w:cs="宋体" w:eastAsia="宋体" w:hint="default"/>
                <w:spacing w:val="12"/>
                <w:sz w:val="18"/>
                <w:szCs w:val="18"/>
              </w:rPr>
              <w:t>基本每</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112"/>
              <w:ind w:left="196" w:right="0"/>
              <w:jc w:val="left"/>
              <w:rPr>
                <w:rFonts w:ascii="宋体" w:hAnsi="宋体" w:cs="宋体" w:eastAsia="宋体" w:hint="default"/>
                <w:sz w:val="18"/>
                <w:szCs w:val="18"/>
              </w:rPr>
            </w:pPr>
            <w:r>
              <w:rPr>
                <w:rFonts w:ascii="宋体" w:hAnsi="宋体" w:cs="宋体" w:eastAsia="宋体" w:hint="default"/>
                <w:spacing w:val="12"/>
                <w:sz w:val="18"/>
                <w:szCs w:val="18"/>
              </w:rPr>
              <w:t>股收益</w:t>
            </w:r>
            <w:r>
              <w:rPr>
                <w:rFonts w:ascii="宋体" w:hAnsi="宋体" w:cs="宋体" w:eastAsia="宋体" w:hint="default"/>
                <w:spacing w:val="-71"/>
                <w:sz w:val="18"/>
                <w:szCs w:val="18"/>
              </w:rPr>
              <w:t> </w:t>
            </w:r>
            <w:r>
              <w:rPr>
                <w:rFonts w:ascii="宋体" w:hAnsi="宋体" w:cs="宋体" w:eastAsia="宋体" w:hint="default"/>
                <w:sz w:val="18"/>
                <w:szCs w:val="18"/>
              </w:rPr>
            </w:r>
          </w:p>
        </w:tc>
        <w:tc>
          <w:tcPr>
            <w:tcW w:w="1008" w:type="dxa"/>
            <w:tcBorders>
              <w:top w:val="single" w:sz="6" w:space="0" w:color="000000"/>
              <w:left w:val="single" w:sz="6" w:space="0" w:color="000000"/>
              <w:bottom w:val="single" w:sz="6" w:space="0" w:color="000000"/>
              <w:right w:val="nil" w:sz="6" w:space="0" w:color="auto"/>
            </w:tcBorders>
          </w:tcPr>
          <w:p>
            <w:pPr>
              <w:pStyle w:val="TableParagraph"/>
              <w:spacing w:line="205" w:lineRule="exact"/>
              <w:ind w:left="196" w:right="0"/>
              <w:jc w:val="left"/>
              <w:rPr>
                <w:rFonts w:ascii="宋体" w:hAnsi="宋体" w:cs="宋体" w:eastAsia="宋体" w:hint="default"/>
                <w:sz w:val="18"/>
                <w:szCs w:val="18"/>
              </w:rPr>
            </w:pPr>
            <w:r>
              <w:rPr>
                <w:rFonts w:ascii="宋体" w:hAnsi="宋体" w:cs="宋体" w:eastAsia="宋体" w:hint="default"/>
                <w:spacing w:val="12"/>
                <w:sz w:val="18"/>
                <w:szCs w:val="18"/>
              </w:rPr>
              <w:t>稀释每</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112"/>
              <w:ind w:left="196" w:right="0"/>
              <w:jc w:val="left"/>
              <w:rPr>
                <w:rFonts w:ascii="宋体" w:hAnsi="宋体" w:cs="宋体" w:eastAsia="宋体" w:hint="default"/>
                <w:sz w:val="18"/>
                <w:szCs w:val="18"/>
              </w:rPr>
            </w:pPr>
            <w:r>
              <w:rPr>
                <w:rFonts w:ascii="宋体" w:hAnsi="宋体" w:cs="宋体" w:eastAsia="宋体" w:hint="default"/>
                <w:spacing w:val="12"/>
                <w:sz w:val="18"/>
                <w:szCs w:val="18"/>
              </w:rPr>
              <w:t>股收益</w:t>
            </w:r>
            <w:r>
              <w:rPr>
                <w:rFonts w:ascii="宋体" w:hAnsi="宋体" w:cs="宋体" w:eastAsia="宋体" w:hint="default"/>
                <w:spacing w:val="-71"/>
                <w:sz w:val="18"/>
                <w:szCs w:val="18"/>
              </w:rPr>
              <w:t> </w:t>
            </w:r>
            <w:r>
              <w:rPr>
                <w:rFonts w:ascii="宋体" w:hAnsi="宋体" w:cs="宋体" w:eastAsia="宋体" w:hint="default"/>
                <w:sz w:val="18"/>
                <w:szCs w:val="18"/>
              </w:rPr>
            </w:r>
          </w:p>
        </w:tc>
      </w:tr>
      <w:tr>
        <w:trPr>
          <w:trHeight w:val="715" w:hRule="exact"/>
        </w:trPr>
        <w:tc>
          <w:tcPr>
            <w:tcW w:w="3024" w:type="dxa"/>
            <w:tcBorders>
              <w:top w:val="single" w:sz="6" w:space="0" w:color="000000"/>
              <w:left w:val="nil" w:sz="6" w:space="0" w:color="auto"/>
              <w:bottom w:val="single" w:sz="6"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3"/>
                <w:sz w:val="18"/>
                <w:szCs w:val="18"/>
              </w:rPr>
              <w:t>归属于公司普通股股东的净利</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before="112"/>
              <w:ind w:left="122"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6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3" w:right="0"/>
              <w:jc w:val="center"/>
              <w:rPr>
                <w:rFonts w:ascii="宋体" w:hAnsi="宋体" w:cs="宋体" w:eastAsia="宋体" w:hint="default"/>
                <w:sz w:val="18"/>
                <w:szCs w:val="18"/>
              </w:rPr>
            </w:pPr>
            <w:r>
              <w:rPr>
                <w:rFonts w:ascii="宋体"/>
                <w:sz w:val="18"/>
              </w:rPr>
              <w:t>33.36</w:t>
            </w:r>
          </w:p>
        </w:tc>
        <w:tc>
          <w:tcPr>
            <w:tcW w:w="1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0.84</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0.84</w:t>
            </w:r>
          </w:p>
        </w:tc>
        <w:tc>
          <w:tcPr>
            <w:tcW w:w="17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15.15</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0.30</w:t>
            </w:r>
          </w:p>
        </w:tc>
        <w:tc>
          <w:tcPr>
            <w:tcW w:w="10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5"/>
              <w:ind w:right="4"/>
              <w:jc w:val="center"/>
              <w:rPr>
                <w:rFonts w:ascii="宋体" w:hAnsi="宋体" w:cs="宋体" w:eastAsia="宋体" w:hint="default"/>
                <w:sz w:val="18"/>
                <w:szCs w:val="18"/>
              </w:rPr>
            </w:pPr>
            <w:r>
              <w:rPr>
                <w:rFonts w:ascii="宋体"/>
                <w:sz w:val="18"/>
              </w:rPr>
              <w:t>0.30</w:t>
            </w:r>
          </w:p>
        </w:tc>
      </w:tr>
      <w:tr>
        <w:trPr>
          <w:trHeight w:val="725" w:hRule="exact"/>
        </w:trPr>
        <w:tc>
          <w:tcPr>
            <w:tcW w:w="3024" w:type="dxa"/>
            <w:tcBorders>
              <w:top w:val="single" w:sz="6" w:space="0" w:color="000000"/>
              <w:left w:val="nil" w:sz="6" w:space="0" w:color="auto"/>
              <w:bottom w:val="single" w:sz="12" w:space="0" w:color="000000"/>
              <w:right w:val="single" w:sz="6"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33"/>
                <w:sz w:val="18"/>
                <w:szCs w:val="18"/>
              </w:rPr>
              <w:t>扣除非经常性损益后归属于公</w:t>
            </w:r>
            <w:r>
              <w:rPr>
                <w:rFonts w:ascii="宋体" w:hAnsi="宋体" w:cs="宋体" w:eastAsia="宋体" w:hint="default"/>
                <w:spacing w:val="-54"/>
                <w:sz w:val="18"/>
                <w:szCs w:val="18"/>
              </w:rPr>
              <w:t> </w:t>
            </w:r>
            <w:r>
              <w:rPr>
                <w:rFonts w:ascii="宋体" w:hAnsi="宋体" w:cs="宋体" w:eastAsia="宋体" w:hint="default"/>
                <w:sz w:val="18"/>
                <w:szCs w:val="18"/>
              </w:rPr>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pacing w:val="17"/>
                <w:sz w:val="18"/>
                <w:szCs w:val="18"/>
              </w:rPr>
              <w:t>司普通股股东的净利润</w:t>
            </w:r>
          </w:p>
        </w:tc>
        <w:tc>
          <w:tcPr>
            <w:tcW w:w="16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left="3" w:right="0"/>
              <w:jc w:val="center"/>
              <w:rPr>
                <w:rFonts w:ascii="宋体" w:hAnsi="宋体" w:cs="宋体" w:eastAsia="宋体" w:hint="default"/>
                <w:sz w:val="18"/>
                <w:szCs w:val="18"/>
              </w:rPr>
            </w:pPr>
            <w:r>
              <w:rPr>
                <w:rFonts w:ascii="宋体"/>
                <w:sz w:val="18"/>
              </w:rPr>
              <w:t>34.00</w:t>
            </w:r>
          </w:p>
        </w:tc>
        <w:tc>
          <w:tcPr>
            <w:tcW w:w="11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0.85</w:t>
            </w:r>
          </w:p>
        </w:tc>
        <w:tc>
          <w:tcPr>
            <w:tcW w:w="11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0.85</w:t>
            </w:r>
          </w:p>
        </w:tc>
        <w:tc>
          <w:tcPr>
            <w:tcW w:w="175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14.96</w:t>
            </w:r>
          </w:p>
        </w:tc>
        <w:tc>
          <w:tcPr>
            <w:tcW w:w="10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0.29</w:t>
            </w:r>
          </w:p>
        </w:tc>
        <w:tc>
          <w:tcPr>
            <w:tcW w:w="10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45"/>
              <w:ind w:right="4"/>
              <w:jc w:val="center"/>
              <w:rPr>
                <w:rFonts w:ascii="宋体" w:hAnsi="宋体" w:cs="宋体" w:eastAsia="宋体" w:hint="default"/>
                <w:sz w:val="18"/>
                <w:szCs w:val="18"/>
              </w:rPr>
            </w:pPr>
            <w:r>
              <w:rPr>
                <w:rFonts w:ascii="宋体"/>
                <w:sz w:val="18"/>
              </w:rPr>
              <w:t>0.29</w:t>
            </w:r>
          </w:p>
        </w:tc>
      </w:tr>
    </w:tbl>
    <w:p>
      <w:pPr>
        <w:pStyle w:val="BodyText"/>
        <w:spacing w:line="240" w:lineRule="auto" w:before="86"/>
        <w:ind w:left="660" w:right="606"/>
        <w:jc w:val="left"/>
      </w:pPr>
      <w:r>
        <w:rPr>
          <w:rFonts w:ascii="宋体" w:hAnsi="宋体" w:cs="宋体" w:eastAsia="宋体" w:hint="default"/>
        </w:rPr>
        <w:t>2</w:t>
      </w:r>
      <w:r>
        <w:rPr/>
        <w:t>、加权平均净资产收益率的计算过程</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6777"/>
        <w:gridCol w:w="2033"/>
        <w:gridCol w:w="1889"/>
      </w:tblGrid>
      <w:tr>
        <w:trPr>
          <w:trHeight w:val="399" w:hRule="exact"/>
        </w:trPr>
        <w:tc>
          <w:tcPr>
            <w:tcW w:w="6777" w:type="dxa"/>
            <w:tcBorders>
              <w:top w:val="single" w:sz="12" w:space="0" w:color="000000"/>
              <w:left w:val="nil" w:sz="6" w:space="0" w:color="auto"/>
              <w:bottom w:val="single" w:sz="6" w:space="0" w:color="000000"/>
              <w:right w:val="single" w:sz="6" w:space="0" w:color="000000"/>
            </w:tcBorders>
          </w:tcPr>
          <w:p>
            <w:pPr>
              <w:pStyle w:val="TableParagraph"/>
              <w:tabs>
                <w:tab w:pos="564" w:val="left" w:leader="none"/>
              </w:tabs>
              <w:spacing w:line="217" w:lineRule="exact"/>
              <w:ind w:left="21"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33" w:type="dxa"/>
            <w:tcBorders>
              <w:top w:val="single" w:sz="12" w:space="0" w:color="000000"/>
              <w:left w:val="single" w:sz="6" w:space="0" w:color="000000"/>
              <w:bottom w:val="single" w:sz="6" w:space="0" w:color="000000"/>
              <w:right w:val="single" w:sz="2" w:space="0" w:color="000000"/>
            </w:tcBorders>
          </w:tcPr>
          <w:p>
            <w:pPr>
              <w:pStyle w:val="TableParagraph"/>
              <w:spacing w:line="217" w:lineRule="exact"/>
              <w:ind w:left="55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89" w:type="dxa"/>
            <w:tcBorders>
              <w:top w:val="single" w:sz="12" w:space="0" w:color="000000"/>
              <w:left w:val="single" w:sz="2" w:space="0" w:color="000000"/>
              <w:bottom w:val="single" w:sz="6" w:space="0" w:color="000000"/>
              <w:right w:val="nil" w:sz="6" w:space="0" w:color="auto"/>
            </w:tcBorders>
          </w:tcPr>
          <w:p>
            <w:pPr>
              <w:pStyle w:val="TableParagraph"/>
              <w:spacing w:line="217" w:lineRule="exact"/>
              <w:ind w:left="49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2033" w:type="dxa"/>
            <w:tcBorders>
              <w:top w:val="single" w:sz="6" w:space="0" w:color="000000"/>
              <w:left w:val="single" w:sz="6" w:space="0" w:color="000000"/>
              <w:bottom w:val="single" w:sz="6" w:space="0" w:color="000000"/>
              <w:right w:val="single" w:sz="2" w:space="0" w:color="000000"/>
            </w:tcBorders>
          </w:tcPr>
          <w:p>
            <w:pPr>
              <w:pStyle w:val="TableParagraph"/>
              <w:spacing w:line="217" w:lineRule="exact"/>
              <w:ind w:right="104"/>
              <w:jc w:val="right"/>
              <w:rPr>
                <w:rFonts w:ascii="宋体" w:hAnsi="宋体" w:cs="宋体" w:eastAsia="宋体" w:hint="default"/>
                <w:sz w:val="18"/>
                <w:szCs w:val="18"/>
              </w:rPr>
            </w:pPr>
            <w:r>
              <w:rPr>
                <w:rFonts w:ascii="宋体"/>
                <w:spacing w:val="-1"/>
                <w:sz w:val="18"/>
              </w:rPr>
              <w:t>173,173,606.20</w:t>
            </w:r>
          </w:p>
        </w:tc>
        <w:tc>
          <w:tcPr>
            <w:tcW w:w="1889" w:type="dxa"/>
            <w:tcBorders>
              <w:top w:val="single" w:sz="6" w:space="0" w:color="000000"/>
              <w:left w:val="single" w:sz="2" w:space="0" w:color="000000"/>
              <w:bottom w:val="single" w:sz="6" w:space="0" w:color="000000"/>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pacing w:val="-1"/>
                <w:sz w:val="18"/>
              </w:rPr>
              <w:t>61,078,754.08</w:t>
            </w:r>
          </w:p>
        </w:tc>
      </w:tr>
      <w:tr>
        <w:trPr>
          <w:trHeight w:val="389"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归属于本公司普通股股东的期初净资产</w:t>
            </w:r>
          </w:p>
        </w:tc>
        <w:tc>
          <w:tcPr>
            <w:tcW w:w="2033" w:type="dxa"/>
            <w:tcBorders>
              <w:top w:val="single" w:sz="6" w:space="0" w:color="000000"/>
              <w:left w:val="single" w:sz="6" w:space="0" w:color="000000"/>
              <w:bottom w:val="single" w:sz="6" w:space="0" w:color="000000"/>
              <w:right w:val="single" w:sz="2" w:space="0" w:color="000000"/>
            </w:tcBorders>
          </w:tcPr>
          <w:p>
            <w:pPr>
              <w:pStyle w:val="TableParagraph"/>
              <w:spacing w:line="215" w:lineRule="exact"/>
              <w:ind w:right="104"/>
              <w:jc w:val="right"/>
              <w:rPr>
                <w:rFonts w:ascii="宋体" w:hAnsi="宋体" w:cs="宋体" w:eastAsia="宋体" w:hint="default"/>
                <w:sz w:val="18"/>
                <w:szCs w:val="18"/>
              </w:rPr>
            </w:pPr>
            <w:r>
              <w:rPr>
                <w:rFonts w:ascii="宋体"/>
                <w:spacing w:val="-1"/>
                <w:sz w:val="18"/>
              </w:rPr>
              <w:t>430,602,037.38</w:t>
            </w:r>
          </w:p>
        </w:tc>
        <w:tc>
          <w:tcPr>
            <w:tcW w:w="1889" w:type="dxa"/>
            <w:tcBorders>
              <w:top w:val="single" w:sz="6" w:space="0" w:color="000000"/>
              <w:left w:val="single" w:sz="2" w:space="0" w:color="000000"/>
              <w:bottom w:val="single" w:sz="6" w:space="0" w:color="000000"/>
              <w:right w:val="nil" w:sz="6" w:space="0" w:color="auto"/>
            </w:tcBorders>
          </w:tcPr>
          <w:p>
            <w:pPr>
              <w:pStyle w:val="TableParagraph"/>
              <w:spacing w:line="215" w:lineRule="exact"/>
              <w:ind w:right="107"/>
              <w:jc w:val="right"/>
              <w:rPr>
                <w:rFonts w:ascii="宋体" w:hAnsi="宋体" w:cs="宋体" w:eastAsia="宋体" w:hint="default"/>
                <w:sz w:val="18"/>
                <w:szCs w:val="18"/>
              </w:rPr>
            </w:pPr>
            <w:r>
              <w:rPr>
                <w:rFonts w:ascii="宋体"/>
                <w:spacing w:val="-1"/>
                <w:sz w:val="18"/>
              </w:rPr>
              <w:t>375,600,353.30</w:t>
            </w: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报告期新增的归属于本公司普通股股东的净资产</w:t>
            </w:r>
          </w:p>
        </w:tc>
        <w:tc>
          <w:tcPr>
            <w:tcW w:w="2033" w:type="dxa"/>
            <w:tcBorders>
              <w:top w:val="single" w:sz="6" w:space="0" w:color="000000"/>
              <w:left w:val="single" w:sz="6" w:space="0" w:color="000000"/>
              <w:bottom w:val="single" w:sz="6" w:space="0" w:color="000000"/>
              <w:right w:val="single" w:sz="2" w:space="0" w:color="000000"/>
            </w:tcBorders>
          </w:tcPr>
          <w:p>
            <w:pP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其中：发行新股</w:t>
            </w:r>
          </w:p>
        </w:tc>
        <w:tc>
          <w:tcPr>
            <w:tcW w:w="2033" w:type="dxa"/>
            <w:tcBorders>
              <w:top w:val="single" w:sz="6" w:space="0" w:color="000000"/>
              <w:left w:val="single" w:sz="6" w:space="0" w:color="000000"/>
              <w:bottom w:val="single" w:sz="6" w:space="0" w:color="000000"/>
              <w:right w:val="single" w:sz="2" w:space="0" w:color="000000"/>
            </w:tcBorders>
          </w:tcPr>
          <w:p>
            <w:pPr>
              <w:pStyle w:val="TableParagraph"/>
              <w:spacing w:line="217" w:lineRule="exact"/>
              <w:ind w:right="104"/>
              <w:jc w:val="right"/>
              <w:rPr>
                <w:rFonts w:ascii="宋体" w:hAnsi="宋体" w:cs="宋体" w:eastAsia="宋体" w:hint="default"/>
                <w:sz w:val="18"/>
                <w:szCs w:val="18"/>
              </w:rPr>
            </w:pPr>
            <w:r>
              <w:rPr>
                <w:rFonts w:ascii="宋体"/>
                <w:spacing w:val="-1"/>
                <w:sz w:val="18"/>
              </w:rPr>
              <w:t>986,450,110.24</w:t>
            </w: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665" w:right="0"/>
              <w:jc w:val="left"/>
              <w:rPr>
                <w:rFonts w:ascii="宋体" w:hAnsi="宋体" w:cs="宋体" w:eastAsia="宋体" w:hint="default"/>
                <w:sz w:val="18"/>
                <w:szCs w:val="18"/>
              </w:rPr>
            </w:pPr>
            <w:r>
              <w:rPr>
                <w:rFonts w:ascii="宋体" w:hAnsi="宋体" w:cs="宋体" w:eastAsia="宋体" w:hint="default"/>
                <w:sz w:val="18"/>
                <w:szCs w:val="18"/>
              </w:rPr>
              <w:t>债转股</w:t>
            </w:r>
          </w:p>
        </w:tc>
        <w:tc>
          <w:tcPr>
            <w:tcW w:w="2033" w:type="dxa"/>
            <w:tcBorders>
              <w:top w:val="single" w:sz="6" w:space="0" w:color="000000"/>
              <w:left w:val="single" w:sz="6" w:space="0" w:color="000000"/>
              <w:bottom w:val="single" w:sz="6" w:space="0" w:color="000000"/>
              <w:right w:val="single" w:sz="2" w:space="0" w:color="000000"/>
            </w:tcBorders>
          </w:tcPr>
          <w:p>
            <w:pP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665"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2033" w:type="dxa"/>
            <w:tcBorders>
              <w:top w:val="single" w:sz="6" w:space="0" w:color="000000"/>
              <w:left w:val="single" w:sz="6" w:space="0" w:color="000000"/>
              <w:bottom w:val="single" w:sz="6" w:space="0" w:color="000000"/>
              <w:right w:val="single" w:sz="2" w:space="0" w:color="000000"/>
            </w:tcBorders>
          </w:tcPr>
          <w:p>
            <w:pPr>
              <w:pStyle w:val="TableParagraph"/>
              <w:spacing w:line="215" w:lineRule="exact"/>
              <w:ind w:right="104"/>
              <w:jc w:val="right"/>
              <w:rPr>
                <w:rFonts w:ascii="宋体" w:hAnsi="宋体" w:cs="宋体" w:eastAsia="宋体" w:hint="default"/>
                <w:sz w:val="18"/>
                <w:szCs w:val="18"/>
              </w:rPr>
            </w:pPr>
            <w:r>
              <w:rPr>
                <w:rFonts w:ascii="宋体"/>
                <w:spacing w:val="-1"/>
                <w:sz w:val="18"/>
              </w:rPr>
              <w:t>4,334,733.33</w:t>
            </w: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89"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本期增加净资产月份</w:t>
            </w:r>
          </w:p>
        </w:tc>
        <w:tc>
          <w:tcPr>
            <w:tcW w:w="2033" w:type="dxa"/>
            <w:tcBorders>
              <w:top w:val="single" w:sz="6" w:space="0" w:color="000000"/>
              <w:left w:val="single" w:sz="6" w:space="0" w:color="000000"/>
              <w:bottom w:val="single" w:sz="6" w:space="0" w:color="000000"/>
              <w:right w:val="single" w:sz="2" w:space="0" w:color="000000"/>
            </w:tcBorders>
          </w:tcPr>
          <w:p>
            <w:pP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其中：发行新股</w:t>
            </w:r>
          </w:p>
        </w:tc>
        <w:tc>
          <w:tcPr>
            <w:tcW w:w="2033" w:type="dxa"/>
            <w:tcBorders>
              <w:top w:val="single" w:sz="6" w:space="0" w:color="000000"/>
              <w:left w:val="single" w:sz="6" w:space="0" w:color="000000"/>
              <w:bottom w:val="single" w:sz="6" w:space="0" w:color="000000"/>
              <w:right w:val="single" w:sz="2" w:space="0" w:color="000000"/>
            </w:tcBorders>
          </w:tcPr>
          <w:p>
            <w:pPr>
              <w:pStyle w:val="TableParagraph"/>
              <w:spacing w:line="217" w:lineRule="exact"/>
              <w:ind w:right="101"/>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月</w:t>
            </w: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92"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665" w:right="0"/>
              <w:jc w:val="left"/>
              <w:rPr>
                <w:rFonts w:ascii="宋体" w:hAnsi="宋体" w:cs="宋体" w:eastAsia="宋体" w:hint="default"/>
                <w:sz w:val="18"/>
                <w:szCs w:val="18"/>
              </w:rPr>
            </w:pPr>
            <w:r>
              <w:rPr>
                <w:rFonts w:ascii="宋体" w:hAnsi="宋体" w:cs="宋体" w:eastAsia="宋体" w:hint="default"/>
                <w:sz w:val="18"/>
                <w:szCs w:val="18"/>
              </w:rPr>
              <w:t>债转股</w:t>
            </w:r>
          </w:p>
        </w:tc>
        <w:tc>
          <w:tcPr>
            <w:tcW w:w="2033" w:type="dxa"/>
            <w:tcBorders>
              <w:top w:val="single" w:sz="6" w:space="0" w:color="000000"/>
              <w:left w:val="single" w:sz="6" w:space="0" w:color="000000"/>
              <w:bottom w:val="single" w:sz="6" w:space="0" w:color="000000"/>
              <w:right w:val="single" w:sz="2" w:space="0" w:color="000000"/>
            </w:tcBorders>
          </w:tcPr>
          <w:p>
            <w:pP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665"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2033" w:type="dxa"/>
            <w:tcBorders>
              <w:top w:val="single" w:sz="6" w:space="0" w:color="000000"/>
              <w:left w:val="single" w:sz="6" w:space="0" w:color="000000"/>
              <w:bottom w:val="single" w:sz="6" w:space="0" w:color="000000"/>
              <w:right w:val="single" w:sz="2" w:space="0" w:color="000000"/>
            </w:tcBorders>
          </w:tcPr>
          <w:p>
            <w:pPr>
              <w:pStyle w:val="TableParagraph"/>
              <w:spacing w:line="217" w:lineRule="exact"/>
              <w:ind w:right="10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月</w:t>
            </w: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89"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报告期减少的归属于本公司普通股股东的净资产</w:t>
            </w:r>
          </w:p>
        </w:tc>
        <w:tc>
          <w:tcPr>
            <w:tcW w:w="2033" w:type="dxa"/>
            <w:tcBorders>
              <w:top w:val="single" w:sz="6" w:space="0" w:color="000000"/>
              <w:left w:val="single" w:sz="6" w:space="0" w:color="000000"/>
              <w:bottom w:val="single" w:sz="6" w:space="0" w:color="000000"/>
              <w:right w:val="single" w:sz="2" w:space="0" w:color="000000"/>
            </w:tcBorders>
          </w:tcPr>
          <w:p>
            <w:pP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其中：回购</w:t>
            </w:r>
          </w:p>
        </w:tc>
        <w:tc>
          <w:tcPr>
            <w:tcW w:w="2033" w:type="dxa"/>
            <w:tcBorders>
              <w:top w:val="single" w:sz="6" w:space="0" w:color="000000"/>
              <w:left w:val="single" w:sz="6" w:space="0" w:color="000000"/>
              <w:bottom w:val="single" w:sz="6" w:space="0" w:color="000000"/>
              <w:right w:val="single" w:sz="2" w:space="0" w:color="000000"/>
            </w:tcBorders>
          </w:tcPr>
          <w:p>
            <w:pP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662" w:right="0"/>
              <w:jc w:val="left"/>
              <w:rPr>
                <w:rFonts w:ascii="宋体" w:hAnsi="宋体" w:cs="宋体" w:eastAsia="宋体" w:hint="default"/>
                <w:sz w:val="18"/>
                <w:szCs w:val="18"/>
              </w:rPr>
            </w:pPr>
            <w:r>
              <w:rPr>
                <w:rFonts w:ascii="宋体" w:hAnsi="宋体" w:cs="宋体" w:eastAsia="宋体" w:hint="default"/>
                <w:sz w:val="18"/>
                <w:szCs w:val="18"/>
              </w:rPr>
              <w:t>现金分红</w:t>
            </w:r>
          </w:p>
        </w:tc>
        <w:tc>
          <w:tcPr>
            <w:tcW w:w="2033" w:type="dxa"/>
            <w:tcBorders>
              <w:top w:val="single" w:sz="6" w:space="0" w:color="000000"/>
              <w:left w:val="single" w:sz="6" w:space="0" w:color="000000"/>
              <w:bottom w:val="single" w:sz="6" w:space="0" w:color="000000"/>
              <w:right w:val="single" w:sz="2" w:space="0" w:color="000000"/>
            </w:tcBorders>
          </w:tcPr>
          <w:p>
            <w:pPr>
              <w:pStyle w:val="TableParagraph"/>
              <w:spacing w:line="217" w:lineRule="exact"/>
              <w:ind w:right="104"/>
              <w:jc w:val="right"/>
              <w:rPr>
                <w:rFonts w:ascii="宋体" w:hAnsi="宋体" w:cs="宋体" w:eastAsia="宋体" w:hint="default"/>
                <w:sz w:val="18"/>
                <w:szCs w:val="18"/>
              </w:rPr>
            </w:pPr>
            <w:r>
              <w:rPr>
                <w:rFonts w:ascii="宋体"/>
                <w:spacing w:val="-1"/>
                <w:sz w:val="18"/>
              </w:rPr>
              <w:t>2,795,452.20</w:t>
            </w:r>
          </w:p>
        </w:tc>
        <w:tc>
          <w:tcPr>
            <w:tcW w:w="1889" w:type="dxa"/>
            <w:tcBorders>
              <w:top w:val="single" w:sz="6" w:space="0" w:color="000000"/>
              <w:left w:val="single" w:sz="2" w:space="0" w:color="000000"/>
              <w:bottom w:val="single" w:sz="6" w:space="0" w:color="000000"/>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pacing w:val="-1"/>
                <w:sz w:val="18"/>
              </w:rPr>
              <w:t>6,077,070.00</w:t>
            </w: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66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033" w:type="dxa"/>
            <w:tcBorders>
              <w:top w:val="single" w:sz="6" w:space="0" w:color="000000"/>
              <w:left w:val="single" w:sz="6" w:space="0" w:color="000000"/>
              <w:bottom w:val="single" w:sz="6" w:space="0" w:color="000000"/>
              <w:right w:val="single" w:sz="2" w:space="0" w:color="000000"/>
            </w:tcBorders>
          </w:tcPr>
          <w:p>
            <w:pP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本期较少净资产月份</w:t>
            </w:r>
          </w:p>
        </w:tc>
        <w:tc>
          <w:tcPr>
            <w:tcW w:w="2033" w:type="dxa"/>
            <w:tcBorders>
              <w:top w:val="single" w:sz="6" w:space="0" w:color="000000"/>
              <w:left w:val="single" w:sz="6" w:space="0" w:color="000000"/>
              <w:bottom w:val="single" w:sz="6" w:space="0" w:color="000000"/>
              <w:right w:val="single" w:sz="2" w:space="0" w:color="000000"/>
            </w:tcBorders>
          </w:tcPr>
          <w:p>
            <w:pP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89"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其中：回购</w:t>
            </w:r>
          </w:p>
        </w:tc>
        <w:tc>
          <w:tcPr>
            <w:tcW w:w="2033" w:type="dxa"/>
            <w:tcBorders>
              <w:top w:val="single" w:sz="6" w:space="0" w:color="000000"/>
              <w:left w:val="single" w:sz="6" w:space="0" w:color="000000"/>
              <w:bottom w:val="single" w:sz="6" w:space="0" w:color="000000"/>
              <w:right w:val="single" w:sz="2" w:space="0" w:color="000000"/>
            </w:tcBorders>
          </w:tcPr>
          <w:p>
            <w:pP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662" w:right="0"/>
              <w:jc w:val="left"/>
              <w:rPr>
                <w:rFonts w:ascii="宋体" w:hAnsi="宋体" w:cs="宋体" w:eastAsia="宋体" w:hint="default"/>
                <w:sz w:val="18"/>
                <w:szCs w:val="18"/>
              </w:rPr>
            </w:pPr>
            <w:r>
              <w:rPr>
                <w:rFonts w:ascii="宋体" w:hAnsi="宋体" w:cs="宋体" w:eastAsia="宋体" w:hint="default"/>
                <w:sz w:val="18"/>
                <w:szCs w:val="18"/>
              </w:rPr>
              <w:t>现金分红</w:t>
            </w:r>
          </w:p>
        </w:tc>
        <w:tc>
          <w:tcPr>
            <w:tcW w:w="2033" w:type="dxa"/>
            <w:tcBorders>
              <w:top w:val="single" w:sz="6" w:space="0" w:color="000000"/>
              <w:left w:val="single" w:sz="6" w:space="0" w:color="000000"/>
              <w:bottom w:val="single" w:sz="6" w:space="0" w:color="000000"/>
              <w:right w:val="single" w:sz="2" w:space="0" w:color="000000"/>
            </w:tcBorders>
          </w:tcPr>
          <w:p>
            <w:pPr>
              <w:pStyle w:val="TableParagraph"/>
              <w:spacing w:line="217" w:lineRule="exact"/>
              <w:ind w:right="10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月</w:t>
            </w:r>
          </w:p>
        </w:tc>
        <w:tc>
          <w:tcPr>
            <w:tcW w:w="1889" w:type="dxa"/>
            <w:tcBorders>
              <w:top w:val="single" w:sz="6" w:space="0" w:color="000000"/>
              <w:left w:val="single" w:sz="2" w:space="0" w:color="000000"/>
              <w:bottom w:val="single" w:sz="6" w:space="0" w:color="000000"/>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月</w:t>
            </w:r>
          </w:p>
        </w:tc>
      </w:tr>
      <w:tr>
        <w:trPr>
          <w:trHeight w:val="392"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66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033" w:type="dxa"/>
            <w:tcBorders>
              <w:top w:val="single" w:sz="6" w:space="0" w:color="000000"/>
              <w:left w:val="single" w:sz="6" w:space="0" w:color="000000"/>
              <w:bottom w:val="single" w:sz="6" w:space="0" w:color="000000"/>
              <w:right w:val="single" w:sz="2" w:space="0" w:color="000000"/>
            </w:tcBorders>
          </w:tcPr>
          <w:p>
            <w:pP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因其他交易或事项引起的归属于公司普通股股东的净资产增减变动</w:t>
            </w:r>
          </w:p>
        </w:tc>
        <w:tc>
          <w:tcPr>
            <w:tcW w:w="2033" w:type="dxa"/>
            <w:tcBorders>
              <w:top w:val="single" w:sz="6" w:space="0" w:color="000000"/>
              <w:left w:val="single" w:sz="6" w:space="0" w:color="000000"/>
              <w:bottom w:val="single" w:sz="6" w:space="0" w:color="000000"/>
              <w:right w:val="single" w:sz="2" w:space="0" w:color="000000"/>
            </w:tcBorders>
          </w:tcPr>
          <w:p>
            <w:pP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89"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因其他交易或事项引起的归属于公司普通股股东的净资产增减变动月份</w:t>
            </w:r>
          </w:p>
        </w:tc>
        <w:tc>
          <w:tcPr>
            <w:tcW w:w="2033" w:type="dxa"/>
            <w:tcBorders>
              <w:top w:val="single" w:sz="6" w:space="0" w:color="000000"/>
              <w:left w:val="single" w:sz="6" w:space="0" w:color="000000"/>
              <w:bottom w:val="single" w:sz="6" w:space="0" w:color="000000"/>
              <w:right w:val="single" w:sz="2" w:space="0" w:color="000000"/>
            </w:tcBorders>
          </w:tcPr>
          <w:p>
            <w:pPr/>
          </w:p>
        </w:tc>
        <w:tc>
          <w:tcPr>
            <w:tcW w:w="1889" w:type="dxa"/>
            <w:tcBorders>
              <w:top w:val="single" w:sz="6" w:space="0" w:color="000000"/>
              <w:left w:val="single" w:sz="2" w:space="0" w:color="000000"/>
              <w:bottom w:val="single" w:sz="6" w:space="0" w:color="000000"/>
              <w:right w:val="nil" w:sz="6" w:space="0" w:color="auto"/>
            </w:tcBorders>
          </w:tcPr>
          <w:p>
            <w:pPr/>
          </w:p>
        </w:tc>
      </w:tr>
      <w:tr>
        <w:trPr>
          <w:trHeight w:val="391" w:hRule="exact"/>
        </w:trPr>
        <w:tc>
          <w:tcPr>
            <w:tcW w:w="6777" w:type="dxa"/>
            <w:tcBorders>
              <w:top w:val="single" w:sz="6" w:space="0" w:color="000000"/>
              <w:left w:val="nil" w:sz="6" w:space="0" w:color="auto"/>
              <w:bottom w:val="single" w:sz="6"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当期净资产加权平均数</w:t>
            </w:r>
          </w:p>
        </w:tc>
        <w:tc>
          <w:tcPr>
            <w:tcW w:w="2033" w:type="dxa"/>
            <w:tcBorders>
              <w:top w:val="single" w:sz="6" w:space="0" w:color="000000"/>
              <w:left w:val="single" w:sz="6" w:space="0" w:color="000000"/>
              <w:bottom w:val="single" w:sz="6" w:space="0" w:color="000000"/>
              <w:right w:val="single" w:sz="2" w:space="0" w:color="000000"/>
            </w:tcBorders>
          </w:tcPr>
          <w:p>
            <w:pPr>
              <w:pStyle w:val="TableParagraph"/>
              <w:spacing w:line="217" w:lineRule="exact"/>
              <w:ind w:right="104"/>
              <w:jc w:val="right"/>
              <w:rPr>
                <w:rFonts w:ascii="宋体" w:hAnsi="宋体" w:cs="宋体" w:eastAsia="宋体" w:hint="default"/>
                <w:sz w:val="18"/>
                <w:szCs w:val="18"/>
              </w:rPr>
            </w:pPr>
            <w:r>
              <w:rPr>
                <w:rFonts w:ascii="宋体"/>
                <w:spacing w:val="-1"/>
                <w:sz w:val="18"/>
              </w:rPr>
              <w:t>519,065,756.88</w:t>
            </w:r>
          </w:p>
        </w:tc>
        <w:tc>
          <w:tcPr>
            <w:tcW w:w="1889" w:type="dxa"/>
            <w:tcBorders>
              <w:top w:val="single" w:sz="6" w:space="0" w:color="000000"/>
              <w:left w:val="single" w:sz="2" w:space="0" w:color="000000"/>
              <w:bottom w:val="single" w:sz="6" w:space="0" w:color="000000"/>
              <w:right w:val="nil" w:sz="6" w:space="0" w:color="auto"/>
            </w:tcBorders>
          </w:tcPr>
          <w:p>
            <w:pPr>
              <w:pStyle w:val="TableParagraph"/>
              <w:spacing w:line="217" w:lineRule="exact"/>
              <w:ind w:right="107"/>
              <w:jc w:val="right"/>
              <w:rPr>
                <w:rFonts w:ascii="宋体" w:hAnsi="宋体" w:cs="宋体" w:eastAsia="宋体" w:hint="default"/>
                <w:sz w:val="18"/>
                <w:szCs w:val="18"/>
              </w:rPr>
            </w:pPr>
            <w:r>
              <w:rPr>
                <w:rFonts w:ascii="宋体"/>
                <w:spacing w:val="-1"/>
                <w:sz w:val="18"/>
              </w:rPr>
              <w:t>403,101,195.34</w:t>
            </w:r>
          </w:p>
        </w:tc>
      </w:tr>
      <w:tr>
        <w:trPr>
          <w:trHeight w:val="401" w:hRule="exact"/>
        </w:trPr>
        <w:tc>
          <w:tcPr>
            <w:tcW w:w="6777" w:type="dxa"/>
            <w:tcBorders>
              <w:top w:val="single" w:sz="6" w:space="0" w:color="000000"/>
              <w:left w:val="nil" w:sz="6" w:space="0" w:color="auto"/>
              <w:bottom w:val="single" w:sz="12" w:space="0" w:color="000000"/>
              <w:right w:val="single" w:sz="6" w:space="0" w:color="000000"/>
            </w:tcBorders>
          </w:tcPr>
          <w:p>
            <w:pPr>
              <w:pStyle w:val="TableParagraph"/>
              <w:spacing w:line="217" w:lineRule="exact"/>
              <w:ind w:left="1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2033" w:type="dxa"/>
            <w:tcBorders>
              <w:top w:val="single" w:sz="6" w:space="0" w:color="000000"/>
              <w:left w:val="single" w:sz="6" w:space="0" w:color="000000"/>
              <w:bottom w:val="single" w:sz="12" w:space="0" w:color="000000"/>
              <w:right w:val="single" w:sz="2" w:space="0" w:color="000000"/>
            </w:tcBorders>
          </w:tcPr>
          <w:p>
            <w:pPr>
              <w:pStyle w:val="TableParagraph"/>
              <w:spacing w:line="217" w:lineRule="exact"/>
              <w:ind w:right="103"/>
              <w:jc w:val="right"/>
              <w:rPr>
                <w:rFonts w:ascii="宋体" w:hAnsi="宋体" w:cs="宋体" w:eastAsia="宋体" w:hint="default"/>
                <w:sz w:val="18"/>
                <w:szCs w:val="18"/>
              </w:rPr>
            </w:pPr>
            <w:r>
              <w:rPr>
                <w:rFonts w:ascii="宋体"/>
                <w:spacing w:val="-1"/>
                <w:sz w:val="18"/>
              </w:rPr>
              <w:t>33.36%</w:t>
            </w:r>
          </w:p>
        </w:tc>
        <w:tc>
          <w:tcPr>
            <w:tcW w:w="1889" w:type="dxa"/>
            <w:tcBorders>
              <w:top w:val="single" w:sz="6" w:space="0" w:color="000000"/>
              <w:left w:val="single" w:sz="2" w:space="0" w:color="000000"/>
              <w:bottom w:val="single" w:sz="12" w:space="0" w:color="000000"/>
              <w:right w:val="nil" w:sz="6" w:space="0" w:color="auto"/>
            </w:tcBorders>
          </w:tcPr>
          <w:p>
            <w:pPr>
              <w:pStyle w:val="TableParagraph"/>
              <w:spacing w:line="217" w:lineRule="exact"/>
              <w:ind w:right="105"/>
              <w:jc w:val="right"/>
              <w:rPr>
                <w:rFonts w:ascii="宋体" w:hAnsi="宋体" w:cs="宋体" w:eastAsia="宋体" w:hint="default"/>
                <w:sz w:val="18"/>
                <w:szCs w:val="18"/>
              </w:rPr>
            </w:pPr>
            <w:r>
              <w:rPr>
                <w:rFonts w:ascii="宋体"/>
                <w:spacing w:val="-1"/>
                <w:sz w:val="18"/>
              </w:rPr>
              <w:t>15.15%</w:t>
            </w:r>
          </w:p>
        </w:tc>
      </w:tr>
    </w:tbl>
    <w:p>
      <w:pPr>
        <w:pStyle w:val="Heading4"/>
        <w:spacing w:line="241" w:lineRule="exact" w:before="0"/>
        <w:ind w:right="606"/>
        <w:jc w:val="left"/>
        <w:rPr>
          <w:b w:val="0"/>
          <w:bCs w:val="0"/>
        </w:rPr>
      </w:pPr>
      <w:r>
        <w:rPr/>
        <w:t>（三）资产减值准备明细表</w:t>
      </w:r>
      <w:r>
        <w:rPr>
          <w:b w:val="0"/>
          <w:bCs w:val="0"/>
        </w:rPr>
      </w:r>
    </w:p>
    <w:p>
      <w:pPr>
        <w:spacing w:line="240" w:lineRule="auto" w:before="10"/>
        <w:rPr>
          <w:rFonts w:ascii="宋体" w:hAnsi="宋体" w:cs="宋体" w:eastAsia="宋体" w:hint="default"/>
          <w:b/>
          <w:bCs/>
          <w:sz w:val="12"/>
          <w:szCs w:val="12"/>
        </w:rPr>
      </w:pPr>
    </w:p>
    <w:tbl>
      <w:tblPr>
        <w:tblW w:w="0" w:type="auto"/>
        <w:jc w:val="left"/>
        <w:tblInd w:w="216" w:type="dxa"/>
        <w:tblLayout w:type="fixed"/>
        <w:tblCellMar>
          <w:top w:w="0" w:type="dxa"/>
          <w:left w:w="0" w:type="dxa"/>
          <w:bottom w:w="0" w:type="dxa"/>
          <w:right w:w="0" w:type="dxa"/>
        </w:tblCellMar>
        <w:tblLook w:val="01E0"/>
      </w:tblPr>
      <w:tblGrid>
        <w:gridCol w:w="3858"/>
        <w:gridCol w:w="1387"/>
        <w:gridCol w:w="1388"/>
        <w:gridCol w:w="1387"/>
        <w:gridCol w:w="992"/>
        <w:gridCol w:w="1476"/>
      </w:tblGrid>
      <w:tr>
        <w:trPr>
          <w:trHeight w:val="401" w:hRule="exact"/>
        </w:trPr>
        <w:tc>
          <w:tcPr>
            <w:tcW w:w="3858" w:type="dxa"/>
            <w:vMerge w:val="restart"/>
            <w:tcBorders>
              <w:top w:val="single" w:sz="12" w:space="0" w:color="000000"/>
              <w:left w:val="nil" w:sz="6" w:space="0" w:color="auto"/>
              <w:right w:val="single" w:sz="8"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tabs>
                <w:tab w:pos="642" w:val="left" w:leader="none"/>
              </w:tabs>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387" w:type="dxa"/>
            <w:vMerge w:val="restart"/>
            <w:tcBorders>
              <w:top w:val="single" w:sz="12" w:space="0" w:color="000000"/>
              <w:left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88" w:type="dxa"/>
            <w:vMerge w:val="restart"/>
            <w:tcBorders>
              <w:top w:val="single" w:sz="12" w:space="0" w:color="000000"/>
              <w:left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379" w:type="dxa"/>
            <w:gridSpan w:val="2"/>
            <w:tcBorders>
              <w:top w:val="single" w:sz="12" w:space="0" w:color="000000"/>
              <w:left w:val="single" w:sz="8" w:space="0" w:color="000000"/>
              <w:bottom w:val="single" w:sz="8" w:space="0" w:color="000000"/>
              <w:right w:val="single" w:sz="8" w:space="0" w:color="000000"/>
            </w:tcBorders>
          </w:tcPr>
          <w:p>
            <w:pPr>
              <w:pStyle w:val="TableParagraph"/>
              <w:spacing w:line="217" w:lineRule="exact"/>
              <w:ind w:right="2"/>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76" w:type="dxa"/>
            <w:vMerge w:val="restart"/>
            <w:tcBorders>
              <w:top w:val="single" w:sz="12" w:space="0" w:color="000000"/>
              <w:left w:val="single" w:sz="8" w:space="0" w:color="000000"/>
              <w:right w:val="nil" w:sz="6" w:space="0" w:color="auto"/>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3858" w:type="dxa"/>
            <w:vMerge/>
            <w:tcBorders>
              <w:left w:val="nil" w:sz="6" w:space="0" w:color="auto"/>
              <w:bottom w:val="single" w:sz="12" w:space="0" w:color="000000"/>
              <w:right w:val="single" w:sz="8" w:space="0" w:color="000000"/>
            </w:tcBorders>
          </w:tcPr>
          <w:p>
            <w:pPr/>
          </w:p>
        </w:tc>
        <w:tc>
          <w:tcPr>
            <w:tcW w:w="1387" w:type="dxa"/>
            <w:vMerge/>
            <w:tcBorders>
              <w:left w:val="single" w:sz="8" w:space="0" w:color="000000"/>
              <w:bottom w:val="single" w:sz="12" w:space="0" w:color="000000"/>
              <w:right w:val="single" w:sz="8" w:space="0" w:color="000000"/>
            </w:tcBorders>
          </w:tcPr>
          <w:p>
            <w:pPr/>
          </w:p>
        </w:tc>
        <w:tc>
          <w:tcPr>
            <w:tcW w:w="1388" w:type="dxa"/>
            <w:vMerge/>
            <w:tcBorders>
              <w:left w:val="single" w:sz="8" w:space="0" w:color="000000"/>
              <w:bottom w:val="single" w:sz="12" w:space="0" w:color="000000"/>
              <w:right w:val="single" w:sz="8" w:space="0" w:color="000000"/>
            </w:tcBorders>
          </w:tcPr>
          <w:p>
            <w:pPr/>
          </w:p>
        </w:tc>
        <w:tc>
          <w:tcPr>
            <w:tcW w:w="1387" w:type="dxa"/>
            <w:tcBorders>
              <w:top w:val="single" w:sz="8" w:space="0" w:color="000000"/>
              <w:left w:val="single" w:sz="8" w:space="0" w:color="000000"/>
              <w:bottom w:val="single" w:sz="12" w:space="0" w:color="000000"/>
              <w:right w:val="single" w:sz="8" w:space="0" w:color="000000"/>
            </w:tcBorders>
          </w:tcPr>
          <w:p>
            <w:pPr>
              <w:pStyle w:val="TableParagraph"/>
              <w:spacing w:line="215" w:lineRule="exact"/>
              <w:ind w:right="2"/>
              <w:jc w:val="center"/>
              <w:rPr>
                <w:rFonts w:ascii="宋体" w:hAnsi="宋体" w:cs="宋体" w:eastAsia="宋体" w:hint="default"/>
                <w:sz w:val="18"/>
                <w:szCs w:val="18"/>
              </w:rPr>
            </w:pPr>
            <w:r>
              <w:rPr>
                <w:rFonts w:ascii="宋体" w:hAnsi="宋体" w:cs="宋体" w:eastAsia="宋体" w:hint="default"/>
                <w:sz w:val="18"/>
                <w:szCs w:val="18"/>
              </w:rPr>
              <w:t>转回</w:t>
            </w:r>
          </w:p>
        </w:tc>
        <w:tc>
          <w:tcPr>
            <w:tcW w:w="992" w:type="dxa"/>
            <w:tcBorders>
              <w:top w:val="single" w:sz="8" w:space="0" w:color="000000"/>
              <w:left w:val="single" w:sz="8" w:space="0" w:color="000000"/>
              <w:bottom w:val="single" w:sz="12" w:space="0" w:color="000000"/>
              <w:right w:val="single" w:sz="8" w:space="0" w:color="000000"/>
            </w:tcBorders>
          </w:tcPr>
          <w:p>
            <w:pPr>
              <w:pStyle w:val="TableParagraph"/>
              <w:spacing w:line="215" w:lineRule="exact"/>
              <w:ind w:left="305"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476" w:type="dxa"/>
            <w:vMerge/>
            <w:tcBorders>
              <w:left w:val="single" w:sz="8" w:space="0" w:color="000000"/>
              <w:bottom w:val="single" w:sz="12" w:space="0" w:color="000000"/>
              <w:right w:val="nil" w:sz="6" w:space="0" w:color="auto"/>
            </w:tcBorders>
          </w:tcPr>
          <w:p>
            <w:pPr/>
          </w:p>
        </w:tc>
      </w:tr>
    </w:tbl>
    <w:p>
      <w:pPr>
        <w:spacing w:after="0"/>
        <w:sectPr>
          <w:pgSz w:w="11910" w:h="16840"/>
          <w:pgMar w:header="720" w:footer="947" w:top="1300" w:bottom="1140" w:left="480" w:right="0"/>
        </w:sectPr>
      </w:pPr>
    </w:p>
    <w:p>
      <w:pPr>
        <w:spacing w:line="240" w:lineRule="auto" w:before="7"/>
        <w:rPr>
          <w:rFonts w:ascii="宋体" w:hAnsi="宋体" w:cs="宋体" w:eastAsia="宋体" w:hint="default"/>
          <w:b/>
          <w:bCs/>
          <w:sz w:val="3"/>
          <w:szCs w:val="3"/>
        </w:rPr>
      </w:pPr>
    </w:p>
    <w:tbl>
      <w:tblPr>
        <w:tblW w:w="0" w:type="auto"/>
        <w:jc w:val="left"/>
        <w:tblInd w:w="116" w:type="dxa"/>
        <w:tblLayout w:type="fixed"/>
        <w:tblCellMar>
          <w:top w:w="0" w:type="dxa"/>
          <w:left w:w="0" w:type="dxa"/>
          <w:bottom w:w="0" w:type="dxa"/>
          <w:right w:w="0" w:type="dxa"/>
        </w:tblCellMar>
        <w:tblLook w:val="01E0"/>
      </w:tblPr>
      <w:tblGrid>
        <w:gridCol w:w="3877"/>
        <w:gridCol w:w="1387"/>
        <w:gridCol w:w="1388"/>
        <w:gridCol w:w="1387"/>
        <w:gridCol w:w="992"/>
        <w:gridCol w:w="1476"/>
      </w:tblGrid>
      <w:tr>
        <w:trPr>
          <w:trHeight w:val="406" w:hRule="exact"/>
        </w:trPr>
        <w:tc>
          <w:tcPr>
            <w:tcW w:w="3877" w:type="dxa"/>
            <w:tcBorders>
              <w:top w:val="single" w:sz="12" w:space="0" w:color="000000"/>
              <w:left w:val="nil" w:sz="6" w:space="0" w:color="auto"/>
              <w:bottom w:val="single" w:sz="8" w:space="0" w:color="000000"/>
              <w:right w:val="single" w:sz="8" w:space="0" w:color="000000"/>
            </w:tcBorders>
          </w:tcPr>
          <w:p>
            <w:pPr>
              <w:pStyle w:val="TableParagraph"/>
              <w:spacing w:line="222" w:lineRule="exact"/>
              <w:ind w:left="28" w:right="0"/>
              <w:jc w:val="left"/>
              <w:rPr>
                <w:rFonts w:ascii="宋体" w:hAnsi="宋体" w:cs="宋体" w:eastAsia="宋体" w:hint="default"/>
                <w:sz w:val="18"/>
                <w:szCs w:val="18"/>
              </w:rPr>
            </w:pPr>
            <w:r>
              <w:rPr>
                <w:rFonts w:ascii="宋体" w:hAnsi="宋体" w:cs="宋体" w:eastAsia="宋体" w:hint="default"/>
                <w:sz w:val="18"/>
                <w:szCs w:val="18"/>
              </w:rPr>
              <w:t>一、坏账准备合计</w:t>
            </w:r>
          </w:p>
        </w:tc>
        <w:tc>
          <w:tcPr>
            <w:tcW w:w="1387" w:type="dxa"/>
            <w:tcBorders>
              <w:top w:val="single" w:sz="12" w:space="0" w:color="000000"/>
              <w:left w:val="single" w:sz="8" w:space="0" w:color="000000"/>
              <w:bottom w:val="single" w:sz="8" w:space="0" w:color="000000"/>
              <w:right w:val="single" w:sz="8" w:space="0" w:color="000000"/>
            </w:tcBorders>
          </w:tcPr>
          <w:p>
            <w:pPr>
              <w:pStyle w:val="TableParagraph"/>
              <w:spacing w:line="222" w:lineRule="exact"/>
              <w:ind w:right="-1"/>
              <w:jc w:val="right"/>
              <w:rPr>
                <w:rFonts w:ascii="宋体" w:hAnsi="宋体" w:cs="宋体" w:eastAsia="宋体" w:hint="default"/>
                <w:sz w:val="18"/>
                <w:szCs w:val="18"/>
              </w:rPr>
            </w:pPr>
            <w:r>
              <w:rPr>
                <w:rFonts w:ascii="宋体"/>
                <w:spacing w:val="-1"/>
                <w:sz w:val="18"/>
              </w:rPr>
              <w:t>9,658,160.17</w:t>
            </w:r>
          </w:p>
        </w:tc>
        <w:tc>
          <w:tcPr>
            <w:tcW w:w="1388" w:type="dxa"/>
            <w:tcBorders>
              <w:top w:val="single" w:sz="12" w:space="0" w:color="000000"/>
              <w:left w:val="single" w:sz="8" w:space="0" w:color="000000"/>
              <w:bottom w:val="single" w:sz="8" w:space="0" w:color="000000"/>
              <w:right w:val="single" w:sz="8" w:space="0" w:color="000000"/>
            </w:tcBorders>
          </w:tcPr>
          <w:p>
            <w:pPr>
              <w:pStyle w:val="TableParagraph"/>
              <w:spacing w:line="222" w:lineRule="exact"/>
              <w:ind w:right="0"/>
              <w:jc w:val="right"/>
              <w:rPr>
                <w:rFonts w:ascii="宋体" w:hAnsi="宋体" w:cs="宋体" w:eastAsia="宋体" w:hint="default"/>
                <w:sz w:val="18"/>
                <w:szCs w:val="18"/>
              </w:rPr>
            </w:pPr>
            <w:r>
              <w:rPr>
                <w:rFonts w:ascii="宋体"/>
                <w:spacing w:val="-1"/>
                <w:sz w:val="18"/>
              </w:rPr>
              <w:t>1,294,565.06</w:t>
            </w:r>
          </w:p>
        </w:tc>
        <w:tc>
          <w:tcPr>
            <w:tcW w:w="1387" w:type="dxa"/>
            <w:tcBorders>
              <w:top w:val="single" w:sz="12" w:space="0" w:color="000000"/>
              <w:left w:val="single" w:sz="8" w:space="0" w:color="000000"/>
              <w:bottom w:val="single" w:sz="8" w:space="0" w:color="000000"/>
              <w:right w:val="single" w:sz="8" w:space="0" w:color="000000"/>
            </w:tcBorders>
          </w:tcPr>
          <w:p>
            <w:pPr>
              <w:pStyle w:val="TableParagraph"/>
              <w:spacing w:line="222" w:lineRule="exact"/>
              <w:ind w:right="0"/>
              <w:jc w:val="right"/>
              <w:rPr>
                <w:rFonts w:ascii="宋体" w:hAnsi="宋体" w:cs="宋体" w:eastAsia="宋体" w:hint="default"/>
                <w:sz w:val="18"/>
                <w:szCs w:val="18"/>
              </w:rPr>
            </w:pPr>
            <w:r>
              <w:rPr>
                <w:rFonts w:ascii="宋体"/>
                <w:spacing w:val="-1"/>
                <w:sz w:val="18"/>
              </w:rPr>
              <w:t>250,916.64</w:t>
            </w:r>
          </w:p>
        </w:tc>
        <w:tc>
          <w:tcPr>
            <w:tcW w:w="992" w:type="dxa"/>
            <w:tcBorders>
              <w:top w:val="single" w:sz="12" w:space="0" w:color="000000"/>
              <w:left w:val="single" w:sz="8" w:space="0" w:color="000000"/>
              <w:bottom w:val="single" w:sz="8" w:space="0" w:color="000000"/>
              <w:right w:val="single" w:sz="8" w:space="0" w:color="000000"/>
            </w:tcBorders>
          </w:tcPr>
          <w:p>
            <w:pPr/>
          </w:p>
        </w:tc>
        <w:tc>
          <w:tcPr>
            <w:tcW w:w="1476" w:type="dxa"/>
            <w:tcBorders>
              <w:top w:val="single" w:sz="12" w:space="0" w:color="000000"/>
              <w:left w:val="single" w:sz="8" w:space="0" w:color="000000"/>
              <w:bottom w:val="single" w:sz="8" w:space="0" w:color="000000"/>
              <w:right w:val="nil" w:sz="6" w:space="0" w:color="auto"/>
            </w:tcBorders>
          </w:tcPr>
          <w:p>
            <w:pPr>
              <w:pStyle w:val="TableParagraph"/>
              <w:spacing w:line="222" w:lineRule="exact"/>
              <w:ind w:right="7"/>
              <w:jc w:val="right"/>
              <w:rPr>
                <w:rFonts w:ascii="宋体" w:hAnsi="宋体" w:cs="宋体" w:eastAsia="宋体" w:hint="default"/>
                <w:sz w:val="18"/>
                <w:szCs w:val="18"/>
              </w:rPr>
            </w:pPr>
            <w:r>
              <w:rPr>
                <w:rFonts w:ascii="宋体"/>
                <w:spacing w:val="-1"/>
                <w:sz w:val="18"/>
              </w:rPr>
              <w:t>10,701,808.59</w:t>
            </w: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388" w:right="0"/>
              <w:jc w:val="left"/>
              <w:rPr>
                <w:rFonts w:ascii="宋体" w:hAnsi="宋体" w:cs="宋体" w:eastAsia="宋体" w:hint="default"/>
                <w:sz w:val="18"/>
                <w:szCs w:val="18"/>
              </w:rPr>
            </w:pPr>
            <w:r>
              <w:rPr>
                <w:rFonts w:ascii="宋体" w:hAnsi="宋体" w:cs="宋体" w:eastAsia="宋体" w:hint="default"/>
                <w:sz w:val="18"/>
                <w:szCs w:val="18"/>
              </w:rPr>
              <w:t>其中：应收账款</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1"/>
              <w:jc w:val="right"/>
              <w:rPr>
                <w:rFonts w:ascii="宋体" w:hAnsi="宋体" w:cs="宋体" w:eastAsia="宋体" w:hint="default"/>
                <w:sz w:val="18"/>
                <w:szCs w:val="18"/>
              </w:rPr>
            </w:pPr>
            <w:r>
              <w:rPr>
                <w:rFonts w:ascii="宋体"/>
                <w:spacing w:val="-1"/>
                <w:sz w:val="18"/>
              </w:rPr>
              <w:t>8,215,726.08</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0"/>
              <w:jc w:val="right"/>
              <w:rPr>
                <w:rFonts w:ascii="宋体" w:hAnsi="宋体" w:cs="宋体" w:eastAsia="宋体" w:hint="default"/>
                <w:sz w:val="18"/>
                <w:szCs w:val="18"/>
              </w:rPr>
            </w:pPr>
            <w:r>
              <w:rPr>
                <w:rFonts w:ascii="宋体"/>
                <w:spacing w:val="-1"/>
                <w:sz w:val="18"/>
              </w:rPr>
              <w:t>1,118,477.65</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0"/>
              <w:jc w:val="right"/>
              <w:rPr>
                <w:rFonts w:ascii="宋体" w:hAnsi="宋体" w:cs="宋体" w:eastAsia="宋体" w:hint="default"/>
                <w:sz w:val="18"/>
                <w:szCs w:val="18"/>
              </w:rPr>
            </w:pPr>
            <w:r>
              <w:rPr>
                <w:rFonts w:ascii="宋体"/>
                <w:spacing w:val="-1"/>
                <w:sz w:val="18"/>
              </w:rPr>
              <w:t>197,894.35</w:t>
            </w: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17" w:lineRule="exact"/>
              <w:ind w:right="7"/>
              <w:jc w:val="right"/>
              <w:rPr>
                <w:rFonts w:ascii="宋体" w:hAnsi="宋体" w:cs="宋体" w:eastAsia="宋体" w:hint="default"/>
                <w:sz w:val="18"/>
                <w:szCs w:val="18"/>
              </w:rPr>
            </w:pPr>
            <w:r>
              <w:rPr>
                <w:rFonts w:ascii="宋体"/>
                <w:spacing w:val="-1"/>
                <w:sz w:val="18"/>
              </w:rPr>
              <w:t>9,136,309.38</w:t>
            </w: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8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1"/>
              <w:jc w:val="right"/>
              <w:rPr>
                <w:rFonts w:ascii="宋体" w:hAnsi="宋体" w:cs="宋体" w:eastAsia="宋体" w:hint="default"/>
                <w:sz w:val="18"/>
                <w:szCs w:val="18"/>
              </w:rPr>
            </w:pPr>
            <w:r>
              <w:rPr>
                <w:rFonts w:ascii="宋体"/>
                <w:spacing w:val="-1"/>
                <w:sz w:val="18"/>
              </w:rPr>
              <w:t>1,442,434.09</w:t>
            </w:r>
          </w:p>
        </w:tc>
        <w:tc>
          <w:tcPr>
            <w:tcW w:w="1388"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1"/>
              <w:jc w:val="right"/>
              <w:rPr>
                <w:rFonts w:ascii="宋体" w:hAnsi="宋体" w:cs="宋体" w:eastAsia="宋体" w:hint="default"/>
                <w:sz w:val="18"/>
                <w:szCs w:val="18"/>
              </w:rPr>
            </w:pPr>
            <w:r>
              <w:rPr>
                <w:rFonts w:ascii="宋体"/>
                <w:spacing w:val="-1"/>
                <w:sz w:val="18"/>
              </w:rPr>
              <w:t>176,087.41</w:t>
            </w:r>
          </w:p>
        </w:tc>
        <w:tc>
          <w:tcPr>
            <w:tcW w:w="1387" w:type="dxa"/>
            <w:tcBorders>
              <w:top w:val="single" w:sz="8" w:space="0" w:color="000000"/>
              <w:left w:val="single" w:sz="8" w:space="0" w:color="000000"/>
              <w:bottom w:val="single" w:sz="8" w:space="0" w:color="000000"/>
              <w:right w:val="single" w:sz="8" w:space="0" w:color="000000"/>
            </w:tcBorders>
          </w:tcPr>
          <w:p>
            <w:pPr>
              <w:pStyle w:val="TableParagraph"/>
              <w:spacing w:line="217" w:lineRule="exact"/>
              <w:ind w:right="1"/>
              <w:jc w:val="right"/>
              <w:rPr>
                <w:rFonts w:ascii="宋体" w:hAnsi="宋体" w:cs="宋体" w:eastAsia="宋体" w:hint="default"/>
                <w:sz w:val="18"/>
                <w:szCs w:val="18"/>
              </w:rPr>
            </w:pPr>
            <w:r>
              <w:rPr>
                <w:rFonts w:ascii="宋体"/>
                <w:spacing w:val="-1"/>
                <w:sz w:val="18"/>
              </w:rPr>
              <w:t>53,022.29</w:t>
            </w: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Style w:val="TableParagraph"/>
              <w:spacing w:line="217" w:lineRule="exact"/>
              <w:ind w:right="7"/>
              <w:jc w:val="right"/>
              <w:rPr>
                <w:rFonts w:ascii="宋体" w:hAnsi="宋体" w:cs="宋体" w:eastAsia="宋体" w:hint="default"/>
                <w:sz w:val="18"/>
                <w:szCs w:val="18"/>
              </w:rPr>
            </w:pPr>
            <w:r>
              <w:rPr>
                <w:rFonts w:ascii="宋体"/>
                <w:spacing w:val="-1"/>
                <w:sz w:val="18"/>
              </w:rPr>
              <w:t>1,565,499.21</w:t>
            </w: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三、可供出售金融资产减值准备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四、持有至到期投资减值准备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5" w:lineRule="exact"/>
              <w:ind w:left="28"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5" w:lineRule="exact"/>
              <w:ind w:left="28"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4"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5" w:lineRule="exact"/>
              <w:ind w:left="28"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十、生产性生物资产减值准备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388" w:right="0"/>
              <w:jc w:val="left"/>
              <w:rPr>
                <w:rFonts w:ascii="宋体" w:hAnsi="宋体" w:cs="宋体" w:eastAsia="宋体" w:hint="default"/>
                <w:sz w:val="18"/>
                <w:szCs w:val="18"/>
              </w:rPr>
            </w:pPr>
            <w:r>
              <w:rPr>
                <w:rFonts w:ascii="宋体" w:hAnsi="宋体" w:cs="宋体" w:eastAsia="宋体" w:hint="default"/>
                <w:sz w:val="18"/>
                <w:szCs w:val="18"/>
              </w:rPr>
              <w:t>其中：成熟生产性生物资产减值准备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5" w:lineRule="exact"/>
              <w:ind w:left="28" w:right="0"/>
              <w:jc w:val="left"/>
              <w:rPr>
                <w:rFonts w:ascii="宋体" w:hAnsi="宋体" w:cs="宋体" w:eastAsia="宋体" w:hint="default"/>
                <w:sz w:val="18"/>
                <w:szCs w:val="18"/>
              </w:rPr>
            </w:pPr>
            <w:r>
              <w:rPr>
                <w:rFonts w:ascii="宋体" w:hAnsi="宋体" w:cs="宋体" w:eastAsia="宋体" w:hint="default"/>
                <w:sz w:val="18"/>
                <w:szCs w:val="18"/>
              </w:rPr>
              <w:t>十一、油气资产减值准备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5" w:lineRule="exact"/>
              <w:ind w:left="28"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4"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5" w:lineRule="exact"/>
              <w:ind w:left="28"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396" w:hRule="exact"/>
        </w:trPr>
        <w:tc>
          <w:tcPr>
            <w:tcW w:w="3877" w:type="dxa"/>
            <w:tcBorders>
              <w:top w:val="single" w:sz="8" w:space="0" w:color="000000"/>
              <w:left w:val="nil" w:sz="6" w:space="0" w:color="auto"/>
              <w:bottom w:val="single" w:sz="8" w:space="0" w:color="000000"/>
              <w:right w:val="single" w:sz="8" w:space="0" w:color="000000"/>
            </w:tcBorders>
          </w:tcPr>
          <w:p>
            <w:pPr>
              <w:pStyle w:val="TableParagraph"/>
              <w:spacing w:line="217" w:lineRule="exact"/>
              <w:ind w:left="28"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387" w:type="dxa"/>
            <w:tcBorders>
              <w:top w:val="single" w:sz="8" w:space="0" w:color="000000"/>
              <w:left w:val="single" w:sz="8" w:space="0" w:color="000000"/>
              <w:bottom w:val="single" w:sz="8" w:space="0" w:color="000000"/>
              <w:right w:val="single" w:sz="8" w:space="0" w:color="000000"/>
            </w:tcBorders>
          </w:tcPr>
          <w:p>
            <w:pPr/>
          </w:p>
        </w:tc>
        <w:tc>
          <w:tcPr>
            <w:tcW w:w="1388" w:type="dxa"/>
            <w:tcBorders>
              <w:top w:val="single" w:sz="8" w:space="0" w:color="000000"/>
              <w:left w:val="single" w:sz="8" w:space="0" w:color="000000"/>
              <w:bottom w:val="single" w:sz="8" w:space="0" w:color="000000"/>
              <w:right w:val="single" w:sz="8" w:space="0" w:color="000000"/>
            </w:tcBorders>
          </w:tcPr>
          <w:p>
            <w:pPr/>
          </w:p>
        </w:tc>
        <w:tc>
          <w:tcPr>
            <w:tcW w:w="1387" w:type="dxa"/>
            <w:tcBorders>
              <w:top w:val="single" w:sz="8" w:space="0" w:color="000000"/>
              <w:left w:val="single" w:sz="8" w:space="0" w:color="000000"/>
              <w:bottom w:val="single" w:sz="8" w:space="0" w:color="000000"/>
              <w:right w:val="single" w:sz="8" w:space="0" w:color="000000"/>
            </w:tcBorders>
          </w:tcPr>
          <w:p>
            <w:pPr/>
          </w:p>
        </w:tc>
        <w:tc>
          <w:tcPr>
            <w:tcW w:w="992" w:type="dxa"/>
            <w:tcBorders>
              <w:top w:val="single" w:sz="8" w:space="0" w:color="000000"/>
              <w:left w:val="single" w:sz="8" w:space="0" w:color="000000"/>
              <w:bottom w:val="single" w:sz="8" w:space="0" w:color="000000"/>
              <w:right w:val="single" w:sz="8" w:space="0" w:color="000000"/>
            </w:tcBorders>
          </w:tcPr>
          <w:p>
            <w:pPr/>
          </w:p>
        </w:tc>
        <w:tc>
          <w:tcPr>
            <w:tcW w:w="1476" w:type="dxa"/>
            <w:tcBorders>
              <w:top w:val="single" w:sz="8" w:space="0" w:color="000000"/>
              <w:left w:val="single" w:sz="8" w:space="0" w:color="000000"/>
              <w:bottom w:val="single" w:sz="8" w:space="0" w:color="000000"/>
              <w:right w:val="nil" w:sz="6" w:space="0" w:color="auto"/>
            </w:tcBorders>
          </w:tcPr>
          <w:p>
            <w:pPr/>
          </w:p>
        </w:tc>
      </w:tr>
      <w:tr>
        <w:trPr>
          <w:trHeight w:val="403" w:hRule="exact"/>
        </w:trPr>
        <w:tc>
          <w:tcPr>
            <w:tcW w:w="3877" w:type="dxa"/>
            <w:tcBorders>
              <w:top w:val="single" w:sz="8" w:space="0" w:color="000000"/>
              <w:left w:val="nil" w:sz="6" w:space="0" w:color="auto"/>
              <w:bottom w:val="single" w:sz="12" w:space="0" w:color="000000"/>
              <w:right w:val="single" w:sz="8" w:space="0" w:color="000000"/>
            </w:tcBorders>
          </w:tcPr>
          <w:p>
            <w:pPr>
              <w:pStyle w:val="TableParagraph"/>
              <w:tabs>
                <w:tab w:pos="662" w:val="left" w:leader="none"/>
              </w:tabs>
              <w:spacing w:line="217" w:lineRule="exact"/>
              <w:ind w:left="28"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387" w:type="dxa"/>
            <w:tcBorders>
              <w:top w:val="single" w:sz="8" w:space="0" w:color="000000"/>
              <w:left w:val="single" w:sz="8" w:space="0" w:color="000000"/>
              <w:bottom w:val="single" w:sz="12" w:space="0" w:color="000000"/>
              <w:right w:val="single" w:sz="8" w:space="0" w:color="000000"/>
            </w:tcBorders>
          </w:tcPr>
          <w:p>
            <w:pPr>
              <w:pStyle w:val="TableParagraph"/>
              <w:spacing w:line="217" w:lineRule="exact"/>
              <w:ind w:right="-1"/>
              <w:jc w:val="right"/>
              <w:rPr>
                <w:rFonts w:ascii="宋体" w:hAnsi="宋体" w:cs="宋体" w:eastAsia="宋体" w:hint="default"/>
                <w:sz w:val="18"/>
                <w:szCs w:val="18"/>
              </w:rPr>
            </w:pPr>
            <w:r>
              <w:rPr>
                <w:rFonts w:ascii="宋体"/>
                <w:spacing w:val="-1"/>
                <w:sz w:val="18"/>
              </w:rPr>
              <w:t>9,658,160.17</w:t>
            </w:r>
          </w:p>
        </w:tc>
        <w:tc>
          <w:tcPr>
            <w:tcW w:w="1388" w:type="dxa"/>
            <w:tcBorders>
              <w:top w:val="single" w:sz="8" w:space="0" w:color="000000"/>
              <w:left w:val="single" w:sz="8" w:space="0" w:color="000000"/>
              <w:bottom w:val="single" w:sz="12" w:space="0" w:color="000000"/>
              <w:right w:val="single" w:sz="8" w:space="0" w:color="000000"/>
            </w:tcBorders>
          </w:tcPr>
          <w:p>
            <w:pPr>
              <w:pStyle w:val="TableParagraph"/>
              <w:spacing w:line="217" w:lineRule="exact"/>
              <w:ind w:right="0"/>
              <w:jc w:val="right"/>
              <w:rPr>
                <w:rFonts w:ascii="宋体" w:hAnsi="宋体" w:cs="宋体" w:eastAsia="宋体" w:hint="default"/>
                <w:sz w:val="18"/>
                <w:szCs w:val="18"/>
              </w:rPr>
            </w:pPr>
            <w:r>
              <w:rPr>
                <w:rFonts w:ascii="宋体"/>
                <w:spacing w:val="-1"/>
                <w:sz w:val="18"/>
              </w:rPr>
              <w:t>1,294,565.06</w:t>
            </w:r>
          </w:p>
        </w:tc>
        <w:tc>
          <w:tcPr>
            <w:tcW w:w="1387" w:type="dxa"/>
            <w:tcBorders>
              <w:top w:val="single" w:sz="8" w:space="0" w:color="000000"/>
              <w:left w:val="single" w:sz="8" w:space="0" w:color="000000"/>
              <w:bottom w:val="single" w:sz="12" w:space="0" w:color="000000"/>
              <w:right w:val="single" w:sz="8" w:space="0" w:color="000000"/>
            </w:tcBorders>
          </w:tcPr>
          <w:p>
            <w:pPr>
              <w:pStyle w:val="TableParagraph"/>
              <w:spacing w:line="217" w:lineRule="exact"/>
              <w:ind w:right="0"/>
              <w:jc w:val="right"/>
              <w:rPr>
                <w:rFonts w:ascii="宋体" w:hAnsi="宋体" w:cs="宋体" w:eastAsia="宋体" w:hint="default"/>
                <w:sz w:val="18"/>
                <w:szCs w:val="18"/>
              </w:rPr>
            </w:pPr>
            <w:r>
              <w:rPr>
                <w:rFonts w:ascii="宋体"/>
                <w:spacing w:val="-1"/>
                <w:sz w:val="18"/>
              </w:rPr>
              <w:t>250,916.64</w:t>
            </w:r>
          </w:p>
        </w:tc>
        <w:tc>
          <w:tcPr>
            <w:tcW w:w="992" w:type="dxa"/>
            <w:tcBorders>
              <w:top w:val="single" w:sz="8" w:space="0" w:color="000000"/>
              <w:left w:val="single" w:sz="8" w:space="0" w:color="000000"/>
              <w:bottom w:val="single" w:sz="12" w:space="0" w:color="000000"/>
              <w:right w:val="single" w:sz="8" w:space="0" w:color="000000"/>
            </w:tcBorders>
          </w:tcPr>
          <w:p>
            <w:pPr/>
          </w:p>
        </w:tc>
        <w:tc>
          <w:tcPr>
            <w:tcW w:w="1476" w:type="dxa"/>
            <w:tcBorders>
              <w:top w:val="single" w:sz="8" w:space="0" w:color="000000"/>
              <w:left w:val="single" w:sz="8" w:space="0" w:color="000000"/>
              <w:bottom w:val="single" w:sz="12" w:space="0" w:color="000000"/>
              <w:right w:val="nil" w:sz="6" w:space="0" w:color="auto"/>
            </w:tcBorders>
          </w:tcPr>
          <w:p>
            <w:pPr>
              <w:pStyle w:val="TableParagraph"/>
              <w:spacing w:line="217" w:lineRule="exact"/>
              <w:ind w:right="7"/>
              <w:jc w:val="right"/>
              <w:rPr>
                <w:rFonts w:ascii="宋体" w:hAnsi="宋体" w:cs="宋体" w:eastAsia="宋体" w:hint="default"/>
                <w:sz w:val="18"/>
                <w:szCs w:val="18"/>
              </w:rPr>
            </w:pPr>
            <w:r>
              <w:rPr>
                <w:rFonts w:ascii="宋体"/>
                <w:spacing w:val="-1"/>
                <w:sz w:val="18"/>
              </w:rPr>
              <w:t>10,701,808.59</w:t>
            </w:r>
          </w:p>
        </w:tc>
      </w:tr>
    </w:tbl>
    <w:p>
      <w:pPr>
        <w:pStyle w:val="BodyText"/>
        <w:spacing w:line="357" w:lineRule="auto" w:before="86"/>
        <w:ind w:left="160" w:right="587" w:firstLine="420"/>
        <w:jc w:val="left"/>
      </w:pPr>
      <w:r>
        <w:rPr>
          <w:spacing w:val="-2"/>
        </w:rPr>
        <w:t>注：上表中“其他转销”</w:t>
      </w:r>
      <w:r>
        <w:rPr>
          <w:rFonts w:ascii="宋体" w:hAnsi="宋体" w:cs="宋体" w:eastAsia="宋体" w:hint="default"/>
          <w:spacing w:val="-2"/>
        </w:rPr>
        <w:t>250,916.64</w:t>
      </w:r>
      <w:r>
        <w:rPr>
          <w:spacing w:val="-2"/>
        </w:rPr>
        <w:t>元，原因是子公司吉林融安科工贸有限公司于本期注销，转回其上年末应</w:t>
      </w:r>
      <w:r>
        <w:rPr>
          <w:w w:val="100"/>
        </w:rPr>
        <w:t> </w:t>
      </w:r>
      <w:r>
        <w:rPr/>
        <w:t>收款项坏账准备余额数。</w:t>
      </w:r>
    </w:p>
    <w:p>
      <w:pPr>
        <w:pStyle w:val="BodyText"/>
        <w:spacing w:line="240" w:lineRule="auto" w:before="150"/>
        <w:ind w:left="580" w:right="587"/>
        <w:jc w:val="left"/>
      </w:pPr>
      <w:r>
        <w:rPr/>
        <w:t>本财务报表及附注经本公司第四届董事会第十一次会议决议批准报出。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0"/>
        <w:ind w:left="5201" w:right="587"/>
        <w:jc w:val="left"/>
      </w:pPr>
      <w:r>
        <w:rPr/>
        <w:t>吉林紫鑫药业股份有限公司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tabs>
          <w:tab w:pos="3312" w:val="left" w:leader="none"/>
          <w:tab w:pos="7404" w:val="left" w:leader="none"/>
        </w:tabs>
        <w:spacing w:line="240" w:lineRule="auto" w:before="0"/>
        <w:ind w:left="160" w:right="587"/>
        <w:jc w:val="left"/>
      </w:pPr>
      <w:r>
        <w:rPr>
          <w:spacing w:val="-1"/>
        </w:rPr>
        <w:t>公司负责人：郭春生</w:t>
        <w:tab/>
      </w:r>
      <w:r>
        <w:rPr>
          <w:spacing w:val="-2"/>
        </w:rPr>
        <w:t>主管会计机构负责人：徐吉峰</w:t>
        <w:tab/>
        <w:t>会计机构负责人：孙莉莉</w:t>
      </w:r>
    </w:p>
    <w:p>
      <w:pPr>
        <w:spacing w:after="0" w:line="240" w:lineRule="auto"/>
        <w:jc w:val="left"/>
        <w:sectPr>
          <w:pgSz w:w="11910" w:h="16840"/>
          <w:pgMar w:header="720" w:footer="947" w:top="1300" w:bottom="1140" w:left="560" w:right="0"/>
        </w:sectPr>
      </w:pPr>
    </w:p>
    <w:p>
      <w:pPr>
        <w:spacing w:line="240" w:lineRule="auto" w:before="13"/>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509.05pt;height:.75pt;mso-position-horizontal-relative:char;mso-position-vertical-relative:line" coordorigin="0,0" coordsize="10181,15">
            <v:group style="position:absolute;left:7;top:7;width:10166;height:2" coordorigin="7,7" coordsize="10166,2">
              <v:shape style="position:absolute;left:7;top:7;width:10166;height:2" coordorigin="7,7" coordsize="10166,0" path="m7,7l1017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1607" w:val="left" w:leader="none"/>
        </w:tabs>
        <w:spacing w:line="240" w:lineRule="auto" w:before="165"/>
        <w:ind w:right="579"/>
        <w:jc w:val="center"/>
        <w:rPr>
          <w:b w:val="0"/>
          <w:bCs w:val="0"/>
        </w:rPr>
      </w:pPr>
      <w:bookmarkStart w:name="_TOC_250000" w:id="11"/>
      <w:r>
        <w:rPr>
          <w:w w:val="95"/>
        </w:rPr>
        <w:t>第十一节</w:t>
        <w:tab/>
      </w:r>
      <w:r>
        <w:rPr/>
        <w:t>备查文件目录</w:t>
      </w:r>
      <w:bookmarkEnd w:id="11"/>
      <w:r>
        <w:rPr>
          <w:b w:val="0"/>
          <w:bCs w:val="0"/>
        </w:rPr>
      </w:r>
    </w:p>
    <w:p>
      <w:pPr>
        <w:spacing w:line="240" w:lineRule="auto" w:before="9"/>
        <w:rPr>
          <w:rFonts w:ascii="黑体" w:hAnsi="黑体" w:cs="黑体" w:eastAsia="黑体" w:hint="default"/>
          <w:b/>
          <w:bCs/>
          <w:sz w:val="41"/>
          <w:szCs w:val="41"/>
        </w:rPr>
      </w:pPr>
    </w:p>
    <w:p>
      <w:pPr>
        <w:pStyle w:val="Heading3"/>
        <w:spacing w:line="357" w:lineRule="auto" w:before="0"/>
        <w:ind w:right="2526"/>
        <w:jc w:val="left"/>
      </w:pPr>
      <w:r>
        <w:rPr/>
        <w:t>一、载有公司法定代表人、财务总监、会计机构负责人签名并盖章的会计报告。 二、载有会计师事务所盖章，中国注册会计师签名并盖章的审计报告原件。 三、报告期内在中国证监会指定报纸上公开披露过的所有公司文件的正本的原稿。 四、载有公司董事长郭春生签名的公司</w:t>
      </w:r>
      <w:r>
        <w:rPr>
          <w:rFonts w:ascii="宋体" w:hAnsi="宋体" w:cs="宋体" w:eastAsia="宋体" w:hint="default"/>
        </w:rPr>
        <w:t>2010</w:t>
      </w:r>
      <w:r>
        <w:rPr/>
        <w:t>年年度报告文本。 五、以上备查文件的备置地点：公司董事会秘书办公室。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0"/>
          <w:szCs w:val="20"/>
        </w:rPr>
      </w:pPr>
    </w:p>
    <w:p>
      <w:pPr>
        <w:pStyle w:val="Heading3"/>
        <w:spacing w:line="712" w:lineRule="auto" w:before="0"/>
        <w:ind w:left="3932" w:right="4511"/>
        <w:jc w:val="center"/>
      </w:pPr>
      <w:r>
        <w:rPr/>
        <w:t>吉林紫鑫药业股份有限公司 董事长： 二○一一年三月三十日</w:t>
      </w:r>
    </w:p>
    <w:sectPr>
      <w:footerReference w:type="default" r:id="rId54"/>
      <w:pgSz w:w="11910" w:h="16840"/>
      <w:pgMar w:footer="956" w:header="720" w:top="1300" w:bottom="1140" w:left="580" w:right="0"/>
      <w:pgNumType w:start="11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5072" type="#_x0000_t75" stroked="false">
          <v:imagedata r:id="rId1" o:title=""/>
        </v:shape>
      </w:pict>
    </w:r>
    <w:r>
      <w:rPr/>
      <w:pict>
        <v:shape style="position:absolute;margin-left:539.419983pt;margin-top:785.173889pt;width:13.15pt;height:11pt;mso-position-horizontal-relative:page;mso-position-vertical-relative:page;z-index:-535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568" type="#_x0000_t75" stroked="false">
          <v:imagedata r:id="rId1" o:title=""/>
        </v:shape>
      </w:pict>
    </w:r>
    <w:r>
      <w:rPr/>
      <w:pict>
        <v:shape style="position:absolute;margin-left:539.419983pt;margin-top:785.173889pt;width:13.15pt;height:11pt;mso-position-horizontal-relative:page;mso-position-vertical-relative:page;z-index:-534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520" type="#_x0000_t75" stroked="false">
          <v:imagedata r:id="rId1" o:title=""/>
        </v:shape>
      </w:pict>
    </w:r>
    <w:r>
      <w:rPr/>
      <w:pict>
        <v:shape style="position:absolute;margin-left:539.419983pt;margin-top:785.173889pt;width:13.15pt;height:11pt;mso-position-horizontal-relative:page;mso-position-vertical-relative:page;z-index:-5344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472" type="#_x0000_t75" stroked="false">
          <v:imagedata r:id="rId1" o:title=""/>
        </v:shape>
      </w:pict>
    </w:r>
    <w:r>
      <w:rPr/>
      <w:pict>
        <v:shape style="position:absolute;margin-left:539.419983pt;margin-top:785.173889pt;width:13.15pt;height:11pt;mso-position-horizontal-relative:page;mso-position-vertical-relative:page;z-index:-5344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77</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376" type="#_x0000_t75" stroked="false">
          <v:imagedata r:id="rId1" o:title=""/>
        </v:shape>
      </w:pict>
    </w:r>
    <w:r>
      <w:rPr/>
      <w:pict>
        <v:shape style="position:absolute;margin-left:539.419983pt;margin-top:785.173889pt;width:13.15pt;height:11pt;mso-position-horizontal-relative:page;mso-position-vertical-relative:page;z-index:-534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85</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280" type="#_x0000_t75" stroked="false">
          <v:imagedata r:id="rId1" o:title=""/>
        </v:shape>
      </w:pict>
    </w:r>
    <w:r>
      <w:rPr/>
      <w:pict>
        <v:shape style="position:absolute;margin-left:539.419983pt;margin-top:785.173889pt;width:13.15pt;height:11pt;mso-position-horizontal-relative:page;mso-position-vertical-relative:page;z-index:-534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232" type="#_x0000_t75" stroked="false">
          <v:imagedata r:id="rId1" o:title=""/>
        </v:shape>
      </w:pict>
    </w:r>
    <w:r>
      <w:rPr/>
      <w:pict>
        <v:shape style="position:absolute;margin-left:539.419983pt;margin-top:785.173889pt;width:13.15pt;height:11pt;mso-position-horizontal-relative:page;mso-position-vertical-relative:page;z-index:-534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89</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184" type="#_x0000_t75" stroked="false">
          <v:imagedata r:id="rId1" o:title=""/>
        </v:shape>
      </w:pict>
    </w:r>
    <w:r>
      <w:rPr/>
      <w:pict>
        <v:shape style="position:absolute;margin-left:535.859985pt;margin-top:785.173889pt;width:15.7pt;height:11pt;mso-position-horizontal-relative:page;mso-position-vertical-relative:page;z-index:-53416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136" type="#_x0000_t75" stroked="false">
          <v:imagedata r:id="rId1" o:title=""/>
        </v:shape>
      </w:pict>
    </w:r>
    <w:r>
      <w:rPr/>
      <w:pict>
        <v:shape style="position:absolute;margin-left:534.859985pt;margin-top:785.173889pt;width:17.7pt;height:11pt;mso-position-horizontal-relative:page;mso-position-vertical-relative:page;z-index:-534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102</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5024" type="#_x0000_t75" stroked="false">
          <v:imagedata r:id="rId1" o:title=""/>
        </v:shape>
      </w:pict>
    </w:r>
    <w:r>
      <w:rPr/>
      <w:pict>
        <v:shape style="position:absolute;margin-left:35pt;margin-top:769.743469pt;width:525.450pt;height:26.45pt;mso-position-horizontal-relative:page;mso-position-vertical-relative:page;z-index:-53500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pacing w:val="-3"/>
                    <w:sz w:val="24"/>
                    <w:szCs w:val="24"/>
                  </w:rPr>
                  <w:t>命题委员会委员，国际对外贸易仲裁委员会仲裁员，吉林省委决策咨询委员，吉林省人民政府立法咨</w:t>
                </w:r>
              </w:p>
              <w:p>
                <w:pPr>
                  <w:spacing w:before="45"/>
                  <w:ind w:left="0" w:right="202" w:firstLine="0"/>
                  <w:jc w:val="righ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w:t>
                </w:r>
                <w:r>
                  <w:rPr/>
                  <w:fldChar w:fldCharType="end"/>
                </w:r>
                <w:r>
                  <w:rPr>
                    <w:rFonts w:ascii="Times New Roman"/>
                    <w:spacing w:val="-6"/>
                    <w:sz w:val="18"/>
                  </w:rPr>
                </w:r>
                <w:r>
                  <w:rPr>
                    <w:rFonts w:ascii="Times New Roman"/>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088" type="#_x0000_t75" stroked="false">
          <v:imagedata r:id="rId1" o:title=""/>
        </v:shape>
      </w:pict>
    </w:r>
    <w:r>
      <w:rPr/>
      <w:pict>
        <v:shape style="position:absolute;margin-left:535.219971pt;margin-top:785.173889pt;width:17.3pt;height:11pt;mso-position-horizontal-relative:page;mso-position-vertical-relative:page;z-index:-534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976" type="#_x0000_t75" stroked="false">
          <v:imagedata r:id="rId1" o:title=""/>
        </v:shape>
      </w:pict>
    </w:r>
    <w:r>
      <w:rPr/>
      <w:pict>
        <v:shape style="position:absolute;margin-left:539.419983pt;margin-top:785.173889pt;width:13.15pt;height:11pt;mso-position-horizontal-relative:page;mso-position-vertical-relative:page;z-index:-534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928" type="#_x0000_t75" stroked="false">
          <v:imagedata r:id="rId1" o:title=""/>
        </v:shape>
      </w:pict>
    </w:r>
    <w:r>
      <w:rPr/>
      <w:pict>
        <v:shape style="position:absolute;margin-left:539.419983pt;margin-top:785.173889pt;width:13.15pt;height:11pt;mso-position-horizontal-relative:page;mso-position-vertical-relative:page;z-index:-534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880" type="#_x0000_t75" stroked="false">
          <v:imagedata r:id="rId1" o:title=""/>
        </v:shape>
      </w:pict>
    </w:r>
    <w:r>
      <w:rPr/>
      <w:pict>
        <v:shape style="position:absolute;margin-left:539.419983pt;margin-top:785.173889pt;width:13.15pt;height:11pt;mso-position-horizontal-relative:page;mso-position-vertical-relative:page;z-index:-534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832" type="#_x0000_t75" stroked="false">
          <v:imagedata r:id="rId1" o:title=""/>
        </v:shape>
      </w:pict>
    </w:r>
    <w:r>
      <w:rPr/>
      <w:pict>
        <v:shape style="position:absolute;margin-left:56pt;margin-top:769.743469pt;width:344.05pt;height:14pt;mso-position-horizontal-relative:page;mso-position-vertical-relative:page;z-index:-53480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）审议通过了《关于成立吉林紫鑫初元药业有限公司的议案》</w:t>
                </w:r>
              </w:p>
            </w:txbxContent>
          </v:textbox>
          <w10:wrap type="none"/>
        </v:shape>
      </w:pict>
    </w:r>
    <w:r>
      <w:rPr/>
      <w:pict>
        <v:shape style="position:absolute;margin-left:539.419983pt;margin-top:785.173889pt;width:13.15pt;height:11pt;mso-position-horizontal-relative:page;mso-position-vertical-relative:page;z-index:-534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760" type="#_x0000_t75" stroked="false">
          <v:imagedata r:id="rId1" o:title=""/>
        </v:shape>
      </w:pict>
    </w:r>
    <w:r>
      <w:rPr/>
      <w:pict>
        <v:shape style="position:absolute;margin-left:56pt;margin-top:769.743469pt;width:254.05pt;height:14pt;mso-position-horizontal-relative:page;mso-position-vertical-relative:page;z-index:-53473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）审议通过了《监事会</w:t>
                </w:r>
                <w:r>
                  <w:rPr>
                    <w:rFonts w:ascii="宋体" w:hAnsi="宋体" w:cs="宋体" w:eastAsia="宋体" w:hint="default"/>
                    <w:sz w:val="24"/>
                    <w:szCs w:val="24"/>
                  </w:rPr>
                  <w:t>2009</w:t>
                </w:r>
                <w:r>
                  <w:rPr>
                    <w:rFonts w:ascii="宋体" w:hAnsi="宋体" w:cs="宋体" w:eastAsia="宋体" w:hint="default"/>
                    <w:sz w:val="24"/>
                    <w:szCs w:val="24"/>
                  </w:rPr>
                  <w:t>年度工作报告</w:t>
                </w:r>
                <w:r>
                  <w:rPr>
                    <w:rFonts w:ascii="宋体" w:hAnsi="宋体" w:cs="宋体" w:eastAsia="宋体" w:hint="default"/>
                    <w:spacing w:val="-120"/>
                    <w:sz w:val="24"/>
                    <w:szCs w:val="24"/>
                  </w:rPr>
                  <w:t>》</w:t>
                </w:r>
                <w:r>
                  <w:rPr>
                    <w:rFonts w:ascii="宋体" w:hAnsi="宋体" w:cs="宋体" w:eastAsia="宋体" w:hint="default"/>
                    <w:sz w:val="24"/>
                    <w:szCs w:val="24"/>
                  </w:rPr>
                  <w:t>；</w:t>
                </w:r>
              </w:p>
            </w:txbxContent>
          </v:textbox>
          <w10:wrap type="none"/>
        </v:shape>
      </w:pict>
    </w:r>
    <w:r>
      <w:rPr/>
      <w:pict>
        <v:shape style="position:absolute;margin-left:540.419983pt;margin-top:785.173889pt;width:11.15pt;height:11pt;mso-position-horizontal-relative:page;mso-position-vertical-relative:page;z-index:-5347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31</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688" type="#_x0000_t75" stroked="false">
          <v:imagedata r:id="rId1" o:title=""/>
        </v:shape>
      </w:pict>
    </w:r>
    <w:r>
      <w:rPr/>
      <w:pict>
        <v:shape style="position:absolute;margin-left:539.419983pt;margin-top:785.173889pt;width:13.15pt;height:11pt;mso-position-horizontal-relative:page;mso-position-vertical-relative:page;z-index:-534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534640" type="#_x0000_t75" stroked="false">
          <v:imagedata r:id="rId1" o:title=""/>
        </v:shape>
      </w:pict>
    </w:r>
    <w:r>
      <w:rPr/>
      <w:pict>
        <v:shape style="position:absolute;margin-left:35pt;margin-top:769.743469pt;width:134pt;height:14pt;mso-position-horizontal-relative:page;mso-position-vertical-relative:page;z-index:-53461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产业齐头并进稳步发展。</w:t>
                </w:r>
              </w:p>
            </w:txbxContent>
          </v:textbox>
          <w10:wrap type="none"/>
        </v:shape>
      </w:pict>
    </w:r>
    <w:r>
      <w:rPr/>
      <w:pict>
        <v:shape style="position:absolute;margin-left:539.419983pt;margin-top:785.173889pt;width:13.15pt;height:11pt;mso-position-horizontal-relative:page;mso-position-vertical-relative:page;z-index:-534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pt;margin-top:35.999985pt;width:23.65pt;height:28.2pt;mso-position-horizontal-relative:page;mso-position-vertical-relative:page;z-index:-535144" type="#_x0000_t75" stroked="false">
          <v:imagedata r:id="rId1" o:title=""/>
        </v:shape>
      </w:pict>
    </w:r>
    <w:r>
      <w:rPr/>
      <w:pict>
        <v:group style="position:absolute;margin-left:34.560001pt;margin-top:68.279984pt;width:508.3pt;height:.1pt;mso-position-horizontal-relative:page;mso-position-vertical-relative:page;z-index:-535120" coordorigin="691,1366" coordsize="10166,2">
          <v:shape style="position:absolute;left:691;top:1366;width:10166;height:2" coordorigin="691,1366" coordsize="10166,0" path="m691,1366l10857,136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00.950012pt;margin-top:55.465607pt;width:105.6pt;height:11.5pt;mso-position-horizontal-relative:page;mso-position-vertical-relative:page;z-index:-535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紫鑫药业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pt;margin-top:35.999985pt;width:23.65pt;height:28.2pt;mso-position-horizontal-relative:page;mso-position-vertical-relative:page;z-index:-534424" type="#_x0000_t75" stroked="false">
          <v:imagedata r:id="rId1" o:title=""/>
        </v:shape>
      </w:pict>
    </w:r>
    <w:r>
      <w:rPr/>
      <w:pict>
        <v:shape style="position:absolute;margin-left:400.950012pt;margin-top:55.465607pt;width:105.6pt;height:11.5pt;mso-position-horizontal-relative:page;mso-position-vertical-relative:page;z-index:-534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紫鑫药业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pt;margin-top:35.999985pt;width:23.65pt;height:28.2pt;mso-position-horizontal-relative:page;mso-position-vertical-relative:page;z-index:-534328" type="#_x0000_t75" stroked="false">
          <v:imagedata r:id="rId1" o:title=""/>
        </v:shape>
      </w:pict>
    </w:r>
    <w:r>
      <w:rPr/>
      <w:pict>
        <v:shape style="position:absolute;margin-left:400.950012pt;margin-top:55.465607pt;width:105.6pt;height:11.5pt;mso-position-horizontal-relative:page;mso-position-vertical-relative:page;z-index:-5343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紫鑫药业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87"/>
      <w:ind w:left="140"/>
    </w:pPr>
    <w:rPr>
      <w:rFonts w:ascii="宋体" w:hAnsi="宋体" w:eastAsia="宋体"/>
      <w:b/>
      <w:bCs/>
      <w:sz w:val="24"/>
      <w:szCs w:val="24"/>
    </w:rPr>
  </w:style>
  <w:style w:styleId="BodyText" w:type="paragraph">
    <w:name w:val="Body Text"/>
    <w:basedOn w:val="Normal"/>
    <w:uiPriority w:val="1"/>
    <w:qFormat/>
    <w:pPr>
      <w:spacing w:before="32"/>
      <w:ind w:left="560"/>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32"/>
      <w:szCs w:val="32"/>
    </w:rPr>
  </w:style>
  <w:style w:styleId="Heading2" w:type="paragraph">
    <w:name w:val="Heading 2"/>
    <w:basedOn w:val="Normal"/>
    <w:uiPriority w:val="1"/>
    <w:qFormat/>
    <w:pPr>
      <w:outlineLvl w:val="2"/>
    </w:pPr>
    <w:rPr>
      <w:rFonts w:ascii="宋体" w:hAnsi="宋体" w:eastAsia="宋体"/>
      <w:b/>
      <w:bCs/>
      <w:sz w:val="24"/>
      <w:szCs w:val="24"/>
    </w:rPr>
  </w:style>
  <w:style w:styleId="Heading3" w:type="paragraph">
    <w:name w:val="Heading 3"/>
    <w:basedOn w:val="Normal"/>
    <w:uiPriority w:val="1"/>
    <w:qFormat/>
    <w:pPr>
      <w:spacing w:before="154"/>
      <w:ind w:left="140"/>
      <w:outlineLvl w:val="3"/>
    </w:pPr>
    <w:rPr>
      <w:rFonts w:ascii="宋体" w:hAnsi="宋体" w:eastAsia="宋体"/>
      <w:sz w:val="24"/>
      <w:szCs w:val="24"/>
    </w:rPr>
  </w:style>
  <w:style w:styleId="Heading4" w:type="paragraph">
    <w:name w:val="Heading 4"/>
    <w:basedOn w:val="Normal"/>
    <w:uiPriority w:val="1"/>
    <w:qFormat/>
    <w:pPr>
      <w:spacing w:before="86"/>
      <w:ind w:left="65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hyperlink" Target="mailto:594cpa@163.com" TargetMode="External"/><Relationship Id="rId11" Type="http://schemas.openxmlformats.org/officeDocument/2006/relationships/hyperlink" Target="http://www.jilinzixin.com.cn/" TargetMode="External"/><Relationship Id="rId12" Type="http://schemas.openxmlformats.org/officeDocument/2006/relationships/hyperlink" Target="mailto:zixin@jilinzixin.com" TargetMode="External"/><Relationship Id="rId13" Type="http://schemas.openxmlformats.org/officeDocument/2006/relationships/hyperlink" Target="http://cninfo.com.cn/" TargetMode="External"/><Relationship Id="rId14" Type="http://schemas.openxmlformats.org/officeDocument/2006/relationships/image" Target="media/image5.png"/><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yperlink" Target="http://www.cninfo.com.cn/" TargetMode="External"/><Relationship Id="rId25" Type="http://schemas.openxmlformats.org/officeDocument/2006/relationships/image" Target="media/image6.jpe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eader" Target="header2.xml"/><Relationship Id="rId31" Type="http://schemas.openxmlformats.org/officeDocument/2006/relationships/footer" Target="footer13.xml"/><Relationship Id="rId32" Type="http://schemas.openxmlformats.org/officeDocument/2006/relationships/image" Target="media/image4.jpeg"/><Relationship Id="rId33" Type="http://schemas.openxmlformats.org/officeDocument/2006/relationships/footer" Target="footer14.xml"/><Relationship Id="rId34" Type="http://schemas.openxmlformats.org/officeDocument/2006/relationships/header" Target="header3.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image" Target="media/image12.png"/><Relationship Id="rId42" Type="http://schemas.openxmlformats.org/officeDocument/2006/relationships/image" Target="media/image13.png"/><Relationship Id="rId43" Type="http://schemas.openxmlformats.org/officeDocument/2006/relationships/image" Target="media/image14.png"/><Relationship Id="rId44" Type="http://schemas.openxmlformats.org/officeDocument/2006/relationships/image" Target="media/image15.png"/><Relationship Id="rId45" Type="http://schemas.openxmlformats.org/officeDocument/2006/relationships/image" Target="media/image16.png"/><Relationship Id="rId46" Type="http://schemas.openxmlformats.org/officeDocument/2006/relationships/image" Target="media/image17.png"/><Relationship Id="rId47" Type="http://schemas.openxmlformats.org/officeDocument/2006/relationships/image" Target="media/image18.png"/><Relationship Id="rId48" Type="http://schemas.openxmlformats.org/officeDocument/2006/relationships/image" Target="media/image19.png"/><Relationship Id="rId49" Type="http://schemas.openxmlformats.org/officeDocument/2006/relationships/image" Target="media/image20.png"/><Relationship Id="rId50" Type="http://schemas.openxmlformats.org/officeDocument/2006/relationships/image" Target="media/image21.png"/><Relationship Id="rId51" Type="http://schemas.openxmlformats.org/officeDocument/2006/relationships/image" Target="media/image22.png"/><Relationship Id="rId52" Type="http://schemas.openxmlformats.org/officeDocument/2006/relationships/footer" Target="footer18.xml"/><Relationship Id="rId53" Type="http://schemas.openxmlformats.org/officeDocument/2006/relationships/footer" Target="footer19.xml"/><Relationship Id="rId54" Type="http://schemas.openxmlformats.org/officeDocument/2006/relationships/footer" Target="footer20.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10.xml.rels><?xml version="1.0" encoding="UTF-8" standalone="yes"?>
<Relationships xmlns="http://schemas.openxmlformats.org/package/2006/relationships"><Relationship Id="rId1" Type="http://schemas.openxmlformats.org/officeDocument/2006/relationships/image" Target="media/image4.jpeg"/></Relationships>

</file>

<file path=word/_rels/footer11.xml.rels><?xml version="1.0" encoding="UTF-8" standalone="yes"?>
<Relationships xmlns="http://schemas.openxmlformats.org/package/2006/relationships"><Relationship Id="rId1" Type="http://schemas.openxmlformats.org/officeDocument/2006/relationships/image" Target="media/image4.jpeg"/></Relationships>

</file>

<file path=word/_rels/footer12.xml.rels><?xml version="1.0" encoding="UTF-8" standalone="yes"?>
<Relationships xmlns="http://schemas.openxmlformats.org/package/2006/relationships"><Relationship Id="rId1" Type="http://schemas.openxmlformats.org/officeDocument/2006/relationships/image" Target="media/image4.jpeg"/></Relationships>

</file>

<file path=word/_rels/footer14.xml.rels><?xml version="1.0" encoding="UTF-8" standalone="yes"?>
<Relationships xmlns="http://schemas.openxmlformats.org/package/2006/relationships"><Relationship Id="rId1" Type="http://schemas.openxmlformats.org/officeDocument/2006/relationships/image" Target="media/image4.jpeg"/></Relationships>

</file>

<file path=word/_rels/footer16.xml.rels><?xml version="1.0" encoding="UTF-8" standalone="yes"?>
<Relationships xmlns="http://schemas.openxmlformats.org/package/2006/relationships"><Relationship Id="rId1" Type="http://schemas.openxmlformats.org/officeDocument/2006/relationships/image" Target="media/image4.jpeg"/></Relationships>

</file>

<file path=word/_rels/footer17.xml.rels><?xml version="1.0" encoding="UTF-8" standalone="yes"?>
<Relationships xmlns="http://schemas.openxmlformats.org/package/2006/relationships"><Relationship Id="rId1" Type="http://schemas.openxmlformats.org/officeDocument/2006/relationships/image" Target="media/image4.jpeg"/></Relationships>

</file>

<file path=word/_rels/footer18.xml.rels><?xml version="1.0" encoding="UTF-8" standalone="yes"?>
<Relationships xmlns="http://schemas.openxmlformats.org/package/2006/relationships"><Relationship Id="rId1" Type="http://schemas.openxmlformats.org/officeDocument/2006/relationships/image" Target="media/image4.jpeg"/></Relationships>

</file>

<file path=word/_rels/footer19.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20.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footer4.xml.rels><?xml version="1.0" encoding="UTF-8" standalone="yes"?>
<Relationships xmlns="http://schemas.openxmlformats.org/package/2006/relationships"><Relationship Id="rId1" Type="http://schemas.openxmlformats.org/officeDocument/2006/relationships/image" Target="media/image4.jpeg"/></Relationships>

</file>

<file path=word/_rels/footer5.xml.rels><?xml version="1.0" encoding="UTF-8" standalone="yes"?>
<Relationships xmlns="http://schemas.openxmlformats.org/package/2006/relationships"><Relationship Id="rId1" Type="http://schemas.openxmlformats.org/officeDocument/2006/relationships/image" Target="media/image4.jpeg"/></Relationships>

</file>

<file path=word/_rels/footer6.xml.rels><?xml version="1.0" encoding="UTF-8" standalone="yes"?>
<Relationships xmlns="http://schemas.openxmlformats.org/package/2006/relationships"><Relationship Id="rId1" Type="http://schemas.openxmlformats.org/officeDocument/2006/relationships/image" Target="media/image4.jpeg"/></Relationships>

</file>

<file path=word/_rels/footer7.xml.rels><?xml version="1.0" encoding="UTF-8" standalone="yes"?>
<Relationships xmlns="http://schemas.openxmlformats.org/package/2006/relationships"><Relationship Id="rId1" Type="http://schemas.openxmlformats.org/officeDocument/2006/relationships/image" Target="media/image4.jpeg"/></Relationships>

</file>

<file path=word/_rels/footer8.xml.rels><?xml version="1.0" encoding="UTF-8" standalone="yes"?>
<Relationships xmlns="http://schemas.openxmlformats.org/package/2006/relationships"><Relationship Id="rId1" Type="http://schemas.openxmlformats.org/officeDocument/2006/relationships/image" Target="media/image4.jpeg"/></Relationships>

</file>

<file path=word/_rels/footer9.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2020-04-29T01:38:36Z</dcterms:created>
  <dcterms:modified xsi:type="dcterms:W3CDTF">2020-04-29T01:38:36Z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2011-05-11T00:00:00Z</vt:filetime>
  </property>
  <property fmtid="{D5CDD505-2E9C-101B-9397-08002B2CF9AE}" pid="3" name="Creator">
    <vt:lpwstr>Microsoft® Office Word 2007</vt:lpwstr>
  </property>
  <property fmtid="{D5CDD505-2E9C-101B-9397-08002B2CF9AE}" pid="4" name="LastSaved">
    <vt:filetime>2020-04-28T00:00:00Z</vt:filetime>
  </property>
</Properties>
</file>