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553" w:lineRule="exact"/>
        <w:ind w:left="36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1620394" cy="162115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20394" cy="1621154"/>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9"/>
        <w:rPr>
          <w:rFonts w:ascii="Times New Roman" w:hAnsi="Times New Roman" w:cs="Times New Roman" w:eastAsia="Times New Roman" w:hint="default"/>
          <w:sz w:val="13"/>
          <w:szCs w:val="13"/>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吉林紫鑫药业股份有限公司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49"/>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公司负责人曹恩辉、主管会计工作负责人徐吉峰及会计机构负责人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邵天宇声明：保证年度报告中财务报告的真实、准确、完整。</w:t>
      </w:r>
      <w:r>
        <w:rPr>
          <w:rFonts w:ascii="宋体" w:hAnsi="宋体" w:cs="宋体" w:eastAsia="宋体" w:hint="default"/>
          <w:sz w:val="28"/>
          <w:szCs w:val="28"/>
        </w:rPr>
      </w:r>
    </w:p>
    <w:p>
      <w:pPr>
        <w:spacing w:before="147"/>
        <w:ind w:left="715" w:right="149"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方勇</w:t>
            </w:r>
          </w:p>
        </w:tc>
      </w:tr>
    </w:tbl>
    <w:p>
      <w:pPr>
        <w:spacing w:line="240" w:lineRule="auto" w:before="2"/>
        <w:rPr>
          <w:rFonts w:ascii="宋体" w:hAnsi="宋体" w:cs="宋体" w:eastAsia="宋体" w:hint="default"/>
          <w:b/>
          <w:bCs/>
          <w:sz w:val="13"/>
          <w:szCs w:val="13"/>
        </w:rPr>
      </w:pPr>
    </w:p>
    <w:p>
      <w:pPr>
        <w:spacing w:line="472" w:lineRule="auto" w:before="13"/>
        <w:ind w:left="715" w:right="149"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中准会计师事务所有限公司对公司</w:t>
      </w:r>
      <w:r>
        <w:rPr>
          <w:rFonts w:ascii="宋体" w:hAnsi="宋体" w:cs="宋体" w:eastAsia="宋体" w:hint="default"/>
          <w:b/>
          <w:bCs/>
          <w:spacing w:val="-85"/>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4"/>
          <w:sz w:val="28"/>
          <w:szCs w:val="28"/>
        </w:rPr>
        <w:t> </w:t>
      </w:r>
      <w:r>
        <w:rPr>
          <w:rFonts w:ascii="宋体" w:hAnsi="宋体" w:cs="宋体" w:eastAsia="宋体" w:hint="default"/>
          <w:b/>
          <w:bCs/>
          <w:spacing w:val="-3"/>
          <w:sz w:val="28"/>
          <w:szCs w:val="28"/>
        </w:rPr>
        <w:t>年度财务报告进行了审计，并出具</w:t>
      </w:r>
      <w:r>
        <w:rPr>
          <w:rFonts w:ascii="宋体" w:hAnsi="宋体" w:cs="宋体" w:eastAsia="宋体" w:hint="default"/>
          <w:sz w:val="28"/>
          <w:szCs w:val="28"/>
        </w:rPr>
      </w:r>
    </w:p>
    <w:p>
      <w:pPr>
        <w:spacing w:line="302"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了带强调事项段的保留意见的审计报告，本公司董事会、监事会对相关事项已</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line="472" w:lineRule="auto" w:before="0"/>
        <w:ind w:left="715" w:right="149" w:hanging="562"/>
        <w:jc w:val="left"/>
        <w:rPr>
          <w:rFonts w:ascii="宋体" w:hAnsi="宋体" w:cs="宋体" w:eastAsia="宋体" w:hint="default"/>
          <w:sz w:val="28"/>
          <w:szCs w:val="28"/>
        </w:rPr>
      </w:pPr>
      <w:r>
        <w:rPr>
          <w:rFonts w:ascii="宋体" w:hAnsi="宋体" w:cs="宋体" w:eastAsia="宋体" w:hint="default"/>
          <w:b/>
          <w:bCs/>
          <w:sz w:val="28"/>
          <w:szCs w:val="28"/>
        </w:rPr>
        <w:t>作详细说明，请投资者注意阅读。</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公司存在新产品开发风险、规模快速扩张带来的管理风险、新增固定资产</w:t>
      </w:r>
      <w:r>
        <w:rPr>
          <w:rFonts w:ascii="宋体" w:hAnsi="宋体" w:cs="宋体" w:eastAsia="宋体" w:hint="default"/>
          <w:sz w:val="28"/>
          <w:szCs w:val="28"/>
        </w:rPr>
      </w:r>
    </w:p>
    <w:p>
      <w:pPr>
        <w:spacing w:line="400" w:lineRule="auto" w:before="0"/>
        <w:ind w:left="153" w:right="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折旧及净资产收益率下降的风险、原材料风险、销售风险、人才储备风险等风</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险，公司的经营计划、发展战略等前瞻性陈述，不构成对投资者的实质承诺，</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7"/>
          <w:w w:val="95"/>
          <w:sz w:val="28"/>
          <w:szCs w:val="28"/>
        </w:rPr>
        <w:t>敬请广大投资者注意投资风险。详细内容见董事会报告中</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公司未来发展的展 </w:t>
      </w:r>
      <w:r>
        <w:rPr>
          <w:rFonts w:ascii="宋体" w:hAnsi="宋体" w:cs="宋体" w:eastAsia="宋体" w:hint="default"/>
          <w:b/>
          <w:bCs/>
          <w:spacing w:val="37"/>
          <w:w w:val="95"/>
          <w:sz w:val="28"/>
          <w:szCs w:val="28"/>
        </w:rPr>
        <w:t> </w:t>
      </w:r>
      <w:r>
        <w:rPr>
          <w:rFonts w:ascii="宋体" w:hAnsi="宋体" w:cs="宋体" w:eastAsia="宋体" w:hint="default"/>
          <w:b/>
          <w:bCs/>
          <w:sz w:val="28"/>
          <w:szCs w:val="28"/>
        </w:rPr>
        <w:t>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29</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44</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49</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53</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55</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145</w:t>
            </w:r>
          </w:hyperlink>
        </w:p>
        <w:p>
          <w:pPr/>
          <w:r>
            <w:fldChar w:fldCharType="end"/>
          </w:r>
        </w:p>
      </w:sdtContent>
    </w:sdt>
    <w:p>
      <w:pPr>
        <w:spacing w:after="0"/>
        <w:sectPr>
          <w:pgSz w:w="11910" w:h="16840"/>
          <w:pgMar w:header="747" w:footer="982" w:top="1060" w:bottom="118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公司、本公司、紫鑫药业、紫鑫</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控股股东、康平公司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初元药业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般若药业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禺拙药业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紫鑫药研</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长春农商行</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中国证监会吉林证监局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中国证券监督管理委员会吉林监管局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GMP</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药品生产质量管理规范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84" w:right="278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86" w:lineRule="auto" w:before="0"/>
        <w:ind w:left="153" w:right="149" w:firstLine="561"/>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董事会报告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中，详细描述了公司可能面对的风险因素及应</w:t>
      </w:r>
      <w:r>
        <w:rPr>
          <w:rFonts w:ascii="宋体" w:hAnsi="宋体" w:cs="宋体" w:eastAsia="宋体" w:hint="default"/>
          <w:b/>
          <w:bCs/>
          <w:w w:val="99"/>
          <w:sz w:val="28"/>
          <w:szCs w:val="28"/>
        </w:rPr>
        <w:t> </w:t>
      </w:r>
      <w:r>
        <w:rPr>
          <w:rFonts w:ascii="宋体" w:hAnsi="宋体" w:cs="宋体" w:eastAsia="宋体" w:hint="default"/>
          <w:b/>
          <w:bCs/>
          <w:sz w:val="28"/>
          <w:szCs w:val="28"/>
        </w:rPr>
        <w:t>对措施，敬请投资者关注相关内容。</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783"/>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002118</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紫鑫药业</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JILIN</w:t>
            </w:r>
            <w:r>
              <w:rPr>
                <w:rFonts w:ascii="Times New Roman"/>
                <w:spacing w:val="-7"/>
                <w:sz w:val="18"/>
              </w:rPr>
              <w:t> </w:t>
            </w:r>
            <w:r>
              <w:rPr>
                <w:rFonts w:ascii="Times New Roman"/>
                <w:sz w:val="18"/>
              </w:rPr>
              <w:t>ZIXIN</w:t>
            </w:r>
            <w:r>
              <w:rPr>
                <w:rFonts w:ascii="Times New Roman"/>
                <w:spacing w:val="-7"/>
                <w:sz w:val="18"/>
              </w:rPr>
              <w:t> </w:t>
            </w:r>
            <w:r>
              <w:rPr>
                <w:rFonts w:ascii="Times New Roman"/>
                <w:sz w:val="18"/>
              </w:rPr>
              <w:t>PHARMACEUTICAL</w:t>
            </w:r>
            <w:r>
              <w:rPr>
                <w:rFonts w:ascii="Times New Roman"/>
                <w:spacing w:val="-13"/>
                <w:sz w:val="18"/>
              </w:rPr>
              <w:t> </w:t>
            </w:r>
            <w:r>
              <w:rPr>
                <w:rFonts w:ascii="Times New Roman"/>
                <w:sz w:val="18"/>
              </w:rPr>
              <w:t>INDUSTRIAL</w:t>
            </w:r>
            <w:r>
              <w:rPr>
                <w:rFonts w:ascii="Times New Roman"/>
                <w:spacing w:val="-13"/>
                <w:sz w:val="18"/>
              </w:rPr>
              <w:t> </w:t>
            </w:r>
            <w:r>
              <w:rPr>
                <w:rFonts w:ascii="Times New Roman"/>
                <w:spacing w:val="-3"/>
                <w:sz w:val="18"/>
              </w:rPr>
              <w:t>CO.,LTD</w:t>
            </w:r>
            <w:r>
              <w:rPr>
                <w:rFonts w:ascii="Times New Roman"/>
                <w:sz w:val="18"/>
              </w:rPr>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吉林省柳河县英利路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135300</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130041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http://www.jilinzixin.com.cn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梁世昌</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0431-81916633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0431-81916633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0431-88698366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0431-88698366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吉林省柳河县工商 行政管理局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2200001008178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22052470222720X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70222720-X</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吉林省工商行政管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220000000052632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22052470222720X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70222720-X</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中准会计师事务所有限公司</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北京市海淀区首体南路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号国兴大厦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韩波、支力</w:t>
            </w:r>
          </w:p>
        </w:tc>
      </w:tr>
    </w:tbl>
    <w:p>
      <w:pPr>
        <w:pStyle w:val="BodyText"/>
        <w:spacing w:line="240" w:lineRule="auto" w:before="51"/>
        <w:ind w:right="149"/>
        <w:jc w:val="left"/>
      </w:pPr>
      <w:r>
        <w:rPr/>
        <w:t>公司聘请的报告期内履行持续督导职责的保荐机构</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北京市西城区锦什坊街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恒奥中心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王浩、康卫</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2011.1.4 </w:t>
            </w:r>
            <w:r>
              <w:rPr>
                <w:rFonts w:ascii="宋体" w:hAnsi="宋体" w:cs="宋体" w:eastAsia="宋体" w:hint="default"/>
                <w:sz w:val="18"/>
                <w:szCs w:val="18"/>
              </w:rPr>
              <w:t>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2012.12.31</w:t>
            </w:r>
          </w:p>
        </w:tc>
      </w:tr>
    </w:tbl>
    <w:p>
      <w:pPr>
        <w:pStyle w:val="BodyText"/>
        <w:spacing w:line="240" w:lineRule="auto" w:before="51"/>
        <w:ind w:right="149"/>
        <w:jc w:val="left"/>
      </w:pPr>
      <w:r>
        <w:rPr/>
        <w:t>公司聘请的报告期内履行持续督导职责的财务顾问</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49"/>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9"/>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公司是否因会计政策变更及会计差错更正等追溯调整或重述以前年度会计数据</w:t>
      </w:r>
    </w:p>
    <w:p>
      <w:pPr>
        <w:pStyle w:val="BodyText"/>
        <w:spacing w:line="240" w:lineRule="auto" w:before="117"/>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418,500,365.23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927,619,550.21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642,417,445.93</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86,311,393.11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217,289,950.92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173,173,606.20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63,131,890.98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183,841,010.77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176,477,838.56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-195,448,044.65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-558,721,219.61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-215,418,190.86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33.36%</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3,045,392,209.56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2,789,164,038.40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2,569,265,077.05</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1,895,433,845.65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1,809,088,719.21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1,591,765,034.95</w:t>
            </w:r>
          </w:p>
        </w:tc>
      </w:tr>
    </w:tbl>
    <w:p>
      <w:pPr>
        <w:spacing w:line="240" w:lineRule="auto" w:before="2"/>
        <w:rPr>
          <w:rFonts w:ascii="宋体" w:hAnsi="宋体" w:cs="宋体" w:eastAsia="宋体" w:hint="default"/>
          <w:sz w:val="18"/>
          <w:szCs w:val="18"/>
        </w:rPr>
      </w:pPr>
    </w:p>
    <w:p>
      <w:pPr>
        <w:pStyle w:val="Heading2"/>
        <w:spacing w:line="240" w:lineRule="auto" w:before="26"/>
        <w:ind w:right="149"/>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-434,645.28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1,044,267.27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-47,396.48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28,871,821.61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43,171,109.53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公司及子公司收到的 各种与收益相关的政 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-1,216,980.25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-4,899,248.85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-3,839,855.69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4,300,693.95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6,127,187.80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-583,019.81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23,179,502.13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33,448,940.15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-3,304,232.36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65" w:right="10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1"/>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91" w:firstLine="360"/>
        <w:jc w:val="left"/>
      </w:pPr>
      <w:r>
        <w:rPr>
          <w:rFonts w:ascii="Times New Roman" w:hAnsi="Times New Roman" w:cs="Times New Roman" w:eastAsia="Times New Roman" w:hint="default"/>
        </w:rPr>
        <w:t>2012</w:t>
      </w:r>
      <w:r>
        <w:rPr/>
        <w:t>年，面对经济形势复杂多变、困难挑战交织叠加的多种不利因素下，公司管理层在董事会的领导下，坚持</w:t>
      </w:r>
      <w:r>
        <w:rPr>
          <w:rFonts w:ascii="Times New Roman" w:hAnsi="Times New Roman" w:cs="Times New Roman" w:eastAsia="Times New Roman" w:hint="default"/>
        </w:rPr>
        <w:t>“</w:t>
      </w:r>
      <w:r>
        <w:rPr/>
        <w:t>科学管 理，挖潜增效</w:t>
      </w:r>
      <w:r>
        <w:rPr>
          <w:rFonts w:ascii="Times New Roman" w:hAnsi="Times New Roman" w:cs="Times New Roman" w:eastAsia="Times New Roman" w:hint="default"/>
        </w:rPr>
        <w:t>”</w:t>
      </w:r>
      <w:r>
        <w:rPr/>
        <w:t>的既定原则，为了保证未来原材料的持续供应，在本期减少人参销售的情况，坚持以市场为导向的稳健经营</w:t>
      </w:r>
      <w:r>
        <w:rPr>
          <w:spacing w:val="-77"/>
        </w:rPr>
        <w:t> </w:t>
      </w:r>
      <w:r>
        <w:rPr>
          <w:spacing w:val="-77"/>
        </w:rPr>
      </w:r>
      <w:r>
        <w:rPr/>
        <w:t>方针，不断深化营销网络，抓好药品重点品种的销售工作，中成药业务保持稳定增长。公司共实现营业收入</w:t>
      </w:r>
      <w:r>
        <w:rPr>
          <w:rFonts w:ascii="Times New Roman" w:hAnsi="Times New Roman" w:cs="Times New Roman" w:eastAsia="Times New Roman" w:hint="default"/>
        </w:rPr>
        <w:t>41,850.04</w:t>
      </w:r>
      <w:r>
        <w:rPr/>
        <w:t>万元， 比上年同期下降</w:t>
      </w:r>
      <w:r>
        <w:rPr>
          <w:rFonts w:ascii="Times New Roman" w:hAnsi="Times New Roman" w:cs="Times New Roman" w:eastAsia="Times New Roman" w:hint="default"/>
        </w:rPr>
        <w:t>54.88%</w:t>
      </w:r>
      <w:r>
        <w:rPr/>
        <w:t>；利润总额</w:t>
      </w:r>
      <w:r>
        <w:rPr>
          <w:rFonts w:ascii="Times New Roman" w:hAnsi="Times New Roman" w:cs="Times New Roman" w:eastAsia="Times New Roman" w:hint="default"/>
        </w:rPr>
        <w:t>9,273.65</w:t>
      </w:r>
      <w:r>
        <w:rPr/>
        <w:t>万元，比上年同期下降</w:t>
      </w:r>
      <w:r>
        <w:rPr>
          <w:rFonts w:ascii="Times New Roman" w:hAnsi="Times New Roman" w:cs="Times New Roman" w:eastAsia="Times New Roman" w:hint="default"/>
        </w:rPr>
        <w:t>60.16%</w:t>
      </w:r>
      <w:r>
        <w:rPr/>
        <w:t>；归属于上市公司股东的净利润</w:t>
      </w:r>
      <w:r>
        <w:rPr>
          <w:rFonts w:ascii="Times New Roman" w:hAnsi="Times New Roman" w:cs="Times New Roman" w:eastAsia="Times New Roman" w:hint="default"/>
        </w:rPr>
        <w:t>8,631.14</w:t>
      </w:r>
      <w:r>
        <w:rPr/>
        <w:t>万元，比</w:t>
      </w:r>
      <w:r>
        <w:rPr>
          <w:spacing w:val="-37"/>
        </w:rPr>
        <w:t> </w:t>
      </w:r>
      <w:r>
        <w:rPr/>
        <w:t>上年同期下降</w:t>
      </w:r>
      <w:r>
        <w:rPr>
          <w:rFonts w:ascii="Times New Roman" w:hAnsi="Times New Roman" w:cs="Times New Roman" w:eastAsia="Times New Roman" w:hint="default"/>
        </w:rPr>
        <w:t>60.28%</w:t>
      </w:r>
      <w:r>
        <w:rPr/>
        <w:t>。</w:t>
      </w:r>
    </w:p>
    <w:p>
      <w:pPr>
        <w:spacing w:line="240" w:lineRule="auto" w:before="3"/>
        <w:rPr>
          <w:rFonts w:ascii="宋体" w:hAnsi="宋体" w:cs="宋体" w:eastAsia="宋体" w:hint="default"/>
          <w:sz w:val="20"/>
          <w:szCs w:val="20"/>
        </w:rPr>
      </w:pPr>
    </w:p>
    <w:p>
      <w:pPr>
        <w:pStyle w:val="Heading2"/>
        <w:spacing w:line="240" w:lineRule="auto"/>
        <w:ind w:right="91"/>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91"/>
        <w:jc w:val="left"/>
      </w:pPr>
      <w:r>
        <w:rPr>
          <w:rFonts w:ascii="Times New Roman" w:hAnsi="Times New Roman" w:cs="Times New Roman" w:eastAsia="Times New Roman" w:hint="default"/>
          <w:spacing w:val="-2"/>
        </w:rPr>
        <w:t>2012</w:t>
      </w:r>
      <w:r>
        <w:rPr>
          <w:spacing w:val="-2"/>
        </w:rPr>
        <w:t>年公司坚持</w:t>
      </w:r>
      <w:r>
        <w:rPr>
          <w:rFonts w:ascii="Times New Roman" w:hAnsi="Times New Roman" w:cs="Times New Roman" w:eastAsia="Times New Roman" w:hint="default"/>
          <w:spacing w:val="-2"/>
        </w:rPr>
        <w:t>“</w:t>
      </w:r>
      <w:r>
        <w:rPr>
          <w:spacing w:val="-2"/>
        </w:rPr>
        <w:t>科学管理，挖潜增效</w:t>
      </w:r>
      <w:r>
        <w:rPr>
          <w:rFonts w:ascii="Times New Roman" w:hAnsi="Times New Roman" w:cs="Times New Roman" w:eastAsia="Times New Roman" w:hint="default"/>
          <w:spacing w:val="-2"/>
        </w:rPr>
        <w:t>”</w:t>
      </w:r>
      <w:r>
        <w:rPr>
          <w:spacing w:val="-2"/>
        </w:rPr>
        <w:t>的既定原则，紧跟政策导向，开拓思路、改革创新、深挖资源、使传统中医药产业和</w:t>
      </w:r>
      <w:r>
        <w:rPr>
          <w:spacing w:val="-41"/>
        </w:rPr>
        <w:t> </w:t>
      </w:r>
      <w:r>
        <w:rPr>
          <w:spacing w:val="-41"/>
        </w:rPr>
      </w:r>
      <w:r>
        <w:rPr/>
        <w:t>人参产业齐头并进稳步发展。</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38" w:lineRule="auto"/>
        <w:ind w:left="153" w:right="91"/>
        <w:jc w:val="left"/>
      </w:pPr>
      <w:r>
        <w:rPr/>
        <w:t>公司回顾总结前期披露的发展战略和经营计划在报告期内的进展情况 </w:t>
      </w:r>
      <w:r>
        <w:rPr>
          <w:spacing w:val="-2"/>
        </w:rPr>
        <w:t>内控建设方面：内控制度建设是一项长期工作，特别是公司进入人参产业后，补充和完善了系列涉及人参产业的相关内部控</w:t>
      </w:r>
      <w:r>
        <w:rPr>
          <w:spacing w:val="-66"/>
        </w:rPr>
        <w:t> </w:t>
      </w:r>
      <w:r>
        <w:rPr>
          <w:spacing w:val="-66"/>
        </w:rPr>
      </w:r>
      <w:r>
        <w:rPr>
          <w:spacing w:val="-2"/>
        </w:rPr>
        <w:t>制制度，持续优化包括经营控制、财务管理控制和信息披露控制在内的内部控制体系，并在实施过程中，持续落实，加强执</w:t>
      </w:r>
    </w:p>
    <w:p>
      <w:pPr>
        <w:pStyle w:val="BodyText"/>
        <w:spacing w:line="240" w:lineRule="auto" w:before="4"/>
        <w:ind w:left="153" w:right="91"/>
        <w:jc w:val="left"/>
      </w:pPr>
      <w:r>
        <w:rPr/>
        <w:t>行力度，以保障公司发展战略、经营目标的实现。</w:t>
      </w:r>
    </w:p>
    <w:p>
      <w:pPr>
        <w:pStyle w:val="BodyText"/>
        <w:spacing w:line="300" w:lineRule="auto" w:before="116"/>
        <w:ind w:right="91"/>
        <w:jc w:val="left"/>
      </w:pPr>
      <w:r>
        <w:rPr/>
        <w:t>研发系统：报告期内，公司完成人参基因组图谱绘制及分析工作。公司与中国科学院北京基因组研究所合作开展了</w:t>
      </w:r>
      <w:r>
        <w:rPr>
          <w:rFonts w:ascii="Times New Roman" w:hAnsi="Times New Roman" w:cs="Times New Roman" w:eastAsia="Times New Roman" w:hint="default"/>
        </w:rPr>
        <w:t>“</w:t>
      </w:r>
      <w:r>
        <w:rPr/>
        <w:t>人参种</w:t>
      </w:r>
      <w:r>
        <w:rPr>
          <w:spacing w:val="-78"/>
        </w:rPr>
        <w:t> </w:t>
      </w:r>
      <w:r>
        <w:rPr>
          <w:spacing w:val="-78"/>
        </w:rPr>
      </w:r>
      <w:r>
        <w:rPr>
          <w:spacing w:val="-2"/>
        </w:rPr>
        <w:t>质资源调查万里行</w:t>
      </w:r>
      <w:r>
        <w:rPr>
          <w:rFonts w:ascii="Times New Roman" w:hAnsi="Times New Roman" w:cs="Times New Roman" w:eastAsia="Times New Roman" w:hint="default"/>
          <w:spacing w:val="-2"/>
        </w:rPr>
        <w:t>”</w:t>
      </w:r>
      <w:r>
        <w:rPr>
          <w:spacing w:val="-2"/>
        </w:rPr>
        <w:t>项目。深入吉林省内各县市所有人参产区，对其品系、分布、环境、蕴藏量等信息进行全面调查和取样。</w:t>
      </w:r>
      <w:r>
        <w:rPr>
          <w:spacing w:val="-55"/>
        </w:rPr>
        <w:t> </w:t>
      </w:r>
      <w:r>
        <w:rPr>
          <w:spacing w:val="-55"/>
        </w:rPr>
      </w:r>
      <w:r>
        <w:rPr/>
        <w:t>同时，在长春建立了</w:t>
      </w:r>
      <w:r>
        <w:rPr>
          <w:rFonts w:ascii="Times New Roman" w:hAnsi="Times New Roman" w:cs="Times New Roman" w:eastAsia="Times New Roman" w:hint="default"/>
        </w:rPr>
        <w:t>“</w:t>
      </w:r>
      <w:r>
        <w:rPr/>
        <w:t>北方药用物种基因组学转化研究中心生物信息样本库</w:t>
      </w:r>
      <w:r>
        <w:rPr>
          <w:rFonts w:ascii="Times New Roman" w:hAnsi="Times New Roman" w:cs="Times New Roman" w:eastAsia="Times New Roman" w:hint="default"/>
        </w:rPr>
        <w:t>”</w:t>
      </w:r>
      <w:r>
        <w:rPr/>
        <w:t>，用于保存包含人参在内的药用植物种质资源样 本及其生物信息。</w:t>
      </w:r>
    </w:p>
    <w:p>
      <w:pPr>
        <w:pStyle w:val="BodyText"/>
        <w:spacing w:line="319" w:lineRule="auto" w:before="70"/>
        <w:ind w:right="82"/>
        <w:jc w:val="left"/>
      </w:pPr>
      <w:r>
        <w:rPr>
          <w:spacing w:val="-2"/>
        </w:rPr>
        <w:t>生产系统：报告期内，在生产管理中进一步加强计划性，及时解决生产存在的瓶颈问题，通过改造原有设备、购买新设备等</w:t>
      </w:r>
      <w:r>
        <w:rPr>
          <w:spacing w:val="-66"/>
        </w:rPr>
        <w:t> </w:t>
      </w:r>
      <w:r>
        <w:rPr>
          <w:spacing w:val="-66"/>
        </w:rPr>
      </w:r>
      <w:r>
        <w:rPr/>
        <w:t>方式，进一步提供了生产能力；坚持</w:t>
      </w:r>
      <w:r>
        <w:rPr>
          <w:rFonts w:ascii="Times New Roman" w:hAnsi="Times New Roman" w:cs="Times New Roman" w:eastAsia="Times New Roman" w:hint="default"/>
        </w:rPr>
        <w:t>“</w:t>
      </w:r>
      <w:r>
        <w:rPr/>
        <w:t>安全第一、预防为主、综合治理</w:t>
      </w:r>
      <w:r>
        <w:rPr>
          <w:rFonts w:ascii="Times New Roman" w:hAnsi="Times New Roman" w:cs="Times New Roman" w:eastAsia="Times New Roman" w:hint="default"/>
        </w:rPr>
        <w:t>”</w:t>
      </w:r>
      <w:r>
        <w:rPr/>
        <w:t>的方针，按照</w:t>
      </w:r>
      <w:r>
        <w:rPr>
          <w:rFonts w:ascii="Times New Roman" w:hAnsi="Times New Roman" w:cs="Times New Roman" w:eastAsia="Times New Roman" w:hint="default"/>
        </w:rPr>
        <w:t>“</w:t>
      </w:r>
      <w:r>
        <w:rPr/>
        <w:t>谁主管、谁负责</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分级管理、分线</w:t>
      </w:r>
      <w:r>
        <w:rPr>
          <w:spacing w:val="-44"/>
        </w:rPr>
        <w:t> </w:t>
      </w:r>
      <w:r>
        <w:rPr>
          <w:spacing w:val="-44"/>
        </w:rPr>
      </w:r>
      <w:r>
        <w:rPr/>
        <w:t>负责</w:t>
      </w:r>
      <w:r>
        <w:rPr>
          <w:rFonts w:ascii="Times New Roman" w:hAnsi="Times New Roman" w:cs="Times New Roman" w:eastAsia="Times New Roman" w:hint="default"/>
        </w:rPr>
        <w:t>”</w:t>
      </w:r>
      <w:r>
        <w:rPr/>
        <w:t>的原则，进一步落实安全生产责任制</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责任的层层落实确保了公司生产的安全运行，实现了公司全年无重大事故发生。 </w:t>
      </w:r>
      <w:r>
        <w:rPr>
          <w:spacing w:val="-2"/>
        </w:rPr>
        <w:t>销售系统：报告期内，公司通过渠道摸底、建立客户数据库、网络加密和分级管理等工作，着重对药品销售网络进行了整合</w:t>
      </w:r>
      <w:r>
        <w:rPr>
          <w:spacing w:val="-66"/>
        </w:rPr>
        <w:t> </w:t>
      </w:r>
      <w:r>
        <w:rPr>
          <w:spacing w:val="-66"/>
        </w:rPr>
      </w:r>
      <w:r>
        <w:rPr>
          <w:spacing w:val="-2"/>
        </w:rPr>
        <w:t>与固化工作；通过市场摸底、政策严管、加强互动等方式，提升了销售管理的监管、督导作用，有效的提升了销售系统的管</w:t>
      </w:r>
      <w:r>
        <w:rPr>
          <w:spacing w:val="-68"/>
        </w:rPr>
        <w:t> </w:t>
      </w:r>
      <w:r>
        <w:rPr>
          <w:spacing w:val="-68"/>
        </w:rPr>
      </w:r>
      <w:r>
        <w:rPr/>
        <w:t>理效力。</w:t>
      </w:r>
    </w:p>
    <w:p>
      <w:pPr>
        <w:pStyle w:val="BodyText"/>
        <w:spacing w:line="240" w:lineRule="auto" w:before="58"/>
        <w:ind w:right="91"/>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1"/>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91"/>
        <w:jc w:val="left"/>
      </w:pPr>
      <w:r>
        <w:rPr/>
        <w:t>说明 </w:t>
      </w:r>
      <w:r>
        <w:rPr>
          <w:spacing w:val="-2"/>
        </w:rPr>
        <w:t>为了保证公司延吉厂区、敦化厂区、磐石厂区人参产品系列化项目投产后的原材料供给及缓解未来人参价格上涨带来的成本</w:t>
      </w:r>
      <w:r>
        <w:rPr>
          <w:spacing w:val="-64"/>
        </w:rPr>
        <w:t> </w:t>
      </w:r>
      <w:r>
        <w:rPr>
          <w:spacing w:val="-64"/>
        </w:rPr>
      </w:r>
      <w:r>
        <w:rPr/>
        <w:t>压力，</w:t>
      </w:r>
      <w:r>
        <w:rPr>
          <w:rFonts w:ascii="Times New Roman" w:hAnsi="Times New Roman" w:cs="Times New Roman" w:eastAsia="Times New Roman" w:hint="default"/>
        </w:rPr>
        <w:t>2012</w:t>
      </w:r>
      <w:r>
        <w:rPr/>
        <w:t>年公司缩减了人参粗加工产品的销售，导致本年度营业收入较</w:t>
      </w:r>
      <w:r>
        <w:rPr>
          <w:rFonts w:ascii="Times New Roman" w:hAnsi="Times New Roman" w:cs="Times New Roman" w:eastAsia="Times New Roman" w:hint="default"/>
        </w:rPr>
        <w:t>2011</w:t>
      </w:r>
      <w:r>
        <w:rPr/>
        <w:t>年大幅减少。</w:t>
      </w:r>
    </w:p>
    <w:p>
      <w:pPr>
        <w:spacing w:line="240" w:lineRule="auto" w:before="0"/>
        <w:rPr>
          <w:rFonts w:ascii="宋体" w:hAnsi="宋体" w:cs="宋体" w:eastAsia="宋体" w:hint="default"/>
          <w:sz w:val="18"/>
          <w:szCs w:val="18"/>
        </w:rPr>
      </w:pPr>
    </w:p>
    <w:p>
      <w:pPr>
        <w:pStyle w:val="BodyText"/>
        <w:spacing w:line="240" w:lineRule="auto" w:before="138"/>
        <w:ind w:left="153" w:right="91"/>
        <w:jc w:val="left"/>
      </w:pPr>
      <w:r>
        <w:rPr/>
        <w:t>公司实物销售收入是否大于劳务收入</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14,087,718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18,409,956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-23.48%</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20,153,377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22,263,767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3,246,074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40.85%</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160,315.32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1,074,579.71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-85.08%</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2,456,761.2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1,832,996.94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34.03%</w:t>
            </w:r>
          </w:p>
        </w:tc>
      </w:tr>
      <w:tr>
        <w:trPr>
          <w:trHeight w:val="403"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2,683,819.36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778,854.43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34.03%</w:t>
            </w:r>
          </w:p>
        </w:tc>
      </w:tr>
    </w:tbl>
    <w:p>
      <w:pPr>
        <w:pStyle w:val="BodyText"/>
        <w:spacing w:line="240" w:lineRule="auto" w:before="51"/>
        <w:ind w:right="149"/>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营业收入本期较上期减少</w:t>
      </w:r>
      <w:r>
        <w:rPr>
          <w:rFonts w:ascii="Times New Roman" w:hAnsi="Times New Roman" w:cs="Times New Roman" w:eastAsia="Times New Roman" w:hint="default"/>
        </w:rPr>
        <w:t>509,119,184.98</w:t>
      </w:r>
      <w:r>
        <w:rPr/>
        <w:t>元，减少幅度为</w:t>
      </w:r>
      <w:r>
        <w:rPr>
          <w:rFonts w:ascii="Times New Roman" w:hAnsi="Times New Roman" w:cs="Times New Roman" w:eastAsia="Times New Roman" w:hint="default"/>
        </w:rPr>
        <w:t>54.88%</w:t>
      </w:r>
      <w:r>
        <w:rPr/>
        <w:t>，是由于公司本期人参产品销售收入较上年同期下降 </w:t>
      </w:r>
      <w:r>
        <w:rPr>
          <w:rFonts w:ascii="Times New Roman" w:hAnsi="Times New Roman" w:cs="Times New Roman" w:eastAsia="Times New Roman" w:hint="default"/>
        </w:rPr>
        <w:t>512,580,530.24</w:t>
      </w:r>
      <w:r>
        <w:rPr/>
        <w:t>元所致。</w:t>
      </w:r>
    </w:p>
    <w:p>
      <w:pPr>
        <w:spacing w:line="240" w:lineRule="auto" w:before="0"/>
        <w:rPr>
          <w:rFonts w:ascii="宋体" w:hAnsi="宋体" w:cs="宋体" w:eastAsia="宋体" w:hint="default"/>
          <w:sz w:val="18"/>
          <w:szCs w:val="18"/>
        </w:rPr>
      </w:pPr>
    </w:p>
    <w:p>
      <w:pPr>
        <w:pStyle w:val="BodyText"/>
        <w:spacing w:line="240" w:lineRule="auto" w:before="152"/>
        <w:ind w:right="149"/>
        <w:jc w:val="left"/>
      </w:pPr>
      <w:r>
        <w:rPr/>
        <w:t>公司重大的在手订单情况</w:t>
      </w:r>
    </w:p>
    <w:p>
      <w:pPr>
        <w:pStyle w:val="BodyText"/>
        <w:spacing w:line="338" w:lineRule="auto" w:before="117"/>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7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188,945,213.32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45.15%</w:t>
            </w:r>
          </w:p>
        </w:tc>
      </w:tr>
    </w:tbl>
    <w:p>
      <w:pPr>
        <w:pStyle w:val="BodyText"/>
        <w:spacing w:line="240" w:lineRule="auto" w:before="51"/>
        <w:ind w:right="14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111,555,042.63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50,947,703.19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13,863,623.97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7,397,562.19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5,181,281.34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188,945,213.32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45.15%</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行业分类</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43,848,360.26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55,545,386.35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3,616,394.35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3,536,293.90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22,085,837.52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25,984,218.34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82,796,694.43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333,285,594.97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50,147.69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672,169.64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5,896,076.23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-99.74%</w:t>
            </w:r>
          </w:p>
        </w:tc>
      </w:tr>
    </w:tbl>
    <w:p>
      <w:pPr>
        <w:pStyle w:val="BodyText"/>
        <w:spacing w:line="240" w:lineRule="auto" w:before="51"/>
        <w:ind w:right="149"/>
        <w:jc w:val="left"/>
      </w:pPr>
      <w:r>
        <w:rPr/>
        <w:t>产品分类</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11,611,078.38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8,421,785.53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10,222,374.10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17,971,676.94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3,439,555.44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4,176,261.90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2,930,814.38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4,133,153.29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1,659,081.52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2,082,415.81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1,502,664.56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2,097,839.63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3,495,672.56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2,961,456.79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18.04%</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小儿白贝止咳糖 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3,265,156.58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2,193,292.84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82,647,443.22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339,853,840.84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31,638,657.21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41,028,015.86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-22.89%</w:t>
            </w:r>
          </w:p>
        </w:tc>
      </w:tr>
    </w:tbl>
    <w:p>
      <w:pPr>
        <w:pStyle w:val="BodyText"/>
        <w:spacing w:line="338" w:lineRule="auto" w:before="51"/>
        <w:ind w:right="149"/>
        <w:jc w:val="left"/>
      </w:pPr>
      <w:r>
        <w:rPr/>
        <w:t>说明 </w:t>
      </w:r>
      <w:r>
        <w:rPr>
          <w:spacing w:val="-2"/>
        </w:rPr>
        <w:t>报告期内公司中成药产业成本变化幅度较小，人参成本较上期大幅下降的原因为本期公司减少人参产品的销售，相应成本减</w:t>
      </w:r>
      <w:r>
        <w:rPr>
          <w:spacing w:val="-64"/>
        </w:rPr>
        <w:t> </w:t>
      </w:r>
      <w:r>
        <w:rPr>
          <w:spacing w:val="-64"/>
        </w:rPr>
      </w:r>
      <w:r>
        <w:rPr/>
        <w:t>少所致。</w:t>
      </w:r>
    </w:p>
    <w:p>
      <w:pPr>
        <w:pStyle w:val="BodyText"/>
        <w:spacing w:line="240" w:lineRule="auto" w:before="43"/>
        <w:ind w:right="149"/>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634,389,680.05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74.37%</w:t>
            </w:r>
          </w:p>
        </w:tc>
      </w:tr>
    </w:tbl>
    <w:p>
      <w:pPr>
        <w:pStyle w:val="BodyText"/>
        <w:spacing w:line="240" w:lineRule="auto" w:before="51"/>
        <w:ind w:right="149"/>
        <w:jc w:val="left"/>
      </w:pPr>
      <w:r>
        <w:rPr/>
        <w:pict>
          <v:group style="position:absolute;margin-left:269.820007pt;margin-top:-20.687885pt;width:263.9pt;height:20.8pt;mso-position-horizontal-relative:page;mso-position-vertical-relative:paragraph;z-index:-935824"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277,968,171.80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173,740,817.11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145,973,066.17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17.11%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19,489,119.07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17,218,505.90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634,389,680.05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74.37%</w:t>
            </w:r>
          </w:p>
        </w:tc>
      </w:tr>
    </w:tbl>
    <w:p>
      <w:pPr>
        <w:spacing w:line="240" w:lineRule="auto" w:before="2"/>
        <w:rPr>
          <w:rFonts w:ascii="宋体" w:hAnsi="宋体" w:cs="宋体" w:eastAsia="宋体" w:hint="default"/>
          <w:sz w:val="19"/>
          <w:szCs w:val="19"/>
        </w:rPr>
      </w:pPr>
    </w:p>
    <w:p>
      <w:pPr>
        <w:pStyle w:val="Heading4"/>
        <w:spacing w:line="240" w:lineRule="auto" w:before="35"/>
        <w:ind w:right="9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91" w:firstLine="352"/>
        <w:jc w:val="left"/>
      </w:pPr>
      <w:r>
        <w:rPr>
          <w:spacing w:val="-1"/>
        </w:rPr>
        <w:t>销售费用本期较上期减少</w:t>
      </w:r>
      <w:r>
        <w:rPr>
          <w:rFonts w:ascii="Times New Roman" w:hAnsi="Times New Roman" w:cs="Times New Roman" w:eastAsia="Times New Roman" w:hint="default"/>
          <w:spacing w:val="-1"/>
        </w:rPr>
        <w:t>71,734,186.98</w:t>
      </w:r>
      <w:r>
        <w:rPr>
          <w:spacing w:val="-1"/>
        </w:rPr>
        <w:t>元，减少幅度为</w:t>
      </w:r>
      <w:r>
        <w:rPr>
          <w:rFonts w:ascii="Times New Roman" w:hAnsi="Times New Roman" w:cs="Times New Roman" w:eastAsia="Times New Roman" w:hint="default"/>
          <w:spacing w:val="-1"/>
        </w:rPr>
        <w:t>49.58%</w:t>
      </w:r>
      <w:r>
        <w:rPr>
          <w:spacing w:val="-1"/>
        </w:rPr>
        <w:t>，主要是由于①公司本期广告宣传费用较上年同期大幅下</w:t>
      </w:r>
      <w:r>
        <w:rPr/>
        <w:t> 降；②随着本公司销售收入的减少，各项销售费用减少幅度较大。</w:t>
      </w:r>
    </w:p>
    <w:p>
      <w:pPr>
        <w:pStyle w:val="BodyText"/>
        <w:spacing w:line="240" w:lineRule="auto" w:before="149"/>
        <w:ind w:left="506" w:right="0"/>
        <w:jc w:val="left"/>
      </w:pPr>
      <w:r>
        <w:rPr/>
        <w:t>所得税费用本期较上期减少</w:t>
      </w:r>
      <w:r>
        <w:rPr>
          <w:rFonts w:ascii="Times New Roman" w:hAnsi="Times New Roman" w:cs="Times New Roman" w:eastAsia="Times New Roman" w:hint="default"/>
        </w:rPr>
        <w:t>9,070,662.25</w:t>
      </w:r>
      <w:r>
        <w:rPr/>
        <w:t>元，减少幅度为</w:t>
      </w:r>
      <w:r>
        <w:rPr>
          <w:rFonts w:ascii="Times New Roman" w:hAnsi="Times New Roman" w:cs="Times New Roman" w:eastAsia="Times New Roman" w:hint="default"/>
        </w:rPr>
        <w:t>58.52%</w:t>
      </w:r>
      <w:r>
        <w:rPr/>
        <w:t>，是由于公司利润总额下降，致使应纳税所得税额减少。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91"/>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报告期内，公司研发投入</w:t>
      </w:r>
      <w:r>
        <w:rPr>
          <w:rFonts w:ascii="Times New Roman" w:hAnsi="Times New Roman" w:cs="Times New Roman" w:eastAsia="Times New Roman" w:hint="default"/>
        </w:rPr>
        <w:t>11,080,463.11</w:t>
      </w:r>
      <w:r>
        <w:rPr/>
        <w:t>元，占</w:t>
      </w:r>
      <w:r>
        <w:rPr>
          <w:rFonts w:ascii="Times New Roman" w:hAnsi="Times New Roman" w:cs="Times New Roman" w:eastAsia="Times New Roman" w:hint="default"/>
        </w:rPr>
        <w:t>2012</w:t>
      </w:r>
      <w:r>
        <w:rPr/>
        <w:t>年经审计净资产的</w:t>
      </w:r>
      <w:r>
        <w:rPr>
          <w:rFonts w:ascii="Times New Roman" w:hAnsi="Times New Roman" w:cs="Times New Roman" w:eastAsia="Times New Roman" w:hint="default"/>
        </w:rPr>
        <w:t>0.58%</w:t>
      </w:r>
      <w:r>
        <w:rPr/>
        <w:t>，占营业收入的</w:t>
      </w:r>
      <w:r>
        <w:rPr>
          <w:rFonts w:ascii="Times New Roman" w:hAnsi="Times New Roman" w:cs="Times New Roman" w:eastAsia="Times New Roman" w:hint="default"/>
        </w:rPr>
        <w:t>2.65%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9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3"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915,429,900.32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682,417,489.19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1,110,877,944.97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1,241,138,708.80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-195,448,044.65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-558,721,219.61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34,706,218.00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42,194,015.38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190,249,523.86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490,725,006.73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-155,543,305.86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-448,530,991.35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1,297,202,450.56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1,018,041,038.99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122,797,549.44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2,278,961.01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5,288.31%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-228,193,801.07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-1,004,973,249.95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77.29%</w:t>
            </w:r>
          </w:p>
        </w:tc>
      </w:tr>
    </w:tbl>
    <w:p>
      <w:pPr>
        <w:pStyle w:val="BodyText"/>
        <w:spacing w:line="240" w:lineRule="auto" w:before="51"/>
        <w:ind w:right="9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w:t>
      </w:r>
      <w:r>
        <w:rPr/>
        <w:t>经营活动现金流入小计</w:t>
      </w:r>
      <w:r>
        <w:rPr>
          <w:rFonts w:ascii="Times New Roman" w:hAnsi="Times New Roman" w:cs="Times New Roman" w:eastAsia="Times New Roman" w:hint="default"/>
        </w:rPr>
        <w:t>”</w:t>
      </w:r>
      <w:r>
        <w:rPr/>
        <w:t>较上年同期增加</w:t>
      </w:r>
      <w:r>
        <w:rPr>
          <w:rFonts w:ascii="Times New Roman" w:hAnsi="Times New Roman" w:cs="Times New Roman" w:eastAsia="Times New Roman" w:hint="default"/>
        </w:rPr>
        <w:t>233,012,411.13</w:t>
      </w:r>
      <w:r>
        <w:rPr/>
        <w:t>元，增长幅度为</w:t>
      </w:r>
      <w:r>
        <w:rPr>
          <w:rFonts w:ascii="Times New Roman" w:hAnsi="Times New Roman" w:cs="Times New Roman" w:eastAsia="Times New Roman" w:hint="default"/>
        </w:rPr>
        <w:t>34.15%</w:t>
      </w:r>
      <w:r>
        <w:rPr/>
        <w:t>；</w:t>
      </w:r>
      <w:r>
        <w:rPr>
          <w:rFonts w:ascii="Times New Roman" w:hAnsi="Times New Roman" w:cs="Times New Roman" w:eastAsia="Times New Roman" w:hint="default"/>
        </w:rPr>
        <w:t>“</w:t>
      </w:r>
      <w:r>
        <w:rPr/>
        <w:t>经营活动产生的现金流量净额</w:t>
      </w:r>
      <w:r>
        <w:rPr>
          <w:rFonts w:ascii="Times New Roman" w:hAnsi="Times New Roman" w:cs="Times New Roman" w:eastAsia="Times New Roman" w:hint="default"/>
        </w:rPr>
        <w:t>”</w:t>
      </w:r>
      <w:r>
        <w:rPr/>
        <w:t>较上年同 期增加</w:t>
      </w:r>
      <w:r>
        <w:rPr>
          <w:rFonts w:ascii="Times New Roman" w:hAnsi="Times New Roman" w:cs="Times New Roman" w:eastAsia="Times New Roman" w:hint="default"/>
        </w:rPr>
        <w:t>36,3273,174.96</w:t>
      </w:r>
      <w:r>
        <w:rPr/>
        <w:t>元，增长幅度为</w:t>
      </w:r>
      <w:r>
        <w:rPr>
          <w:rFonts w:ascii="Times New Roman" w:hAnsi="Times New Roman" w:cs="Times New Roman" w:eastAsia="Times New Roman" w:hint="default"/>
        </w:rPr>
        <w:t>65.02%</w:t>
      </w:r>
      <w:r>
        <w:rPr/>
        <w:t>要是由于：</w:t>
      </w:r>
    </w:p>
    <w:p>
      <w:pPr>
        <w:pStyle w:val="BodyText"/>
        <w:spacing w:line="302" w:lineRule="auto" w:before="35"/>
        <w:ind w:left="153" w:right="211"/>
        <w:jc w:val="left"/>
      </w:pPr>
      <w:r>
        <w:rPr/>
        <w:t>①收到其他与经营活动有关的现金本期较上期增加</w:t>
      </w:r>
      <w:r>
        <w:rPr>
          <w:rFonts w:ascii="Times New Roman" w:hAnsi="Times New Roman" w:cs="Times New Roman" w:eastAsia="Times New Roman" w:hint="default"/>
        </w:rPr>
        <w:t>74,258,518.68</w:t>
      </w:r>
      <w:r>
        <w:rPr/>
        <w:t>元，增长幅度为</w:t>
      </w:r>
      <w:r>
        <w:rPr>
          <w:rFonts w:ascii="Times New Roman" w:hAnsi="Times New Roman" w:cs="Times New Roman" w:eastAsia="Times New Roman" w:hint="default"/>
        </w:rPr>
        <w:t>150.91%</w:t>
      </w:r>
      <w:r>
        <w:rPr/>
        <w:t>，是由于公司本期收到控股股东康 平公司借款、政府补助款项和其他往来款所致；</w:t>
      </w:r>
    </w:p>
    <w:p>
      <w:pPr>
        <w:pStyle w:val="BodyText"/>
        <w:spacing w:line="240" w:lineRule="auto" w:before="68"/>
        <w:ind w:left="153" w:right="91"/>
        <w:jc w:val="left"/>
      </w:pPr>
      <w:r>
        <w:rPr>
          <w:spacing w:val="-3"/>
        </w:rPr>
        <w:t>②支付的各项税费支付的现金本期较上期减少</w:t>
      </w:r>
      <w:r>
        <w:rPr>
          <w:rFonts w:ascii="Times New Roman" w:hAnsi="Times New Roman" w:cs="Times New Roman" w:eastAsia="Times New Roman" w:hint="default"/>
          <w:spacing w:val="-3"/>
        </w:rPr>
        <w:t>57,834,926.59</w:t>
      </w:r>
      <w:r>
        <w:rPr>
          <w:spacing w:val="-3"/>
        </w:rPr>
        <w:t>元，减少幅度为</w:t>
      </w:r>
      <w:r>
        <w:rPr>
          <w:rFonts w:ascii="Times New Roman" w:hAnsi="Times New Roman" w:cs="Times New Roman" w:eastAsia="Times New Roman" w:hint="default"/>
          <w:spacing w:val="-3"/>
        </w:rPr>
        <w:t>52.34%</w:t>
      </w:r>
      <w:r>
        <w:rPr>
          <w:spacing w:val="-3"/>
        </w:rPr>
        <w:t>，是由于公司本期人参产品销售收入下降，</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t>增值税应纳税额减少，致使以此为计提基数的城建税、教育费附加下降所致；</w:t>
      </w:r>
    </w:p>
    <w:p>
      <w:pPr>
        <w:pStyle w:val="BodyText"/>
        <w:spacing w:line="300" w:lineRule="auto" w:before="115"/>
        <w:ind w:left="153" w:right="189"/>
        <w:jc w:val="both"/>
      </w:pPr>
      <w:r>
        <w:rPr>
          <w:rFonts w:ascii="Times New Roman" w:hAnsi="Times New Roman" w:cs="Times New Roman" w:eastAsia="Times New Roman" w:hint="default"/>
        </w:rPr>
        <w:t>“</w:t>
      </w:r>
      <w:r>
        <w:rPr/>
        <w:t>投资活动现金流出小计</w:t>
      </w:r>
      <w:r>
        <w:rPr>
          <w:rFonts w:ascii="Times New Roman" w:hAnsi="Times New Roman" w:cs="Times New Roman" w:eastAsia="Times New Roman" w:hint="default"/>
        </w:rPr>
        <w:t>”</w:t>
      </w:r>
      <w:r>
        <w:rPr/>
        <w:t>本期较上期减少</w:t>
      </w:r>
      <w:r>
        <w:rPr>
          <w:rFonts w:ascii="Times New Roman" w:hAnsi="Times New Roman" w:cs="Times New Roman" w:eastAsia="Times New Roman" w:hint="default"/>
        </w:rPr>
        <w:t>300,475,482.87</w:t>
      </w:r>
      <w:r>
        <w:rPr/>
        <w:t>元，减少幅度为</w:t>
      </w:r>
      <w:r>
        <w:rPr>
          <w:rFonts w:ascii="Times New Roman" w:hAnsi="Times New Roman" w:cs="Times New Roman" w:eastAsia="Times New Roman" w:hint="default"/>
        </w:rPr>
        <w:t>61.23%</w:t>
      </w:r>
      <w:r>
        <w:rPr/>
        <w:t>，主要是由于购建固定资产、无形资产和其 他长期资产支付的现金本期较上期减少</w:t>
      </w:r>
      <w:r>
        <w:rPr>
          <w:rFonts w:ascii="Times New Roman" w:hAnsi="Times New Roman" w:cs="Times New Roman" w:eastAsia="Times New Roman" w:hint="default"/>
        </w:rPr>
        <w:t>300,475,482.87</w:t>
      </w:r>
      <w:r>
        <w:rPr/>
        <w:t>元，减少幅度为</w:t>
      </w:r>
      <w:r>
        <w:rPr>
          <w:rFonts w:ascii="Times New Roman" w:hAnsi="Times New Roman" w:cs="Times New Roman" w:eastAsia="Times New Roman" w:hint="default"/>
        </w:rPr>
        <w:t>61.23%</w:t>
      </w:r>
      <w:r>
        <w:rPr/>
        <w:t>，是由于公司部分募投项目已经接近结束，相 关支出减少所致；</w:t>
      </w:r>
    </w:p>
    <w:p>
      <w:pPr>
        <w:pStyle w:val="BodyText"/>
        <w:spacing w:line="319" w:lineRule="auto" w:before="71"/>
        <w:ind w:left="153" w:right="146"/>
        <w:jc w:val="left"/>
      </w:pPr>
      <w:r>
        <w:rPr>
          <w:rFonts w:ascii="Times New Roman" w:hAnsi="Times New Roman" w:cs="Times New Roman" w:eastAsia="Times New Roman" w:hint="default"/>
        </w:rPr>
        <w:t>“</w:t>
      </w:r>
      <w:r>
        <w:rPr/>
        <w:t>投资活动产生的现金流量净额</w:t>
      </w:r>
      <w:r>
        <w:rPr>
          <w:rFonts w:ascii="Times New Roman" w:hAnsi="Times New Roman" w:cs="Times New Roman" w:eastAsia="Times New Roman" w:hint="default"/>
        </w:rPr>
        <w:t>”</w:t>
      </w:r>
      <w:r>
        <w:rPr/>
        <w:t>本期较上期增加</w:t>
      </w:r>
      <w:r>
        <w:rPr>
          <w:rFonts w:ascii="Times New Roman" w:hAnsi="Times New Roman" w:cs="Times New Roman" w:eastAsia="Times New Roman" w:hint="default"/>
        </w:rPr>
        <w:t>292,987,685.49</w:t>
      </w:r>
      <w:r>
        <w:rPr/>
        <w:t>元，增长幅度为</w:t>
      </w:r>
      <w:r>
        <w:rPr>
          <w:rFonts w:ascii="Times New Roman" w:hAnsi="Times New Roman" w:cs="Times New Roman" w:eastAsia="Times New Roman" w:hint="default"/>
        </w:rPr>
        <w:t>65.32%</w:t>
      </w:r>
      <w:r>
        <w:rPr/>
        <w:t>，主要是由于投资活动现金流出小计 本期较上期减少</w:t>
      </w:r>
      <w:r>
        <w:rPr>
          <w:rFonts w:ascii="Times New Roman" w:hAnsi="Times New Roman" w:cs="Times New Roman" w:eastAsia="Times New Roman" w:hint="default"/>
        </w:rPr>
        <w:t>300,475,482.87</w:t>
      </w:r>
      <w:r>
        <w:rPr/>
        <w:t>元，减少幅度为</w:t>
      </w:r>
      <w:r>
        <w:rPr>
          <w:rFonts w:ascii="Times New Roman" w:hAnsi="Times New Roman" w:cs="Times New Roman" w:eastAsia="Times New Roman" w:hint="default"/>
        </w:rPr>
        <w:t>61.23% “</w:t>
      </w:r>
      <w:r>
        <w:rPr/>
        <w:t>筹资活动现金流入小计</w:t>
      </w:r>
      <w:r>
        <w:rPr>
          <w:rFonts w:ascii="Times New Roman" w:hAnsi="Times New Roman" w:cs="Times New Roman" w:eastAsia="Times New Roman" w:hint="default"/>
        </w:rPr>
        <w:t>”</w:t>
      </w:r>
      <w:r>
        <w:rPr/>
        <w:t>本期较上期增加</w:t>
      </w:r>
      <w:r>
        <w:rPr>
          <w:rFonts w:ascii="Times New Roman" w:hAnsi="Times New Roman" w:cs="Times New Roman" w:eastAsia="Times New Roman" w:hint="default"/>
        </w:rPr>
        <w:t>399,680,000.00</w:t>
      </w:r>
      <w:r>
        <w:rPr/>
        <w:t>元，增长幅度为</w:t>
      </w:r>
      <w:r>
        <w:rPr>
          <w:rFonts w:ascii="Times New Roman" w:hAnsi="Times New Roman" w:cs="Times New Roman" w:eastAsia="Times New Roman" w:hint="default"/>
        </w:rPr>
        <w:t>39.17%</w:t>
      </w:r>
      <w:r>
        <w:rPr/>
        <w:t>，主要是由于取得借款所收到的现金本期较 上期增加</w:t>
      </w:r>
      <w:r>
        <w:rPr>
          <w:rFonts w:ascii="Times New Roman" w:hAnsi="Times New Roman" w:cs="Times New Roman" w:eastAsia="Times New Roman" w:hint="default"/>
        </w:rPr>
        <w:t>443,000,000.00</w:t>
      </w:r>
      <w:r>
        <w:rPr/>
        <w:t>元，增长幅度为</w:t>
      </w:r>
      <w:r>
        <w:rPr>
          <w:rFonts w:ascii="Times New Roman" w:hAnsi="Times New Roman" w:cs="Times New Roman" w:eastAsia="Times New Roman" w:hint="default"/>
        </w:rPr>
        <w:t>45.34%</w:t>
      </w:r>
      <w:r>
        <w:rPr/>
        <w:t>，是由于本期向银行短期借款增加所致； </w:t>
      </w:r>
      <w:r>
        <w:rPr>
          <w:rFonts w:ascii="Times New Roman" w:hAnsi="Times New Roman" w:cs="Times New Roman" w:eastAsia="Times New Roman" w:hint="default"/>
        </w:rPr>
        <w:t>“</w:t>
      </w:r>
      <w:r>
        <w:rPr/>
        <w:t>筹资活动产生的现金流量净额</w:t>
      </w:r>
      <w:r>
        <w:rPr>
          <w:rFonts w:ascii="Times New Roman" w:hAnsi="Times New Roman" w:cs="Times New Roman" w:eastAsia="Times New Roman" w:hint="default"/>
        </w:rPr>
        <w:t>”</w:t>
      </w:r>
      <w:r>
        <w:rPr/>
        <w:t>本期较上期增加</w:t>
      </w:r>
      <w:r>
        <w:rPr>
          <w:rFonts w:ascii="Times New Roman" w:hAnsi="Times New Roman" w:cs="Times New Roman" w:eastAsia="Times New Roman" w:hint="default"/>
        </w:rPr>
        <w:t>120,518,588.43</w:t>
      </w:r>
      <w:r>
        <w:rPr/>
        <w:t>元，增长幅度为</w:t>
      </w:r>
      <w:r>
        <w:rPr>
          <w:rFonts w:ascii="Times New Roman" w:hAnsi="Times New Roman" w:cs="Times New Roman" w:eastAsia="Times New Roman" w:hint="default"/>
        </w:rPr>
        <w:t>5,288.31%</w:t>
      </w:r>
      <w:r>
        <w:rPr/>
        <w:t>，主要是由于筹资活动现金流入小 计本期较上期增加</w:t>
      </w:r>
      <w:r>
        <w:rPr>
          <w:rFonts w:ascii="Times New Roman" w:hAnsi="Times New Roman" w:cs="Times New Roman" w:eastAsia="Times New Roman" w:hint="default"/>
        </w:rPr>
        <w:t>399,680,000.00</w:t>
      </w:r>
      <w:r>
        <w:rPr/>
        <w:t>元，增长幅度为</w:t>
      </w:r>
      <w:r>
        <w:rPr>
          <w:rFonts w:ascii="Times New Roman" w:hAnsi="Times New Roman" w:cs="Times New Roman" w:eastAsia="Times New Roman" w:hint="default"/>
        </w:rPr>
        <w:t>39.17% “</w:t>
      </w:r>
      <w:r>
        <w:rPr/>
        <w:t>现金及现金等价物净增加额</w:t>
      </w:r>
      <w:r>
        <w:rPr>
          <w:rFonts w:ascii="Times New Roman" w:hAnsi="Times New Roman" w:cs="Times New Roman" w:eastAsia="Times New Roman" w:hint="default"/>
        </w:rPr>
        <w:t>”</w:t>
      </w:r>
      <w:r>
        <w:rPr/>
        <w:t>本期较上期增加</w:t>
      </w:r>
      <w:r>
        <w:rPr>
          <w:rFonts w:ascii="Times New Roman" w:hAnsi="Times New Roman" w:cs="Times New Roman" w:eastAsia="Times New Roman" w:hint="default"/>
        </w:rPr>
        <w:t>776,779,448.88</w:t>
      </w:r>
      <w:r>
        <w:rPr/>
        <w:t>元，增长幅度为</w:t>
      </w:r>
      <w:r>
        <w:rPr>
          <w:rFonts w:ascii="Times New Roman" w:hAnsi="Times New Roman" w:cs="Times New Roman" w:eastAsia="Times New Roman" w:hint="default"/>
        </w:rPr>
        <w:t>77.29%</w:t>
      </w:r>
      <w:r>
        <w:rPr/>
        <w:t>，主要是由于</w:t>
      </w:r>
    </w:p>
    <w:p>
      <w:pPr>
        <w:pStyle w:val="BodyText"/>
        <w:spacing w:line="240" w:lineRule="auto" w:before="36"/>
        <w:ind w:left="153" w:right="149"/>
        <w:jc w:val="left"/>
      </w:pPr>
      <w:r>
        <w:rPr/>
        <w:t>①经营活动产生的现金流量净额本期较上期减少</w:t>
      </w:r>
      <w:r>
        <w:rPr>
          <w:rFonts w:ascii="Times New Roman" w:hAnsi="Times New Roman" w:cs="Times New Roman" w:eastAsia="Times New Roman" w:hint="default"/>
        </w:rPr>
        <w:t>363,273,174.96</w:t>
      </w:r>
      <w:r>
        <w:rPr/>
        <w:t>元，减少幅度为</w:t>
      </w:r>
      <w:r>
        <w:rPr>
          <w:rFonts w:ascii="Times New Roman" w:hAnsi="Times New Roman" w:cs="Times New Roman" w:eastAsia="Times New Roman" w:hint="default"/>
        </w:rPr>
        <w:t>65.02%</w:t>
      </w:r>
      <w:r>
        <w:rPr/>
        <w:t>；</w:t>
      </w:r>
    </w:p>
    <w:p>
      <w:pPr>
        <w:pStyle w:val="BodyText"/>
        <w:spacing w:line="240" w:lineRule="auto" w:before="102"/>
        <w:ind w:left="153" w:right="149"/>
        <w:jc w:val="left"/>
      </w:pPr>
      <w:r>
        <w:rPr/>
        <w:t>②投资活动产生的现金流量净额本期较上期增加</w:t>
      </w:r>
      <w:r>
        <w:rPr>
          <w:rFonts w:ascii="Times New Roman" w:hAnsi="Times New Roman" w:cs="Times New Roman" w:eastAsia="Times New Roman" w:hint="default"/>
        </w:rPr>
        <w:t>292,987,685.49</w:t>
      </w:r>
      <w:r>
        <w:rPr/>
        <w:t>元，增长幅度为</w:t>
      </w:r>
      <w:r>
        <w:rPr>
          <w:rFonts w:ascii="Times New Roman" w:hAnsi="Times New Roman" w:cs="Times New Roman" w:eastAsia="Times New Roman" w:hint="default"/>
        </w:rPr>
        <w:t>65.32%</w:t>
      </w:r>
      <w:r>
        <w:rPr/>
        <w:t>；</w:t>
      </w:r>
    </w:p>
    <w:p>
      <w:pPr>
        <w:pStyle w:val="BodyText"/>
        <w:spacing w:line="240" w:lineRule="auto" w:before="103"/>
        <w:ind w:left="153" w:right="149"/>
        <w:jc w:val="left"/>
      </w:pPr>
      <w:r>
        <w:rPr/>
        <w:t>③筹资活动产生的现金流量净额本期较上期增加</w:t>
      </w:r>
      <w:r>
        <w:rPr>
          <w:rFonts w:ascii="Times New Roman" w:hAnsi="Times New Roman" w:cs="Times New Roman" w:eastAsia="Times New Roman" w:hint="default"/>
        </w:rPr>
        <w:t>120,518,588.43</w:t>
      </w:r>
      <w:r>
        <w:rPr/>
        <w:t>元，增长幅度为</w:t>
      </w:r>
      <w:r>
        <w:rPr>
          <w:rFonts w:ascii="Times New Roman" w:hAnsi="Times New Roman" w:cs="Times New Roman" w:eastAsia="Times New Roman" w:hint="default"/>
        </w:rPr>
        <w:t>5,288.31%</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153" w:right="149"/>
        <w:jc w:val="left"/>
      </w:pPr>
      <w:r>
        <w:rPr/>
        <w:t>报告期内公司经营活动的现金流量与本年度净利润存在重大差异的原因说明</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216" w:hanging="1"/>
        <w:jc w:val="left"/>
      </w:pPr>
      <w:r>
        <w:rPr/>
        <w:t>报告期公司经营活动产生的现金流量净额为</w:t>
      </w:r>
      <w:r>
        <w:rPr>
          <w:rFonts w:ascii="Times New Roman" w:hAnsi="Times New Roman" w:cs="Times New Roman" w:eastAsia="Times New Roman" w:hint="default"/>
        </w:rPr>
        <w:t>-19,544.80</w:t>
      </w:r>
      <w:r>
        <w:rPr/>
        <w:t>万元</w:t>
      </w:r>
      <w:r>
        <w:rPr>
          <w:rFonts w:ascii="Times New Roman" w:hAnsi="Times New Roman" w:cs="Times New Roman" w:eastAsia="Times New Roman" w:hint="default"/>
        </w:rPr>
        <w:t>,</w:t>
      </w:r>
      <w:r>
        <w:rPr/>
        <w:t>公司本期实现利润</w:t>
      </w:r>
      <w:r>
        <w:rPr>
          <w:rFonts w:ascii="Times New Roman" w:hAnsi="Times New Roman" w:cs="Times New Roman" w:eastAsia="Times New Roman" w:hint="default"/>
        </w:rPr>
        <w:t>8,631.14</w:t>
      </w:r>
      <w:r>
        <w:rPr/>
        <w:t>万元，公司经营活动的现金流量与净 利润差异较大的原因为报告期内公司使用销售产品形成的货币资金和贷款采购干品参和鲜参所致。</w:t>
      </w:r>
    </w:p>
    <w:p>
      <w:pPr>
        <w:spacing w:line="240" w:lineRule="auto" w:before="5"/>
        <w:rPr>
          <w:rFonts w:ascii="宋体" w:hAnsi="宋体" w:cs="宋体" w:eastAsia="宋体" w:hint="default"/>
          <w:sz w:val="21"/>
          <w:szCs w:val="21"/>
        </w:rPr>
      </w:pPr>
    </w:p>
    <w:p>
      <w:pPr>
        <w:pStyle w:val="Heading2"/>
        <w:spacing w:line="240" w:lineRule="auto"/>
        <w:ind w:right="149"/>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418,500,365.23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152,412,497.95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85,906,160.38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11,611,078.38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22,543,314.32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10,222,374.10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22,650,476.03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3,439,555.44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14,778,858.93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2,930,814.38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15,755,547.60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1,659,081.52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7,843,659.13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1,502,664.56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37,059,265.40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3,495,672.56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小儿白贝止咳糖 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14,979,683.28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3,265,156.58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111,828,010.98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82,647,443.22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85,155,389.18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31,638,657.21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108,770,918.34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36,066,280.24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190,230,556.71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126,490,583.19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102,194,996.02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44,192,898.19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60,936,640.45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18,594,546.51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17,387,049.09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4,412,349.51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25,734,479.24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9,624,680.53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内部抵消金额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-86,754,274.62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-86,968,840.22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240" w:lineRule="auto" w:before="51"/>
        <w:ind w:right="149"/>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9"/>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174"/>
        <w:gridCol w:w="1063"/>
        <w:gridCol w:w="1195"/>
        <w:gridCol w:w="1063"/>
        <w:gridCol w:w="799"/>
        <w:gridCol w:w="2917"/>
      </w:tblGrid>
      <w:tr>
        <w:trPr>
          <w:trHeight w:val="206" w:hRule="exact"/>
        </w:trPr>
        <w:tc>
          <w:tcPr>
            <w:tcW w:w="1345" w:type="dxa"/>
            <w:vMerge w:val="restart"/>
            <w:tcBorders>
              <w:top w:val="single" w:sz="4" w:space="0" w:color="000000"/>
              <w:left w:val="single" w:sz="4" w:space="0" w:color="000000"/>
              <w:right w:val="single" w:sz="4" w:space="0" w:color="000000"/>
            </w:tcBorders>
            <w:shd w:val="clear" w:color="auto" w:fill="D3D3D3"/>
          </w:tcPr>
          <w:p>
            <w:pPr/>
          </w:p>
        </w:tc>
        <w:tc>
          <w:tcPr>
            <w:tcW w:w="22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223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17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1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17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1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4"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175,327,428.7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403,521,229.81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14.47%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-8.71%</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公司支付人参采购款及募投项目建 设按进度支付工程款项所致</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4"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229,540,921.4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7.54%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549,458,496.15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-12.16%</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公司上年销售货款在本年收回所致</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4"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1,415,635,463.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46.48%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850,942,555.79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30.51%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15.97%</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公司采购的人参产品验收入库所致</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28,600,000.00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28,600,000.00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1.03%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1" w:right="0"/>
              <w:jc w:val="left"/>
              <w:rPr>
                <w:rFonts w:ascii="Times New Roman" w:hAnsi="Times New Roman" w:cs="Times New Roman" w:eastAsia="Times New Roman" w:hint="default"/>
                <w:sz w:val="18"/>
                <w:szCs w:val="18"/>
              </w:rPr>
            </w:pPr>
            <w:r>
              <w:rPr>
                <w:rFonts w:ascii="Times New Roman"/>
                <w:sz w:val="18"/>
              </w:rPr>
              <w:t>-0.09%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4"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262,155,121.8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8.61%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270,417,901.15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9.7%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-1.09%</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4"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546,334,870.4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17.94%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442,500,575.41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15.86%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2.08%</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74"/>
        <w:gridCol w:w="1040"/>
        <w:gridCol w:w="1218"/>
        <w:gridCol w:w="1051"/>
        <w:gridCol w:w="800"/>
        <w:gridCol w:w="2917"/>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15" w:type="dxa"/>
            <w:gridSpan w:val="2"/>
            <w:vMerge/>
            <w:tcBorders>
              <w:left w:val="single" w:sz="4" w:space="0" w:color="000000"/>
              <w:bottom w:val="single" w:sz="4" w:space="0" w:color="000000"/>
              <w:right w:val="single" w:sz="4" w:space="0" w:color="000000"/>
            </w:tcBorders>
            <w:shd w:val="clear" w:color="auto" w:fill="D3D3D3"/>
          </w:tcPr>
          <w:p>
            <w:pPr/>
          </w:p>
        </w:tc>
        <w:tc>
          <w:tcPr>
            <w:tcW w:w="2269" w:type="dxa"/>
            <w:gridSpan w:val="2"/>
            <w:vMerge/>
            <w:tcBorders>
              <w:left w:val="single" w:sz="4" w:space="0" w:color="000000"/>
              <w:bottom w:val="single" w:sz="4" w:space="0" w:color="000000"/>
              <w:right w:val="single" w:sz="4" w:space="0" w:color="000000"/>
            </w:tcBorders>
            <w:shd w:val="clear" w:color="auto" w:fill="D3D3D3"/>
          </w:tcPr>
          <w:p>
            <w:pPr/>
          </w:p>
        </w:tc>
        <w:tc>
          <w:tcPr>
            <w:tcW w:w="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7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1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3D3D3"/>
          </w:tcPr>
          <w:p>
            <w:pPr/>
          </w:p>
        </w:tc>
        <w:tc>
          <w:tcPr>
            <w:tcW w:w="12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3D3D3"/>
          </w:tcPr>
          <w:p>
            <w:pPr/>
          </w:p>
        </w:tc>
        <w:tc>
          <w:tcPr>
            <w:tcW w:w="800"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74"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1218" w:type="dxa"/>
            <w:vMerge/>
            <w:tcBorders>
              <w:left w:val="single" w:sz="4" w:space="0" w:color="000000"/>
              <w:bottom w:val="nil" w:sz="6" w:space="0" w:color="auto"/>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800"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1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12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38" w:right="0"/>
              <w:jc w:val="left"/>
              <w:rPr>
                <w:rFonts w:ascii="Times New Roman" w:hAnsi="Times New Roman" w:cs="Times New Roman" w:eastAsia="Times New Roman" w:hint="default"/>
                <w:sz w:val="18"/>
                <w:szCs w:val="18"/>
              </w:rPr>
            </w:pPr>
            <w:r>
              <w:rPr>
                <w:rFonts w:ascii="Times New Roman"/>
                <w:sz w:val="18"/>
              </w:rPr>
              <w:t>1,120,000,000.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t>36.78%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927,000,000.00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t>33.24%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3.54%</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1"/>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91" w:firstLine="360"/>
        <w:jc w:val="left"/>
      </w:pPr>
      <w:r>
        <w:rPr>
          <w:spacing w:val="-1"/>
        </w:rPr>
        <w:t>公司</w:t>
      </w:r>
      <w:r>
        <w:rPr>
          <w:rFonts w:ascii="Times New Roman" w:hAnsi="Times New Roman" w:cs="Times New Roman" w:eastAsia="Times New Roman" w:hint="default"/>
          <w:spacing w:val="-1"/>
        </w:rPr>
        <w:t>“</w:t>
      </w:r>
      <w:r>
        <w:rPr>
          <w:spacing w:val="-1"/>
        </w:rPr>
        <w:t>紫鑫</w:t>
      </w:r>
      <w:r>
        <w:rPr>
          <w:rFonts w:ascii="Times New Roman" w:hAnsi="Times New Roman" w:cs="Times New Roman" w:eastAsia="Times New Roman" w:hint="default"/>
          <w:spacing w:val="-1"/>
        </w:rPr>
        <w:t>”</w:t>
      </w:r>
      <w:r>
        <w:rPr>
          <w:spacing w:val="-1"/>
        </w:rPr>
        <w:t>商标为中国驰名商标和吉林省著名商标。</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月，公司被评为</w:t>
      </w:r>
      <w:r>
        <w:rPr>
          <w:rFonts w:ascii="Times New Roman" w:hAnsi="Times New Roman" w:cs="Times New Roman" w:eastAsia="Times New Roman" w:hint="default"/>
          <w:spacing w:val="-1"/>
        </w:rPr>
        <w:t>“</w:t>
      </w:r>
      <w:r>
        <w:rPr>
          <w:spacing w:val="-1"/>
        </w:rPr>
        <w:t>中国医药行业重质量单位</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吉林省百姓</w:t>
      </w:r>
      <w:r>
        <w:rPr/>
        <w:t> 口碑最佳信誉单位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月，公司被评为</w:t>
      </w:r>
      <w:r>
        <w:rPr>
          <w:rFonts w:ascii="Times New Roman" w:hAnsi="Times New Roman" w:cs="Times New Roman" w:eastAsia="Times New Roman" w:hint="default"/>
        </w:rPr>
        <w:t>“</w:t>
      </w:r>
      <w:r>
        <w:rPr/>
        <w:t>中国医药行业无假货单位</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307" w:lineRule="auto"/>
        <w:ind w:right="91" w:firstLine="360"/>
        <w:jc w:val="left"/>
      </w:pPr>
      <w:r>
        <w:rPr>
          <w:spacing w:val="-2"/>
        </w:rPr>
        <w:t>公司的主导品种以治疗心脑血管、骨伤类、消化系统、泌尿系统和风湿免疫类疾病为主，主要产品有活血通脉片、醒脑</w:t>
      </w:r>
      <w:r>
        <w:rPr/>
        <w:t> </w:t>
      </w:r>
      <w:r>
        <w:rPr>
          <w:spacing w:val="-4"/>
        </w:rPr>
        <w:t>再造胶囊、麝香接骨胶囊、复方益肝灵片、补肾安神口服液、四妙丸等。生产药品剂型包括片剂、硬胶囊剂、口服液、丸剂、</w:t>
      </w:r>
      <w:r>
        <w:rPr>
          <w:spacing w:val="-46"/>
        </w:rPr>
        <w:t> </w:t>
      </w:r>
      <w:r>
        <w:rPr>
          <w:spacing w:val="-46"/>
        </w:rPr>
      </w:r>
      <w:r>
        <w:rPr/>
        <w:t>颗粒剂、口服溶液剂、合剂和锭剂，相关生产线已通过</w:t>
      </w:r>
      <w:r>
        <w:rPr>
          <w:rFonts w:ascii="Times New Roman" w:hAnsi="Times New Roman" w:cs="Times New Roman" w:eastAsia="Times New Roman" w:hint="default"/>
        </w:rPr>
        <w:t>2010</w:t>
      </w:r>
      <w:r>
        <w:rPr/>
        <w:t>年版《药品生产质量管理规范》（</w:t>
      </w:r>
      <w:r>
        <w:rPr>
          <w:rFonts w:ascii="Times New Roman" w:hAnsi="Times New Roman" w:cs="Times New Roman" w:eastAsia="Times New Roman" w:hint="default"/>
        </w:rPr>
        <w:t>GMP</w:t>
      </w:r>
      <w:r>
        <w:rPr/>
        <w:t>）认证，并获得《药品 </w:t>
      </w:r>
      <w:r>
        <w:rPr>
          <w:rFonts w:ascii="Times New Roman" w:hAnsi="Times New Roman" w:cs="Times New Roman" w:eastAsia="Times New Roman" w:hint="default"/>
        </w:rPr>
        <w:t>GMP</w:t>
      </w:r>
      <w:r>
        <w:rPr/>
        <w:t>证书》。同时公司拥有一支高层次的科研队伍从事新药、保健食品、特殊用途化妆品的开发，药品知识产权保护，产 </w:t>
      </w:r>
      <w:r>
        <w:rPr>
          <w:spacing w:val="-2"/>
        </w:rPr>
        <w:t>品二次开发，人参相关基础研究与应用研究等工作，为本公司产品推广和销售打下了坚实的基础。在公司产品中，有</w:t>
      </w:r>
      <w:r>
        <w:rPr>
          <w:rFonts w:ascii="Times New Roman" w:hAnsi="Times New Roman" w:cs="Times New Roman" w:eastAsia="Times New Roman" w:hint="default"/>
          <w:spacing w:val="-2"/>
        </w:rPr>
        <w:t>60</w:t>
      </w:r>
      <w:r>
        <w:rPr>
          <w:spacing w:val="-2"/>
        </w:rPr>
        <w:t>个药</w:t>
      </w:r>
      <w:r>
        <w:rPr>
          <w:spacing w:val="-64"/>
        </w:rPr>
        <w:t> </w:t>
      </w:r>
      <w:r>
        <w:rPr>
          <w:spacing w:val="-2"/>
        </w:rPr>
        <w:t>品品种被列入</w:t>
      </w:r>
      <w:r>
        <w:rPr>
          <w:rFonts w:ascii="Times New Roman" w:hAnsi="Times New Roman" w:cs="Times New Roman" w:eastAsia="Times New Roman" w:hint="default"/>
          <w:spacing w:val="-2"/>
        </w:rPr>
        <w:t>OTC</w:t>
      </w:r>
      <w:r>
        <w:rPr>
          <w:spacing w:val="-2"/>
        </w:rPr>
        <w:t>品种；有</w:t>
      </w:r>
      <w:r>
        <w:rPr>
          <w:rFonts w:ascii="Times New Roman" w:hAnsi="Times New Roman" w:cs="Times New Roman" w:eastAsia="Times New Roman" w:hint="default"/>
          <w:spacing w:val="-2"/>
        </w:rPr>
        <w:t>33</w:t>
      </w:r>
      <w:r>
        <w:rPr>
          <w:spacing w:val="-2"/>
        </w:rPr>
        <w:t>种药品品种列入《国家基本药业目录》（</w:t>
      </w:r>
      <w:r>
        <w:rPr>
          <w:rFonts w:ascii="Times New Roman" w:hAnsi="Times New Roman" w:cs="Times New Roman" w:eastAsia="Times New Roman" w:hint="default"/>
          <w:spacing w:val="-2"/>
        </w:rPr>
        <w:t>2012</w:t>
      </w:r>
      <w:r>
        <w:rPr>
          <w:spacing w:val="-2"/>
        </w:rPr>
        <w:t>年版）；补肾安神口服液、四妙丸、苏子降气丸</w:t>
      </w:r>
      <w:r>
        <w:rPr>
          <w:spacing w:val="-59"/>
        </w:rPr>
        <w:t> </w:t>
      </w:r>
      <w:r>
        <w:rPr>
          <w:spacing w:val="-59"/>
        </w:rPr>
      </w:r>
      <w:r>
        <w:rPr>
          <w:spacing w:val="-2"/>
        </w:rPr>
        <w:t>为公司独家品种；醒脑再造囊、活血通脉片、复方益肝灵片、四妙丸、藿胆片是国家二级中药保护品种，活血通脉片、肾复</w:t>
      </w:r>
      <w:r>
        <w:rPr>
          <w:spacing w:val="-65"/>
        </w:rPr>
        <w:t> </w:t>
      </w:r>
      <w:r>
        <w:rPr>
          <w:spacing w:val="-65"/>
        </w:rPr>
      </w:r>
      <w:r>
        <w:rPr>
          <w:spacing w:val="-2"/>
        </w:rPr>
        <w:t>康胶囊、复方益肝灵片、醒脑再造胶囊、消炎利胆片、萆薢分清丸、复方罗布麻颗粒、消风止痒颗粒是优质优价产品；四妙</w:t>
      </w:r>
      <w:r>
        <w:rPr>
          <w:spacing w:val="-65"/>
        </w:rPr>
        <w:t> </w:t>
      </w:r>
      <w:r>
        <w:rPr>
          <w:spacing w:val="-65"/>
        </w:rPr>
      </w:r>
      <w:r>
        <w:rPr/>
        <w:t>丸、复方益肝灵片、醒脑再造胶囊、补肾安神口服液和护肝宁片连续多年被命名为吉林省名牌产品。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月，公司生产 的</w:t>
      </w:r>
      <w:r>
        <w:rPr>
          <w:rFonts w:ascii="Times New Roman" w:hAnsi="Times New Roman" w:cs="Times New Roman" w:eastAsia="Times New Roman" w:hint="default"/>
        </w:rPr>
        <w:t>“</w:t>
      </w:r>
      <w:r>
        <w:rPr/>
        <w:t>补肾安神口服液</w:t>
      </w:r>
      <w:r>
        <w:rPr>
          <w:rFonts w:ascii="Times New Roman" w:hAnsi="Times New Roman" w:cs="Times New Roman" w:eastAsia="Times New Roman" w:hint="default"/>
        </w:rPr>
        <w:t>”</w:t>
      </w:r>
      <w:r>
        <w:rPr/>
        <w:t>获得由国家知识产权局和世界知识产权组织主办的第十四届中国专利优秀奖。</w:t>
      </w:r>
    </w:p>
    <w:p>
      <w:pPr>
        <w:pStyle w:val="BodyText"/>
        <w:spacing w:line="316" w:lineRule="auto" w:before="7"/>
        <w:ind w:right="197" w:firstLine="433"/>
        <w:jc w:val="left"/>
      </w:pPr>
      <w:r>
        <w:rPr/>
        <w:t>公司在人参的基因数据库研究、人参种质资源普查数据库、人参酵解技术的应用和人参种植重茬栽培等方面取得了重 大成果，并处于世界领先地位。</w:t>
      </w:r>
    </w:p>
    <w:p>
      <w:pPr>
        <w:spacing w:line="240" w:lineRule="auto" w:before="4"/>
        <w:rPr>
          <w:rFonts w:ascii="宋体" w:hAnsi="宋体" w:cs="宋体" w:eastAsia="宋体" w:hint="default"/>
          <w:sz w:val="25"/>
          <w:szCs w:val="25"/>
        </w:rPr>
      </w:pPr>
    </w:p>
    <w:p>
      <w:pPr>
        <w:pStyle w:val="BodyText"/>
        <w:spacing w:line="240" w:lineRule="auto"/>
        <w:ind w:right="91"/>
        <w:jc w:val="left"/>
      </w:pPr>
      <w:r>
        <w:rPr/>
        <w:t>报告期内，公司共申请专利</w:t>
      </w:r>
      <w:r>
        <w:rPr>
          <w:rFonts w:ascii="Times New Roman" w:hAnsi="Times New Roman" w:cs="Times New Roman" w:eastAsia="Times New Roman" w:hint="default"/>
        </w:rPr>
        <w:t>16</w:t>
      </w:r>
      <w:r>
        <w:rPr/>
        <w:t>项，均为实用新型；获得发明专利证书</w:t>
      </w:r>
      <w:r>
        <w:rPr>
          <w:rFonts w:ascii="Times New Roman" w:hAnsi="Times New Roman" w:cs="Times New Roman" w:eastAsia="Times New Roman" w:hint="default"/>
        </w:rPr>
        <w:t>11</w:t>
      </w:r>
      <w:r>
        <w:rPr/>
        <w:t>项，明细如下：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853"/>
        <w:gridCol w:w="5668"/>
        <w:gridCol w:w="2977"/>
      </w:tblGrid>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所属公司</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一种用于治疗类风湿性关节炎的药物组合物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紫鑫药业</w:t>
            </w:r>
          </w:p>
        </w:tc>
      </w:tr>
      <w:tr>
        <w:trPr>
          <w:trHeight w:val="348"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一种用于治疗心脑血管疾病的药物组合物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紫鑫药业</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一种用于治疗丘疹样荨麻疹的药物组合物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紫鑫药业</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一种用于治疗胆囊炎、胆管炎的药物组合物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紫鑫药业</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一种用于治疗小儿急性支气管炎的药物组合物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草还丹药业</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一种用于治疗银屑病的药物组合物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草还丹药业</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一种用于治疗感冒的药物组合物</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草还丹药业</w:t>
            </w:r>
          </w:p>
        </w:tc>
      </w:tr>
      <w:tr>
        <w:trPr>
          <w:trHeight w:val="348"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一种祛黄褐斑的药物组合物及其制备方法</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紫鑫药研</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一种健脾和胃的药物组合物及其制备方法</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紫鑫药研</w:t>
            </w:r>
          </w:p>
        </w:tc>
      </w:tr>
      <w:tr>
        <w:trPr>
          <w:trHeight w:val="347"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一种提高免疫力的药物组合物及其制备方法</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紫鑫药研</w:t>
            </w:r>
          </w:p>
        </w:tc>
      </w:tr>
      <w:tr>
        <w:trPr>
          <w:trHeight w:val="348" w:hRule="exact"/>
        </w:trPr>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一种改善疲劳的药物组合物及其制备方法</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紫鑫药研</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91"/>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1"/>
                    <w:ind w:left="0" w:right="0"/>
                    <w:jc w:val="center"/>
                  </w:pPr>
                  <w:r>
                    <w:rPr/>
                    <w:t>对外投资情况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80"/>
        <w:gridCol w:w="882"/>
        <w:gridCol w:w="870"/>
        <w:gridCol w:w="870"/>
        <w:gridCol w:w="868"/>
        <w:gridCol w:w="868"/>
        <w:gridCol w:w="869"/>
        <w:gridCol w:w="868"/>
        <w:gridCol w:w="868"/>
        <w:gridCol w:w="869"/>
        <w:gridCol w:w="856"/>
      </w:tblGrid>
      <w:tr>
        <w:trPr>
          <w:trHeight w:val="713"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3"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3"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8"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长春农村 商业银行 股份有限 公司</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5.21%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49,000,000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5.21%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自有资金 投资</w:t>
            </w:r>
          </w:p>
        </w:tc>
      </w:tr>
      <w:tr>
        <w:trPr>
          <w:trHeight w:val="715"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28,000,000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49,000,000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781"/>
        <w:gridCol w:w="798"/>
        <w:gridCol w:w="824"/>
        <w:gridCol w:w="787"/>
        <w:gridCol w:w="797"/>
        <w:gridCol w:w="799"/>
        <w:gridCol w:w="797"/>
        <w:gridCol w:w="799"/>
        <w:gridCol w:w="797"/>
        <w:gridCol w:w="799"/>
        <w:gridCol w:w="797"/>
        <w:gridCol w:w="773"/>
      </w:tblGrid>
      <w:tr>
        <w:trPr>
          <w:trHeight w:val="161" w:hRule="exact"/>
        </w:trPr>
        <w:tc>
          <w:tcPr>
            <w:tcW w:w="781"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8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34" w:firstLine="10"/>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21"/>
                <w:sz w:val="18"/>
                <w:szCs w:val="18"/>
              </w:rPr>
              <w:t>成本（元）</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4" w:firstLine="10"/>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4" w:firstLine="10"/>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5"/>
                <w:sz w:val="18"/>
                <w:szCs w:val="18"/>
              </w:rPr>
              <w:t>比例（</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3" w:firstLine="10"/>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3"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40" w:lineRule="auto" w:before="76"/>
              <w:ind w:left="-101" w:right="32"/>
              <w:jc w:val="center"/>
              <w:rPr>
                <w:rFonts w:ascii="宋体" w:hAnsi="宋体" w:cs="宋体" w:eastAsia="宋体" w:hint="default"/>
                <w:sz w:val="18"/>
                <w:szCs w:val="18"/>
              </w:rPr>
            </w:pPr>
            <w:r>
              <w:rPr>
                <w:rFonts w:ascii="宋体" w:hAnsi="宋体" w:cs="宋体" w:eastAsia="宋体" w:hint="default"/>
                <w:spacing w:val="-10"/>
                <w:sz w:val="18"/>
                <w:szCs w:val="18"/>
              </w:rPr>
              <w:t>）值（元）</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14"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7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7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7"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781"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8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7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持有其他上市公司股权情况的说明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1"/>
        <w:gridCol w:w="798"/>
        <w:gridCol w:w="796"/>
        <w:gridCol w:w="806"/>
        <w:gridCol w:w="797"/>
        <w:gridCol w:w="799"/>
        <w:gridCol w:w="797"/>
        <w:gridCol w:w="799"/>
        <w:gridCol w:w="797"/>
        <w:gridCol w:w="799"/>
        <w:gridCol w:w="786"/>
        <w:gridCol w:w="792"/>
      </w:tblGrid>
      <w:tr>
        <w:trPr>
          <w:trHeight w:val="160" w:hRule="exact"/>
        </w:trPr>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8"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 w:right="32"/>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8" w:right="35"/>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4"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4"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14" w:right="2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781"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c>
          <w:tcPr>
            <w:tcW w:w="806"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0" w:hRule="exact"/>
        </w:trPr>
        <w:tc>
          <w:tcPr>
            <w:tcW w:w="781"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86" w:type="dxa"/>
            <w:vMerge/>
            <w:tcBorders>
              <w:left w:val="single" w:sz="4" w:space="0" w:color="000000"/>
              <w:bottom w:val="single" w:sz="4" w:space="0" w:color="000000"/>
              <w:right w:val="single" w:sz="4" w:space="0" w:color="000000"/>
            </w:tcBorders>
            <w:shd w:val="clear" w:color="auto" w:fill="D3D3D3"/>
          </w:tcPr>
          <w:p>
            <w:pPr/>
          </w:p>
        </w:tc>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410"/>
        <w:jc w:val="left"/>
      </w:pPr>
      <w:r>
        <w:rPr/>
        <w:t>说明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报告期末衍生品投资的持仓情况</w:t>
      </w:r>
    </w:p>
    <w:p>
      <w:pPr>
        <w:pStyle w:val="BodyText"/>
        <w:spacing w:line="340" w:lineRule="auto" w:before="116"/>
        <w:ind w:right="81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说明</w:t>
      </w:r>
    </w:p>
    <w:p>
      <w:pPr>
        <w:pStyle w:val="BodyText"/>
        <w:spacing w:line="240" w:lineRule="auto" w:before="39"/>
        <w:ind w:right="149"/>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0"/>
        <w:gridCol w:w="959"/>
        <w:gridCol w:w="1181"/>
        <w:gridCol w:w="1181"/>
        <w:gridCol w:w="1181"/>
        <w:gridCol w:w="1182"/>
        <w:gridCol w:w="1181"/>
        <w:gridCol w:w="1181"/>
      </w:tblGrid>
      <w:tr>
        <w:trPr>
          <w:trHeight w:val="1025" w:hRule="exact"/>
        </w:trPr>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4"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5" w:right="43" w:hanging="450"/>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6"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3" w:hRule="exact"/>
        </w:trPr>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right="9410"/>
        <w:jc w:val="left"/>
      </w:pPr>
      <w:r>
        <w:rPr/>
        <w:t>说明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22,051.66</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81,623.37</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23"/>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经中国证券监督管理委员会《关于核准吉林紫鑫药业股份有限公司非公开发行股票的批复》（证监许可</w:t>
            </w:r>
            <w:r>
              <w:rPr>
                <w:rFonts w:ascii="Times New Roman" w:hAnsi="Times New Roman" w:cs="Times New Roman" w:eastAsia="Times New Roman" w:hint="default"/>
                <w:spacing w:val="-2"/>
                <w:sz w:val="18"/>
                <w:szCs w:val="18"/>
              </w:rPr>
              <w:t>[2010]1815</w:t>
            </w:r>
            <w:r>
              <w:rPr>
                <w:rFonts w:ascii="Times New Roman" w:hAnsi="Times New Roman" w:cs="Times New Roman" w:eastAsia="Times New Roman" w:hint="default"/>
                <w:sz w:val="18"/>
                <w:szCs w:val="18"/>
              </w:rPr>
              <w:t> </w:t>
            </w:r>
            <w:r>
              <w:rPr>
                <w:rFonts w:ascii="宋体" w:hAnsi="宋体" w:cs="宋体" w:eastAsia="宋体" w:hint="default"/>
                <w:spacing w:val="-25"/>
                <w:sz w:val="18"/>
                <w:szCs w:val="18"/>
              </w:rPr>
              <w:t>号），核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准，公司非公开发行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49,875,311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股，每股面值为人民币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元，募集资金总额</w:t>
            </w:r>
          </w:p>
          <w:p>
            <w:pPr>
              <w:pStyle w:val="TableParagraph"/>
              <w:spacing w:line="240" w:lineRule="auto" w:before="1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999,999,985.55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元，扣除相关发行费用后，募集资金净额为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986,450,110.24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日，募集资金累计使</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用金额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866,233,610.00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元（含暂时补充流动资金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127,095,388.36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人参产品系列化项目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（通化厂区）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29,954.21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29,954.21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16,133.09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16,133.09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53.85%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人参产品系列化项目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（延吉厂区）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29,993.95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29,993.95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27,868.19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人参产品系列化项目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（磐石厂区）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13,989.33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13,989.33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14,029.61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7.029995pt;margin-top:71.999962pt;width:478.55pt;height:678.9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773"/>
                    <w:gridCol w:w="786"/>
                    <w:gridCol w:w="780"/>
                    <w:gridCol w:w="779"/>
                    <w:gridCol w:w="786"/>
                    <w:gridCol w:w="774"/>
                    <w:gridCol w:w="774"/>
                    <w:gridCol w:w="792"/>
                    <w:gridCol w:w="774"/>
                    <w:gridCol w:w="780"/>
                  </w:tblGrid>
                  <w:tr>
                    <w:trPr>
                      <w:trHeight w:val="362" w:hRule="exact"/>
                    </w:trPr>
                    <w:tc>
                      <w:tcPr>
                        <w:tcW w:w="175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人参产品系列化项目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（敦化厂区）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24,719.68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24,719.68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4,879.72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23,592.48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95.44%</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98,657.17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98,657.17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22,051.66</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81,623.37</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5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98,657.17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98,657.17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22,051.66</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81,623.37</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97" w:hRule="exact"/>
                    </w:trPr>
                    <w:tc>
                      <w:tcPr>
                        <w:tcW w:w="1759"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307"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人参产品系列化（通化）项目因政府用地调整，未能如期开工建设，至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才开工，导 致项目无法按计划进度完成；</w:t>
                        </w:r>
                        <w:r>
                          <w:rPr>
                            <w:rFonts w:ascii="宋体" w:hAnsi="宋体" w:cs="宋体" w:eastAsia="宋体" w:hint="default"/>
                            <w:spacing w:val="50"/>
                            <w:sz w:val="18"/>
                            <w:szCs w:val="18"/>
                          </w:rPr>
                          <w:t> </w:t>
                        </w:r>
                        <w:r>
                          <w:rPr>
                            <w:rFonts w:ascii="宋体" w:hAnsi="宋体" w:cs="宋体" w:eastAsia="宋体" w:hint="default"/>
                            <w:sz w:val="18"/>
                            <w:szCs w:val="18"/>
                          </w:rPr>
                          <w:t>人参产品系列化（延吉）项目已按照施工进度完成，该项目主要以</w:t>
                        </w:r>
                        <w:r>
                          <w:rPr>
                            <w:rFonts w:ascii="宋体" w:hAnsi="宋体" w:cs="宋体" w:eastAsia="宋体" w:hint="default"/>
                            <w:sz w:val="18"/>
                            <w:szCs w:val="18"/>
                          </w:rPr>
                          <w:t> 生产人参食品为主。</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月卫生部批准人参（人工种植）为新资源食品后，公司开始人参食品 的生产认证工作，目前公司已取得饮料（果汁及蔬菜汁类）食品生产许可证，其他食品生产许可证 正在陆续申请认证中；</w:t>
                        </w:r>
                        <w:r>
                          <w:rPr>
                            <w:rFonts w:ascii="宋体" w:hAnsi="宋体" w:cs="宋体" w:eastAsia="宋体" w:hint="default"/>
                            <w:spacing w:val="50"/>
                            <w:sz w:val="18"/>
                            <w:szCs w:val="18"/>
                          </w:rPr>
                          <w:t> </w:t>
                        </w:r>
                        <w:r>
                          <w:rPr>
                            <w:rFonts w:ascii="宋体" w:hAnsi="宋体" w:cs="宋体" w:eastAsia="宋体" w:hint="default"/>
                            <w:sz w:val="18"/>
                            <w:szCs w:val="18"/>
                          </w:rPr>
                          <w:t>人参产品系列化（磐石）项目未能按照工程进度完成的原因是由于卫生部</w:t>
                        </w:r>
                        <w:r>
                          <w:rPr>
                            <w:rFonts w:ascii="宋体" w:hAnsi="宋体" w:cs="宋体" w:eastAsia="宋体" w:hint="default"/>
                            <w:sz w:val="18"/>
                            <w:szCs w:val="18"/>
                          </w:rPr>
                          <w:t> 发布了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版《药品生产质量管理规范》，并从</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年开始实行，公司根据要求对项目建设方案作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了相应调整， 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日取得药品生产许可证，需通过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认证后才可生产销售 药品； </w:t>
                        </w:r>
                        <w:r>
                          <w:rPr>
                            <w:rFonts w:ascii="宋体" w:hAnsi="宋体" w:cs="宋体" w:eastAsia="宋体" w:hint="default"/>
                            <w:spacing w:val="-4"/>
                            <w:sz w:val="18"/>
                            <w:szCs w:val="18"/>
                          </w:rPr>
                          <w:t>人参产品系列化（敦化）项目未能按照工程进度完成的原因是：一是由于卫生部发布了</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pacing w:val="-10"/>
                            <w:sz w:val="18"/>
                            <w:szCs w:val="18"/>
                          </w:rPr>
                          <w:t>版《药品生产质量管理规范》，并从</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年开始实行，公司根据要求对项目建设方案作了相应调整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二是公司追加投资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万元，项目整体工程量增加。</w:t>
                        </w:r>
                      </w:p>
                    </w:tc>
                  </w:tr>
                  <w:tr>
                    <w:trPr>
                      <w:trHeight w:val="1016" w:hRule="exact"/>
                    </w:trPr>
                    <w:tc>
                      <w:tcPr>
                        <w:tcW w:w="17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3D3D3"/>
                          <w:right w:val="single" w:sz="4" w:space="0" w:color="000000"/>
                        </w:tcBorders>
                      </w:tcPr>
                      <w:p>
                        <w:pPr/>
                      </w:p>
                    </w:tc>
                  </w:tr>
                  <w:tr>
                    <w:trPr>
                      <w:trHeight w:val="1097" w:hRule="exact"/>
                    </w:trPr>
                    <w:tc>
                      <w:tcPr>
                        <w:tcW w:w="17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报告期内，项目可行性未发生重大变化。</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59"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83" w:hRule="exact"/>
                    </w:trPr>
                    <w:tc>
                      <w:tcPr>
                        <w:tcW w:w="1759"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年第三次临时股东大会审议通过了《关于人参产品系列化（通化）募投项目实施变更的议</w:t>
                        </w:r>
                      </w:p>
                      <w:p>
                        <w:pPr>
                          <w:pStyle w:val="TableParagraph"/>
                          <w:spacing w:line="312" w:lineRule="auto" w:before="61"/>
                          <w:ind w:left="16" w:right="20"/>
                          <w:jc w:val="both"/>
                          <w:rPr>
                            <w:rFonts w:ascii="宋体" w:hAnsi="宋体" w:cs="宋体" w:eastAsia="宋体" w:hint="default"/>
                            <w:sz w:val="18"/>
                            <w:szCs w:val="18"/>
                          </w:rPr>
                        </w:pPr>
                        <w:r>
                          <w:rPr>
                            <w:rFonts w:ascii="宋体" w:hAnsi="宋体" w:cs="宋体" w:eastAsia="宋体" w:hint="default"/>
                            <w:spacing w:val="-9"/>
                            <w:sz w:val="18"/>
                            <w:szCs w:val="18"/>
                          </w:rPr>
                          <w:t>案》，通化市人民政府</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日出具了《关于置换紫鑫药业人参产品系列化项目建设用地的 </w:t>
                        </w:r>
                        <w:r>
                          <w:rPr>
                            <w:rFonts w:ascii="宋体" w:hAnsi="宋体" w:cs="宋体" w:eastAsia="宋体" w:hint="default"/>
                            <w:spacing w:val="-5"/>
                            <w:sz w:val="18"/>
                            <w:szCs w:val="18"/>
                          </w:rPr>
                          <w:t>通知》，原募投项目用地东昌区经济技术开发区医药大路地块调整为旅游发展用地，人参产品系列化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项目（通化厂区）已不适宜在该地块建设，新项目建设用地由东昌区政府及通化市政府有关部门， 按《通化市城市总体规划》有关要求另行选址安排。</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日，禺拙药业竞得通化市东昌区</w:t>
                        </w:r>
                      </w:p>
                      <w:p>
                        <w:pPr>
                          <w:pStyle w:val="TableParagraph"/>
                          <w:spacing w:line="240" w:lineRule="auto" w:before="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环通乡长流村</w:t>
                        </w:r>
                        <w:r>
                          <w:rPr>
                            <w:rFonts w:ascii="Times New Roman" w:hAnsi="Times New Roman" w:cs="Times New Roman" w:eastAsia="Times New Roman" w:hint="default"/>
                            <w:sz w:val="18"/>
                            <w:szCs w:val="18"/>
                          </w:rPr>
                          <w:t>“</w:t>
                        </w:r>
                        <w:r>
                          <w:rPr>
                            <w:rFonts w:ascii="宋体" w:hAnsi="宋体" w:cs="宋体" w:eastAsia="宋体" w:hint="default"/>
                            <w:sz w:val="18"/>
                            <w:szCs w:val="18"/>
                          </w:rPr>
                          <w:t>恒安药业东侧地块</w:t>
                        </w:r>
                        <w:r>
                          <w:rPr>
                            <w:rFonts w:ascii="Times New Roman" w:hAnsi="Times New Roman" w:cs="Times New Roman" w:eastAsia="Times New Roman" w:hint="default"/>
                            <w:sz w:val="18"/>
                            <w:szCs w:val="18"/>
                          </w:rPr>
                          <w:t>”</w:t>
                        </w:r>
                        <w:r>
                          <w:rPr>
                            <w:rFonts w:ascii="宋体" w:hAnsi="宋体" w:cs="宋体" w:eastAsia="宋体" w:hint="default"/>
                            <w:sz w:val="18"/>
                            <w:szCs w:val="18"/>
                          </w:rPr>
                          <w:t>，作为人参产品系列化项目（通化厂区）建设用地，并于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日开工建设。</w:t>
                        </w:r>
                      </w:p>
                    </w:tc>
                  </w:tr>
                  <w:tr>
                    <w:trPr>
                      <w:trHeight w:val="704" w:hRule="exact"/>
                    </w:trPr>
                    <w:tc>
                      <w:tcPr>
                        <w:tcW w:w="17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3D3D3"/>
                          <w:right w:val="single" w:sz="4" w:space="0" w:color="000000"/>
                        </w:tcBorders>
                      </w:tcPr>
                      <w:p>
                        <w:pPr/>
                      </w:p>
                    </w:tc>
                  </w:tr>
                  <w:tr>
                    <w:trPr>
                      <w:trHeight w:val="1187" w:hRule="exact"/>
                    </w:trPr>
                    <w:tc>
                      <w:tcPr>
                        <w:tcW w:w="17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759" w:type="dxa"/>
                        <w:vMerge/>
                        <w:tcBorders>
                          <w:left w:val="single" w:sz="4"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2" w:hRule="exact"/>
                    </w:trPr>
                    <w:tc>
                      <w:tcPr>
                        <w:tcW w:w="17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8"/>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312" w:lineRule="auto" w:before="94"/>
                          <w:ind w:left="16" w:right="23" w:firstLine="27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年第三次临时股东大会审议通过了《关于人参产品系列化（延吉）募投项目部分变更 </w:t>
                        </w:r>
                        <w:r>
                          <w:rPr>
                            <w:rFonts w:ascii="宋体" w:hAnsi="宋体" w:cs="宋体" w:eastAsia="宋体" w:hint="default"/>
                            <w:spacing w:val="-5"/>
                            <w:sz w:val="18"/>
                            <w:szCs w:val="18"/>
                          </w:rPr>
                          <w:t>的议案》、《关于人参产品系列化（磐石）募投项目部分变更的议案》和《关于人参产品系列化（敦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化）募投项目部分变更的议案》。对人参产品系列化项目（磐石厂区）、人参产品系列化项目（延吉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厂区）、人参产品系列化项目（敦化厂区）进行部分调整。</w:t>
                        </w:r>
                      </w:p>
                    </w:tc>
                  </w:tr>
                  <w:tr>
                    <w:trPr>
                      <w:trHeight w:val="719" w:hRule="exact"/>
                    </w:trPr>
                    <w:tc>
                      <w:tcPr>
                        <w:tcW w:w="17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205" w:hRule="exact"/>
                    </w:trPr>
                    <w:tc>
                      <w:tcPr>
                        <w:tcW w:w="1759"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7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3D3D3"/>
                          <w:bottom w:val="single" w:sz="4" w:space="0" w:color="000000"/>
                          <w:right w:val="single" w:sz="4" w:space="0" w:color="000000"/>
                        </w:tcBorders>
                      </w:tcPr>
                      <w:p>
                        <w:pPr/>
                      </w:p>
                    </w:tc>
                  </w:tr>
                  <w:tr>
                    <w:trPr>
                      <w:trHeight w:val="507" w:hRule="exact"/>
                    </w:trPr>
                    <w:tc>
                      <w:tcPr>
                        <w:tcW w:w="1759"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公司第四届董事会第十一次会议审议通过了《关于使用募集资金置换预先已投入募集资金投资项目 自筹资金的议案》本公司以募集资金置换已投入募集资金投入项目的自筹资金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12,865.89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07" w:hRule="exact"/>
                    </w:trPr>
                    <w:tc>
                      <w:tcPr>
                        <w:tcW w:w="17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59"/>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日，公司召开了第四届董事会第十七次会议，审议通过了《关于使用部分闲置募集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将人参产品系列化项</w:t>
            </w:r>
            <w:r>
              <w:rPr>
                <w:rFonts w:ascii="宋体" w:hAnsi="宋体" w:cs="宋体" w:eastAsia="宋体" w:hint="default"/>
                <w:spacing w:val="-15"/>
                <w:sz w:val="18"/>
                <w:szCs w:val="18"/>
              </w:rPr>
              <w:t>目</w:t>
            </w:r>
            <w:r>
              <w:rPr>
                <w:rFonts w:ascii="宋体" w:hAnsi="宋体" w:cs="宋体" w:eastAsia="宋体" w:hint="default"/>
                <w:sz w:val="18"/>
                <w:szCs w:val="18"/>
              </w:rPr>
              <w:t>（通化厂区</w:t>
            </w:r>
            <w:r>
              <w:rPr>
                <w:rFonts w:ascii="宋体" w:hAnsi="宋体" w:cs="宋体" w:eastAsia="宋体" w:hint="default"/>
                <w:spacing w:val="-15"/>
                <w:sz w:val="18"/>
                <w:szCs w:val="18"/>
              </w:rPr>
              <w:t>）</w:t>
            </w:r>
            <w:r>
              <w:rPr>
                <w:rFonts w:ascii="宋体" w:hAnsi="宋体" w:cs="宋体" w:eastAsia="宋体" w:hint="default"/>
                <w:sz w:val="18"/>
                <w:szCs w:val="18"/>
              </w:rPr>
              <w:t>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用于补充流动资金</w:t>
            </w:r>
            <w:r>
              <w:rPr>
                <w:rFonts w:ascii="宋体" w:hAnsi="宋体" w:cs="宋体" w:eastAsia="宋体" w:hint="default"/>
                <w:spacing w:val="-90"/>
                <w:sz w:val="18"/>
                <w:szCs w:val="18"/>
              </w:rPr>
              <w:t>，</w:t>
            </w:r>
            <w:r>
              <w:rPr>
                <w:rFonts w:ascii="宋体" w:hAnsi="宋体" w:cs="宋体" w:eastAsia="宋体" w:hint="default"/>
                <w:sz w:val="18"/>
                <w:szCs w:val="18"/>
              </w:rPr>
              <w:t>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w:t>
            </w:r>
            <w:r>
              <w:rPr>
                <w:rFonts w:ascii="宋体" w:hAnsi="宋体" w:cs="宋体" w:eastAsia="宋体" w:hint="default"/>
                <w:spacing w:val="-90"/>
                <w:sz w:val="18"/>
                <w:szCs w:val="18"/>
              </w:rPr>
              <w:t>，</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9"/>
                <w:sz w:val="18"/>
                <w:szCs w:val="18"/>
              </w:rPr>
              <w:t>，</w:t>
            </w: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w:t>
            </w:r>
          </w:p>
          <w:p>
            <w:pPr>
              <w:pStyle w:val="TableParagraph"/>
              <w:spacing w:line="307" w:lineRule="auto" w:before="63"/>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还至募集资金专户，使用期限未超过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日，公司召开了第四届董事会第二 </w:t>
            </w:r>
            <w:r>
              <w:rPr>
                <w:rFonts w:ascii="宋体" w:hAnsi="宋体" w:cs="宋体" w:eastAsia="宋体" w:hint="default"/>
                <w:spacing w:val="-5"/>
                <w:sz w:val="18"/>
                <w:szCs w:val="18"/>
              </w:rPr>
              <w:t>十三次会议，审议通过了《关于继续使用闲置募投资金暂时补充流动资金的议案》，将人参产品系列</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化项目（通化厂区）募集资金中的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宋体" w:hAnsi="宋体" w:cs="宋体" w:eastAsia="宋体" w:hint="default"/>
                <w:sz w:val="18"/>
                <w:szCs w:val="18"/>
              </w:rPr>
              <w:t>， 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万元返还至募集资金专用账户，使用期限未超过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日，公司召开了第四届董事会第二十八次会议，审议通过了《关于使用部分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，将人参产品系列化项目（通化厂区）募集资金中的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万元暂时用于补充流动资金，占募集资金净额的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原定用途</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6"/>
        <w:gridCol w:w="969"/>
        <w:gridCol w:w="957"/>
        <w:gridCol w:w="958"/>
        <w:gridCol w:w="945"/>
        <w:gridCol w:w="944"/>
        <w:gridCol w:w="957"/>
        <w:gridCol w:w="968"/>
        <w:gridCol w:w="969"/>
        <w:gridCol w:w="934"/>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3D3D3"/>
          </w:tcPr>
          <w:p>
            <w:pPr/>
          </w:p>
        </w:tc>
        <w:tc>
          <w:tcPr>
            <w:tcW w:w="969" w:type="dxa"/>
            <w:vMerge w:val="restart"/>
            <w:tcBorders>
              <w:top w:val="single" w:sz="4" w:space="0" w:color="000000"/>
              <w:left w:val="single" w:sz="4" w:space="0" w:color="000000"/>
              <w:right w:val="single" w:sz="4" w:space="0" w:color="000000"/>
            </w:tcBorders>
            <w:shd w:val="clear" w:color="auto" w:fill="D3D3D3"/>
          </w:tcPr>
          <w:p>
            <w:pP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35"/>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21"/>
              <w:jc w:val="center"/>
              <w:rPr>
                <w:rFonts w:ascii="Times New Roman" w:hAnsi="Times New Roman" w:cs="Times New Roman" w:eastAsia="Times New Roman" w:hint="default"/>
                <w:sz w:val="18"/>
                <w:szCs w:val="18"/>
              </w:rPr>
            </w:pPr>
            <w:r>
              <w:rPr>
                <w:rFonts w:ascii="Times New Roman"/>
                <w:sz w:val="18"/>
              </w:rPr>
              <w:t>(1)</w:t>
            </w:r>
          </w:p>
        </w:tc>
        <w:tc>
          <w:tcPr>
            <w:tcW w:w="958" w:type="dxa"/>
            <w:vMerge w:val="restart"/>
            <w:tcBorders>
              <w:top w:val="single" w:sz="4" w:space="0" w:color="000000"/>
              <w:left w:val="single" w:sz="4" w:space="0" w:color="000000"/>
              <w:right w:val="single" w:sz="4" w:space="0" w:color="000000"/>
            </w:tcBorders>
            <w:shd w:val="clear" w:color="auto" w:fill="D3D3D3"/>
          </w:tcPr>
          <w:p>
            <w:pPr/>
          </w:p>
        </w:tc>
        <w:tc>
          <w:tcPr>
            <w:tcW w:w="945"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vMerge w:val="restart"/>
            <w:tcBorders>
              <w:top w:val="single" w:sz="4" w:space="0" w:color="000000"/>
              <w:left w:val="single" w:sz="4" w:space="0" w:color="000000"/>
              <w:right w:val="single" w:sz="4" w:space="0" w:color="000000"/>
            </w:tcBorders>
            <w:shd w:val="clear" w:color="auto" w:fill="D3D3D3"/>
          </w:tcPr>
          <w:p>
            <w:pPr>
              <w:pStyle w:val="TableParagraph"/>
              <w:spacing w:line="338" w:lineRule="auto" w:before="51"/>
              <w:ind w:left="22" w:right="1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4"/>
              <w:ind w:left="9" w:right="0"/>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968" w:type="dxa"/>
            <w:vMerge w:val="restart"/>
            <w:tcBorders>
              <w:top w:val="single" w:sz="4" w:space="0" w:color="000000"/>
              <w:left w:val="single" w:sz="4" w:space="0" w:color="000000"/>
              <w:right w:val="single" w:sz="4" w:space="0" w:color="000000"/>
            </w:tcBorders>
            <w:shd w:val="clear" w:color="auto" w:fill="D3D3D3"/>
          </w:tcPr>
          <w:p>
            <w:pPr/>
          </w:p>
        </w:tc>
        <w:tc>
          <w:tcPr>
            <w:tcW w:w="969" w:type="dxa"/>
            <w:vMerge w:val="restart"/>
            <w:tcBorders>
              <w:top w:val="single" w:sz="4" w:space="0" w:color="000000"/>
              <w:left w:val="single" w:sz="4" w:space="0" w:color="000000"/>
              <w:right w:val="single" w:sz="4" w:space="0" w:color="000000"/>
            </w:tcBorders>
            <w:shd w:val="clear" w:color="auto" w:fill="D3D3D3"/>
          </w:tcPr>
          <w:p>
            <w:pP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46" w:type="dxa"/>
            <w:vMerge/>
            <w:tcBorders>
              <w:left w:val="single" w:sz="4" w:space="0" w:color="000000"/>
              <w:bottom w:val="nil" w:sz="6" w:space="0" w:color="auto"/>
              <w:right w:val="single" w:sz="4" w:space="0" w:color="000000"/>
            </w:tcBorders>
            <w:shd w:val="clear" w:color="auto" w:fill="D3D3D3"/>
          </w:tcPr>
          <w:p>
            <w:pPr/>
          </w:p>
        </w:tc>
        <w:tc>
          <w:tcPr>
            <w:tcW w:w="969"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4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44" w:type="dxa"/>
            <w:vMerge/>
            <w:tcBorders>
              <w:left w:val="single" w:sz="4" w:space="0" w:color="000000"/>
              <w:right w:val="single" w:sz="4" w:space="0" w:color="000000"/>
            </w:tcBorders>
            <w:shd w:val="clear" w:color="auto" w:fill="D3D3D3"/>
          </w:tcPr>
          <w:p>
            <w:pPr/>
          </w:p>
        </w:tc>
        <w:tc>
          <w:tcPr>
            <w:tcW w:w="95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4" w:right="1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68" w:type="dxa"/>
            <w:vMerge/>
            <w:tcBorders>
              <w:left w:val="single" w:sz="4" w:space="0" w:color="000000"/>
              <w:bottom w:val="nil" w:sz="6" w:space="0" w:color="auto"/>
              <w:right w:val="single" w:sz="4" w:space="0" w:color="000000"/>
            </w:tcBorders>
            <w:shd w:val="clear" w:color="auto" w:fill="D3D3D3"/>
          </w:tcPr>
          <w:p>
            <w:pPr/>
          </w:p>
        </w:tc>
        <w:tc>
          <w:tcPr>
            <w:tcW w:w="969" w:type="dxa"/>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right w:val="single" w:sz="4" w:space="0" w:color="000000"/>
            </w:tcBorders>
            <w:shd w:val="clear" w:color="auto" w:fill="D3D3D3"/>
          </w:tcPr>
          <w:p>
            <w:pPr/>
          </w:p>
        </w:tc>
      </w:tr>
      <w:tr>
        <w:trPr>
          <w:trHeight w:val="704" w:hRule="exact"/>
        </w:trPr>
        <w:tc>
          <w:tcPr>
            <w:tcW w:w="9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371"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203" w:right="3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vMerge/>
            <w:tcBorders>
              <w:left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13" w:right="3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45" w:type="dxa"/>
            <w:vMerge/>
            <w:tcBorders>
              <w:left w:val="single" w:sz="4" w:space="0" w:color="000000"/>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125"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202" w:right="34"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34" w:type="dxa"/>
            <w:vMerge/>
            <w:tcBorders>
              <w:left w:val="single" w:sz="4" w:space="0" w:color="000000"/>
              <w:right w:val="single" w:sz="4" w:space="0" w:color="000000"/>
            </w:tcBorders>
            <w:shd w:val="clear" w:color="auto" w:fill="D3D3D3"/>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3D3D3"/>
          </w:tcPr>
          <w:p>
            <w:pPr/>
          </w:p>
        </w:tc>
        <w:tc>
          <w:tcPr>
            <w:tcW w:w="969" w:type="dxa"/>
            <w:vMerge w:val="restart"/>
            <w:tcBorders>
              <w:top w:val="nil" w:sz="6" w:space="0" w:color="auto"/>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
        </w:tc>
        <w:tc>
          <w:tcPr>
            <w:tcW w:w="945" w:type="dxa"/>
            <w:vMerge/>
            <w:tcBorders>
              <w:left w:val="single" w:sz="4" w:space="0" w:color="000000"/>
              <w:bottom w:val="nil" w:sz="6" w:space="0" w:color="auto"/>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
        </w:tc>
        <w:tc>
          <w:tcPr>
            <w:tcW w:w="969" w:type="dxa"/>
            <w:vMerge w:val="restart"/>
            <w:tcBorders>
              <w:top w:val="nil" w:sz="6" w:space="0" w:color="auto"/>
              <w:left w:val="single" w:sz="4" w:space="0" w:color="000000"/>
              <w:right w:val="single" w:sz="4" w:space="0" w:color="000000"/>
            </w:tcBorders>
            <w:shd w:val="clear" w:color="auto" w:fill="D3D3D3"/>
          </w:tcPr>
          <w:p>
            <w:pPr/>
          </w:p>
        </w:tc>
        <w:tc>
          <w:tcPr>
            <w:tcW w:w="934" w:type="dxa"/>
            <w:vMerge/>
            <w:tcBorders>
              <w:left w:val="single" w:sz="4" w:space="0" w:color="000000"/>
              <w:right w:val="single" w:sz="4" w:space="0" w:color="000000"/>
            </w:tcBorders>
            <w:shd w:val="clear" w:color="auto" w:fill="D3D3D3"/>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3D3D3"/>
          </w:tcPr>
          <w:p>
            <w:pPr/>
          </w:p>
        </w:tc>
        <w:tc>
          <w:tcPr>
            <w:tcW w:w="969"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45"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vMerge/>
            <w:tcBorders>
              <w:left w:val="single" w:sz="4" w:space="0" w:color="000000"/>
              <w:bottom w:val="single" w:sz="4" w:space="0" w:color="000000"/>
              <w:right w:val="single" w:sz="4" w:space="0" w:color="000000"/>
            </w:tcBorders>
            <w:shd w:val="clear" w:color="auto" w:fill="D3D3D3"/>
          </w:tcPr>
          <w:p>
            <w:pPr/>
          </w:p>
        </w:tc>
        <w:tc>
          <w:tcPr>
            <w:tcW w:w="957" w:type="dxa"/>
            <w:tcBorders>
              <w:top w:val="nil" w:sz="6" w:space="0" w:color="auto"/>
              <w:left w:val="single" w:sz="4" w:space="0" w:color="000000"/>
              <w:bottom w:val="single" w:sz="4" w:space="0" w:color="000000"/>
              <w:right w:val="single" w:sz="4" w:space="0" w:color="000000"/>
            </w:tcBorders>
            <w:shd w:val="clear" w:color="auto" w:fill="D3D3D3"/>
          </w:tcPr>
          <w:p>
            <w:pPr/>
          </w:p>
        </w:tc>
        <w:tc>
          <w:tcPr>
            <w:tcW w:w="968" w:type="dxa"/>
            <w:vMerge/>
            <w:tcBorders>
              <w:left w:val="single" w:sz="4" w:space="0" w:color="000000"/>
              <w:bottom w:val="single" w:sz="4" w:space="0" w:color="000000"/>
              <w:right w:val="single" w:sz="4" w:space="0" w:color="000000"/>
            </w:tcBorders>
            <w:shd w:val="clear" w:color="auto" w:fill="D3D3D3"/>
          </w:tcPr>
          <w:p>
            <w:pPr/>
          </w:p>
        </w:tc>
        <w:tc>
          <w:tcPr>
            <w:tcW w:w="969"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75"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主要子公司、参股公司情况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37"/>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both"/>
              <w:rPr>
                <w:rFonts w:ascii="宋体" w:hAnsi="宋体" w:cs="宋体" w:eastAsia="宋体" w:hint="default"/>
                <w:sz w:val="18"/>
                <w:szCs w:val="18"/>
              </w:rPr>
            </w:pPr>
            <w:r>
              <w:rPr>
                <w:rFonts w:ascii="宋体" w:hAnsi="宋体" w:cs="宋体" w:eastAsia="宋体" w:hint="default"/>
                <w:sz w:val="18"/>
                <w:szCs w:val="18"/>
              </w:rPr>
              <w:t>吉林紫鑫 敦化医药 药材有限</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3"/>
                <w:sz w:val="18"/>
                <w:szCs w:val="18"/>
              </w:rPr>
              <w:t>批发、零售</w:t>
            </w:r>
            <w:r>
              <w:rPr>
                <w:rFonts w:ascii="宋体" w:hAnsi="宋体" w:cs="宋体" w:eastAsia="宋体" w:hint="default"/>
                <w:sz w:val="18"/>
                <w:szCs w:val="18"/>
              </w:rPr>
              <w:t> </w:t>
            </w:r>
            <w:r>
              <w:rPr>
                <w:rFonts w:ascii="宋体" w:hAnsi="宋体" w:cs="宋体" w:eastAsia="宋体" w:hint="default"/>
                <w:spacing w:val="-3"/>
                <w:sz w:val="18"/>
                <w:szCs w:val="18"/>
              </w:rPr>
              <w:t>中成药、化</w:t>
            </w:r>
            <w:r>
              <w:rPr>
                <w:rFonts w:ascii="宋体" w:hAnsi="宋体" w:cs="宋体" w:eastAsia="宋体" w:hint="default"/>
                <w:sz w:val="18"/>
                <w:szCs w:val="18"/>
              </w:rPr>
              <w:t> 学药 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66,131,980.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9" w:right="0"/>
              <w:jc w:val="left"/>
              <w:rPr>
                <w:rFonts w:ascii="Times New Roman" w:hAnsi="Times New Roman" w:cs="Times New Roman" w:eastAsia="Times New Roman" w:hint="default"/>
                <w:sz w:val="18"/>
                <w:szCs w:val="18"/>
              </w:rPr>
            </w:pPr>
            <w:r>
              <w:rPr>
                <w:rFonts w:ascii="Times New Roman"/>
                <w:sz w:val="18"/>
              </w:rPr>
              <w:t>226,517.09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89,951,471.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3" w:right="0"/>
              <w:jc w:val="center"/>
              <w:rPr>
                <w:rFonts w:ascii="Times New Roman" w:hAnsi="Times New Roman" w:cs="Times New Roman" w:eastAsia="Times New Roman" w:hint="default"/>
                <w:sz w:val="18"/>
                <w:szCs w:val="18"/>
              </w:rPr>
            </w:pPr>
            <w:r>
              <w:rPr>
                <w:rFonts w:ascii="Times New Roman"/>
                <w:sz w:val="18"/>
              </w:rPr>
              <w:t>-502,742.10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剂、保健食</w:t>
            </w:r>
            <w:r>
              <w:rPr>
                <w:rFonts w:ascii="宋体" w:hAnsi="宋体" w:cs="宋体" w:eastAsia="宋体" w:hint="default"/>
                <w:sz w:val="18"/>
                <w:szCs w:val="18"/>
              </w:rPr>
              <w:t> </w:t>
            </w:r>
            <w:r>
              <w:rPr>
                <w:rFonts w:ascii="宋体" w:hAnsi="宋体" w:cs="宋体" w:eastAsia="宋体" w:hint="default"/>
                <w:spacing w:val="-3"/>
                <w:sz w:val="18"/>
                <w:szCs w:val="18"/>
              </w:rPr>
              <w:t>品、药材原</w:t>
            </w:r>
            <w:r>
              <w:rPr>
                <w:rFonts w:ascii="宋体" w:hAnsi="宋体" w:cs="宋体" w:eastAsia="宋体" w:hint="default"/>
                <w:sz w:val="18"/>
                <w:szCs w:val="18"/>
              </w:rPr>
              <w:t> 料等。</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吉林紫鑫 红石种养 殖有限公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87"/>
              <w:jc w:val="left"/>
              <w:rPr>
                <w:rFonts w:ascii="宋体" w:hAnsi="宋体" w:cs="宋体" w:eastAsia="宋体" w:hint="default"/>
                <w:sz w:val="18"/>
                <w:szCs w:val="18"/>
              </w:rPr>
            </w:pPr>
            <w:r>
              <w:rPr>
                <w:rFonts w:ascii="宋体" w:hAnsi="宋体" w:cs="宋体" w:eastAsia="宋体" w:hint="default"/>
                <w:sz w:val="18"/>
                <w:szCs w:val="18"/>
              </w:rPr>
              <w:t>中药材种 植</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中药材种 </w:t>
            </w:r>
            <w:r>
              <w:rPr>
                <w:rFonts w:ascii="宋体" w:hAnsi="宋体" w:cs="宋体" w:eastAsia="宋体" w:hint="default"/>
                <w:spacing w:val="-3"/>
                <w:sz w:val="18"/>
                <w:szCs w:val="18"/>
              </w:rPr>
              <w:t>植销售、动</w:t>
            </w:r>
            <w:r>
              <w:rPr>
                <w:rFonts w:ascii="宋体" w:hAnsi="宋体" w:cs="宋体" w:eastAsia="宋体" w:hint="default"/>
                <w:sz w:val="18"/>
                <w:szCs w:val="18"/>
              </w:rPr>
              <w:t> </w:t>
            </w:r>
            <w:r>
              <w:rPr>
                <w:rFonts w:ascii="宋体" w:hAnsi="宋体" w:cs="宋体" w:eastAsia="宋体" w:hint="default"/>
                <w:spacing w:val="-3"/>
                <w:sz w:val="18"/>
                <w:szCs w:val="18"/>
              </w:rPr>
              <w:t>物养殖、农</w:t>
            </w:r>
            <w:r>
              <w:rPr>
                <w:rFonts w:ascii="宋体" w:hAnsi="宋体" w:cs="宋体" w:eastAsia="宋体" w:hint="default"/>
                <w:sz w:val="18"/>
                <w:szCs w:val="18"/>
              </w:rPr>
              <w:t> 副产品收 购等。</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8" w:right="0"/>
              <w:jc w:val="left"/>
              <w:rPr>
                <w:rFonts w:ascii="Times New Roman" w:hAnsi="Times New Roman" w:cs="Times New Roman" w:eastAsia="Times New Roman" w:hint="default"/>
                <w:sz w:val="18"/>
                <w:szCs w:val="18"/>
              </w:rPr>
            </w:pPr>
            <w:r>
              <w:rPr>
                <w:rFonts w:ascii="Times New Roman"/>
                <w:sz w:val="18"/>
              </w:rPr>
              <w:t>117,705,26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7.93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5,020,524.8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5" w:right="0"/>
              <w:jc w:val="left"/>
              <w:rPr>
                <w:rFonts w:ascii="Times New Roman" w:hAnsi="Times New Roman" w:cs="Times New Roman" w:eastAsia="Times New Roman" w:hint="default"/>
                <w:sz w:val="18"/>
                <w:szCs w:val="18"/>
              </w:rPr>
            </w:pPr>
            <w:r>
              <w:rPr>
                <w:rFonts w:ascii="Times New Roman"/>
                <w:sz w:val="18"/>
              </w:rPr>
              <w:t>-1,238,68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-2,438,683.53</w:t>
            </w: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中成药、中</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药材、化学</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药品制剂</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加工销售、</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吉林草还 丹药业有 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食品加工 销售、酒 </w:t>
            </w:r>
            <w:r>
              <w:rPr>
                <w:rFonts w:ascii="宋体" w:hAnsi="宋体" w:cs="宋体" w:eastAsia="宋体" w:hint="default"/>
                <w:spacing w:val="-3"/>
                <w:sz w:val="18"/>
                <w:szCs w:val="18"/>
              </w:rPr>
              <w:t>精、白酒及</w:t>
            </w:r>
            <w:r>
              <w:rPr>
                <w:rFonts w:ascii="宋体" w:hAnsi="宋体" w:cs="宋体" w:eastAsia="宋体" w:hint="default"/>
                <w:sz w:val="18"/>
                <w:szCs w:val="18"/>
              </w:rPr>
              <w:t> 饮料酒制</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Times New Roman" w:hAnsi="Times New Roman" w:cs="Times New Roman" w:eastAsia="Times New Roman" w:hint="default"/>
                <w:sz w:val="18"/>
                <w:szCs w:val="18"/>
              </w:rPr>
            </w:pPr>
            <w:r>
              <w:rPr>
                <w:rFonts w:ascii="Times New Roman"/>
                <w:sz w:val="18"/>
              </w:rPr>
              <w:t>803,670,55</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9.86</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Times New Roman" w:hAnsi="Times New Roman" w:cs="Times New Roman" w:eastAsia="Times New Roman" w:hint="default"/>
                <w:sz w:val="18"/>
                <w:szCs w:val="18"/>
              </w:rPr>
            </w:pPr>
            <w:r>
              <w:rPr>
                <w:rFonts w:ascii="Times New Roman"/>
                <w:sz w:val="18"/>
              </w:rPr>
              <w:t>803,670,55</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9.86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Times New Roman" w:hAnsi="Times New Roman" w:cs="Times New Roman" w:eastAsia="Times New Roman" w:hint="default"/>
                <w:sz w:val="18"/>
                <w:szCs w:val="18"/>
              </w:rPr>
            </w:pPr>
            <w:r>
              <w:rPr>
                <w:rFonts w:ascii="Times New Roman"/>
                <w:sz w:val="18"/>
              </w:rPr>
              <w:t>150,682,89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6.08</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5" w:right="0"/>
              <w:jc w:val="left"/>
              <w:rPr>
                <w:rFonts w:ascii="Times New Roman" w:hAnsi="Times New Roman" w:cs="Times New Roman" w:eastAsia="Times New Roman" w:hint="default"/>
                <w:sz w:val="18"/>
                <w:szCs w:val="18"/>
              </w:rPr>
            </w:pPr>
            <w:r>
              <w:rPr>
                <w:rFonts w:ascii="Times New Roman"/>
                <w:sz w:val="18"/>
              </w:rPr>
              <w:t>44,835,86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4.63</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46,855,057.9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造、针织品</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加工、广告</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业、种养殖</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业等。</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加工、销售</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中成药、化</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吉林紫鑫 初元药业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学药制剂</w:t>
            </w:r>
          </w:p>
          <w:p>
            <w:pPr>
              <w:pStyle w:val="TableParagraph"/>
              <w:spacing w:line="316"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（仅限于 </w:t>
            </w:r>
            <w:r>
              <w:rPr>
                <w:rFonts w:ascii="宋体" w:hAnsi="宋体" w:cs="宋体" w:eastAsia="宋体" w:hint="default"/>
                <w:spacing w:val="-18"/>
                <w:sz w:val="18"/>
                <w:szCs w:val="18"/>
              </w:rPr>
              <w:t>筹建）；人</w:t>
            </w:r>
            <w:r>
              <w:rPr>
                <w:rFonts w:ascii="宋体" w:hAnsi="宋体" w:cs="宋体" w:eastAsia="宋体" w:hint="default"/>
                <w:sz w:val="18"/>
                <w:szCs w:val="18"/>
              </w:rPr>
              <w:t> </w:t>
            </w:r>
            <w:r>
              <w:rPr>
                <w:rFonts w:ascii="宋体" w:hAnsi="宋体" w:cs="宋体" w:eastAsia="宋体" w:hint="default"/>
                <w:spacing w:val="-3"/>
                <w:sz w:val="18"/>
                <w:szCs w:val="18"/>
              </w:rPr>
              <w:t>参收购、销</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Times New Roman" w:hAnsi="Times New Roman" w:cs="Times New Roman" w:eastAsia="Times New Roman" w:hint="default"/>
                <w:sz w:val="18"/>
                <w:szCs w:val="18"/>
              </w:rPr>
            </w:pPr>
            <w:r>
              <w:rPr>
                <w:rFonts w:ascii="Times New Roman"/>
                <w:sz w:val="18"/>
              </w:rPr>
              <w:t>404,036,39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8.94</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Times New Roman" w:hAnsi="Times New Roman" w:cs="Times New Roman" w:eastAsia="Times New Roman" w:hint="default"/>
                <w:sz w:val="18"/>
                <w:szCs w:val="18"/>
              </w:rPr>
            </w:pPr>
            <w:r>
              <w:rPr>
                <w:rFonts w:ascii="Times New Roman"/>
                <w:sz w:val="18"/>
              </w:rPr>
              <w:t>313,512,81</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3.25</w:t>
            </w: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5" w:right="0"/>
              <w:jc w:val="left"/>
              <w:rPr>
                <w:rFonts w:ascii="Times New Roman" w:hAnsi="Times New Roman" w:cs="Times New Roman" w:eastAsia="Times New Roman" w:hint="default"/>
                <w:sz w:val="18"/>
                <w:szCs w:val="18"/>
              </w:rPr>
            </w:pPr>
            <w:r>
              <w:rPr>
                <w:rFonts w:ascii="Times New Roman"/>
                <w:sz w:val="18"/>
              </w:rPr>
              <w:t>-6,394,53</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0.12</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-6,416,166.47</w:t>
            </w: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售、粗加工</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用于中成</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药制造项</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目建设（不</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吉林紫鑫 般若药业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得从事生 </w:t>
            </w:r>
            <w:r>
              <w:rPr>
                <w:rFonts w:ascii="宋体" w:hAnsi="宋体" w:cs="宋体" w:eastAsia="宋体" w:hint="default"/>
                <w:spacing w:val="-18"/>
                <w:sz w:val="18"/>
                <w:szCs w:val="18"/>
              </w:rPr>
              <w:t>产活动）；</w:t>
            </w:r>
            <w:r>
              <w:rPr>
                <w:rFonts w:ascii="宋体" w:hAnsi="宋体" w:cs="宋体" w:eastAsia="宋体" w:hint="default"/>
                <w:sz w:val="18"/>
                <w:szCs w:val="18"/>
              </w:rPr>
              <w:t> 农副土特 </w:t>
            </w:r>
            <w:r>
              <w:rPr>
                <w:rFonts w:ascii="宋体" w:hAnsi="宋体" w:cs="宋体" w:eastAsia="宋体" w:hint="default"/>
                <w:spacing w:val="-3"/>
                <w:sz w:val="18"/>
                <w:szCs w:val="18"/>
              </w:rPr>
              <w:t>产品、人参</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Times New Roman" w:hAnsi="Times New Roman" w:cs="Times New Roman" w:eastAsia="Times New Roman" w:hint="default"/>
                <w:sz w:val="18"/>
                <w:szCs w:val="18"/>
              </w:rPr>
            </w:pPr>
            <w:r>
              <w:rPr>
                <w:rFonts w:ascii="Times New Roman"/>
                <w:sz w:val="18"/>
              </w:rPr>
              <w:t>269,550,99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3.64</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Times New Roman" w:hAnsi="Times New Roman" w:cs="Times New Roman" w:eastAsia="Times New Roman" w:hint="default"/>
                <w:sz w:val="18"/>
                <w:szCs w:val="18"/>
              </w:rPr>
            </w:pPr>
            <w:r>
              <w:rPr>
                <w:rFonts w:ascii="Times New Roman"/>
                <w:sz w:val="18"/>
              </w:rPr>
              <w:t>191,285,03</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1.95</w:t>
            </w: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2,877,074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2,877,074.98</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收购及深</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加工、销售</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医药生产</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1"/>
              <w:jc w:val="both"/>
              <w:rPr>
                <w:rFonts w:ascii="宋体" w:hAnsi="宋体" w:cs="宋体" w:eastAsia="宋体" w:hint="default"/>
                <w:sz w:val="18"/>
                <w:szCs w:val="18"/>
              </w:rPr>
            </w:pPr>
            <w:r>
              <w:rPr>
                <w:rFonts w:ascii="宋体" w:hAnsi="宋体" w:cs="宋体" w:eastAsia="宋体" w:hint="default"/>
                <w:sz w:val="18"/>
                <w:szCs w:val="18"/>
              </w:rPr>
              <w:t>吉林紫鑫 禺拙药业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项目建设</w:t>
            </w:r>
          </w:p>
          <w:p>
            <w:pPr>
              <w:pStyle w:val="TableParagraph"/>
              <w:spacing w:line="316" w:lineRule="auto" w:before="76"/>
              <w:ind w:left="22" w:right="188"/>
              <w:jc w:val="left"/>
              <w:rPr>
                <w:rFonts w:ascii="宋体" w:hAnsi="宋体" w:cs="宋体" w:eastAsia="宋体" w:hint="default"/>
                <w:sz w:val="18"/>
                <w:szCs w:val="18"/>
              </w:rPr>
            </w:pPr>
            <w:r>
              <w:rPr>
                <w:rFonts w:ascii="宋体" w:hAnsi="宋体" w:cs="宋体" w:eastAsia="宋体" w:hint="default"/>
                <w:sz w:val="18"/>
                <w:szCs w:val="18"/>
              </w:rPr>
              <w:t>（不得从 事生产经</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305,497,10</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9.42</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299,791,07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4.21</w:t>
            </w:r>
          </w:p>
        </w:tc>
        <w:tc>
          <w:tcPr>
            <w:tcW w:w="943"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456,527.0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342,395.28</w:t>
            </w:r>
          </w:p>
        </w:tc>
      </w:tr>
      <w:tr>
        <w:trPr>
          <w:trHeight w:val="356"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吸收人民</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币公众存</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款；发放人</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民币短期、</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中期和长</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期贷款；办</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理国内结</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算；办理票</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据承兑和</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贴现；代理</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发行、代理</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兑付、成效</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政府债券；</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长春农村 商业银行 股份有限 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买卖政府 </w:t>
            </w:r>
            <w:r>
              <w:rPr>
                <w:rFonts w:ascii="宋体" w:hAnsi="宋体" w:cs="宋体" w:eastAsia="宋体" w:hint="default"/>
                <w:spacing w:val="-3"/>
                <w:sz w:val="18"/>
                <w:szCs w:val="18"/>
              </w:rPr>
              <w:t>债券；金融</w:t>
            </w:r>
            <w:r>
              <w:rPr>
                <w:rFonts w:ascii="宋体" w:hAnsi="宋体" w:cs="宋体" w:eastAsia="宋体" w:hint="default"/>
                <w:sz w:val="18"/>
                <w:szCs w:val="18"/>
              </w:rPr>
              <w:t> </w:t>
            </w:r>
            <w:r>
              <w:rPr>
                <w:rFonts w:ascii="宋体" w:hAnsi="宋体" w:cs="宋体" w:eastAsia="宋体" w:hint="default"/>
                <w:spacing w:val="-3"/>
                <w:sz w:val="18"/>
                <w:szCs w:val="18"/>
              </w:rPr>
              <w:t>债券，参与</w:t>
            </w:r>
            <w:r>
              <w:rPr>
                <w:rFonts w:ascii="宋体" w:hAnsi="宋体" w:cs="宋体" w:eastAsia="宋体" w:hint="default"/>
                <w:sz w:val="18"/>
                <w:szCs w:val="18"/>
              </w:rPr>
              <w:t> 货币市场； 从事同业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6" w:right="0"/>
              <w:jc w:val="left"/>
              <w:rPr>
                <w:rFonts w:ascii="Times New Roman" w:hAnsi="Times New Roman" w:cs="Times New Roman" w:eastAsia="Times New Roman" w:hint="default"/>
                <w:sz w:val="18"/>
                <w:szCs w:val="18"/>
              </w:rPr>
            </w:pPr>
            <w:r>
              <w:rPr>
                <w:rFonts w:ascii="Times New Roman"/>
                <w:sz w:val="18"/>
              </w:rPr>
              <w:t>26,810,707,</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164.08</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1,620,593,0</w:t>
            </w:r>
          </w:p>
          <w:p>
            <w:pPr>
              <w:pStyle w:val="TableParagraph"/>
              <w:spacing w:line="240" w:lineRule="auto" w:before="106"/>
              <w:ind w:left="511" w:right="0"/>
              <w:jc w:val="left"/>
              <w:rPr>
                <w:rFonts w:ascii="Times New Roman" w:hAnsi="Times New Roman" w:cs="Times New Roman" w:eastAsia="Times New Roman" w:hint="default"/>
                <w:sz w:val="18"/>
                <w:szCs w:val="18"/>
              </w:rPr>
            </w:pPr>
            <w:r>
              <w:rPr>
                <w:rFonts w:ascii="Times New Roman"/>
                <w:sz w:val="18"/>
              </w:rPr>
              <w:t>14.11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947,806,13</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3.44</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481,996,2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94.14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354,664,037.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拆借；代理</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收付款项</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及代理保</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险业务；提</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供保险箱</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服务；从事</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银行卡业</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务。经中国</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银行业监</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督管理委</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员会批准</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的其他业</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49"/>
        <w:jc w:val="left"/>
      </w:pPr>
      <w:r>
        <w:rPr/>
        <w:t>主要子公司、参股公司情况说明</w:t>
      </w:r>
    </w:p>
    <w:p>
      <w:pPr>
        <w:pStyle w:val="BodyText"/>
        <w:spacing w:line="302" w:lineRule="auto" w:before="116"/>
        <w:ind w:right="149"/>
        <w:jc w:val="left"/>
      </w:pPr>
      <w:r>
        <w:rPr/>
        <w:t>公司控股子公司草还丹药业本期实现净利润</w:t>
      </w:r>
      <w:r>
        <w:rPr>
          <w:rFonts w:ascii="Times New Roman" w:hAnsi="Times New Roman" w:cs="Times New Roman" w:eastAsia="Times New Roman" w:hint="default"/>
        </w:rPr>
        <w:t>46,855,057.93 </w:t>
      </w:r>
      <w:r>
        <w:rPr>
          <w:spacing w:val="-3"/>
        </w:rPr>
        <w:t>元，较上期减少</w:t>
      </w:r>
      <w:r>
        <w:rPr>
          <w:rFonts w:ascii="Times New Roman" w:hAnsi="Times New Roman" w:cs="Times New Roman" w:eastAsia="Times New Roman" w:hint="default"/>
          <w:spacing w:val="-3"/>
        </w:rPr>
        <w:t>69,038,093.26</w:t>
      </w:r>
      <w:r>
        <w:rPr>
          <w:spacing w:val="-3"/>
        </w:rPr>
        <w:t>元，减少幅度为</w:t>
      </w:r>
      <w:r>
        <w:rPr>
          <w:rFonts w:ascii="Times New Roman" w:hAnsi="Times New Roman" w:cs="Times New Roman" w:eastAsia="Times New Roman" w:hint="default"/>
          <w:spacing w:val="-3"/>
        </w:rPr>
        <w:t>59.57%</w:t>
      </w:r>
      <w:r>
        <w:rPr>
          <w:spacing w:val="-3"/>
        </w:rPr>
        <w:t>，是由于公司</w:t>
      </w:r>
      <w:r>
        <w:rPr>
          <w:spacing w:val="-80"/>
        </w:rPr>
        <w:t> </w:t>
      </w:r>
      <w:r>
        <w:rPr>
          <w:spacing w:val="-80"/>
        </w:rPr>
      </w:r>
      <w:r>
        <w:rPr/>
        <w:t>为保持原材料供给及缓解未来人参价格上涨带来的成本压力，报告期内减少人参粗加工产品的销售所致。</w:t>
      </w:r>
    </w:p>
    <w:p>
      <w:pPr>
        <w:pStyle w:val="BodyText"/>
        <w:spacing w:line="240" w:lineRule="auto" w:before="69"/>
        <w:ind w:right="149"/>
        <w:jc w:val="left"/>
      </w:pPr>
      <w:r>
        <w:rPr/>
        <w:t>报告期内取得和处置子公司的情况</w:t>
      </w:r>
    </w:p>
    <w:p>
      <w:pPr>
        <w:pStyle w:val="BodyText"/>
        <w:spacing w:line="240" w:lineRule="auto" w:before="117"/>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606"/>
        <w:gridCol w:w="1582"/>
        <w:gridCol w:w="1594"/>
        <w:gridCol w:w="1583"/>
      </w:tblGrid>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20" w:right="70"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2"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823"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pt;height:41.2pt;mso-position-horizontal-relative:char;mso-position-vertical-relative:line" coordorigin="0,0" coordsize="9586,824">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9559;top:14;width:2;height:393" coordorigin="9559,14" coordsize="2,393">
              <v:shape style="position:absolute;left:9559;top:14;width:2;height:393" coordorigin="9559,14" coordsize="0,393" path="m9559,14l9559,407e" filled="false" stroked="true" strokeweight="1.2pt" strokecolor="#d3d3d3">
                <v:path arrowok="t"/>
              </v:shape>
            </v:group>
            <v:group style="position:absolute;left:37;top:14;width:9510;height:393" coordorigin="37,14" coordsize="9510,393">
              <v:shape style="position:absolute;left:37;top:14;width:9510;height:393" coordorigin="37,14" coordsize="9510,393" path="m37,407l9547,407,9547,14,37,14,37,407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004pt" strokecolor="#000000">
                <v:path arrowok="t"/>
              </v:shape>
            </v:group>
            <v:group style="position:absolute;left:5;top:412;width:9576;height:2" coordorigin="5,412" coordsize="9576,2">
              <v:shape style="position:absolute;left:5;top:412;width:9576;height:2" coordorigin="5,412" coordsize="9576,0" path="m5,412l9581,412e" filled="false" stroked="true" strokeweight=".47998pt" strokecolor="#000000">
                <v:path arrowok="t"/>
              </v:shape>
            </v:group>
            <v:group style="position:absolute;left:10;top:5;width:2;height:814" coordorigin="10,5" coordsize="2,814">
              <v:shape style="position:absolute;left:10;top:5;width:2;height:814" coordorigin="10,5" coordsize="0,814" path="m10,5l10,818e" filled="false" stroked="true" strokeweight=".48001pt" strokecolor="#000000">
                <v:path arrowok="t"/>
              </v:shape>
            </v:group>
            <v:group style="position:absolute;left:5;top:814;width:9567;height:2" coordorigin="5,814" coordsize="9567,2">
              <v:shape style="position:absolute;left:5;top:814;width:9567;height:2" coordorigin="5,814" coordsize="9567,0" path="m5,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7998pt" strokecolor="#000000">
                <v:path arrowok="t"/>
              </v:shape>
              <v:shape style="position:absolute;left:10;top:10;width:9567;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xbxContent>
                </v:textbox>
                <w10:wrap type="none"/>
              </v:shape>
              <v:shape style="position:absolute;left:37;top:5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15"/>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91"/>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
        <w:jc w:val="left"/>
      </w:pPr>
      <w:r>
        <w:rPr/>
        <w:t>无</w:t>
      </w:r>
    </w:p>
    <w:p>
      <w:pPr>
        <w:spacing w:line="240" w:lineRule="auto" w:before="2"/>
        <w:rPr>
          <w:rFonts w:ascii="宋体" w:hAnsi="宋体" w:cs="宋体" w:eastAsia="宋体" w:hint="default"/>
          <w:sz w:val="25"/>
          <w:szCs w:val="25"/>
        </w:rPr>
      </w:pPr>
    </w:p>
    <w:p>
      <w:pPr>
        <w:pStyle w:val="Heading2"/>
        <w:spacing w:line="240" w:lineRule="auto"/>
        <w:ind w:right="91"/>
        <w:jc w:val="left"/>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
        <w:jc w:val="left"/>
      </w:pPr>
      <w:r>
        <w:rPr/>
        <w:t>（一）行业竞争格局和发展趋势</w:t>
      </w:r>
    </w:p>
    <w:p>
      <w:pPr>
        <w:pStyle w:val="BodyText"/>
        <w:spacing w:line="304" w:lineRule="auto" w:before="117"/>
        <w:ind w:left="153" w:right="187"/>
        <w:jc w:val="both"/>
      </w:pPr>
      <w:r>
        <w:rPr>
          <w:color w:val="323232"/>
          <w:spacing w:val="-2"/>
        </w:rPr>
        <w:t>中药产业面临着前所未有的战略机遇。在国家</w:t>
      </w:r>
      <w:r>
        <w:rPr>
          <w:rFonts w:ascii="Times New Roman" w:hAnsi="Times New Roman" w:cs="Times New Roman" w:eastAsia="Times New Roman" w:hint="default"/>
          <w:color w:val="323232"/>
          <w:spacing w:val="-2"/>
        </w:rPr>
        <w:t>“</w:t>
      </w:r>
      <w:r>
        <w:rPr>
          <w:color w:val="323232"/>
          <w:spacing w:val="-2"/>
        </w:rPr>
        <w:t>十二五</w:t>
      </w:r>
      <w:r>
        <w:rPr>
          <w:rFonts w:ascii="Times New Roman" w:hAnsi="Times New Roman" w:cs="Times New Roman" w:eastAsia="Times New Roman" w:hint="default"/>
          <w:color w:val="323232"/>
          <w:spacing w:val="-2"/>
        </w:rPr>
        <w:t>”</w:t>
      </w:r>
      <w:r>
        <w:rPr>
          <w:color w:val="323232"/>
          <w:spacing w:val="-2"/>
        </w:rPr>
        <w:t>规划中，支持中医药发展作为完善基本医疗卫生制度的六项重点任务</w:t>
      </w:r>
      <w:r>
        <w:rPr>
          <w:color w:val="323232"/>
          <w:spacing w:val="-45"/>
        </w:rPr>
        <w:t> </w:t>
      </w:r>
      <w:r>
        <w:rPr>
          <w:color w:val="323232"/>
          <w:spacing w:val="-45"/>
        </w:rPr>
      </w:r>
      <w:r>
        <w:rPr>
          <w:color w:val="323232"/>
          <w:spacing w:val="-2"/>
        </w:rPr>
        <w:t>之一被列出；在各部门出台的政策措施中，包含了一系列符合中医药特点、有利于中医药优势特色发挥的政策措施；国家对</w:t>
      </w:r>
      <w:r>
        <w:rPr>
          <w:color w:val="323232"/>
          <w:spacing w:val="-66"/>
        </w:rPr>
        <w:t> </w:t>
      </w:r>
      <w:r>
        <w:rPr>
          <w:color w:val="323232"/>
          <w:spacing w:val="-66"/>
        </w:rPr>
      </w:r>
      <w:r>
        <w:rPr>
          <w:color w:val="323232"/>
          <w:spacing w:val="-2"/>
        </w:rPr>
        <w:t>于民生保健和新药研发的投入明显增加，为中药产业发展提供了重要的基本条件；</w:t>
      </w:r>
      <w:r>
        <w:rPr>
          <w:spacing w:val="-2"/>
        </w:rPr>
        <w:t>《中医药事业发展</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规划》对</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
        </w:rPr>
        <w:t> </w:t>
      </w:r>
      <w:r>
        <w:rPr/>
        <w:t>年中医药医疗资源和服务等方面提出了具体的目标，力争</w:t>
      </w:r>
      <w:r>
        <w:rPr>
          <w:rFonts w:ascii="Times New Roman" w:hAnsi="Times New Roman" w:cs="Times New Roman" w:eastAsia="Times New Roman" w:hint="default"/>
        </w:rPr>
        <w:t>100%</w:t>
      </w:r>
      <w:r>
        <w:rPr/>
        <w:t>的地市建有地市级中医医院，</w:t>
      </w:r>
      <w:r>
        <w:rPr>
          <w:rFonts w:ascii="Times New Roman" w:hAnsi="Times New Roman" w:cs="Times New Roman" w:eastAsia="Times New Roman" w:hint="default"/>
        </w:rPr>
        <w:t>70%</w:t>
      </w:r>
      <w:r>
        <w:rPr/>
        <w:t>的县中医医院达到二级甲</w:t>
      </w:r>
      <w:r>
        <w:rPr>
          <w:spacing w:val="-34"/>
        </w:rPr>
        <w:t> </w:t>
      </w:r>
      <w:r>
        <w:rPr>
          <w:spacing w:val="-34"/>
        </w:rPr>
      </w:r>
      <w:r>
        <w:rPr>
          <w:spacing w:val="-1"/>
        </w:rPr>
        <w:t>等中医医院水平，</w:t>
      </w:r>
      <w:r>
        <w:rPr>
          <w:rFonts w:ascii="Times New Roman" w:hAnsi="Times New Roman" w:cs="Times New Roman" w:eastAsia="Times New Roman" w:hint="default"/>
          <w:spacing w:val="-1"/>
        </w:rPr>
        <w:t>95%</w:t>
      </w:r>
      <w:r>
        <w:rPr>
          <w:spacing w:val="-1"/>
        </w:rPr>
        <w:t>以上的社区卫生服务中心和</w:t>
      </w:r>
      <w:r>
        <w:rPr>
          <w:rFonts w:ascii="Times New Roman" w:hAnsi="Times New Roman" w:cs="Times New Roman" w:eastAsia="Times New Roman" w:hint="default"/>
          <w:spacing w:val="-1"/>
        </w:rPr>
        <w:t>90%</w:t>
      </w:r>
      <w:r>
        <w:rPr>
          <w:spacing w:val="-1"/>
        </w:rPr>
        <w:t>乡镇卫生院设立中医科、中药房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中医医院总诊疗人次争取超过</w:t>
      </w:r>
      <w:r>
        <w:rPr>
          <w:rFonts w:ascii="Times New Roman" w:hAnsi="Times New Roman" w:cs="Times New Roman" w:eastAsia="Times New Roman" w:hint="default"/>
          <w:spacing w:val="-1"/>
        </w:rPr>
        <w:t>5.5</w:t>
      </w:r>
      <w:r>
        <w:rPr>
          <w:rFonts w:ascii="Times New Roman" w:hAnsi="Times New Roman" w:cs="Times New Roman" w:eastAsia="Times New Roman" w:hint="default"/>
          <w:spacing w:val="-35"/>
        </w:rPr>
        <w:t> </w:t>
      </w:r>
      <w:r>
        <w:rPr/>
        <w:t>亿人次</w:t>
      </w:r>
      <w:r>
        <w:rPr>
          <w:rFonts w:ascii="Times New Roman" w:hAnsi="Times New Roman" w:cs="Times New Roman" w:eastAsia="Times New Roman" w:hint="default"/>
        </w:rPr>
        <w:t>”</w:t>
      </w:r>
      <w:r>
        <w:rPr/>
        <w:t>。规划指出到</w:t>
      </w:r>
      <w:r>
        <w:rPr>
          <w:rFonts w:ascii="Times New Roman" w:hAnsi="Times New Roman" w:cs="Times New Roman" w:eastAsia="Times New Roman" w:hint="default"/>
        </w:rPr>
        <w:t>2015</w:t>
      </w:r>
      <w:r>
        <w:rPr/>
        <w:t>年，我国中医药工业总产值将达到</w:t>
      </w:r>
      <w:r>
        <w:rPr>
          <w:rFonts w:ascii="Times New Roman" w:hAnsi="Times New Roman" w:cs="Times New Roman" w:eastAsia="Times New Roman" w:hint="default"/>
        </w:rPr>
        <w:t>5590</w:t>
      </w:r>
      <w:r>
        <w:rPr/>
        <w:t>亿元人民币，预期年均增长率为</w:t>
      </w:r>
      <w:r>
        <w:rPr>
          <w:rFonts w:ascii="Times New Roman" w:hAnsi="Times New Roman" w:cs="Times New Roman" w:eastAsia="Times New Roman" w:hint="default"/>
        </w:rPr>
        <w:t>12%</w:t>
      </w:r>
      <w:r>
        <w:rPr/>
        <w:t>。这些具体目标将推</w:t>
      </w:r>
      <w:r>
        <w:rPr>
          <w:spacing w:val="-50"/>
        </w:rPr>
        <w:t> </w:t>
      </w:r>
      <w:r>
        <w:rPr>
          <w:spacing w:val="-50"/>
        </w:rPr>
      </w:r>
      <w:r>
        <w:rPr/>
        <w:t>动各级政府扩大中医药的服务渠道，为中药产业发展提供基础支持。</w:t>
      </w:r>
    </w:p>
    <w:p>
      <w:pPr>
        <w:pStyle w:val="BodyText"/>
        <w:spacing w:line="319" w:lineRule="auto" w:before="66"/>
        <w:ind w:left="153" w:right="91" w:firstLine="180"/>
        <w:jc w:val="left"/>
      </w:pPr>
      <w:r>
        <w:rPr>
          <w:color w:val="434343"/>
          <w:spacing w:val="-2"/>
        </w:rPr>
        <w:t>卫生部批准人参成为新资源食品后，人参的应用由单一的中药材拓展到食品、饮料及保健产品等领域，范围大幅扩大，中</w:t>
      </w:r>
      <w:r>
        <w:rPr>
          <w:color w:val="434343"/>
        </w:rPr>
        <w:t> </w:t>
      </w:r>
      <w:r>
        <w:rPr>
          <w:color w:val="434343"/>
          <w:spacing w:val="-4"/>
        </w:rPr>
        <w:t>国人参产业迎来重大转机。十八大报告提出</w:t>
      </w:r>
      <w:r>
        <w:rPr>
          <w:color w:val="323232"/>
          <w:spacing w:val="-4"/>
        </w:rPr>
        <w:t>建设美丽中国，提高人民健康水平，中医养生备受人们重视。由政策导向的明晰、</w:t>
      </w:r>
      <w:r>
        <w:rPr>
          <w:color w:val="323232"/>
          <w:spacing w:val="-46"/>
        </w:rPr>
        <w:t> </w:t>
      </w:r>
      <w:r>
        <w:rPr>
          <w:color w:val="323232"/>
          <w:spacing w:val="-46"/>
        </w:rPr>
      </w:r>
      <w:r>
        <w:rPr>
          <w:color w:val="323232"/>
        </w:rPr>
        <w:t>人民健康意识的加强可以预见，未来中药企业的大健</w:t>
      </w:r>
      <w:r>
        <w:rPr>
          <w:color w:val="323232"/>
          <w:u w:val="single" w:color="323232"/>
        </w:rPr>
        <w:t>康平</w:t>
      </w:r>
      <w:r>
        <w:rPr>
          <w:color w:val="323232"/>
        </w:rPr>
        <w:t>台构建具有广阔的发展空间。</w:t>
      </w:r>
      <w:r>
        <w:rPr/>
      </w:r>
    </w:p>
    <w:p>
      <w:pPr>
        <w:pStyle w:val="BodyText"/>
        <w:spacing w:line="240" w:lineRule="auto" w:before="55"/>
        <w:ind w:right="91"/>
        <w:jc w:val="left"/>
      </w:pPr>
      <w:r>
        <w:rPr/>
        <w:t>（二）公司发展战略</w:t>
      </w:r>
    </w:p>
    <w:p>
      <w:pPr>
        <w:pStyle w:val="BodyText"/>
        <w:spacing w:line="300" w:lineRule="auto" w:before="117"/>
        <w:ind w:right="188" w:firstLine="181"/>
        <w:jc w:val="both"/>
      </w:pPr>
      <w:r>
        <w:rPr>
          <w:color w:val="323232"/>
        </w:rPr>
        <w:t>受益于良好的外部环境，中药产业和人参产业将迎来历史性发展机遇，公司将继续</w:t>
      </w:r>
      <w:r>
        <w:rPr>
          <w:color w:val="323232"/>
          <w:spacing w:val="10"/>
        </w:rPr>
        <w:t> </w:t>
      </w:r>
      <w:r>
        <w:rPr>
          <w:rFonts w:ascii="Times New Roman" w:hAnsi="Times New Roman" w:cs="Times New Roman" w:eastAsia="Times New Roman" w:hint="default"/>
          <w:color w:val="323232"/>
        </w:rPr>
        <w:t>“</w:t>
      </w:r>
      <w:r>
        <w:rPr>
          <w:color w:val="323232"/>
        </w:rPr>
        <w:t>以品树人、以德酿药</w:t>
      </w:r>
      <w:r>
        <w:rPr>
          <w:rFonts w:ascii="Times New Roman" w:hAnsi="Times New Roman" w:cs="Times New Roman" w:eastAsia="Times New Roman" w:hint="default"/>
          <w:color w:val="323232"/>
        </w:rPr>
        <w:t>”</w:t>
      </w:r>
      <w:r>
        <w:rPr>
          <w:color w:val="323232"/>
        </w:rPr>
        <w:t>的企业宗旨， </w:t>
      </w:r>
      <w:r>
        <w:rPr>
          <w:color w:val="323232"/>
          <w:spacing w:val="-1"/>
        </w:rPr>
        <w:t>本着</w:t>
      </w:r>
      <w:r>
        <w:rPr>
          <w:rFonts w:ascii="Times New Roman" w:hAnsi="Times New Roman" w:cs="Times New Roman" w:eastAsia="Times New Roman" w:hint="default"/>
          <w:color w:val="323232"/>
          <w:spacing w:val="-1"/>
        </w:rPr>
        <w:t>“</w:t>
      </w:r>
      <w:r>
        <w:rPr>
          <w:color w:val="323232"/>
          <w:spacing w:val="-1"/>
        </w:rPr>
        <w:t>质真质纯</w:t>
      </w:r>
      <w:r>
        <w:rPr>
          <w:rFonts w:ascii="Times New Roman" w:hAnsi="Times New Roman" w:cs="Times New Roman" w:eastAsia="Times New Roman" w:hint="default"/>
          <w:color w:val="323232"/>
          <w:spacing w:val="-1"/>
        </w:rPr>
        <w:t>”</w:t>
      </w:r>
      <w:r>
        <w:rPr>
          <w:color w:val="323232"/>
          <w:spacing w:val="-1"/>
        </w:rPr>
        <w:t>的经营理念，坚持</w:t>
      </w:r>
      <w:r>
        <w:rPr>
          <w:rFonts w:ascii="Times New Roman" w:hAnsi="Times New Roman" w:cs="Times New Roman" w:eastAsia="Times New Roman" w:hint="default"/>
          <w:color w:val="323232"/>
          <w:spacing w:val="-1"/>
        </w:rPr>
        <w:t>“</w:t>
      </w:r>
      <w:r>
        <w:rPr>
          <w:color w:val="323232"/>
          <w:spacing w:val="-1"/>
        </w:rPr>
        <w:t>尊重知识、崇尚科学、开创新知</w:t>
      </w:r>
      <w:r>
        <w:rPr>
          <w:rFonts w:ascii="Times New Roman" w:hAnsi="Times New Roman" w:cs="Times New Roman" w:eastAsia="Times New Roman" w:hint="default"/>
          <w:color w:val="323232"/>
          <w:spacing w:val="-1"/>
        </w:rPr>
        <w:t>”</w:t>
      </w:r>
      <w:r>
        <w:rPr>
          <w:color w:val="323232"/>
          <w:spacing w:val="-1"/>
        </w:rPr>
        <w:t>的经营方针，</w:t>
      </w:r>
      <w:r>
        <w:rPr>
          <w:spacing w:val="-1"/>
        </w:rPr>
        <w:t>把世人的健康作为紫鑫的职责。紫鑫药业</w:t>
      </w:r>
      <w:r>
        <w:rPr>
          <w:spacing w:val="-79"/>
        </w:rPr>
        <w:t> </w:t>
      </w:r>
      <w:r>
        <w:rPr>
          <w:spacing w:val="-79"/>
        </w:rPr>
      </w:r>
      <w:r>
        <w:rPr/>
        <w:t>的未来发展目标将继承和发扬中医药学特色和优势，</w:t>
      </w:r>
      <w:r>
        <w:rPr>
          <w:color w:val="323232"/>
        </w:rPr>
        <w:t>建立</w:t>
      </w:r>
      <w:r>
        <w:rPr>
          <w:color w:val="323232"/>
          <w:spacing w:val="-6"/>
        </w:rPr>
        <w:t> </w:t>
      </w:r>
      <w:r>
        <w:rPr>
          <w:rFonts w:ascii="Times New Roman" w:hAnsi="Times New Roman" w:cs="Times New Roman" w:eastAsia="Times New Roman" w:hint="default"/>
          <w:color w:val="323232"/>
        </w:rPr>
        <w:t>“</w:t>
      </w:r>
      <w:r>
        <w:rPr>
          <w:color w:val="323232"/>
        </w:rPr>
        <w:t>品牌</w:t>
      </w:r>
      <w:r>
        <w:rPr>
          <w:rFonts w:ascii="Times New Roman" w:hAnsi="Times New Roman" w:cs="Times New Roman" w:eastAsia="Times New Roman" w:hint="default"/>
          <w:color w:val="323232"/>
        </w:rPr>
        <w:t>+</w:t>
      </w:r>
      <w:r>
        <w:rPr>
          <w:color w:val="323232"/>
        </w:rPr>
        <w:t>文化</w:t>
      </w:r>
      <w:r>
        <w:rPr>
          <w:rFonts w:ascii="Times New Roman" w:hAnsi="Times New Roman" w:cs="Times New Roman" w:eastAsia="Times New Roman" w:hint="default"/>
          <w:color w:val="323232"/>
        </w:rPr>
        <w:t>+</w:t>
      </w:r>
      <w:r>
        <w:rPr>
          <w:color w:val="323232"/>
        </w:rPr>
        <w:t>创新产品</w:t>
      </w:r>
      <w:r>
        <w:rPr>
          <w:rFonts w:ascii="Times New Roman" w:hAnsi="Times New Roman" w:cs="Times New Roman" w:eastAsia="Times New Roman" w:hint="default"/>
          <w:color w:val="323232"/>
        </w:rPr>
        <w:t>”</w:t>
      </w:r>
      <w:r>
        <w:rPr>
          <w:color w:val="323232"/>
        </w:rPr>
        <w:t>为主线的发展方向上，合理布局中药产业</w:t>
      </w:r>
      <w:r>
        <w:rPr>
          <w:color w:val="323232"/>
          <w:spacing w:val="-88"/>
        </w:rPr>
        <w:t> </w:t>
      </w:r>
      <w:r>
        <w:rPr>
          <w:color w:val="323232"/>
          <w:spacing w:val="-88"/>
        </w:rPr>
      </w:r>
      <w:r>
        <w:rPr>
          <w:color w:val="323232"/>
        </w:rPr>
        <w:t>和人参产业，构建紫鑫药业中药大健康产业。</w:t>
      </w:r>
      <w:r>
        <w:rPr/>
      </w:r>
    </w:p>
    <w:p>
      <w:pPr>
        <w:pStyle w:val="BodyText"/>
        <w:spacing w:line="240" w:lineRule="auto" w:before="70"/>
        <w:ind w:right="91"/>
        <w:jc w:val="left"/>
      </w:pPr>
      <w:r>
        <w:rPr/>
        <w:t>（三）经营计划</w:t>
      </w:r>
    </w:p>
    <w:p>
      <w:pPr>
        <w:pStyle w:val="BodyText"/>
        <w:spacing w:line="319" w:lineRule="auto" w:before="117"/>
        <w:ind w:right="91"/>
        <w:jc w:val="left"/>
      </w:pPr>
      <w:r>
        <w:rPr>
          <w:rFonts w:ascii="Times New Roman" w:hAnsi="Times New Roman" w:cs="Times New Roman" w:eastAsia="Times New Roman" w:hint="default"/>
        </w:rPr>
        <w:t>1</w:t>
      </w:r>
      <w:r>
        <w:rPr/>
        <w:t>、全面推进内部控制建设、完善企业法人治理结构 </w:t>
      </w:r>
      <w:r>
        <w:rPr>
          <w:spacing w:val="-2"/>
        </w:rPr>
        <w:t>公司内部控制制度制订以来，各项制度得到了有效的实施，促进了公司稳步、健康发展。但是公司运作的不断规范、各项管</w:t>
      </w:r>
      <w:r>
        <w:rPr>
          <w:spacing w:val="-66"/>
        </w:rPr>
        <w:t> </w:t>
      </w:r>
      <w:r>
        <w:rPr>
          <w:spacing w:val="-66"/>
        </w:rPr>
      </w:r>
      <w:r>
        <w:rPr>
          <w:spacing w:val="-2"/>
        </w:rPr>
        <w:t>理制度的完善是持续不断的过程，</w:t>
      </w:r>
      <w:r>
        <w:rPr>
          <w:rFonts w:ascii="Times New Roman" w:hAnsi="Times New Roman" w:cs="Times New Roman" w:eastAsia="Times New Roman" w:hint="default"/>
          <w:spacing w:val="-2"/>
        </w:rPr>
        <w:t>2012</w:t>
      </w:r>
      <w:r>
        <w:rPr>
          <w:spacing w:val="-2"/>
        </w:rPr>
        <w:t>年公司按照《企业内部控制基本规范》。持续优化包括经营控制、财务管理控制和信</w:t>
      </w:r>
      <w:r>
        <w:rPr>
          <w:spacing w:val="-62"/>
        </w:rPr>
        <w:t> </w:t>
      </w:r>
      <w:r>
        <w:rPr>
          <w:spacing w:val="-62"/>
        </w:rPr>
      </w:r>
      <w:r>
        <w:rPr/>
        <w:t>息披露控制在内的内控体系，以保障公司战略、经营目标的实现。</w:t>
      </w:r>
    </w:p>
    <w:p>
      <w:pPr>
        <w:pStyle w:val="BodyText"/>
        <w:spacing w:line="240" w:lineRule="auto" w:before="56"/>
        <w:ind w:right="91"/>
        <w:jc w:val="left"/>
      </w:pPr>
      <w:r>
        <w:rPr>
          <w:rFonts w:ascii="Times New Roman" w:hAnsi="Times New Roman" w:cs="Times New Roman" w:eastAsia="Times New Roman" w:hint="default"/>
        </w:rPr>
        <w:t>2</w:t>
      </w:r>
      <w:r>
        <w:rPr/>
        <w:t>、巩固和加强销售网络、拓宽销售渠道</w:t>
      </w:r>
    </w:p>
    <w:p>
      <w:pPr>
        <w:pStyle w:val="BodyText"/>
        <w:spacing w:line="307" w:lineRule="auto" w:before="101"/>
        <w:ind w:right="90"/>
        <w:jc w:val="left"/>
      </w:pPr>
      <w:r>
        <w:rPr>
          <w:rFonts w:ascii="Times New Roman" w:hAnsi="Times New Roman" w:cs="Times New Roman" w:eastAsia="Times New Roman" w:hint="default"/>
        </w:rPr>
        <w:t>2013</w:t>
      </w:r>
      <w:r>
        <w:rPr/>
        <w:t>年公司根据公司中药产品的特点，合理配置的产品线以及逐步增强的品牌优势，按照独家医保产品、独家零售类产品、 高端普药产品、基本药物产品</w:t>
      </w:r>
      <w:r>
        <w:rPr>
          <w:rFonts w:ascii="Times New Roman" w:hAnsi="Times New Roman" w:cs="Times New Roman" w:eastAsia="Times New Roman" w:hint="default"/>
        </w:rPr>
        <w:t>4</w:t>
      </w:r>
      <w:r>
        <w:rPr/>
        <w:t>大类产品线实行精细化销售管理、招商管理、产品分类、渠道管理。在不同的药品销售通路</w:t>
      </w:r>
      <w:r>
        <w:rPr>
          <w:spacing w:val="-83"/>
        </w:rPr>
        <w:t> </w:t>
      </w:r>
      <w:r>
        <w:rPr>
          <w:spacing w:val="-83"/>
        </w:rPr>
      </w:r>
      <w:r>
        <w:rPr/>
        <w:t>中，打造拳头产品，领头产品。让紫鑫药业的产品线在临床销售、零售市场、代理网络里全面建立大规模营销的市场份额。 同时利用原有销售网络带动市场前景巨大的</w:t>
      </w:r>
      <w:r>
        <w:rPr>
          <w:rFonts w:ascii="Times New Roman" w:hAnsi="Times New Roman" w:cs="Times New Roman" w:eastAsia="Times New Roman" w:hint="default"/>
        </w:rPr>
        <w:t>“</w:t>
      </w:r>
      <w:r>
        <w:rPr/>
        <w:t>人参产业</w:t>
      </w:r>
      <w:r>
        <w:rPr>
          <w:rFonts w:ascii="Times New Roman" w:hAnsi="Times New Roman" w:cs="Times New Roman" w:eastAsia="Times New Roman" w:hint="default"/>
        </w:rPr>
        <w:t>”</w:t>
      </w:r>
      <w:r>
        <w:rPr/>
        <w:t>销售网络建设。</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319" w:lineRule="auto"/>
        <w:ind w:right="91"/>
        <w:jc w:val="left"/>
      </w:pPr>
      <w:r>
        <w:rPr>
          <w:rFonts w:ascii="Times New Roman" w:hAnsi="Times New Roman" w:cs="Times New Roman" w:eastAsia="Times New Roman" w:hint="default"/>
        </w:rPr>
        <w:t>3</w:t>
      </w:r>
      <w:r>
        <w:rPr/>
        <w:t>、健全常态长效机制，提升生产管理水平 坚持</w:t>
      </w:r>
      <w:r>
        <w:rPr>
          <w:rFonts w:ascii="Times New Roman" w:hAnsi="Times New Roman" w:cs="Times New Roman" w:eastAsia="Times New Roman" w:hint="default"/>
        </w:rPr>
        <w:t>“</w:t>
      </w:r>
      <w:r>
        <w:rPr/>
        <w:t>安全第一、质量至上</w:t>
      </w:r>
      <w:r>
        <w:rPr>
          <w:rFonts w:ascii="Times New Roman" w:hAnsi="Times New Roman" w:cs="Times New Roman" w:eastAsia="Times New Roman" w:hint="default"/>
        </w:rPr>
        <w:t>”</w:t>
      </w:r>
      <w:r>
        <w:rPr/>
        <w:t>的管理理念，充分发挥计划管理的基础作用，在生产系统推行</w:t>
      </w:r>
      <w:r>
        <w:rPr>
          <w:rFonts w:ascii="Times New Roman" w:hAnsi="Times New Roman" w:cs="Times New Roman" w:eastAsia="Times New Roman" w:hint="default"/>
        </w:rPr>
        <w:t>“</w:t>
      </w:r>
      <w:r>
        <w:rPr/>
        <w:t>日报表、旬分析、月总结、季调</w:t>
      </w:r>
      <w:r>
        <w:rPr>
          <w:spacing w:val="-59"/>
        </w:rPr>
        <w:t> </w:t>
      </w:r>
      <w:r>
        <w:rPr>
          <w:spacing w:val="-59"/>
        </w:rPr>
      </w:r>
      <w:r>
        <w:rPr/>
        <w:t>整、年完成</w:t>
      </w:r>
      <w:r>
        <w:rPr>
          <w:rFonts w:ascii="Times New Roman" w:hAnsi="Times New Roman" w:cs="Times New Roman" w:eastAsia="Times New Roman" w:hint="default"/>
        </w:rPr>
        <w:t>”</w:t>
      </w:r>
      <w:r>
        <w:rPr/>
        <w:t>的计划管理模式，把</w:t>
      </w:r>
      <w:r>
        <w:rPr>
          <w:rFonts w:ascii="Times New Roman" w:hAnsi="Times New Roman" w:cs="Times New Roman" w:eastAsia="Times New Roman" w:hint="default"/>
        </w:rPr>
        <w:t>“</w:t>
      </w:r>
      <w:r>
        <w:rPr/>
        <w:t>监督、检查、指导、服务</w:t>
      </w:r>
      <w:r>
        <w:rPr>
          <w:rFonts w:ascii="Times New Roman" w:hAnsi="Times New Roman" w:cs="Times New Roman" w:eastAsia="Times New Roman" w:hint="default"/>
        </w:rPr>
        <w:t>”</w:t>
      </w:r>
      <w:r>
        <w:rPr/>
        <w:t>的职能贯彻在日常工作中。在完成日常生产任务的同时重点推</w:t>
      </w:r>
    </w:p>
    <w:p>
      <w:pPr>
        <w:pStyle w:val="BodyText"/>
        <w:spacing w:line="300" w:lineRule="auto"/>
        <w:ind w:right="186"/>
        <w:jc w:val="both"/>
      </w:pPr>
      <w:r>
        <w:rPr/>
        <w:t>行项目建设和各项生产资质的认证工作；抓好成本控制</w:t>
      </w:r>
      <w:r>
        <w:rPr>
          <w:rFonts w:ascii="Times New Roman" w:hAnsi="Times New Roman" w:cs="Times New Roman" w:eastAsia="Times New Roman" w:hint="default"/>
        </w:rPr>
        <w:t>,</w:t>
      </w:r>
      <w:r>
        <w:rPr/>
        <w:t>要从生产成本构成角度，逐项研究成本降低办法，进一步降低生产</w:t>
      </w:r>
      <w:r>
        <w:rPr>
          <w:spacing w:val="-47"/>
        </w:rPr>
        <w:t> </w:t>
      </w:r>
      <w:r>
        <w:rPr>
          <w:spacing w:val="-47"/>
        </w:rPr>
      </w:r>
      <w:r>
        <w:rPr/>
        <w:t>成本；狠抓质量预控，落实质量控制管理工作，把质量问题消灭在萌芽中，保证产品合格率</w:t>
      </w:r>
      <w:r>
        <w:rPr>
          <w:rFonts w:ascii="Times New Roman" w:hAnsi="Times New Roman" w:cs="Times New Roman" w:eastAsia="Times New Roman" w:hint="default"/>
        </w:rPr>
        <w:t>100%</w:t>
      </w:r>
      <w:r>
        <w:rPr/>
        <w:t>。健全常态长效机制，全</w:t>
      </w:r>
      <w:r>
        <w:rPr>
          <w:spacing w:val="-56"/>
        </w:rPr>
        <w:t> </w:t>
      </w:r>
      <w:r>
        <w:rPr>
          <w:spacing w:val="-56"/>
        </w:rPr>
      </w:r>
      <w:r>
        <w:rPr/>
        <w:t>面提升安全管理水平，坚持</w:t>
      </w:r>
      <w:r>
        <w:rPr>
          <w:rFonts w:ascii="Times New Roman" w:hAnsi="Times New Roman" w:cs="Times New Roman" w:eastAsia="Times New Roman" w:hint="default"/>
        </w:rPr>
        <w:t>“</w:t>
      </w:r>
      <w:r>
        <w:rPr/>
        <w:t>安全第一、控制为主、综合治理、常抓不懈</w:t>
      </w:r>
      <w:r>
        <w:rPr>
          <w:rFonts w:ascii="Times New Roman" w:hAnsi="Times New Roman" w:cs="Times New Roman" w:eastAsia="Times New Roman" w:hint="default"/>
        </w:rPr>
        <w:t>”</w:t>
      </w:r>
      <w:r>
        <w:rPr/>
        <w:t>的管理标准，确保全年无安全生产事故发生。</w:t>
      </w:r>
    </w:p>
    <w:p>
      <w:pPr>
        <w:spacing w:after="0" w:line="300"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19" w:lineRule="auto" w:before="44"/>
        <w:ind w:left="153" w:right="91"/>
        <w:jc w:val="left"/>
      </w:pPr>
      <w:r>
        <w:rPr>
          <w:rFonts w:ascii="Times New Roman" w:hAnsi="Times New Roman" w:cs="Times New Roman" w:eastAsia="Times New Roman" w:hint="default"/>
        </w:rPr>
        <w:t>4</w:t>
      </w:r>
      <w:r>
        <w:rPr/>
        <w:t>、加大研发投入，实现产业的升级和科技成果转化 公司在加大对药品的研发力度的同时，吸收国际先进理念、培养国际视角，在保健品和人参食品方面也投入了大量的精力。 </w:t>
      </w:r>
      <w:r>
        <w:rPr>
          <w:rFonts w:ascii="Times New Roman" w:hAnsi="Times New Roman" w:cs="Times New Roman" w:eastAsia="Times New Roman" w:hint="default"/>
          <w:spacing w:val="-4"/>
        </w:rPr>
        <w:t>2013</w:t>
      </w:r>
      <w:r>
        <w:rPr>
          <w:spacing w:val="-4"/>
        </w:rPr>
        <w:t>年公司将着手建立人参基因组数据库，利用基础研究成果，逐步开展种质资源鉴定、优良品种培育、基因工程新药开发、</w:t>
      </w:r>
      <w:r>
        <w:rPr>
          <w:spacing w:val="-38"/>
        </w:rPr>
        <w:t> </w:t>
      </w:r>
      <w:r>
        <w:rPr>
          <w:spacing w:val="-38"/>
        </w:rPr>
      </w:r>
      <w:r>
        <w:rPr>
          <w:spacing w:val="-2"/>
        </w:rPr>
        <w:t>国际专利申请等一系列工作。继续对人参进行深度开发，对主要的多糖、氨基酸等进行药理作用及功能评价方面的研究，进</w:t>
      </w:r>
      <w:r>
        <w:rPr>
          <w:spacing w:val="-66"/>
        </w:rPr>
        <w:t> </w:t>
      </w:r>
      <w:r>
        <w:rPr>
          <w:spacing w:val="-66"/>
        </w:rPr>
      </w:r>
      <w:r>
        <w:rPr>
          <w:spacing w:val="-4"/>
        </w:rPr>
        <w:t>而有效开发利用；对皂苷单体的提取技术及功能评价展开研究，抢占市场。人参原料、中间体、药品、特殊膳食、保健食品、</w:t>
      </w:r>
      <w:r>
        <w:rPr>
          <w:spacing w:val="-47"/>
        </w:rPr>
        <w:t> </w:t>
      </w:r>
      <w:r>
        <w:rPr>
          <w:spacing w:val="-47"/>
        </w:rPr>
      </w:r>
      <w:r>
        <w:rPr/>
        <w:t>食品等的深入研究，尤其是中间体、药品及特殊膳食的研究。为本公司人参各品系产品推广应用打下坚实的基础。</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09" w:lineRule="auto"/>
        <w:ind w:left="153" w:right="188"/>
        <w:jc w:val="both"/>
      </w:pPr>
      <w:r>
        <w:rPr>
          <w:spacing w:val="-2"/>
        </w:rPr>
        <w:t>面对卫生部正式批准吉林省开展人参药食同源试点工作的新形势，公司率先将人参引进功能性食品、保健品行业，研发成功</w:t>
      </w:r>
      <w:r>
        <w:rPr>
          <w:spacing w:val="-66"/>
        </w:rPr>
        <w:t> </w:t>
      </w:r>
      <w:r>
        <w:rPr>
          <w:spacing w:val="-66"/>
        </w:rPr>
      </w:r>
      <w:r>
        <w:rPr>
          <w:rFonts w:ascii="Times New Roman" w:hAnsi="Times New Roman" w:cs="Times New Roman" w:eastAsia="Times New Roman" w:hint="default"/>
          <w:spacing w:val="-4"/>
        </w:rPr>
        <w:t>100</w:t>
      </w:r>
      <w:r>
        <w:rPr>
          <w:spacing w:val="-4"/>
        </w:rPr>
        <w:t>多个品种，其中</w:t>
      </w:r>
      <w:r>
        <w:rPr>
          <w:rFonts w:ascii="Times New Roman" w:hAnsi="Times New Roman" w:cs="Times New Roman" w:eastAsia="Times New Roman" w:hint="default"/>
          <w:spacing w:val="-4"/>
        </w:rPr>
        <w:t>41</w:t>
      </w:r>
      <w:r>
        <w:rPr>
          <w:spacing w:val="-4"/>
        </w:rPr>
        <w:t>个品种已经获准试点生产。公司将全力打造紫鑫人参品牌，努力实现吉林省人参产业振兴，重塑中国</w:t>
      </w:r>
      <w:r>
        <w:rPr>
          <w:rFonts w:ascii="Times New Roman" w:hAnsi="Times New Roman" w:cs="Times New Roman" w:eastAsia="Times New Roman" w:hint="default"/>
          <w:spacing w:val="-4"/>
        </w:rPr>
        <w:t>·</w:t>
      </w:r>
      <w:r>
        <w:rPr>
          <w:spacing w:val="-4"/>
        </w:rPr>
        <w:t>吉</w:t>
      </w:r>
      <w:r>
        <w:rPr/>
        <w:t> 林人参国际地位。</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38" w:lineRule="auto"/>
        <w:ind w:left="153" w:right="91"/>
        <w:jc w:val="left"/>
      </w:pPr>
      <w:r>
        <w:rPr>
          <w:spacing w:val="-2"/>
        </w:rPr>
        <w:t>新的一年我们将着手建立人参基因组数据库，利用基础研究成果，逐步开展种质资源鉴定、优良品种培育、基因工程新药开</w:t>
      </w:r>
      <w:r>
        <w:rPr>
          <w:spacing w:val="-66"/>
        </w:rPr>
        <w:t> </w:t>
      </w:r>
      <w:r>
        <w:rPr>
          <w:spacing w:val="-66"/>
        </w:rPr>
      </w:r>
      <w:r>
        <w:rPr/>
        <w:t>发、国际专利申请等一系列工作。 </w:t>
      </w:r>
      <w:r>
        <w:rPr>
          <w:spacing w:val="-2"/>
        </w:rPr>
        <w:t>继续对人参进行深度开发，对主要的多糖、氨基酸等进行药理作用及功能评价方面的研究，进而有效开发利用；对皂苷单体</w:t>
      </w:r>
    </w:p>
    <w:p>
      <w:pPr>
        <w:pStyle w:val="BodyText"/>
        <w:spacing w:line="338" w:lineRule="auto" w:before="4"/>
        <w:ind w:left="153" w:right="91"/>
        <w:jc w:val="left"/>
      </w:pPr>
      <w:r>
        <w:rPr/>
        <w:t>的提取技术及功能评价展开研究，抢占市场。 </w:t>
      </w:r>
      <w:r>
        <w:rPr>
          <w:spacing w:val="-2"/>
        </w:rPr>
        <w:t>人参原料、中间体、药品、特殊膳食、保健食品、食品等的深入研究，尤其是中间体、药品及特殊膳食的研究。为本公司人</w:t>
      </w:r>
      <w:r>
        <w:rPr>
          <w:spacing w:val="-67"/>
        </w:rPr>
        <w:t> </w:t>
      </w:r>
      <w:r>
        <w:rPr>
          <w:spacing w:val="-67"/>
        </w:rPr>
      </w:r>
      <w:r>
        <w:rPr/>
        <w:t>参各品系产品推广应用打下坚实的基础。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53" w:right="91"/>
        <w:jc w:val="left"/>
      </w:pPr>
      <w:r>
        <w:rPr>
          <w:rFonts w:ascii="Times New Roman" w:hAnsi="Times New Roman" w:cs="Times New Roman" w:eastAsia="Times New Roman" w:hint="default"/>
        </w:rPr>
        <w:t>5</w:t>
      </w:r>
      <w:r>
        <w:rPr/>
        <w:t>、完善人才管理体系</w:t>
      </w:r>
    </w:p>
    <w:p>
      <w:pPr>
        <w:pStyle w:val="BodyText"/>
        <w:spacing w:line="312" w:lineRule="auto" w:before="102"/>
        <w:ind w:right="190"/>
        <w:jc w:val="both"/>
      </w:pPr>
      <w:r>
        <w:rPr>
          <w:rFonts w:ascii="Times New Roman" w:hAnsi="Times New Roman" w:cs="Times New Roman" w:eastAsia="Times New Roman" w:hint="default"/>
          <w:spacing w:val="-2"/>
        </w:rPr>
        <w:t>2013</w:t>
      </w:r>
      <w:r>
        <w:rPr>
          <w:spacing w:val="-2"/>
        </w:rPr>
        <w:t>年公司将</w:t>
      </w:r>
      <w:r>
        <w:rPr>
          <w:rFonts w:ascii="Times New Roman" w:hAnsi="Times New Roman" w:cs="Times New Roman" w:eastAsia="Times New Roman" w:hint="default"/>
          <w:spacing w:val="-2"/>
        </w:rPr>
        <w:t>“</w:t>
      </w:r>
      <w:r>
        <w:rPr>
          <w:spacing w:val="-2"/>
        </w:rPr>
        <w:t>人才管理</w:t>
      </w:r>
      <w:r>
        <w:rPr>
          <w:rFonts w:ascii="Times New Roman" w:hAnsi="Times New Roman" w:cs="Times New Roman" w:eastAsia="Times New Roman" w:hint="default"/>
          <w:spacing w:val="-2"/>
        </w:rPr>
        <w:t>”</w:t>
      </w:r>
      <w:r>
        <w:rPr>
          <w:spacing w:val="-2"/>
        </w:rPr>
        <w:t>上升到企业发展战略的高度。并将从吸引、发展、保留、安置最优秀人才置于企业赢得竞争力的优</w:t>
      </w:r>
      <w:r>
        <w:rPr>
          <w:spacing w:val="-40"/>
        </w:rPr>
        <w:t> </w:t>
      </w:r>
      <w:r>
        <w:rPr>
          <w:spacing w:val="-40"/>
        </w:rPr>
      </w:r>
      <w:r>
        <w:rPr>
          <w:spacing w:val="-2"/>
        </w:rPr>
        <w:t>先地位。并建立完善的，可执行的人才管理体系。推进人才管理科学化，提升人才管理队伍的专业化和职业化水平。通过建</w:t>
      </w:r>
      <w:r>
        <w:rPr>
          <w:spacing w:val="-66"/>
        </w:rPr>
        <w:t> </w:t>
      </w:r>
      <w:r>
        <w:rPr>
          <w:spacing w:val="-66"/>
        </w:rPr>
      </w:r>
      <w:r>
        <w:rPr>
          <w:spacing w:val="-2"/>
        </w:rPr>
        <w:t>立一套流程化、程序化、的制度，消除工作中的随意性，改变运动式的管理思路。针对招聘选拔、绩效管理、领导力开发和</w:t>
      </w:r>
      <w:r>
        <w:rPr>
          <w:spacing w:val="-65"/>
        </w:rPr>
        <w:t> </w:t>
      </w:r>
      <w:r>
        <w:rPr>
          <w:spacing w:val="-65"/>
        </w:rPr>
      </w:r>
      <w:r>
        <w:rPr/>
        <w:t>人才梯队建设等关键环节设立规范的流程和科学的管理系统。</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91"/>
        <w:jc w:val="left"/>
      </w:pPr>
      <w:r>
        <w:rPr/>
        <w:t>（四）可能面对的风险</w:t>
      </w:r>
    </w:p>
    <w:p>
      <w:pPr>
        <w:pStyle w:val="BodyText"/>
        <w:spacing w:line="314" w:lineRule="auto" w:before="76"/>
        <w:ind w:left="153" w:right="91"/>
        <w:jc w:val="left"/>
      </w:pPr>
      <w:r>
        <w:rPr>
          <w:rFonts w:ascii="Times New Roman" w:hAnsi="Times New Roman" w:cs="Times New Roman" w:eastAsia="Times New Roman" w:hint="default"/>
        </w:rPr>
        <w:t>1</w:t>
      </w:r>
      <w:r>
        <w:rPr/>
        <w:t>、新产品开发风险 </w:t>
      </w:r>
      <w:r>
        <w:rPr>
          <w:spacing w:val="-4"/>
        </w:rPr>
        <w:t>由于新药产品开发从研制、临床试验报批到投产的周期长、环节多、投入大，新药研发风险较大。根据《药品注册管理办法》</w:t>
      </w:r>
      <w:r>
        <w:rPr>
          <w:spacing w:val="-44"/>
        </w:rPr>
        <w:t> </w:t>
      </w:r>
      <w:r>
        <w:rPr>
          <w:spacing w:val="-44"/>
        </w:rPr>
      </w:r>
      <w:r>
        <w:rPr>
          <w:spacing w:val="-2"/>
        </w:rPr>
        <w:t>等法规的相关规定，新药注册一般需经过临床前基础工作、新药临床研究审批、新药生产审批等阶段，如果最终未能通过新</w:t>
      </w:r>
      <w:r>
        <w:rPr>
          <w:spacing w:val="-66"/>
        </w:rPr>
        <w:t> </w:t>
      </w:r>
      <w:r>
        <w:rPr>
          <w:spacing w:val="-66"/>
        </w:rPr>
      </w:r>
      <w:r>
        <w:rPr/>
        <w:t>药注册审批，则可能导致新药研发失败，进而影响到公司前期投入的回收和经济效益的实现。</w:t>
      </w:r>
      <w:r>
        <w:rPr>
          <w:spacing w:val="-37"/>
        </w:rPr>
        <w:t> </w:t>
      </w:r>
      <w:r>
        <w:rPr/>
        <w:t>另外，</w:t>
      </w:r>
      <w:r>
        <w:rPr>
          <w:spacing w:val="-37"/>
        </w:rPr>
        <w:t> </w:t>
      </w:r>
      <w:r>
        <w:rPr/>
        <w:t>如果公司新药不能很</w:t>
      </w:r>
      <w:r>
        <w:rPr/>
        <w:t> </w:t>
      </w:r>
      <w:r>
        <w:rPr>
          <w:spacing w:val="-2"/>
        </w:rPr>
        <w:t>好适应不断变化的市场需求，或者开发的新药未能很快被市场接受，将加大公司的运营成本，对公司的盈利水平和未来发展</w:t>
      </w:r>
      <w:r>
        <w:rPr>
          <w:spacing w:val="-66"/>
        </w:rPr>
        <w:t> </w:t>
      </w:r>
      <w:r>
        <w:rPr>
          <w:spacing w:val="-66"/>
        </w:rPr>
      </w:r>
      <w:r>
        <w:rPr/>
        <w:t>产生一定影响。</w:t>
      </w:r>
    </w:p>
    <w:p>
      <w:pPr>
        <w:pStyle w:val="BodyText"/>
        <w:spacing w:line="312" w:lineRule="auto" w:before="20"/>
        <w:ind w:right="91"/>
        <w:jc w:val="left"/>
      </w:pPr>
      <w:r>
        <w:rPr>
          <w:rFonts w:ascii="Times New Roman" w:hAnsi="Times New Roman" w:cs="Times New Roman" w:eastAsia="Times New Roman" w:hint="default"/>
        </w:rPr>
        <w:t>2</w:t>
      </w:r>
      <w:r>
        <w:rPr/>
        <w:t>、规模快速扩张带来的管理风险 </w:t>
      </w:r>
      <w:r>
        <w:rPr>
          <w:spacing w:val="-2"/>
        </w:rPr>
        <w:t>公司在历经十五年的发展过程中，已积累了一定的管理经验并培养出一批管理人员。随着募集资金投资项目的逐步实施，公</w:t>
      </w:r>
      <w:r>
        <w:rPr>
          <w:spacing w:val="-66"/>
        </w:rPr>
        <w:t> </w:t>
      </w:r>
      <w:r>
        <w:rPr>
          <w:spacing w:val="-66"/>
        </w:rPr>
      </w:r>
      <w:r>
        <w:rPr/>
        <w:t>司的资产和业务规模都将迅速扩大。规模快速扩张将使管理任务加重、</w:t>
      </w:r>
      <w:r>
        <w:rPr>
          <w:spacing w:val="-19"/>
        </w:rPr>
        <w:t> </w:t>
      </w:r>
      <w:r>
        <w:rPr/>
        <w:t>管理难度加大。若公司的组织模式、管理制度和人</w:t>
      </w:r>
      <w:r>
        <w:rPr/>
        <w:t> 员不能适应公司的快速发展，将会给公司的发展带来不利影响。</w:t>
      </w:r>
    </w:p>
    <w:p>
      <w:pPr>
        <w:pStyle w:val="BodyText"/>
        <w:spacing w:line="312" w:lineRule="auto" w:before="22"/>
        <w:ind w:right="91"/>
        <w:jc w:val="left"/>
      </w:pPr>
      <w:r>
        <w:rPr>
          <w:rFonts w:ascii="Times New Roman" w:hAnsi="Times New Roman" w:cs="Times New Roman" w:eastAsia="Times New Roman" w:hint="default"/>
        </w:rPr>
        <w:t>3</w:t>
      </w:r>
      <w:r>
        <w:rPr/>
        <w:t>、新增固定资产折旧及净资产收益率下降的风险 </w:t>
      </w:r>
      <w:r>
        <w:rPr>
          <w:spacing w:val="-2"/>
        </w:rPr>
        <w:t>募集资金投资项目完工后，公司固定资产将有较大幅度的增加，产生的折旧费用将会有所增加，从而增加公司生产经营的成</w:t>
      </w:r>
      <w:r>
        <w:rPr>
          <w:spacing w:val="-66"/>
        </w:rPr>
        <w:t> </w:t>
      </w:r>
      <w:r>
        <w:rPr>
          <w:spacing w:val="-66"/>
        </w:rPr>
      </w:r>
      <w:r>
        <w:rPr>
          <w:spacing w:val="-2"/>
        </w:rPr>
        <w:t>本。如果市场出现变化或者出现其他事先无法预期的情况导致新增产能的效益情况未达到预期目标，折旧费用的增加将对公</w:t>
      </w:r>
      <w:r>
        <w:rPr>
          <w:spacing w:val="-64"/>
        </w:rPr>
        <w:t> </w:t>
      </w:r>
      <w:r>
        <w:rPr>
          <w:spacing w:val="-64"/>
        </w:rPr>
      </w:r>
      <w:r>
        <w:rPr/>
        <w:t>司未来整体经营业绩造成一定影响。</w:t>
      </w:r>
    </w:p>
    <w:p>
      <w:pPr>
        <w:pStyle w:val="BodyText"/>
        <w:spacing w:line="309" w:lineRule="auto" w:before="22"/>
        <w:ind w:right="91"/>
        <w:jc w:val="left"/>
      </w:pPr>
      <w:r>
        <w:rPr>
          <w:rFonts w:ascii="Times New Roman" w:hAnsi="Times New Roman" w:cs="Times New Roman" w:eastAsia="Times New Roman" w:hint="default"/>
        </w:rPr>
        <w:t>4</w:t>
      </w:r>
      <w:r>
        <w:rPr/>
        <w:t>、原材料风险 </w:t>
      </w:r>
      <w:r>
        <w:rPr>
          <w:spacing w:val="-2"/>
        </w:rPr>
        <w:t>如果公司不能保证充足的原材料供应，将导致公司总产能无法完全释放，给公司的主营业务收入和募投项目的预期效益带来</w:t>
      </w:r>
      <w:r>
        <w:rPr>
          <w:spacing w:val="-64"/>
        </w:rPr>
        <w:t> </w:t>
      </w:r>
      <w:r>
        <w:rPr>
          <w:spacing w:val="-64"/>
        </w:rPr>
      </w:r>
      <w:r>
        <w:rPr/>
        <w:t>不利影响。而原材料供应不足导致的价格波动将造成公司采购成本的攀升，进而影响公司的经营业绩。</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left="153" w:right="149"/>
        <w:jc w:val="left"/>
      </w:pPr>
      <w:r>
        <w:rPr>
          <w:rFonts w:ascii="Times New Roman" w:hAnsi="Times New Roman" w:cs="Times New Roman" w:eastAsia="Times New Roman" w:hint="default"/>
        </w:rPr>
        <w:t>5</w:t>
      </w:r>
      <w:r>
        <w:rPr/>
        <w:t>、销售风险 </w:t>
      </w:r>
      <w:r>
        <w:rPr>
          <w:spacing w:val="-2"/>
        </w:rPr>
        <w:t>随着公司人参食品新品种不断推出，产品种类的增加和整体产能的扩张也将为公司的销售能力带来新的挑战，部分产品在市</w:t>
      </w:r>
      <w:r>
        <w:rPr>
          <w:spacing w:val="-64"/>
        </w:rPr>
        <w:t> </w:t>
      </w:r>
      <w:r>
        <w:rPr>
          <w:spacing w:val="-64"/>
        </w:rPr>
      </w:r>
      <w:r>
        <w:rPr>
          <w:spacing w:val="-2"/>
        </w:rPr>
        <w:t>场投放方式、销售渠道、销售模式上与公司现有的中成药存在一定的区别，销售额能否同步增长面临着营销投入和网络建设</w:t>
      </w:r>
      <w:r>
        <w:rPr>
          <w:spacing w:val="-66"/>
        </w:rPr>
        <w:t> </w:t>
      </w:r>
      <w:r>
        <w:rPr>
          <w:spacing w:val="-66"/>
        </w:rPr>
      </w:r>
      <w:r>
        <w:rPr/>
        <w:t>的制约。公司如果不能在产品品质、资金投入、销售策略等方面取得竞争优势，将影响到公司的营业收入和整体业绩。 </w:t>
      </w:r>
      <w:r>
        <w:rPr>
          <w:rFonts w:ascii="Times New Roman" w:hAnsi="Times New Roman" w:cs="Times New Roman" w:eastAsia="Times New Roman" w:hint="default"/>
        </w:rPr>
        <w:t>6</w:t>
      </w:r>
      <w:r>
        <w:rPr/>
        <w:t>、人才储备风险 </w:t>
      </w:r>
      <w:r>
        <w:rPr>
          <w:spacing w:val="-2"/>
        </w:rPr>
        <w:t>随着公司发展过程中产品多样化的逐步体现及产能的不断扩张，对人才队伍的数量、质量与专业构成等方面都提出了更高的</w:t>
      </w:r>
      <w:r>
        <w:rPr>
          <w:spacing w:val="-64"/>
        </w:rPr>
        <w:t> </w:t>
      </w:r>
      <w:r>
        <w:rPr>
          <w:spacing w:val="-64"/>
        </w:rPr>
      </w:r>
      <w:r>
        <w:rPr>
          <w:spacing w:val="-2"/>
        </w:rPr>
        <w:t>要求。另外，随着中药产业的发展以及行业内竞争的加剧，对企业技术研发能力将推出更高要求。如果公司不能采取有效的</w:t>
      </w:r>
      <w:r>
        <w:rPr>
          <w:spacing w:val="-66"/>
        </w:rPr>
        <w:t> </w:t>
      </w:r>
      <w:r>
        <w:rPr>
          <w:spacing w:val="-66"/>
        </w:rPr>
      </w:r>
      <w:r>
        <w:rPr/>
        <w:t>措施进一步充实人才队伍并提高科技实力，将对公司未来的发展带来一定制约。</w:t>
      </w:r>
    </w:p>
    <w:p>
      <w:pPr>
        <w:spacing w:line="240" w:lineRule="auto" w:before="0"/>
        <w:rPr>
          <w:rFonts w:ascii="宋体" w:hAnsi="宋体" w:cs="宋体" w:eastAsia="宋体" w:hint="default"/>
          <w:sz w:val="21"/>
          <w:szCs w:val="21"/>
        </w:rPr>
      </w:pPr>
    </w:p>
    <w:p>
      <w:pPr>
        <w:pStyle w:val="Heading2"/>
        <w:spacing w:line="240" w:lineRule="auto"/>
        <w:ind w:right="149"/>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546" w:right="149"/>
        <w:jc w:val="left"/>
      </w:pPr>
      <w:r>
        <w:rPr/>
        <w:t>中准会计师事务所有限公司对公司</w:t>
      </w:r>
      <w:r>
        <w:rPr>
          <w:rFonts w:ascii="Times New Roman" w:hAnsi="Times New Roman" w:cs="Times New Roman" w:eastAsia="Times New Roman" w:hint="default"/>
        </w:rPr>
        <w:t>2012</w:t>
      </w:r>
      <w:r>
        <w:rPr/>
        <w:t>年度财务报告进行了审计，并出具了带强调事项段的保留意见审计报告。根据</w:t>
      </w:r>
    </w:p>
    <w:p>
      <w:pPr>
        <w:pStyle w:val="BodyText"/>
        <w:spacing w:line="316" w:lineRule="auto" w:before="63"/>
        <w:ind w:left="546" w:right="149" w:hanging="393"/>
        <w:jc w:val="left"/>
      </w:pPr>
      <w:r>
        <w:rPr/>
        <w:t>《深圳证券交易所股票上市规则》的相关规定，公司董事会对该审计报告涉及事项作如下分析和说明： 一、导致保留意见的事项 </w:t>
      </w:r>
      <w:r>
        <w:rPr>
          <w:spacing w:val="-1"/>
        </w:rPr>
        <w:t>审计报告认为紫鑫药业存货中含有</w:t>
      </w:r>
      <w:r>
        <w:rPr>
          <w:rFonts w:ascii="Times New Roman" w:hAnsi="Times New Roman" w:cs="Times New Roman" w:eastAsia="Times New Roman" w:hint="default"/>
          <w:spacing w:val="-1"/>
        </w:rPr>
        <w:t>2011</w:t>
      </w:r>
      <w:r>
        <w:rPr>
          <w:spacing w:val="-1"/>
        </w:rPr>
        <w:t>年内购入的野山参</w:t>
      </w:r>
      <w:r>
        <w:rPr>
          <w:rFonts w:ascii="Times New Roman" w:hAnsi="Times New Roman" w:cs="Times New Roman" w:eastAsia="Times New Roman" w:hint="default"/>
          <w:spacing w:val="-1"/>
        </w:rPr>
        <w:t>1,842</w:t>
      </w:r>
      <w:r>
        <w:rPr>
          <w:spacing w:val="-1"/>
        </w:rPr>
        <w:t>根计</w:t>
      </w:r>
      <w:r>
        <w:rPr>
          <w:rFonts w:ascii="Times New Roman" w:hAnsi="Times New Roman" w:cs="Times New Roman" w:eastAsia="Times New Roman" w:hint="default"/>
          <w:spacing w:val="-1"/>
        </w:rPr>
        <w:t>8,284.06</w:t>
      </w:r>
      <w:r>
        <w:rPr>
          <w:spacing w:val="-1"/>
        </w:rPr>
        <w:t>克，账面含税价值</w:t>
      </w:r>
      <w:r>
        <w:rPr>
          <w:rFonts w:ascii="Times New Roman" w:hAnsi="Times New Roman" w:cs="Times New Roman" w:eastAsia="Times New Roman" w:hint="default"/>
          <w:spacing w:val="-1"/>
        </w:rPr>
        <w:t>131,039,740.09</w:t>
      </w:r>
      <w:r>
        <w:rPr>
          <w:spacing w:val="-1"/>
        </w:rPr>
        <w:t>元，虽已</w:t>
      </w:r>
    </w:p>
    <w:p>
      <w:pPr>
        <w:pStyle w:val="BodyText"/>
        <w:spacing w:line="316" w:lineRule="auto"/>
        <w:ind w:left="153" w:right="248"/>
        <w:jc w:val="both"/>
      </w:pPr>
      <w:r>
        <w:rPr/>
        <w:t>取得延边山参研究所出具的野山参鉴定证书，并由中国科学院北京基因组研究所单品抽样测试检验报告，但其中仍有部分 未取得购买发票等合规入账凭证。虽然紫鑫药业本期有少量市场销售行为，但鉴于野山参货品的特殊性，目前尚无公开的 令人信服的市场交易报价体系，亦无价值认定权威机构或部门，我们无法取得充分适当的审计证据以判定紫鑫药业对该等 存货认定的恰当性。</w:t>
      </w:r>
    </w:p>
    <w:p>
      <w:pPr>
        <w:pStyle w:val="BodyText"/>
        <w:spacing w:line="312" w:lineRule="auto" w:before="19"/>
        <w:ind w:left="153" w:right="248" w:firstLine="392"/>
        <w:jc w:val="both"/>
      </w:pPr>
      <w:r>
        <w:rPr>
          <w:spacing w:val="-1"/>
        </w:rPr>
        <w:t>董事会说明：野山参做为人参产业不可或缺的顶级产品，是公司人参产业中的亮点，由于其产量的日益减少，更加显</w:t>
      </w:r>
      <w:r>
        <w:rPr/>
        <w:t> 示其珍贵性和稀缺性。公司自进入人参产业，已取得精深加工人参产品文号，涉及几大系列、几十个品种。未来将谋求在 全国各地开设连锁营销店，故</w:t>
      </w:r>
      <w:r>
        <w:rPr>
          <w:rFonts w:ascii="Times New Roman" w:hAnsi="Times New Roman" w:cs="Times New Roman" w:eastAsia="Times New Roman" w:hint="default"/>
        </w:rPr>
        <w:t>2011</w:t>
      </w:r>
      <w:r>
        <w:rPr/>
        <w:t>年公司购入野山参用于连锁营销店。</w:t>
      </w:r>
      <w:r>
        <w:rPr>
          <w:rFonts w:ascii="Times New Roman" w:hAnsi="Times New Roman" w:cs="Times New Roman" w:eastAsia="Times New Roman" w:hint="default"/>
        </w:rPr>
        <w:t>2011</w:t>
      </w:r>
      <w:r>
        <w:rPr/>
        <w:t>年度，中准会计师事务所有限公司以对该事项 出具了保留意见。</w:t>
      </w:r>
      <w:r>
        <w:rPr>
          <w:rFonts w:ascii="Times New Roman" w:hAnsi="Times New Roman" w:cs="Times New Roman" w:eastAsia="Times New Roman" w:hint="default"/>
        </w:rPr>
        <w:t>2012</w:t>
      </w:r>
      <w:r>
        <w:rPr/>
        <w:t>年公司采取了包括配合当地税务部门寻找野山参公允价值的认定依据、委托中国科学院北京基因组 研究所单品抽样测试、在公开市场销售等手段，以获取对野山参价值的认定。为彻底解决注册会计师的疑虑，公司将积极 协调税务部门为公司开具农产品收购发票。公司将与公司年度审计机构共同寻找令人信服的市场交易报价体系和权威机构 或部门对公司野山参的价值进行认定。</w:t>
      </w:r>
    </w:p>
    <w:p>
      <w:pPr>
        <w:pStyle w:val="BodyText"/>
        <w:spacing w:line="316" w:lineRule="auto" w:before="22"/>
        <w:ind w:left="546" w:right="7398"/>
        <w:jc w:val="left"/>
      </w:pPr>
      <w:r>
        <w:rPr/>
        <w:t>二、导致强调事项的事项 事项一：审计报告认为</w:t>
      </w:r>
    </w:p>
    <w:p>
      <w:pPr>
        <w:pStyle w:val="BodyText"/>
        <w:spacing w:line="300" w:lineRule="auto" w:before="19"/>
        <w:ind w:right="248" w:firstLine="392"/>
        <w:jc w:val="both"/>
      </w:pPr>
      <w:r>
        <w:rPr/>
        <w:t>如紫鑫药业财务报表</w:t>
      </w:r>
      <w:r>
        <w:rPr>
          <w:rFonts w:ascii="Times New Roman" w:hAnsi="Times New Roman" w:cs="Times New Roman" w:eastAsia="Times New Roman" w:hint="default"/>
        </w:rPr>
        <w:t>“</w:t>
      </w:r>
      <w:r>
        <w:rPr/>
        <w:t>附注九、其他重大事项</w:t>
      </w:r>
      <w:r>
        <w:rPr>
          <w:rFonts w:ascii="Times New Roman" w:hAnsi="Times New Roman" w:cs="Times New Roman" w:eastAsia="Times New Roman" w:hint="default"/>
        </w:rPr>
        <w:t>”</w:t>
      </w:r>
      <w:r>
        <w:rPr/>
        <w:t>所述，紫鑫药业于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日第</w:t>
      </w:r>
      <w:r>
        <w:rPr>
          <w:rFonts w:ascii="Times New Roman" w:hAnsi="Times New Roman" w:cs="Times New Roman" w:eastAsia="Times New Roman" w:hint="default"/>
        </w:rPr>
        <w:t>2011-052</w:t>
      </w:r>
      <w:r>
        <w:rPr/>
        <w:t>号临时公告，因涉嫌证券 违法违规行为，中国证监会于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日对紫鑫药业下发了《调查通知书》，开始对紫鑫药业进行立案稽查，截至目 前稽查工作尚未结束。</w:t>
      </w:r>
    </w:p>
    <w:p>
      <w:pPr>
        <w:pStyle w:val="BodyText"/>
        <w:spacing w:line="309" w:lineRule="auto" w:before="31"/>
        <w:ind w:right="248" w:firstLine="392"/>
        <w:jc w:val="both"/>
      </w:pPr>
      <w:r>
        <w:rPr/>
        <w:t>董事会说明：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日收到中国证券监督管理委员会《调查通知书》（稽查总队调查通字</w:t>
      </w:r>
      <w:r>
        <w:rPr>
          <w:rFonts w:ascii="Times New Roman" w:hAnsi="Times New Roman" w:cs="Times New Roman" w:eastAsia="Times New Roman" w:hint="default"/>
        </w:rPr>
        <w:t>11223</w:t>
      </w:r>
      <w:r>
        <w:rPr/>
        <w:t>号）。因公司</w:t>
      </w:r>
      <w:r>
        <w:rPr>
          <w:spacing w:val="1"/>
        </w:rPr>
        <w:t> </w:t>
      </w:r>
      <w:r>
        <w:rPr/>
        <w:t>涉嫌证券违法违规行为，中国证券监督管理委员会稽查总队决定对公司立案稽查。对于上述稽查事项，公司已于收到《调</w:t>
      </w:r>
      <w:r>
        <w:rPr/>
        <w:t> 查通知书》当日发布了《关于中国证监会对公司立案稽查的公告》（公告编号：</w:t>
      </w:r>
      <w:r>
        <w:rPr>
          <w:rFonts w:ascii="Times New Roman" w:hAnsi="Times New Roman" w:cs="Times New Roman" w:eastAsia="Times New Roman" w:hint="default"/>
        </w:rPr>
        <w:t>2011-052</w:t>
      </w:r>
      <w:r>
        <w:rPr/>
        <w:t>），内容详见公司指定的信息披</w:t>
      </w:r>
      <w:r>
        <w:rPr>
          <w:spacing w:val="-70"/>
        </w:rPr>
        <w:t> </w:t>
      </w:r>
      <w:r>
        <w:rPr>
          <w:spacing w:val="-70"/>
        </w:rPr>
      </w:r>
      <w:r>
        <w:rPr>
          <w:spacing w:val="-1"/>
        </w:rPr>
        <w:t>露媒体《证券时报》、《中国证券报》、《上海证券报》和巨潮资讯网（</w:t>
      </w:r>
      <w:hyperlink r:id="rId11">
        <w:r>
          <w:rPr>
            <w:rFonts w:ascii="Times New Roman" w:hAnsi="Times New Roman" w:cs="Times New Roman" w:eastAsia="Times New Roman" w:hint="default"/>
            <w:spacing w:val="-1"/>
          </w:rPr>
          <w:t>www.cninfo.com.cn</w:t>
        </w:r>
      </w:hyperlink>
      <w:r>
        <w:rPr>
          <w:spacing w:val="-1"/>
        </w:rPr>
        <w:t>）。目前，公司生产经营情况</w:t>
      </w:r>
      <w:r>
        <w:rPr>
          <w:spacing w:val="-74"/>
        </w:rPr>
        <w:t> </w:t>
      </w:r>
      <w:r>
        <w:rPr>
          <w:spacing w:val="-74"/>
        </w:rPr>
      </w:r>
      <w:r>
        <w:rPr/>
        <w:t>正常，未受到稽查事项的相关影响。公司积极配合中国证监会稽查总队对公司的调查工作，并对相关调查事项进行认真自 查。截止本说明报出日，相关调查工作仍在进行中，尚无结论性意见。对于调查事项的进度及结果，公司将根据相关法律 法规的要求积极履行信息披露的义务。</w:t>
      </w:r>
    </w:p>
    <w:p>
      <w:pPr>
        <w:pStyle w:val="BodyText"/>
        <w:spacing w:line="316" w:lineRule="auto" w:before="24"/>
        <w:ind w:left="546" w:right="198"/>
        <w:jc w:val="left"/>
      </w:pPr>
      <w:r>
        <w:rPr/>
        <w:t>事项二：审计报告认为 公司</w:t>
      </w:r>
      <w:r>
        <w:rPr>
          <w:rFonts w:ascii="Times New Roman" w:hAnsi="Times New Roman" w:cs="Times New Roman" w:eastAsia="Times New Roman" w:hint="default"/>
        </w:rPr>
        <w:t>2011</w:t>
      </w:r>
      <w:r>
        <w:rPr/>
        <w:t>年度购入在地参</w:t>
      </w:r>
      <w:r>
        <w:rPr>
          <w:rFonts w:ascii="Times New Roman" w:hAnsi="Times New Roman" w:cs="Times New Roman" w:eastAsia="Times New Roman" w:hint="default"/>
        </w:rPr>
        <w:t>135,760</w:t>
      </w:r>
      <w:r>
        <w:rPr/>
        <w:t>丈，财务报表列报金额</w:t>
      </w:r>
      <w:r>
        <w:rPr>
          <w:rFonts w:ascii="Times New Roman" w:hAnsi="Times New Roman" w:cs="Times New Roman" w:eastAsia="Times New Roman" w:hint="default"/>
        </w:rPr>
        <w:t>82,488,960.00</w:t>
      </w:r>
      <w:r>
        <w:rPr/>
        <w:t>元，其中</w:t>
      </w:r>
      <w:r>
        <w:rPr>
          <w:rFonts w:ascii="Times New Roman" w:hAnsi="Times New Roman" w:cs="Times New Roman" w:eastAsia="Times New Roman" w:hint="default"/>
        </w:rPr>
        <w:t>104,003</w:t>
      </w:r>
      <w:r>
        <w:rPr/>
        <w:t>丈（账面价值</w:t>
      </w:r>
      <w:r>
        <w:rPr>
          <w:rFonts w:ascii="Times New Roman" w:hAnsi="Times New Roman" w:cs="Times New Roman" w:eastAsia="Times New Roman" w:hint="default"/>
        </w:rPr>
        <w:t>66,087,650.00</w:t>
      </w:r>
      <w:r>
        <w:rPr/>
        <w:t>元）</w:t>
      </w:r>
    </w:p>
    <w:p>
      <w:pPr>
        <w:pStyle w:val="BodyText"/>
        <w:spacing w:line="300" w:lineRule="auto"/>
        <w:ind w:right="247"/>
        <w:jc w:val="both"/>
      </w:pPr>
      <w:r>
        <w:rPr/>
        <w:t>的在地参林地系转让方从其他林地持有人处转包再与紫鑫药业签约而来。本期公司对已至采收年限在地参</w:t>
      </w:r>
      <w:r>
        <w:rPr>
          <w:rFonts w:ascii="Times New Roman" w:hAnsi="Times New Roman" w:cs="Times New Roman" w:eastAsia="Times New Roman" w:hint="default"/>
        </w:rPr>
        <w:t>41,371</w:t>
      </w:r>
      <w:r>
        <w:rPr/>
        <w:t>丈（其中</w:t>
      </w:r>
      <w:r>
        <w:rPr>
          <w:spacing w:val="-54"/>
        </w:rPr>
        <w:t> </w:t>
      </w:r>
      <w:r>
        <w:rPr>
          <w:spacing w:val="-54"/>
        </w:rPr>
      </w:r>
      <w:r>
        <w:rPr>
          <w:spacing w:val="-1"/>
        </w:rPr>
        <w:t>转包在地参</w:t>
      </w:r>
      <w:r>
        <w:rPr>
          <w:rFonts w:ascii="Times New Roman" w:hAnsi="Times New Roman" w:cs="Times New Roman" w:eastAsia="Times New Roman" w:hint="default"/>
          <w:spacing w:val="-1"/>
        </w:rPr>
        <w:t>33,521</w:t>
      </w:r>
      <w:r>
        <w:rPr>
          <w:spacing w:val="-1"/>
        </w:rPr>
        <w:t>丈）进行采收，采收入库人参干品</w:t>
      </w:r>
      <w:r>
        <w:rPr>
          <w:rFonts w:ascii="Times New Roman" w:hAnsi="Times New Roman" w:cs="Times New Roman" w:eastAsia="Times New Roman" w:hint="default"/>
          <w:spacing w:val="-1"/>
        </w:rPr>
        <w:t>100,779.82</w:t>
      </w:r>
      <w:r>
        <w:rPr>
          <w:spacing w:val="-1"/>
        </w:rPr>
        <w:t>公斤，在采收入库过程中未受任何权属事项影响。目前尚余</w:t>
      </w:r>
      <w:r>
        <w:rPr>
          <w:spacing w:val="-79"/>
        </w:rPr>
        <w:t> </w:t>
      </w:r>
      <w:r>
        <w:rPr>
          <w:spacing w:val="-79"/>
        </w:rPr>
      </w:r>
      <w:r>
        <w:rPr>
          <w:spacing w:val="-2"/>
        </w:rPr>
        <w:t>在地参</w:t>
      </w:r>
      <w:r>
        <w:rPr>
          <w:rFonts w:ascii="Times New Roman" w:hAnsi="Times New Roman" w:cs="Times New Roman" w:eastAsia="Times New Roman" w:hint="default"/>
          <w:spacing w:val="-2"/>
        </w:rPr>
        <w:t>94,389</w:t>
      </w:r>
      <w:r>
        <w:rPr>
          <w:spacing w:val="-2"/>
        </w:rPr>
        <w:t>丈，其中转让方从其他林地持有人处转包再与紫鑫药业签约的</w:t>
      </w:r>
      <w:r>
        <w:rPr>
          <w:rFonts w:ascii="Times New Roman" w:hAnsi="Times New Roman" w:cs="Times New Roman" w:eastAsia="Times New Roman" w:hint="default"/>
          <w:spacing w:val="-2"/>
        </w:rPr>
        <w:t>70,482</w:t>
      </w:r>
      <w:r>
        <w:rPr>
          <w:spacing w:val="-2"/>
        </w:rPr>
        <w:t>丈，参龄为</w:t>
      </w:r>
      <w:r>
        <w:rPr>
          <w:rFonts w:ascii="Times New Roman" w:hAnsi="Times New Roman" w:cs="Times New Roman" w:eastAsia="Times New Roman" w:hint="default"/>
          <w:spacing w:val="-2"/>
        </w:rPr>
        <w:t>1-2</w:t>
      </w:r>
      <w:r>
        <w:rPr>
          <w:spacing w:val="-2"/>
        </w:rPr>
        <w:t>年，账面价值</w:t>
      </w:r>
      <w:r>
        <w:rPr>
          <w:rFonts w:ascii="Times New Roman" w:hAnsi="Times New Roman" w:cs="Times New Roman" w:eastAsia="Times New Roman" w:hint="default"/>
          <w:spacing w:val="-2"/>
        </w:rPr>
        <w:t>31,488,250.00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w:t>
      </w:r>
    </w:p>
    <w:p>
      <w:pPr>
        <w:spacing w:after="0" w:line="30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660" w:right="188" w:hanging="114"/>
        <w:jc w:val="left"/>
      </w:pPr>
      <w:r>
        <w:rPr/>
        <w:t>董事会说明： </w:t>
      </w:r>
      <w:r>
        <w:rPr>
          <w:spacing w:val="-1"/>
        </w:rPr>
        <w:t>公司</w:t>
      </w:r>
      <w:r>
        <w:rPr>
          <w:rFonts w:ascii="Times New Roman" w:hAnsi="Times New Roman" w:cs="Times New Roman" w:eastAsia="Times New Roman" w:hint="default"/>
          <w:spacing w:val="-1"/>
        </w:rPr>
        <w:t>2011</w:t>
      </w:r>
      <w:r>
        <w:rPr>
          <w:spacing w:val="-1"/>
        </w:rPr>
        <w:t>年度财务报表列报的在地参中有</w:t>
      </w:r>
      <w:r>
        <w:rPr>
          <w:rFonts w:ascii="Times New Roman" w:hAnsi="Times New Roman" w:cs="Times New Roman" w:eastAsia="Times New Roman" w:hint="default"/>
          <w:spacing w:val="-1"/>
        </w:rPr>
        <w:t>104,003</w:t>
      </w:r>
      <w:r>
        <w:rPr>
          <w:spacing w:val="-1"/>
        </w:rPr>
        <w:t>丈（金额为</w:t>
      </w:r>
      <w:r>
        <w:rPr>
          <w:rFonts w:ascii="Times New Roman" w:hAnsi="Times New Roman" w:cs="Times New Roman" w:eastAsia="Times New Roman" w:hint="default"/>
          <w:spacing w:val="-1"/>
        </w:rPr>
        <w:t>66,087,650,00</w:t>
      </w:r>
      <w:r>
        <w:rPr>
          <w:spacing w:val="-1"/>
        </w:rPr>
        <w:t>元）生长的林地系转让方从其他林地持有人</w:t>
      </w:r>
    </w:p>
    <w:p>
      <w:pPr>
        <w:pStyle w:val="BodyText"/>
        <w:spacing w:line="307" w:lineRule="auto"/>
        <w:ind w:left="153" w:right="188"/>
        <w:jc w:val="both"/>
      </w:pPr>
      <w:r>
        <w:rPr>
          <w:spacing w:val="-2"/>
        </w:rPr>
        <w:t>处转包后再转让给本公司的。注册会计师原对林农在林地承包过程中协议具有口头性和不完备性存有疑虑，但报告期内公司</w:t>
      </w:r>
      <w:r>
        <w:rPr>
          <w:spacing w:val="-64"/>
        </w:rPr>
        <w:t> </w:t>
      </w:r>
      <w:r>
        <w:rPr>
          <w:spacing w:val="-64"/>
        </w:rPr>
      </w:r>
      <w:r>
        <w:rPr/>
        <w:t>总计采收转包签约在地参</w:t>
      </w:r>
      <w:r>
        <w:rPr>
          <w:rFonts w:ascii="Times New Roman" w:hAnsi="Times New Roman" w:cs="Times New Roman" w:eastAsia="Times New Roman" w:hint="default"/>
        </w:rPr>
        <w:t>33,521</w:t>
      </w:r>
      <w:r>
        <w:rPr/>
        <w:t>丈，未因林地权属事项发生任何争议事件；且剩余在地参参龄较短，价值仅为</w:t>
      </w:r>
      <w:r>
        <w:rPr>
          <w:rFonts w:ascii="Times New Roman" w:hAnsi="Times New Roman" w:cs="Times New Roman" w:eastAsia="Times New Roman" w:hint="default"/>
        </w:rPr>
        <w:t>31,488,250.00</w:t>
      </w:r>
      <w:r>
        <w:rPr>
          <w:rFonts w:ascii="Times New Roman" w:hAnsi="Times New Roman" w:cs="Times New Roman" w:eastAsia="Times New Roman" w:hint="default"/>
          <w:spacing w:val="-40"/>
        </w:rPr>
        <w:t> </w:t>
      </w:r>
      <w:r>
        <w:rPr>
          <w:spacing w:val="-2"/>
        </w:rPr>
        <w:t>元，占全部转包林地在地参</w:t>
      </w:r>
      <w:r>
        <w:rPr>
          <w:rFonts w:ascii="Times New Roman" w:hAnsi="Times New Roman" w:cs="Times New Roman" w:eastAsia="Times New Roman" w:hint="default"/>
          <w:spacing w:val="-2"/>
        </w:rPr>
        <w:t>47.64%</w:t>
      </w:r>
      <w:r>
        <w:rPr>
          <w:spacing w:val="-2"/>
        </w:rPr>
        <w:t>，已采收部分超过了</w:t>
      </w:r>
      <w:r>
        <w:rPr>
          <w:rFonts w:ascii="Times New Roman" w:hAnsi="Times New Roman" w:cs="Times New Roman" w:eastAsia="Times New Roman" w:hint="default"/>
          <w:spacing w:val="-2"/>
        </w:rPr>
        <w:t>50%</w:t>
      </w:r>
      <w:r>
        <w:rPr>
          <w:spacing w:val="-2"/>
        </w:rPr>
        <w:t>，且已采收入库人参价值超过原在地参成本，基本可以消除注册</w:t>
      </w:r>
      <w:r>
        <w:rPr>
          <w:spacing w:val="-44"/>
        </w:rPr>
        <w:t> </w:t>
      </w:r>
      <w:r>
        <w:rPr>
          <w:spacing w:val="-44"/>
        </w:rPr>
      </w:r>
      <w:r>
        <w:rPr/>
        <w:t>会计师对公司此项存货列报价值公允的疑虑，但注册会计师仍然认为有必要提示报告使用人关注。</w:t>
      </w:r>
    </w:p>
    <w:p>
      <w:pPr>
        <w:spacing w:line="240" w:lineRule="auto" w:before="4"/>
        <w:rPr>
          <w:rFonts w:ascii="宋体" w:hAnsi="宋体" w:cs="宋体" w:eastAsia="宋体" w:hint="default"/>
          <w:sz w:val="21"/>
          <w:szCs w:val="21"/>
        </w:rPr>
      </w:pPr>
    </w:p>
    <w:p>
      <w:pPr>
        <w:pStyle w:val="Heading2"/>
        <w:spacing w:line="240" w:lineRule="auto"/>
        <w:ind w:right="91"/>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
        <w:jc w:val="left"/>
      </w:pPr>
      <w:r>
        <w:rPr/>
        <w:t>与上年度财务报告相比，报告期内会计政策、会计估计和核算方法未发生变化。</w:t>
      </w:r>
    </w:p>
    <w:p>
      <w:pPr>
        <w:spacing w:line="240" w:lineRule="auto" w:before="2"/>
        <w:rPr>
          <w:rFonts w:ascii="宋体" w:hAnsi="宋体" w:cs="宋体" w:eastAsia="宋体" w:hint="default"/>
          <w:sz w:val="25"/>
          <w:szCs w:val="25"/>
        </w:rPr>
      </w:pPr>
    </w:p>
    <w:p>
      <w:pPr>
        <w:pStyle w:val="Heading2"/>
        <w:spacing w:line="240" w:lineRule="auto"/>
        <w:ind w:right="91"/>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
        <w:jc w:val="left"/>
      </w:pPr>
      <w:r>
        <w:rPr/>
        <w:t>报告期内未发生重大会计差错更正需追溯重述的情况。</w:t>
      </w:r>
    </w:p>
    <w:p>
      <w:pPr>
        <w:spacing w:line="240" w:lineRule="auto" w:before="2"/>
        <w:rPr>
          <w:rFonts w:ascii="宋体" w:hAnsi="宋体" w:cs="宋体" w:eastAsia="宋体" w:hint="default"/>
          <w:sz w:val="25"/>
          <w:szCs w:val="25"/>
        </w:rPr>
      </w:pPr>
    </w:p>
    <w:p>
      <w:pPr>
        <w:pStyle w:val="Heading2"/>
        <w:spacing w:line="240" w:lineRule="auto"/>
        <w:ind w:right="91"/>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与上年度财务报告相比，报告期内合并报表范围未发生变化。</w:t>
      </w:r>
    </w:p>
    <w:p>
      <w:pPr>
        <w:spacing w:line="240" w:lineRule="auto" w:before="1"/>
        <w:rPr>
          <w:rFonts w:ascii="宋体" w:hAnsi="宋体" w:cs="宋体" w:eastAsia="宋体" w:hint="default"/>
          <w:sz w:val="25"/>
          <w:szCs w:val="25"/>
        </w:rPr>
      </w:pPr>
    </w:p>
    <w:p>
      <w:pPr>
        <w:pStyle w:val="Heading2"/>
        <w:spacing w:line="240" w:lineRule="auto"/>
        <w:ind w:right="91"/>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91" w:hanging="360"/>
        <w:jc w:val="left"/>
      </w:pPr>
      <w:r>
        <w:rPr/>
        <w:t>报告期内利润分配政策特别是现金分红政策的制定、执行或调整情况 </w:t>
      </w:r>
      <w:r>
        <w:rPr>
          <w:spacing w:val="-2"/>
        </w:rPr>
        <w:t>为建立科学、合理、持续、稳定的股东投资回报机制，完善利润分配政策，切实保护公众投资者合法权益，规范公司法</w:t>
      </w:r>
    </w:p>
    <w:p>
      <w:pPr>
        <w:pStyle w:val="BodyText"/>
        <w:spacing w:line="237" w:lineRule="exact"/>
        <w:ind w:left="153" w:right="0"/>
        <w:jc w:val="left"/>
      </w:pPr>
      <w:r>
        <w:rPr/>
        <w:t>人治理结构，根据中国证监会《关于进一步落实上市公司现金分红有关事项的通知》（证监发〔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37</w:t>
      </w:r>
      <w:r>
        <w:rPr/>
        <w:t>号）和中国证监会</w:t>
      </w:r>
    </w:p>
    <w:p>
      <w:pPr>
        <w:pStyle w:val="BodyText"/>
        <w:spacing w:line="304" w:lineRule="auto" w:before="63"/>
        <w:ind w:left="153" w:right="91"/>
        <w:jc w:val="left"/>
      </w:pPr>
      <w:r>
        <w:rPr/>
        <w:t>吉林监管局《关于进一步加强现金分红工作完善现金分红政策的通知》（吉证监发〔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159</w:t>
      </w:r>
      <w:r>
        <w:rPr/>
        <w:t>号）的要求，公司董事会在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日召集召开了</w:t>
      </w:r>
      <w:r>
        <w:rPr>
          <w:rFonts w:ascii="Times New Roman" w:hAnsi="Times New Roman" w:cs="Times New Roman" w:eastAsia="Times New Roman" w:hint="default"/>
        </w:rPr>
        <w:t>2012</w:t>
      </w:r>
      <w:r>
        <w:rPr/>
        <w:t>年第一次临时股东大会，审议通过了《关于修订〈公司章程〉的议案》。修订后的公司章程 </w:t>
      </w:r>
      <w:r>
        <w:rPr>
          <w:spacing w:val="-2"/>
        </w:rPr>
        <w:t>对公司的利润分配政策、利润分配的形式、实施现金分配的条件、利润分配方案的审批程序、利润分配政策的制定和调整原</w:t>
      </w:r>
      <w:r>
        <w:rPr>
          <w:spacing w:val="-66"/>
        </w:rPr>
        <w:t> </w:t>
      </w:r>
      <w:r>
        <w:rPr>
          <w:spacing w:val="-66"/>
        </w:rPr>
      </w:r>
      <w:r>
        <w:rPr/>
        <w:t>则等进行详细规定。其中对实施现金分红的条件修订如下：</w:t>
      </w:r>
      <w:r>
        <w:rPr>
          <w:rFonts w:ascii="Times New Roman" w:hAnsi="Times New Roman" w:cs="Times New Roman" w:eastAsia="Times New Roman" w:hint="default"/>
        </w:rPr>
        <w:t>1.</w:t>
      </w:r>
      <w:r>
        <w:rPr/>
        <w:t>公司当年年度实现的可分配利润（即公司弥补亏损、提取公积 金后所余的税后母公司利润）为正值且现金流充足，实施现金分红不会影响公司持续经营；</w:t>
      </w:r>
      <w:r>
        <w:rPr>
          <w:rFonts w:ascii="Times New Roman" w:hAnsi="Times New Roman" w:cs="Times New Roman" w:eastAsia="Times New Roman" w:hint="default"/>
        </w:rPr>
        <w:t>2.</w:t>
      </w:r>
      <w:r>
        <w:rPr/>
        <w:t>公司聘用的审计机构对公司的 </w:t>
      </w:r>
      <w:r>
        <w:rPr>
          <w:spacing w:val="-3"/>
        </w:rPr>
        <w:t>该年度财务报告出具标准无保留意见的审计报告；</w:t>
      </w:r>
      <w:r>
        <w:rPr>
          <w:rFonts w:ascii="Times New Roman" w:hAnsi="Times New Roman" w:cs="Times New Roman" w:eastAsia="Times New Roman" w:hint="default"/>
          <w:spacing w:val="-3"/>
        </w:rPr>
        <w:t>3.</w:t>
      </w:r>
      <w:r>
        <w:rPr>
          <w:spacing w:val="-3"/>
        </w:rPr>
        <w:t>公司无重大投资计划或重大现金支出等事项发生（募集资金项目除外）。</w:t>
      </w:r>
      <w:r>
        <w:rPr>
          <w:spacing w:val="-50"/>
        </w:rPr>
        <w:t> </w:t>
      </w:r>
      <w:r>
        <w:rPr>
          <w:spacing w:val="-50"/>
        </w:rPr>
      </w:r>
      <w:r>
        <w:rPr>
          <w:spacing w:val="-2"/>
        </w:rPr>
        <w:t>重大投资计划或重大现金支出是指公司未来十二个月内拟对外投资、收购资产或者购买设备的累计支出达到或者超过公司最</w:t>
      </w:r>
      <w:r>
        <w:rPr>
          <w:spacing w:val="-64"/>
        </w:rPr>
        <w:t> </w:t>
      </w:r>
      <w:r>
        <w:rPr>
          <w:spacing w:val="-64"/>
        </w:rPr>
      </w:r>
      <w:r>
        <w:rPr/>
        <w:t>近一期经审计净资产的</w:t>
      </w:r>
      <w:r>
        <w:rPr>
          <w:rFonts w:ascii="Times New Roman" w:hAnsi="Times New Roman" w:cs="Times New Roman" w:eastAsia="Times New Roman" w:hint="default"/>
        </w:rPr>
        <w:t>30%</w:t>
      </w:r>
      <w:r>
        <w:rPr/>
        <w:t>。</w:t>
      </w:r>
    </w:p>
    <w:p>
      <w:pPr>
        <w:pStyle w:val="BodyText"/>
        <w:spacing w:line="240" w:lineRule="auto" w:before="50"/>
        <w:ind w:left="153" w:right="91"/>
        <w:jc w:val="left"/>
      </w:pPr>
      <w:r>
        <w:rPr/>
        <w:t>本年度利润分配及资本公积金转增股本预案</w:t>
      </w:r>
    </w:p>
    <w:p>
      <w:pPr>
        <w:pStyle w:val="BodyText"/>
        <w:spacing w:line="240" w:lineRule="auto" w:before="116"/>
        <w:ind w:left="15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153" w:right="9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38" w:lineRule="auto" w:before="102"/>
        <w:ind w:left="514" w:right="72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年利润分配方案： 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2010</w:t>
      </w:r>
      <w:r>
        <w:rPr/>
        <w:t>年度股东大会审议通过了</w:t>
      </w:r>
      <w:r>
        <w:rPr>
          <w:rFonts w:ascii="Times New Roman" w:hAnsi="Times New Roman" w:cs="Times New Roman" w:eastAsia="Times New Roman" w:hint="default"/>
        </w:rPr>
        <w:t>2010</w:t>
      </w:r>
      <w:r>
        <w:rPr/>
        <w:t>年度利润分配方案，以公司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p>
    <w:p>
      <w:pPr>
        <w:pStyle w:val="BodyText"/>
        <w:spacing w:line="230" w:lineRule="exact"/>
        <w:ind w:right="91"/>
        <w:jc w:val="left"/>
      </w:pPr>
      <w:r>
        <w:rPr>
          <w:rFonts w:ascii="Times New Roman" w:hAnsi="Times New Roman" w:cs="Times New Roman" w:eastAsia="Times New Roman" w:hint="default"/>
        </w:rPr>
        <w:t>256,495,691.00</w:t>
      </w:r>
      <w:r>
        <w:rPr/>
        <w:t>股为基数，以资本公积转增股本，向全体股东每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股。未分配利润结转以后年度分配。转增后公司</w:t>
      </w:r>
    </w:p>
    <w:p>
      <w:pPr>
        <w:pStyle w:val="BodyText"/>
        <w:spacing w:line="338" w:lineRule="auto" w:before="64"/>
        <w:ind w:left="514" w:right="180" w:hanging="360"/>
        <w:jc w:val="left"/>
      </w:pPr>
      <w:r>
        <w:rPr/>
        <w:t>的总股本增至</w:t>
      </w:r>
      <w:r>
        <w:rPr>
          <w:rFonts w:ascii="Times New Roman" w:hAnsi="Times New Roman" w:cs="Times New Roman" w:eastAsia="Times New Roman" w:hint="default"/>
        </w:rPr>
        <w:t>512,991,382</w:t>
      </w:r>
      <w:r>
        <w:rPr/>
        <w:t>股，注册资本增至</w:t>
      </w:r>
      <w:r>
        <w:rPr>
          <w:rFonts w:ascii="Times New Roman" w:hAnsi="Times New Roman" w:cs="Times New Roman" w:eastAsia="Times New Roman" w:hint="default"/>
        </w:rPr>
        <w:t>512,991,382.00</w:t>
      </w:r>
      <w:r>
        <w:rPr/>
        <w:t>元，并于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日分配实施。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年利润分配方案： 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2011</w:t>
      </w:r>
      <w:r>
        <w:rPr/>
        <w:t>年度股东大会审议通过了</w:t>
      </w:r>
      <w:r>
        <w:rPr>
          <w:rFonts w:ascii="Times New Roman" w:hAnsi="Times New Roman" w:cs="Times New Roman" w:eastAsia="Times New Roman" w:hint="default"/>
        </w:rPr>
        <w:t>2011</w:t>
      </w:r>
      <w:r>
        <w:rPr/>
        <w:t>年度利润分配方案，公司对</w:t>
      </w:r>
      <w:r>
        <w:rPr>
          <w:rFonts w:ascii="Times New Roman" w:hAnsi="Times New Roman" w:cs="Times New Roman" w:eastAsia="Times New Roman" w:hint="default"/>
        </w:rPr>
        <w:t>2011</w:t>
      </w:r>
      <w:r>
        <w:rPr/>
        <w:t>年度不进行利润分配，也</w:t>
      </w:r>
    </w:p>
    <w:p>
      <w:pPr>
        <w:pStyle w:val="BodyText"/>
        <w:spacing w:line="218" w:lineRule="exact"/>
        <w:ind w:left="153" w:right="91"/>
        <w:jc w:val="left"/>
      </w:pPr>
      <w:r>
        <w:rPr/>
        <w:t>不进行资本公积金转增股本。</w:t>
      </w:r>
    </w:p>
    <w:p>
      <w:pPr>
        <w:pStyle w:val="BodyText"/>
        <w:spacing w:line="240" w:lineRule="auto" w:before="116"/>
        <w:ind w:left="153" w:right="6385"/>
        <w:jc w:val="cente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2012</w:t>
      </w:r>
      <w:r>
        <w:rPr/>
        <w:t>年利润分配预案：</w:t>
      </w:r>
    </w:p>
    <w:p>
      <w:pPr>
        <w:spacing w:after="0" w:line="240" w:lineRule="auto"/>
        <w:jc w:val="cente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left="153" w:right="185" w:firstLine="360"/>
        <w:jc w:val="left"/>
      </w:pPr>
      <w:r>
        <w:rPr/>
        <w:t>根据中准会计师事务所出具的中准审字</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2"/>
        </w:rPr>
        <w:t>1324</w:t>
      </w:r>
      <w:r>
        <w:rPr>
          <w:spacing w:val="-2"/>
        </w:rPr>
        <w:t>号审计报告，</w:t>
      </w:r>
      <w:r>
        <w:rPr>
          <w:rFonts w:ascii="Times New Roman" w:hAnsi="Times New Roman" w:cs="Times New Roman" w:eastAsia="Times New Roman" w:hint="default"/>
          <w:spacing w:val="-2"/>
        </w:rPr>
        <w:t>2012</w:t>
      </w:r>
      <w:r>
        <w:rPr>
          <w:spacing w:val="-2"/>
        </w:rPr>
        <w:t>年度公司实现净利润</w:t>
      </w:r>
      <w:r>
        <w:rPr>
          <w:rFonts w:ascii="Times New Roman" w:hAnsi="Times New Roman" w:cs="Times New Roman" w:eastAsia="Times New Roman" w:hint="default"/>
          <w:spacing w:val="-2"/>
        </w:rPr>
        <w:t>86,306,365.69</w:t>
      </w:r>
      <w:r>
        <w:rPr>
          <w:spacing w:val="-2"/>
        </w:rPr>
        <w:t>元</w:t>
      </w:r>
      <w:r>
        <w:rPr>
          <w:rFonts w:ascii="Times New Roman" w:hAnsi="Times New Roman" w:cs="Times New Roman" w:eastAsia="Times New Roman" w:hint="default"/>
          <w:spacing w:val="-2"/>
        </w:rPr>
        <w:t>,</w:t>
      </w:r>
      <w:r>
        <w:rPr>
          <w:spacing w:val="-2"/>
        </w:rPr>
        <w:t>归属于上市公</w:t>
      </w:r>
      <w:r>
        <w:rPr/>
        <w:t> 司股东的净利润为</w:t>
      </w:r>
      <w:r>
        <w:rPr>
          <w:rFonts w:ascii="Times New Roman" w:hAnsi="Times New Roman" w:cs="Times New Roman" w:eastAsia="Times New Roman" w:hint="default"/>
        </w:rPr>
        <w:t>86,311,393.11</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日，归属于上市公司可供分配的利润为</w:t>
      </w:r>
      <w:r>
        <w:rPr>
          <w:rFonts w:ascii="Times New Roman" w:hAnsi="Times New Roman" w:cs="Times New Roman" w:eastAsia="Times New Roman" w:hint="default"/>
        </w:rPr>
        <w:t>287,245,515.24</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513" w:right="91"/>
        <w:jc w:val="left"/>
      </w:pPr>
      <w:r>
        <w:rPr/>
        <w:t>本预案需经</w:t>
      </w:r>
      <w:r>
        <w:rPr>
          <w:rFonts w:ascii="Times New Roman" w:hAnsi="Times New Roman" w:cs="Times New Roman" w:eastAsia="Times New Roman" w:hint="default"/>
        </w:rPr>
        <w:t>2012</w:t>
      </w:r>
      <w:r>
        <w:rPr/>
        <w:t>年度股东大会审议批准后实施。</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153" w:right="91"/>
        <w:jc w:val="left"/>
      </w:pPr>
      <w:r>
        <w:rPr/>
        <w:t>公司近三年现金分红情况表</w:t>
      </w:r>
    </w:p>
    <w:p>
      <w:pPr>
        <w:pStyle w:val="BodyText"/>
        <w:spacing w:line="240" w:lineRule="auto" w:before="117"/>
        <w:ind w:left="153"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86,311,393.11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217,289,950.92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173,173,606.20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91"/>
        <w:jc w:val="left"/>
      </w:pPr>
      <w:r>
        <w:rPr/>
        <w:t>公司报告期内盈利且母公司未分配利润为正但未提出现金红利分配预案</w:t>
      </w:r>
    </w:p>
    <w:p>
      <w:pPr>
        <w:pStyle w:val="BodyText"/>
        <w:spacing w:line="240" w:lineRule="auto" w:before="117"/>
        <w:ind w:left="15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46" w:right="47"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由于公司人参产业目前正处于投入期，原材料价格上涨，公</w:t>
            </w:r>
          </w:p>
        </w:tc>
        <w:tc>
          <w:tcPr>
            <w:tcW w:w="47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司现正积极储备人参产品原材料，且各分子公司与人参产品</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相关厂房、设备等均在建设中，业务投入所需的资金较大，</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公司未分配利润将主要用于补充公司流动资金。</w:t>
            </w:r>
          </w:p>
        </w:tc>
      </w:tr>
      <w:tr>
        <w:trPr>
          <w:trHeight w:val="317"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为保证公司的可持续发展</w:t>
            </w:r>
            <w:r>
              <w:rPr>
                <w:rFonts w:ascii="宋体" w:hAnsi="宋体" w:cs="宋体" w:eastAsia="宋体" w:hint="default"/>
                <w:spacing w:val="-89"/>
                <w:sz w:val="18"/>
                <w:szCs w:val="18"/>
              </w:rPr>
              <w:t>，</w:t>
            </w:r>
            <w:r>
              <w:rPr>
                <w:rFonts w:ascii="宋体" w:hAnsi="宋体" w:cs="宋体" w:eastAsia="宋体" w:hint="default"/>
                <w:sz w:val="18"/>
                <w:szCs w:val="18"/>
              </w:rPr>
              <w:t>降低公司融资成本</w:t>
            </w:r>
            <w:r>
              <w:rPr>
                <w:rFonts w:ascii="宋体" w:hAnsi="宋体" w:cs="宋体" w:eastAsia="宋体" w:hint="default"/>
                <w:spacing w:val="-89"/>
                <w:sz w:val="18"/>
                <w:szCs w:val="18"/>
              </w:rPr>
              <w:t>，</w:t>
            </w:r>
            <w:r>
              <w:rPr>
                <w:rFonts w:ascii="宋体" w:hAnsi="宋体" w:cs="宋体" w:eastAsia="宋体" w:hint="default"/>
                <w:sz w:val="18"/>
                <w:szCs w:val="18"/>
              </w:rPr>
              <w:t>公司拟对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12</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年度不进行利润分配，也不进行资本公积金转增股本。</w:t>
            </w:r>
          </w:p>
        </w:tc>
        <w:tc>
          <w:tcPr>
            <w:tcW w:w="4783"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1"/>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1" w:firstLine="360"/>
        <w:jc w:val="left"/>
      </w:pPr>
      <w:r>
        <w:rPr/>
        <w:t>紫鑫药业一直本着</w:t>
      </w:r>
      <w:r>
        <w:rPr>
          <w:rFonts w:ascii="Times New Roman" w:hAnsi="Times New Roman" w:cs="Times New Roman" w:eastAsia="Times New Roman" w:hint="default"/>
        </w:rPr>
        <w:t>“</w:t>
      </w:r>
      <w:r>
        <w:rPr/>
        <w:t>产品质量关系企业生命，药品质量关系患者生命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两个生命观</w:t>
      </w:r>
      <w:r>
        <w:rPr>
          <w:rFonts w:ascii="Times New Roman" w:hAnsi="Times New Roman" w:cs="Times New Roman" w:eastAsia="Times New Roman" w:hint="default"/>
        </w:rPr>
        <w:t>”</w:t>
      </w:r>
      <w:r>
        <w:rPr/>
        <w:t>的质量意识进行着生产经营活动。 狠抓中药材的种植质量关。在长白山腹地的中药材种植基地面积达</w:t>
      </w:r>
      <w:r>
        <w:rPr>
          <w:rFonts w:ascii="Times New Roman" w:hAnsi="Times New Roman" w:cs="Times New Roman" w:eastAsia="Times New Roman" w:hint="default"/>
        </w:rPr>
        <w:t>7318</w:t>
      </w:r>
      <w:r>
        <w:rPr/>
        <w:t>公顷，种植林下参、淫羊霍、细辛等重要药材原料， </w:t>
      </w:r>
      <w:r>
        <w:rPr>
          <w:spacing w:val="-4"/>
        </w:rPr>
        <w:t>从选种、育苗、种植、除草、施肥，到采收加工、贮藏严格按照</w:t>
      </w:r>
      <w:r>
        <w:rPr>
          <w:rFonts w:ascii="Times New Roman" w:hAnsi="Times New Roman" w:cs="Times New Roman" w:eastAsia="Times New Roman" w:hint="default"/>
          <w:spacing w:val="-4"/>
        </w:rPr>
        <w:t>GAP</w:t>
      </w:r>
      <w:r>
        <w:rPr>
          <w:spacing w:val="-4"/>
        </w:rPr>
        <w:t>标准执行。所产药材均无重金属超标、农药残留等现象，</w:t>
      </w:r>
      <w:r>
        <w:rPr>
          <w:spacing w:val="-44"/>
        </w:rPr>
        <w:t> </w:t>
      </w:r>
      <w:r>
        <w:rPr>
          <w:spacing w:val="-44"/>
        </w:rPr>
      </w:r>
      <w:r>
        <w:rPr/>
        <w:t>确保了在生产源头上原料质量上乘。采用新型药材种植合作方式。采用</w:t>
      </w:r>
      <w:r>
        <w:rPr>
          <w:rFonts w:ascii="Times New Roman" w:hAnsi="Times New Roman" w:cs="Times New Roman" w:eastAsia="Times New Roman" w:hint="default"/>
        </w:rPr>
        <w:t>“</w:t>
      </w:r>
      <w:r>
        <w:rPr/>
        <w:t>农户</w:t>
      </w:r>
      <w:r>
        <w:rPr>
          <w:rFonts w:ascii="Times New Roman" w:hAnsi="Times New Roman" w:cs="Times New Roman" w:eastAsia="Times New Roman" w:hint="default"/>
        </w:rPr>
        <w:t>-</w:t>
      </w:r>
      <w:r>
        <w:rPr/>
        <w:t>政府</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研究所</w:t>
      </w:r>
      <w:r>
        <w:rPr>
          <w:rFonts w:ascii="Times New Roman" w:hAnsi="Times New Roman" w:cs="Times New Roman" w:eastAsia="Times New Roman" w:hint="default"/>
        </w:rPr>
        <w:t>”</w:t>
      </w:r>
      <w:r>
        <w:rPr/>
        <w:t>四位一体的方式培育自己的 </w:t>
      </w:r>
      <w:r>
        <w:rPr>
          <w:spacing w:val="-2"/>
        </w:rPr>
        <w:t>药材基地，这种方式不仅为公司的原料供应和科研开发提供坚实的质量保障，也带动了当地农村产业化发展，为周边地区提</w:t>
      </w:r>
      <w:r>
        <w:rPr>
          <w:spacing w:val="-66"/>
        </w:rPr>
        <w:t> </w:t>
      </w:r>
      <w:r>
        <w:rPr>
          <w:spacing w:val="-66"/>
        </w:rPr>
      </w:r>
      <w:r>
        <w:rPr/>
        <w:t>供了上千个就业机会。坚持</w:t>
      </w:r>
      <w:r>
        <w:rPr>
          <w:rFonts w:ascii="Times New Roman" w:hAnsi="Times New Roman" w:cs="Times New Roman" w:eastAsia="Times New Roman" w:hint="default"/>
        </w:rPr>
        <w:t>“</w:t>
      </w:r>
      <w:r>
        <w:rPr/>
        <w:t>挚真质纯</w:t>
      </w:r>
      <w:r>
        <w:rPr>
          <w:rFonts w:ascii="Times New Roman" w:hAnsi="Times New Roman" w:cs="Times New Roman" w:eastAsia="Times New Roman" w:hint="default"/>
        </w:rPr>
        <w:t>”</w:t>
      </w:r>
      <w:r>
        <w:rPr/>
        <w:t>的经营理念。从设备的选型、人才的招揽到技术的使用和原材料的购进都做到了最先 </w:t>
      </w:r>
      <w:r>
        <w:rPr>
          <w:spacing w:val="-2"/>
        </w:rPr>
        <w:t>进、最好、最精。每批次产品从中药材的投料到半成品、成品及留样观察都按高于国家法定标准来监控，不让一粒不合格的</w:t>
      </w:r>
      <w:r>
        <w:rPr>
          <w:spacing w:val="-66"/>
        </w:rPr>
        <w:t> </w:t>
      </w:r>
      <w:r>
        <w:rPr>
          <w:spacing w:val="-66"/>
        </w:rPr>
      </w:r>
      <w:r>
        <w:rPr>
          <w:spacing w:val="-2"/>
        </w:rPr>
        <w:t>产品出厂。应用先进的生产技术和设备。采用高效液相色谱仪、紫外可见分光光度仪、片剂碎度仪、全自动喷码机等先进检</w:t>
      </w:r>
      <w:r>
        <w:rPr>
          <w:spacing w:val="-66"/>
        </w:rPr>
        <w:t> </w:t>
      </w:r>
      <w:r>
        <w:rPr>
          <w:spacing w:val="-66"/>
        </w:rPr>
      </w:r>
      <w:r>
        <w:rPr>
          <w:spacing w:val="-2"/>
        </w:rPr>
        <w:t>验设备进行质量检测，并把超细粉碎酶技术、二氧化碳超临界萃取技术、薄膜包衣技术、大孔树脂吸附分离技术等高科技制</w:t>
      </w:r>
      <w:r>
        <w:rPr>
          <w:spacing w:val="-66"/>
        </w:rPr>
        <w:t> </w:t>
      </w:r>
      <w:r>
        <w:rPr>
          <w:spacing w:val="-66"/>
        </w:rPr>
      </w:r>
      <w:r>
        <w:rPr/>
        <w:t>药工艺应用到生产中，引进国外现代化生产线，将浸膏烘干、制粒、包衣一步完成，提高了产品科技含量。秉承</w:t>
      </w:r>
      <w:r>
        <w:rPr>
          <w:rFonts w:ascii="Times New Roman" w:hAnsi="Times New Roman" w:cs="Times New Roman" w:eastAsia="Times New Roman" w:hint="default"/>
        </w:rPr>
        <w:t>“</w:t>
      </w:r>
      <w:r>
        <w:rPr/>
        <w:t>销售是企 业生存的命脉</w:t>
      </w:r>
      <w:r>
        <w:rPr>
          <w:rFonts w:ascii="Times New Roman" w:hAnsi="Times New Roman" w:cs="Times New Roman" w:eastAsia="Times New Roman" w:hint="default"/>
        </w:rPr>
        <w:t>”</w:t>
      </w:r>
      <w:r>
        <w:rPr/>
        <w:t>的销售理念。公司在经营战略上一直把销售摆在重要位置上，明确提出了大力实施品牌战略的销售策略，建 </w:t>
      </w:r>
      <w:r>
        <w:rPr>
          <w:spacing w:val="-2"/>
        </w:rPr>
        <w:t>设一流的销售队伍，完善一体化的销售体制，实现了产品定位、物流调度、分配考核、价格管理、市场划分等五个统一，优</w:t>
      </w:r>
      <w:r>
        <w:rPr>
          <w:spacing w:val="-65"/>
        </w:rPr>
        <w:t> </w:t>
      </w:r>
      <w:r>
        <w:rPr>
          <w:spacing w:val="-65"/>
        </w:rPr>
      </w:r>
      <w:r>
        <w:rPr/>
        <w:t>化了资源配置，全面开创销售工作新局面。坚持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的原则。公司在研发激励机制、人力资源配备、技术管理方面制 </w:t>
      </w:r>
      <w:r>
        <w:rPr>
          <w:spacing w:val="-2"/>
        </w:rPr>
        <w:t>定了切实有效的制度和实施程序。每个员工在公司里都有一个自己的成长和表演的舞台，机会面前人人平等，对于优秀人才</w:t>
      </w:r>
      <w:r>
        <w:rPr>
          <w:spacing w:val="-66"/>
        </w:rPr>
        <w:t> </w:t>
      </w:r>
      <w:r>
        <w:rPr>
          <w:spacing w:val="-66"/>
        </w:rPr>
      </w:r>
      <w:r>
        <w:rPr>
          <w:spacing w:val="-2"/>
        </w:rPr>
        <w:t>和对公司有突出贡献的员工给予重用和重奖，充分调动了全体员工的积极性。义不容辞地担负着社会责任。公司自成立之时</w:t>
      </w:r>
      <w:r>
        <w:rPr>
          <w:spacing w:val="-66"/>
        </w:rPr>
        <w:t> </w:t>
      </w:r>
      <w:r>
        <w:rPr>
          <w:spacing w:val="-66"/>
        </w:rPr>
      </w:r>
      <w:r>
        <w:rPr>
          <w:spacing w:val="-4"/>
        </w:rPr>
        <w:t>起本着造福于社会民众为出发点，积极投身捐助、修路等社会公益事业中，创造近千个就业机会。全身心地履行着社会责任。</w:t>
      </w:r>
    </w:p>
    <w:p>
      <w:pPr>
        <w:spacing w:after="0" w:line="309"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9"/>
        <w:jc w:val="left"/>
        <w:rPr>
          <w:b w:val="0"/>
          <w:bCs w:val="0"/>
        </w:rPr>
      </w:pPr>
      <w:r>
        <w:rPr/>
        <w:t>十五、报告期内接待调研、沟通、采访等活动登记表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董事会办公室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公司人参销售情况及证监 会立案稽查进展情况。</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2783"/>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9"/>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 媒体质疑情况</w:t>
      </w:r>
    </w:p>
    <w:p>
      <w:pPr>
        <w:pStyle w:val="BodyText"/>
        <w:spacing w:line="240" w:lineRule="auto" w:before="35"/>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《第一财经日报》刊</w:t>
            </w:r>
          </w:p>
        </w:tc>
        <w:tc>
          <w:tcPr>
            <w:tcW w:w="3191"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r>
      <w:tr>
        <w:trPr>
          <w:trHeight w:val="1243"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95"/>
              <w:jc w:val="both"/>
              <w:rPr>
                <w:rFonts w:ascii="宋体" w:hAnsi="宋体" w:cs="宋体" w:eastAsia="宋体" w:hint="default"/>
                <w:sz w:val="18"/>
                <w:szCs w:val="18"/>
              </w:rPr>
            </w:pPr>
            <w:r>
              <w:rPr>
                <w:rFonts w:ascii="宋体" w:hAnsi="宋体" w:cs="宋体" w:eastAsia="宋体" w:hint="default"/>
                <w:sz w:val="18"/>
                <w:szCs w:val="18"/>
              </w:rPr>
              <w:t>登并被各网站转载的标题为《紫鑫药业 财报成谜》的报道，报道中对公司财务 报告有关数据产生质疑，公司十分关注 上述报道，并对报道中涉及事项逐一核</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09" w:lineRule="auto"/>
              <w:ind w:left="22" w:right="20"/>
              <w:jc w:val="both"/>
              <w:rPr>
                <w:rFonts w:ascii="宋体" w:hAnsi="宋体" w:cs="宋体" w:eastAsia="宋体" w:hint="default"/>
                <w:sz w:val="18"/>
                <w:szCs w:val="18"/>
              </w:rPr>
            </w:pPr>
            <w:r>
              <w:rPr>
                <w:rFonts w:ascii="宋体" w:hAnsi="宋体" w:cs="宋体" w:eastAsia="宋体" w:hint="default"/>
                <w:spacing w:val="-6"/>
                <w:sz w:val="18"/>
                <w:szCs w:val="18"/>
              </w:rPr>
              <w:t>公告名称：《吉林紫鑫药业股份有限公司</w:t>
            </w:r>
            <w:r>
              <w:rPr>
                <w:rFonts w:ascii="宋体" w:hAnsi="宋体" w:cs="宋体" w:eastAsia="宋体" w:hint="default"/>
                <w:sz w:val="18"/>
                <w:szCs w:val="18"/>
              </w:rPr>
              <w:t> </w:t>
            </w:r>
            <w:r>
              <w:rPr>
                <w:rFonts w:ascii="宋体" w:hAnsi="宋体" w:cs="宋体" w:eastAsia="宋体" w:hint="default"/>
                <w:spacing w:val="-5"/>
                <w:sz w:val="18"/>
                <w:szCs w:val="18"/>
              </w:rPr>
              <w:t>澄清公告》；公告编号：</w:t>
            </w:r>
            <w:r>
              <w:rPr>
                <w:rFonts w:ascii="Times New Roman" w:hAnsi="Times New Roman" w:cs="Times New Roman" w:eastAsia="Times New Roman" w:hint="default"/>
                <w:spacing w:val="-5"/>
                <w:sz w:val="18"/>
                <w:szCs w:val="18"/>
              </w:rPr>
              <w:t>2012-026</w:t>
            </w:r>
            <w:r>
              <w:rPr>
                <w:rFonts w:ascii="宋体" w:hAnsi="宋体" w:cs="宋体" w:eastAsia="宋体" w:hint="default"/>
                <w:spacing w:val="-5"/>
                <w:sz w:val="18"/>
                <w:szCs w:val="18"/>
              </w:rPr>
              <w:t>；披露</w:t>
            </w:r>
            <w:r>
              <w:rPr>
                <w:rFonts w:ascii="宋体" w:hAnsi="宋体" w:cs="宋体" w:eastAsia="宋体" w:hint="default"/>
                <w:spacing w:val="-70"/>
                <w:sz w:val="18"/>
                <w:szCs w:val="18"/>
              </w:rPr>
              <w:t> </w:t>
            </w:r>
            <w:r>
              <w:rPr>
                <w:rFonts w:ascii="宋体" w:hAnsi="宋体" w:cs="宋体" w:eastAsia="宋体" w:hint="default"/>
                <w:sz w:val="18"/>
                <w:szCs w:val="18"/>
              </w:rPr>
              <w:t>网站：巨潮资讯网。</w:t>
            </w:r>
          </w:p>
        </w:tc>
      </w:tr>
      <w:tr>
        <w:trPr>
          <w:trHeight w:val="357"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查后发布了澄清公告。</w:t>
            </w:r>
          </w:p>
        </w:tc>
        <w:tc>
          <w:tcPr>
            <w:tcW w:w="3191"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《新财经》刊登并被</w:t>
            </w:r>
          </w:p>
        </w:tc>
        <w:tc>
          <w:tcPr>
            <w:tcW w:w="3191"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r>
      <w:tr>
        <w:trPr>
          <w:trHeight w:val="1243"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95"/>
              <w:jc w:val="both"/>
              <w:rPr>
                <w:rFonts w:ascii="宋体" w:hAnsi="宋体" w:cs="宋体" w:eastAsia="宋体" w:hint="default"/>
                <w:sz w:val="18"/>
                <w:szCs w:val="18"/>
              </w:rPr>
            </w:pPr>
            <w:r>
              <w:rPr>
                <w:rFonts w:ascii="宋体" w:hAnsi="宋体" w:cs="宋体" w:eastAsia="宋体" w:hint="default"/>
                <w:sz w:val="18"/>
                <w:szCs w:val="18"/>
              </w:rPr>
              <w:t>各网站转载的标题为《紫鑫药业：刀口 舔血》的报道，报道中对公司财务报告 有关数据产生质疑，公司十分关注上述 报道，并对报道中涉及事项逐一核查后</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09" w:lineRule="auto"/>
              <w:ind w:left="22" w:right="20"/>
              <w:jc w:val="both"/>
              <w:rPr>
                <w:rFonts w:ascii="宋体" w:hAnsi="宋体" w:cs="宋体" w:eastAsia="宋体" w:hint="default"/>
                <w:sz w:val="18"/>
                <w:szCs w:val="18"/>
              </w:rPr>
            </w:pPr>
            <w:r>
              <w:rPr>
                <w:rFonts w:ascii="宋体" w:hAnsi="宋体" w:cs="宋体" w:eastAsia="宋体" w:hint="default"/>
                <w:spacing w:val="-6"/>
                <w:sz w:val="18"/>
                <w:szCs w:val="18"/>
              </w:rPr>
              <w:t>公告名称：《吉林紫鑫药业股份有限公司</w:t>
            </w:r>
            <w:r>
              <w:rPr>
                <w:rFonts w:ascii="宋体" w:hAnsi="宋体" w:cs="宋体" w:eastAsia="宋体" w:hint="default"/>
                <w:sz w:val="18"/>
                <w:szCs w:val="18"/>
              </w:rPr>
              <w:t> </w:t>
            </w:r>
            <w:r>
              <w:rPr>
                <w:rFonts w:ascii="宋体" w:hAnsi="宋体" w:cs="宋体" w:eastAsia="宋体" w:hint="default"/>
                <w:spacing w:val="-5"/>
                <w:sz w:val="18"/>
                <w:szCs w:val="18"/>
              </w:rPr>
              <w:t>澄清公告》；公告编号：</w:t>
            </w:r>
            <w:r>
              <w:rPr>
                <w:rFonts w:ascii="Times New Roman" w:hAnsi="Times New Roman" w:cs="Times New Roman" w:eastAsia="Times New Roman" w:hint="default"/>
                <w:spacing w:val="-5"/>
                <w:sz w:val="18"/>
                <w:szCs w:val="18"/>
              </w:rPr>
              <w:t>2012-033</w:t>
            </w:r>
            <w:r>
              <w:rPr>
                <w:rFonts w:ascii="宋体" w:hAnsi="宋体" w:cs="宋体" w:eastAsia="宋体" w:hint="default"/>
                <w:spacing w:val="-5"/>
                <w:sz w:val="18"/>
                <w:szCs w:val="18"/>
              </w:rPr>
              <w:t>；披露</w:t>
            </w:r>
            <w:r>
              <w:rPr>
                <w:rFonts w:ascii="宋体" w:hAnsi="宋体" w:cs="宋体" w:eastAsia="宋体" w:hint="default"/>
                <w:spacing w:val="-70"/>
                <w:sz w:val="18"/>
                <w:szCs w:val="18"/>
              </w:rPr>
              <w:t> </w:t>
            </w:r>
            <w:r>
              <w:rPr>
                <w:rFonts w:ascii="宋体" w:hAnsi="宋体" w:cs="宋体" w:eastAsia="宋体" w:hint="default"/>
                <w:sz w:val="18"/>
                <w:szCs w:val="18"/>
              </w:rPr>
              <w:t>网站：巨潮资讯网。</w:t>
            </w:r>
          </w:p>
        </w:tc>
      </w:tr>
      <w:tr>
        <w:trPr>
          <w:trHeight w:val="357"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发布了澄清公告。</w:t>
            </w:r>
          </w:p>
        </w:tc>
        <w:tc>
          <w:tcPr>
            <w:tcW w:w="3191"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49"/>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4"/>
        <w:gridCol w:w="970"/>
        <w:gridCol w:w="945"/>
        <w:gridCol w:w="982"/>
        <w:gridCol w:w="945"/>
        <w:gridCol w:w="956"/>
        <w:gridCol w:w="958"/>
        <w:gridCol w:w="944"/>
        <w:gridCol w:w="968"/>
        <w:gridCol w:w="946"/>
      </w:tblGrid>
      <w:tr>
        <w:trPr>
          <w:trHeight w:val="161" w:hRule="exact"/>
        </w:trPr>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70" w:type="dxa"/>
            <w:vMerge w:val="restart"/>
            <w:tcBorders>
              <w:top w:val="single" w:sz="4" w:space="0" w:color="000000"/>
              <w:left w:val="single" w:sz="4" w:space="0" w:color="000000"/>
              <w:right w:val="single" w:sz="4" w:space="0" w:color="000000"/>
            </w:tcBorders>
            <w:shd w:val="clear" w:color="auto" w:fill="D3D3D3"/>
          </w:tcPr>
          <w:p>
            <w:pPr/>
          </w:p>
        </w:tc>
        <w:tc>
          <w:tcPr>
            <w:tcW w:w="945" w:type="dxa"/>
            <w:vMerge w:val="restart"/>
            <w:tcBorders>
              <w:top w:val="single" w:sz="4" w:space="0" w:color="000000"/>
              <w:left w:val="single" w:sz="4" w:space="0" w:color="000000"/>
              <w:right w:val="single" w:sz="4" w:space="0" w:color="000000"/>
            </w:tcBorders>
            <w:shd w:val="clear" w:color="auto" w:fill="D3D3D3"/>
          </w:tcPr>
          <w:p>
            <w:pPr/>
          </w:p>
        </w:tc>
        <w:tc>
          <w:tcPr>
            <w:tcW w:w="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94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1" w:right="22"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94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91" w:right="11"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70" w:type="dxa"/>
            <w:vMerge/>
            <w:tcBorders>
              <w:left w:val="single" w:sz="4" w:space="0" w:color="000000"/>
              <w:bottom w:val="nil" w:sz="6" w:space="0" w:color="auto"/>
              <w:right w:val="single" w:sz="4" w:space="0" w:color="000000"/>
            </w:tcBorders>
            <w:shd w:val="clear" w:color="auto" w:fill="D3D3D3"/>
          </w:tcPr>
          <w:p>
            <w:pPr/>
          </w:p>
        </w:tc>
        <w:tc>
          <w:tcPr>
            <w:tcW w:w="945" w:type="dxa"/>
            <w:vMerge/>
            <w:tcBorders>
              <w:left w:val="single" w:sz="4" w:space="0" w:color="000000"/>
              <w:bottom w:val="nil" w:sz="6" w:space="0" w:color="auto"/>
              <w:right w:val="single" w:sz="4" w:space="0" w:color="000000"/>
            </w:tcBorders>
            <w:shd w:val="clear" w:color="auto" w:fill="D3D3D3"/>
          </w:tcPr>
          <w:p>
            <w:pPr/>
          </w:p>
        </w:tc>
        <w:tc>
          <w:tcPr>
            <w:tcW w:w="98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06" w:right="33" w:hanging="270"/>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45"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93" w:right="22" w:hanging="270"/>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4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83" w:right="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6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4" w:right="22"/>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4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2" w:hRule="exact"/>
        </w:trPr>
        <w:tc>
          <w:tcPr>
            <w:tcW w:w="934" w:type="dxa"/>
            <w:vMerge/>
            <w:tcBorders>
              <w:left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82" w:type="dxa"/>
            <w:vMerge/>
            <w:tcBorders>
              <w:left w:val="single" w:sz="4" w:space="0" w:color="000000"/>
              <w:right w:val="single" w:sz="4" w:space="0" w:color="000000"/>
            </w:tcBorders>
            <w:shd w:val="clear" w:color="auto" w:fill="D3D3D3"/>
          </w:tcPr>
          <w:p>
            <w:pPr/>
          </w:p>
        </w:tc>
        <w:tc>
          <w:tcPr>
            <w:tcW w:w="945"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68" w:type="dxa"/>
            <w:vMerge/>
            <w:tcBorders>
              <w:left w:val="single" w:sz="4" w:space="0" w:color="000000"/>
              <w:right w:val="single" w:sz="4" w:space="0" w:color="000000"/>
            </w:tcBorders>
            <w:shd w:val="clear" w:color="auto" w:fill="D3D3D3"/>
          </w:tcPr>
          <w:p>
            <w:pPr/>
          </w:p>
        </w:tc>
        <w:tc>
          <w:tcPr>
            <w:tcW w:w="946" w:type="dxa"/>
            <w:vMerge/>
            <w:tcBorders>
              <w:left w:val="single" w:sz="4" w:space="0" w:color="000000"/>
              <w:right w:val="single" w:sz="4" w:space="0" w:color="000000"/>
            </w:tcBorders>
            <w:shd w:val="clear" w:color="auto" w:fill="D3D3D3"/>
          </w:tcPr>
          <w:p>
            <w:pPr/>
          </w:p>
        </w:tc>
      </w:tr>
      <w:tr>
        <w:trPr>
          <w:trHeight w:val="156" w:hRule="exact"/>
        </w:trPr>
        <w:tc>
          <w:tcPr>
            <w:tcW w:w="934" w:type="dxa"/>
            <w:vMerge/>
            <w:tcBorders>
              <w:left w:val="single" w:sz="4" w:space="0" w:color="000000"/>
              <w:bottom w:val="nil" w:sz="6" w:space="0" w:color="auto"/>
              <w:right w:val="single" w:sz="4" w:space="0" w:color="000000"/>
            </w:tcBorders>
            <w:shd w:val="clear" w:color="auto" w:fill="D3D3D3"/>
          </w:tcPr>
          <w:p>
            <w:pPr/>
          </w:p>
        </w:tc>
        <w:tc>
          <w:tcPr>
            <w:tcW w:w="970" w:type="dxa"/>
            <w:vMerge w:val="restart"/>
            <w:tcBorders>
              <w:top w:val="nil" w:sz="6" w:space="0" w:color="auto"/>
              <w:left w:val="single" w:sz="4" w:space="0" w:color="000000"/>
              <w:right w:val="single" w:sz="4" w:space="0" w:color="000000"/>
            </w:tcBorders>
            <w:shd w:val="clear" w:color="auto" w:fill="D3D3D3"/>
          </w:tcPr>
          <w:p>
            <w:pPr/>
          </w:p>
        </w:tc>
        <w:tc>
          <w:tcPr>
            <w:tcW w:w="945" w:type="dxa"/>
            <w:vMerge w:val="restart"/>
            <w:tcBorders>
              <w:top w:val="nil" w:sz="6" w:space="0" w:color="auto"/>
              <w:left w:val="single" w:sz="4" w:space="0" w:color="000000"/>
              <w:right w:val="single" w:sz="4" w:space="0" w:color="000000"/>
            </w:tcBorders>
            <w:shd w:val="clear" w:color="auto" w:fill="D3D3D3"/>
          </w:tcPr>
          <w:p>
            <w:pPr/>
          </w:p>
        </w:tc>
        <w:tc>
          <w:tcPr>
            <w:tcW w:w="982" w:type="dxa"/>
            <w:vMerge/>
            <w:tcBorders>
              <w:left w:val="single" w:sz="4" w:space="0" w:color="000000"/>
              <w:bottom w:val="nil" w:sz="6" w:space="0" w:color="auto"/>
              <w:right w:val="single" w:sz="4" w:space="0" w:color="000000"/>
            </w:tcBorders>
            <w:shd w:val="clear" w:color="auto" w:fill="D3D3D3"/>
          </w:tcPr>
          <w:p>
            <w:pPr/>
          </w:p>
        </w:tc>
        <w:tc>
          <w:tcPr>
            <w:tcW w:w="945"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44" w:type="dxa"/>
            <w:vMerge/>
            <w:tcBorders>
              <w:left w:val="single" w:sz="4" w:space="0" w:color="000000"/>
              <w:bottom w:val="nil" w:sz="6" w:space="0" w:color="auto"/>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946"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45" w:type="dxa"/>
            <w:vMerge/>
            <w:tcBorders>
              <w:left w:val="single" w:sz="4" w:space="0" w:color="000000"/>
              <w:bottom w:val="single" w:sz="4" w:space="0" w:color="000000"/>
              <w:right w:val="single" w:sz="4" w:space="0" w:color="000000"/>
            </w:tcBorders>
            <w:shd w:val="clear" w:color="auto" w:fill="D3D3D3"/>
          </w:tcPr>
          <w:p>
            <w:pPr/>
          </w:p>
        </w:tc>
        <w:tc>
          <w:tcPr>
            <w:tcW w:w="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945"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94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无</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49"/>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9"/>
        <w:gridCol w:w="750"/>
        <w:gridCol w:w="749"/>
        <w:gridCol w:w="749"/>
        <w:gridCol w:w="1214"/>
        <w:gridCol w:w="1121"/>
        <w:gridCol w:w="749"/>
        <w:gridCol w:w="624"/>
        <w:gridCol w:w="872"/>
        <w:gridCol w:w="996"/>
        <w:gridCol w:w="996"/>
      </w:tblGrid>
      <w:tr>
        <w:trPr>
          <w:trHeight w:val="2586" w:hRule="exact"/>
        </w:trPr>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98" w:right="98"/>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99"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98" w:right="9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79" w:right="97"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60" w:firstLine="39"/>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净利润（万元</w:t>
            </w:r>
          </w:p>
          <w:p>
            <w:pPr>
              <w:pStyle w:val="TableParagraph"/>
              <w:spacing w:line="319" w:lineRule="auto" w:before="19"/>
              <w:ind w:left="62" w:right="60"/>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2"/>
              <w:ind w:left="105" w:right="103"/>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5" w:right="0" w:hanging="46"/>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（适</w:t>
            </w:r>
          </w:p>
          <w:p>
            <w:pPr>
              <w:pStyle w:val="TableParagraph"/>
              <w:spacing w:line="319" w:lineRule="auto" w:before="76"/>
              <w:ind w:left="105" w:right="103"/>
              <w:jc w:val="center"/>
              <w:rPr>
                <w:rFonts w:ascii="宋体" w:hAnsi="宋体" w:cs="宋体" w:eastAsia="宋体" w:hint="default"/>
                <w:sz w:val="18"/>
                <w:szCs w:val="18"/>
              </w:rPr>
            </w:pPr>
            <w:r>
              <w:rPr>
                <w:rFonts w:ascii="宋体" w:hAnsi="宋体" w:cs="宋体" w:eastAsia="宋体" w:hint="default"/>
                <w:sz w:val="18"/>
                <w:szCs w:val="18"/>
              </w:rPr>
              <w:t>用于同一控 制下的企业 合并）</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9"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35" w:right="3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20"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357" w:lineRule="auto" w:before="51"/>
        <w:ind w:left="153" w:right="8191"/>
        <w:jc w:val="left"/>
      </w:pPr>
      <w:r>
        <w:rPr/>
        <w:t>收购资产情况概述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4"/>
        <w:gridCol w:w="683"/>
        <w:gridCol w:w="685"/>
        <w:gridCol w:w="685"/>
        <w:gridCol w:w="685"/>
        <w:gridCol w:w="684"/>
        <w:gridCol w:w="684"/>
        <w:gridCol w:w="684"/>
        <w:gridCol w:w="683"/>
        <w:gridCol w:w="683"/>
        <w:gridCol w:w="683"/>
        <w:gridCol w:w="682"/>
        <w:gridCol w:w="680"/>
        <w:gridCol w:w="679"/>
      </w:tblGrid>
      <w:tr>
        <w:trPr>
          <w:trHeight w:val="358" w:hRule="exact"/>
        </w:trPr>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本期初</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资产出</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起至出</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售为上</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与交易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tcBorders>
              <w:top w:val="nil" w:sz="6" w:space="0" w:color="auto"/>
              <w:left w:val="single" w:sz="4" w:space="0" w:color="000000"/>
              <w:bottom w:val="nil" w:sz="6" w:space="0" w:color="auto"/>
              <w:right w:val="single" w:sz="4" w:space="0" w:color="000000"/>
            </w:tcBorders>
            <w:shd w:val="clear" w:color="auto" w:fill="D3D3D3"/>
          </w:tcPr>
          <w:p>
            <w:pPr/>
          </w:p>
        </w:tc>
        <w:tc>
          <w:tcPr>
            <w:tcW w:w="67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0"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6"/>
              <w:jc w:val="both"/>
              <w:rPr>
                <w:rFonts w:ascii="宋体" w:hAnsi="宋体" w:cs="宋体" w:eastAsia="宋体" w:hint="default"/>
                <w:sz w:val="18"/>
                <w:szCs w:val="18"/>
              </w:rPr>
            </w:pPr>
            <w:r>
              <w:rPr>
                <w:rFonts w:ascii="宋体" w:hAnsi="宋体" w:cs="宋体" w:eastAsia="宋体" w:hint="default"/>
                <w:sz w:val="18"/>
                <w:szCs w:val="18"/>
              </w:rPr>
              <w:t>售日该 资产为 上市公 司贡献 的净利</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66"/>
              <w:jc w:val="both"/>
              <w:rPr>
                <w:rFonts w:ascii="宋体" w:hAnsi="宋体" w:cs="宋体" w:eastAsia="宋体" w:hint="default"/>
                <w:sz w:val="18"/>
                <w:szCs w:val="18"/>
              </w:rPr>
            </w:pPr>
            <w:r>
              <w:rPr>
                <w:rFonts w:ascii="宋体" w:hAnsi="宋体" w:cs="宋体" w:eastAsia="宋体" w:hint="default"/>
                <w:sz w:val="18"/>
                <w:szCs w:val="18"/>
              </w:rPr>
              <w:t>市公司 贡献的 净利润 占利润 总额的</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对方的 关联关 系（适 用关联 交易情</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4"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13"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润（万</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形）</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tcBorders>
              <w:top w:val="nil" w:sz="6" w:space="0" w:color="auto"/>
              <w:left w:val="single" w:sz="4" w:space="0" w:color="000000"/>
              <w:bottom w:val="nil" w:sz="6" w:space="0" w:color="auto"/>
              <w:right w:val="single" w:sz="4" w:space="0" w:color="000000"/>
            </w:tcBorders>
            <w:shd w:val="clear" w:color="auto" w:fill="D3D3D3"/>
          </w:tcPr>
          <w:p>
            <w:pPr/>
          </w:p>
        </w:tc>
        <w:tc>
          <w:tcPr>
            <w:tcW w:w="67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6" w:hRule="exact"/>
        </w:trPr>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1"/>
        <w:ind w:left="153" w:right="8191"/>
        <w:jc w:val="left"/>
      </w:pPr>
      <w:r>
        <w:rPr/>
        <w:t>出售资产情况概述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7"/>
        <w:gridCol w:w="798"/>
        <w:gridCol w:w="798"/>
        <w:gridCol w:w="798"/>
        <w:gridCol w:w="800"/>
        <w:gridCol w:w="797"/>
        <w:gridCol w:w="798"/>
        <w:gridCol w:w="798"/>
        <w:gridCol w:w="798"/>
        <w:gridCol w:w="798"/>
        <w:gridCol w:w="796"/>
        <w:gridCol w:w="797"/>
      </w:tblGrid>
      <w:tr>
        <w:trPr>
          <w:trHeight w:val="708"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关联交易 金额（万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7"/>
        <w:gridCol w:w="798"/>
        <w:gridCol w:w="798"/>
        <w:gridCol w:w="787"/>
        <w:gridCol w:w="800"/>
        <w:gridCol w:w="809"/>
        <w:gridCol w:w="798"/>
        <w:gridCol w:w="787"/>
        <w:gridCol w:w="798"/>
        <w:gridCol w:w="798"/>
        <w:gridCol w:w="795"/>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44"/>
        <w:gridCol w:w="737"/>
        <w:gridCol w:w="743"/>
        <w:gridCol w:w="734"/>
        <w:gridCol w:w="732"/>
        <w:gridCol w:w="736"/>
        <w:gridCol w:w="734"/>
        <w:gridCol w:w="736"/>
        <w:gridCol w:w="734"/>
        <w:gridCol w:w="739"/>
        <w:gridCol w:w="732"/>
        <w:gridCol w:w="730"/>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77" w:right="95"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96" w:right="9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0"/>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3" w:right="90"/>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4"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2"/>
        <w:rPr>
          <w:rFonts w:ascii="宋体" w:hAnsi="宋体" w:cs="宋体" w:eastAsia="宋体" w:hint="default"/>
          <w:b/>
          <w:bCs/>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4"/>
        <w:gridCol w:w="1062"/>
        <w:gridCol w:w="1064"/>
        <w:gridCol w:w="1067"/>
        <w:gridCol w:w="1066"/>
        <w:gridCol w:w="1064"/>
        <w:gridCol w:w="1062"/>
        <w:gridCol w:w="1063"/>
        <w:gridCol w:w="1056"/>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7"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hanging="2"/>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20" w:hanging="2"/>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hanging="2"/>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line="240" w:lineRule="auto" w:before="3"/>
        <w:rPr>
          <w:rFonts w:ascii="宋体" w:hAnsi="宋体" w:cs="宋体" w:eastAsia="宋体" w:hint="default"/>
          <w:b/>
          <w:bCs/>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是否存在非经营性关联债权债务往来</w:t>
      </w:r>
    </w:p>
    <w:p>
      <w:pPr>
        <w:pStyle w:val="BodyText"/>
        <w:spacing w:line="240" w:lineRule="auto" w:before="116"/>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530"/>
        <w:jc w:val="left"/>
      </w:pPr>
      <w:r>
        <w:rPr/>
        <w:t>无。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4"/>
        <w:rPr>
          <w:rFonts w:ascii="宋体" w:hAnsi="宋体" w:cs="宋体" w:eastAsia="宋体" w:hint="default"/>
          <w:sz w:val="19"/>
          <w:szCs w:val="19"/>
        </w:rPr>
      </w:pPr>
    </w:p>
    <w:p>
      <w:pPr>
        <w:pStyle w:val="Heading2"/>
        <w:spacing w:line="240" w:lineRule="auto" w:before="26"/>
        <w:ind w:right="149"/>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690"/>
        <w:jc w:val="left"/>
      </w:pPr>
      <w:r>
        <w:rPr/>
        <w:t>托管情况说明 无托管情况。</w:t>
      </w:r>
    </w:p>
    <w:p>
      <w:pPr>
        <w:pStyle w:val="BodyText"/>
        <w:spacing w:line="240" w:lineRule="auto" w:before="29"/>
        <w:ind w:right="14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690"/>
        <w:jc w:val="left"/>
      </w:pPr>
      <w:r>
        <w:rPr/>
        <w:t>承包情况说明 无承包情况。</w:t>
      </w:r>
    </w:p>
    <w:p>
      <w:pPr>
        <w:pStyle w:val="BodyText"/>
        <w:spacing w:line="240" w:lineRule="auto" w:before="29"/>
        <w:ind w:right="14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690"/>
        <w:jc w:val="left"/>
      </w:pPr>
      <w:r>
        <w:rPr/>
        <w:t>租赁情况说明 无租赁情况。</w:t>
      </w:r>
    </w:p>
    <w:p>
      <w:pPr>
        <w:pStyle w:val="BodyText"/>
        <w:spacing w:line="240" w:lineRule="auto" w:before="29"/>
        <w:ind w:right="14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35"/>
        <w:gridCol w:w="941"/>
        <w:gridCol w:w="1216"/>
        <w:gridCol w:w="1175"/>
        <w:gridCol w:w="1091"/>
        <w:gridCol w:w="1018"/>
        <w:gridCol w:w="803"/>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4"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4"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吉林草还丹药业有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吉林草还丹药业有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 w:right="74"/>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 w:right="74"/>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3"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 w:right="74"/>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w:t>
            </w:r>
          </w:p>
        </w:tc>
      </w:tr>
      <w:tr>
        <w:trPr>
          <w:trHeight w:val="715"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670"/>
        <w:gridCol w:w="4891"/>
      </w:tblGrid>
      <w:tr>
        <w:trPr>
          <w:trHeight w:val="402"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95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3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49"/>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5"/>
        <w:gridCol w:w="1995"/>
        <w:gridCol w:w="1981"/>
        <w:gridCol w:w="1982"/>
        <w:gridCol w:w="1982"/>
      </w:tblGrid>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41"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2"/>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4"/>
        <w:rPr>
          <w:rFonts w:ascii="宋体" w:hAnsi="宋体" w:cs="宋体" w:eastAsia="宋体" w:hint="default"/>
          <w:b/>
          <w:bCs/>
          <w:sz w:val="25"/>
          <w:szCs w:val="25"/>
        </w:rPr>
      </w:pPr>
    </w:p>
    <w:p>
      <w:pPr>
        <w:spacing w:line="1358" w:lineRule="exact"/>
        <w:ind w:left="14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1pt;height:67.95pt;mso-position-horizontal-relative:char;mso-position-vertical-relative:line" coordorigin="0,0" coordsize="9582,1359">
            <v:group style="position:absolute;left:14;top:1187;width:861;height:156" coordorigin="14,1187" coordsize="861,156">
              <v:shape style="position:absolute;left:14;top:1187;width:861;height:156" coordorigin="14,1187" coordsize="861,156" path="m14,1343l875,1343,875,1187,14,1187,14,1343xe" filled="true" fillcolor="#d3d3d3" stroked="false">
                <v:path arrowok="t"/>
                <v:fill type="solid"/>
              </v:shape>
            </v:group>
            <v:group style="position:absolute;left:26;top:171;width:2;height:1016" coordorigin="26,171" coordsize="2,1016">
              <v:shape style="position:absolute;left:26;top:171;width:2;height:1016" coordorigin="26,171" coordsize="0,1016" path="m26,171l26,1187e" filled="false" stroked="true" strokeweight="1.140pt" strokecolor="#d3d3d3">
                <v:path arrowok="t"/>
              </v:shape>
            </v:group>
            <v:group style="position:absolute;left:14;top:15;width:861;height:156" coordorigin="14,15" coordsize="861,156">
              <v:shape style="position:absolute;left:14;top:15;width:861;height:156" coordorigin="14,15" coordsize="861,156" path="m14,171l875,171,875,15,14,15,14,171xe" filled="true" fillcolor="#d3d3d3" stroked="false">
                <v:path arrowok="t"/>
                <v:fill type="solid"/>
              </v:shape>
            </v:group>
            <v:group style="position:absolute;left:863;top:172;width:2;height:1016" coordorigin="863,172" coordsize="2,1016">
              <v:shape style="position:absolute;left:863;top:172;width:2;height:1016" coordorigin="863,172" coordsize="0,1016" path="m863,172l863,1187e" filled="false" stroked="true" strokeweight="1.140pt" strokecolor="#d3d3d3">
                <v:path arrowok="t"/>
              </v:shape>
            </v:group>
            <v:group style="position:absolute;left:37;top:172;width:815;height:352" coordorigin="37,172" coordsize="815,352">
              <v:shape style="position:absolute;left:37;top:172;width:815;height:352" coordorigin="37,172" coordsize="815,352" path="m37,523l852,523,852,172,37,172,37,523xe" filled="true" fillcolor="#d3d3d3" stroked="false">
                <v:path arrowok="t"/>
                <v:fill type="solid"/>
              </v:shape>
            </v:group>
            <v:group style="position:absolute;left:37;top:523;width:815;height:312" coordorigin="37,523" coordsize="815,312">
              <v:shape style="position:absolute;left:37;top:523;width:815;height:312" coordorigin="37,523" coordsize="815,312" path="m37,835l852,835,852,523,37,523,37,835xe" filled="true" fillcolor="#d3d3d3" stroked="false">
                <v:path arrowok="t"/>
                <v:fill type="solid"/>
              </v:shape>
            </v:group>
            <v:group style="position:absolute;left:37;top:835;width:815;height:352" coordorigin="37,835" coordsize="815,352">
              <v:shape style="position:absolute;left:37;top:835;width:815;height:352" coordorigin="37,835" coordsize="815,352" path="m37,1187l852,1187,852,835,37,835,37,1187xe" filled="true" fillcolor="#d3d3d3" stroked="false">
                <v:path arrowok="t"/>
                <v:fill type="solid"/>
              </v:shape>
            </v:group>
            <v:group style="position:absolute;left:884;top:1031;width:861;height:312" coordorigin="884,1031" coordsize="861,312">
              <v:shape style="position:absolute;left:884;top:1031;width:861;height:312" coordorigin="884,1031" coordsize="861,312" path="m884,1343l1745,1343,1745,1031,884,1031,884,1343xe" filled="true" fillcolor="#d3d3d3" stroked="false">
                <v:path arrowok="t"/>
                <v:fill type="solid"/>
              </v:shape>
            </v:group>
            <v:group style="position:absolute;left:896;top:327;width:2;height:704" coordorigin="896,327" coordsize="2,704">
              <v:shape style="position:absolute;left:896;top:327;width:2;height:704" coordorigin="896,327" coordsize="0,704" path="m896,327l896,1031e" filled="false" stroked="true" strokeweight="1.140pt" strokecolor="#d3d3d3">
                <v:path arrowok="t"/>
              </v:shape>
            </v:group>
            <v:group style="position:absolute;left:884;top:15;width:861;height:312" coordorigin="884,15" coordsize="861,312">
              <v:shape style="position:absolute;left:884;top:15;width:861;height:312" coordorigin="884,15" coordsize="861,312" path="m884,327l1745,327,1745,15,884,15,884,327xe" filled="true" fillcolor="#d3d3d3" stroked="false">
                <v:path arrowok="t"/>
                <v:fill type="solid"/>
              </v:shape>
            </v:group>
            <v:group style="position:absolute;left:1733;top:328;width:2;height:704" coordorigin="1733,328" coordsize="2,704">
              <v:shape style="position:absolute;left:1733;top:328;width:2;height:704" coordorigin="1733,328" coordsize="0,704" path="m1733,328l1733,1031e" filled="false" stroked="true" strokeweight="1.140pt" strokecolor="#d3d3d3">
                <v:path arrowok="t"/>
              </v:shape>
            </v:group>
            <v:group style="position:absolute;left:907;top:328;width:815;height:352" coordorigin="907,328" coordsize="815,352">
              <v:shape style="position:absolute;left:907;top:328;width:815;height:352" coordorigin="907,328" coordsize="815,352" path="m907,679l1722,679,1722,328,907,328,907,679xe" filled="true" fillcolor="#d3d3d3" stroked="false">
                <v:path arrowok="t"/>
                <v:fill type="solid"/>
              </v:shape>
            </v:group>
            <v:group style="position:absolute;left:907;top:679;width:815;height:352" coordorigin="907,679" coordsize="815,352">
              <v:shape style="position:absolute;left:907;top:679;width:815;height:352" coordorigin="907,679" coordsize="815,352" path="m907,1031l1722,1031,1722,679,907,679,907,1031xe" filled="true" fillcolor="#d3d3d3" stroked="false">
                <v:path arrowok="t"/>
                <v:fill type="solid"/>
              </v:shape>
            </v:group>
            <v:group style="position:absolute;left:1766;top:16;width:2;height:1328" coordorigin="1766,16" coordsize="2,1328">
              <v:shape style="position:absolute;left:1766;top:16;width:2;height:1328" coordorigin="1766,16" coordsize="0,1328" path="m1766,16l1766,1343e" filled="false" stroked="true" strokeweight="1.140pt" strokecolor="#d3d3d3">
                <v:path arrowok="t"/>
              </v:shape>
            </v:group>
            <v:group style="position:absolute;left:2603;top:16;width:2;height:1328" coordorigin="2603,16" coordsize="2,1328">
              <v:shape style="position:absolute;left:2603;top:16;width:2;height:1328" coordorigin="2603,16" coordsize="0,1328" path="m2603,16l2603,1343e" filled="false" stroked="true" strokeweight="1.140pt" strokecolor="#d3d3d3">
                <v:path arrowok="t"/>
              </v:shape>
            </v:group>
            <v:group style="position:absolute;left:1777;top:16;width:815;height:352" coordorigin="1777,16" coordsize="815,352">
              <v:shape style="position:absolute;left:1777;top:16;width:815;height:352" coordorigin="1777,16" coordsize="815,352" path="m1777,367l2592,367,2592,16,1777,16,1777,367xe" filled="true" fillcolor="#d3d3d3" stroked="false">
                <v:path arrowok="t"/>
                <v:fill type="solid"/>
              </v:shape>
            </v:group>
            <v:group style="position:absolute;left:1777;top:367;width:815;height:312" coordorigin="1777,367" coordsize="815,312">
              <v:shape style="position:absolute;left:1777;top:367;width:815;height:312" coordorigin="1777,367" coordsize="815,312" path="m1777,679l2592,679,2592,367,1777,367,1777,679xe" filled="true" fillcolor="#d3d3d3" stroked="false">
                <v:path arrowok="t"/>
                <v:fill type="solid"/>
              </v:shape>
            </v:group>
            <v:group style="position:absolute;left:1777;top:679;width:815;height:312" coordorigin="1777,679" coordsize="815,312">
              <v:shape style="position:absolute;left:1777;top:679;width:815;height:312" coordorigin="1777,679" coordsize="815,312" path="m1777,991l2592,991,2592,679,1777,679,1777,991xe" filled="true" fillcolor="#d3d3d3" stroked="false">
                <v:path arrowok="t"/>
                <v:fill type="solid"/>
              </v:shape>
            </v:group>
            <v:group style="position:absolute;left:1777;top:991;width:815;height:352" coordorigin="1777,991" coordsize="815,352">
              <v:shape style="position:absolute;left:1777;top:991;width:815;height:352" coordorigin="1777,991" coordsize="815,352" path="m1777,1343l2592,1343,2592,991,1777,991,1777,1343xe" filled="true" fillcolor="#d3d3d3" stroked="false">
                <v:path arrowok="t"/>
                <v:fill type="solid"/>
              </v:shape>
            </v:group>
            <v:group style="position:absolute;left:2636;top:16;width:2;height:1328" coordorigin="2636,16" coordsize="2,1328">
              <v:shape style="position:absolute;left:2636;top:16;width:2;height:1328" coordorigin="2636,16" coordsize="0,1328" path="m2636,16l2636,1343e" filled="false" stroked="true" strokeweight="1.140pt" strokecolor="#d3d3d3">
                <v:path arrowok="t"/>
              </v:shape>
            </v:group>
            <v:group style="position:absolute;left:3473;top:16;width:2;height:1328" coordorigin="3473,16" coordsize="2,1328">
              <v:shape style="position:absolute;left:3473;top:16;width:2;height:1328" coordorigin="3473,16" coordsize="0,1328" path="m3473,16l3473,1343e" filled="false" stroked="true" strokeweight="1.140pt" strokecolor="#d3d3d3">
                <v:path arrowok="t"/>
              </v:shape>
            </v:group>
            <v:group style="position:absolute;left:2647;top:16;width:815;height:352" coordorigin="2647,16" coordsize="815,352">
              <v:shape style="position:absolute;left:2647;top:16;width:815;height:352" coordorigin="2647,16" coordsize="815,352" path="m2647,367l3462,367,3462,16,2647,16,2647,367xe" filled="true" fillcolor="#d3d3d3" stroked="false">
                <v:path arrowok="t"/>
                <v:fill type="solid"/>
              </v:shape>
            </v:group>
            <v:group style="position:absolute;left:2647;top:367;width:815;height:312" coordorigin="2647,367" coordsize="815,312">
              <v:shape style="position:absolute;left:2647;top:367;width:815;height:312" coordorigin="2647,367" coordsize="815,312" path="m2647,679l3462,679,3462,367,2647,367,2647,679xe" filled="true" fillcolor="#d3d3d3" stroked="false">
                <v:path arrowok="t"/>
                <v:fill type="solid"/>
              </v:shape>
            </v:group>
            <v:group style="position:absolute;left:2647;top:679;width:815;height:312" coordorigin="2647,679" coordsize="815,312">
              <v:shape style="position:absolute;left:2647;top:679;width:815;height:312" coordorigin="2647,679" coordsize="815,312" path="m2647,991l3462,991,3462,679,2647,679,2647,991xe" filled="true" fillcolor="#d3d3d3" stroked="false">
                <v:path arrowok="t"/>
                <v:fill type="solid"/>
              </v:shape>
            </v:group>
            <v:group style="position:absolute;left:2647;top:991;width:815;height:352" coordorigin="2647,991" coordsize="815,352">
              <v:shape style="position:absolute;left:2647;top:991;width:815;height:352" coordorigin="2647,991" coordsize="815,352" path="m2647,1343l3462,1343,3462,991,2647,991,2647,1343xe" filled="true" fillcolor="#d3d3d3" stroked="false">
                <v:path arrowok="t"/>
                <v:fill type="solid"/>
              </v:shape>
            </v:group>
            <v:group style="position:absolute;left:3494;top:1187;width:861;height:156" coordorigin="3494,1187" coordsize="861,156">
              <v:shape style="position:absolute;left:3494;top:1187;width:861;height:156" coordorigin="3494,1187" coordsize="861,156" path="m3494,1343l4355,1343,4355,1187,3494,1187,3494,1343xe" filled="true" fillcolor="#d3d3d3" stroked="false">
                <v:path arrowok="t"/>
                <v:fill type="solid"/>
              </v:shape>
            </v:group>
            <v:group style="position:absolute;left:3506;top:171;width:2;height:1016" coordorigin="3506,171" coordsize="2,1016">
              <v:shape style="position:absolute;left:3506;top:171;width:2;height:1016" coordorigin="3506,171" coordsize="0,1016" path="m3506,171l3506,1187e" filled="false" stroked="true" strokeweight="1.140pt" strokecolor="#d3d3d3">
                <v:path arrowok="t"/>
              </v:shape>
            </v:group>
            <v:group style="position:absolute;left:3494;top:15;width:861;height:156" coordorigin="3494,15" coordsize="861,156">
              <v:shape style="position:absolute;left:3494;top:15;width:861;height:156" coordorigin="3494,15" coordsize="861,156" path="m3494,171l4355,171,4355,15,3494,15,3494,171xe" filled="true" fillcolor="#d3d3d3" stroked="false">
                <v:path arrowok="t"/>
                <v:fill type="solid"/>
              </v:shape>
            </v:group>
            <v:group style="position:absolute;left:4343;top:172;width:2;height:1016" coordorigin="4343,172" coordsize="2,1016">
              <v:shape style="position:absolute;left:4343;top:172;width:2;height:1016" coordorigin="4343,172" coordsize="0,1016" path="m4343,172l4343,1187e" filled="false" stroked="true" strokeweight="1.140pt" strokecolor="#d3d3d3">
                <v:path arrowok="t"/>
              </v:shape>
            </v:group>
            <v:group style="position:absolute;left:3517;top:172;width:815;height:352" coordorigin="3517,172" coordsize="815,352">
              <v:shape style="position:absolute;left:3517;top:172;width:815;height:352" coordorigin="3517,172" coordsize="815,352" path="m3517,523l4332,523,4332,172,3517,172,3517,523xe" filled="true" fillcolor="#d3d3d3" stroked="false">
                <v:path arrowok="t"/>
                <v:fill type="solid"/>
              </v:shape>
            </v:group>
            <v:group style="position:absolute;left:3517;top:523;width:815;height:312" coordorigin="3517,523" coordsize="815,312">
              <v:shape style="position:absolute;left:3517;top:523;width:815;height:312" coordorigin="3517,523" coordsize="815,312" path="m3517,835l4332,835,4332,523,3517,523,3517,835xe" filled="true" fillcolor="#d3d3d3" stroked="false">
                <v:path arrowok="t"/>
                <v:fill type="solid"/>
              </v:shape>
            </v:group>
            <v:group style="position:absolute;left:3517;top:835;width:815;height:352" coordorigin="3517,835" coordsize="815,352">
              <v:shape style="position:absolute;left:3517;top:835;width:815;height:352" coordorigin="3517,835" coordsize="815,352" path="m3517,1187l4332,1187,4332,835,3517,835,3517,1187xe" filled="true" fillcolor="#d3d3d3" stroked="false">
                <v:path arrowok="t"/>
                <v:fill type="solid"/>
              </v:shape>
            </v:group>
            <v:group style="position:absolute;left:4364;top:1031;width:858;height:312" coordorigin="4364,1031" coordsize="858,312">
              <v:shape style="position:absolute;left:4364;top:1031;width:858;height:312" coordorigin="4364,1031" coordsize="858,312" path="m4364,1343l5222,1343,5222,1031,4364,1031,4364,1343xe" filled="true" fillcolor="#d3d3d3" stroked="false">
                <v:path arrowok="t"/>
                <v:fill type="solid"/>
              </v:shape>
            </v:group>
            <v:group style="position:absolute;left:4376;top:327;width:2;height:704" coordorigin="4376,327" coordsize="2,704">
              <v:shape style="position:absolute;left:4376;top:327;width:2;height:704" coordorigin="4376,327" coordsize="0,704" path="m4376,327l4376,1031e" filled="false" stroked="true" strokeweight="1.140pt" strokecolor="#d3d3d3">
                <v:path arrowok="t"/>
              </v:shape>
            </v:group>
            <v:group style="position:absolute;left:4364;top:15;width:858;height:312" coordorigin="4364,15" coordsize="858,312">
              <v:shape style="position:absolute;left:4364;top:15;width:858;height:312" coordorigin="4364,15" coordsize="858,312" path="m4364,327l5222,327,5222,15,4364,15,4364,327xe" filled="true" fillcolor="#d3d3d3" stroked="false">
                <v:path arrowok="t"/>
                <v:fill type="solid"/>
              </v:shape>
            </v:group>
            <v:group style="position:absolute;left:5211;top:328;width:2;height:704" coordorigin="5211,328" coordsize="2,704">
              <v:shape style="position:absolute;left:5211;top:328;width:2;height:704" coordorigin="5211,328" coordsize="0,704" path="m5211,328l5211,1031e" filled="false" stroked="true" strokeweight="1.140pt" strokecolor="#d3d3d3">
                <v:path arrowok="t"/>
              </v:shape>
            </v:group>
            <v:group style="position:absolute;left:4387;top:328;width:813;height:352" coordorigin="4387,328" coordsize="813,352">
              <v:shape style="position:absolute;left:4387;top:328;width:813;height:352" coordorigin="4387,328" coordsize="813,352" path="m4387,679l5200,679,5200,328,4387,328,4387,679xe" filled="true" fillcolor="#d3d3d3" stroked="false">
                <v:path arrowok="t"/>
                <v:fill type="solid"/>
              </v:shape>
            </v:group>
            <v:group style="position:absolute;left:4387;top:679;width:813;height:352" coordorigin="4387,679" coordsize="813,352">
              <v:shape style="position:absolute;left:4387;top:679;width:813;height:352" coordorigin="4387,679" coordsize="813,352" path="m4387,1031l5200,1031,5200,679,4387,679,4387,1031xe" filled="true" fillcolor="#d3d3d3" stroked="false">
                <v:path arrowok="t"/>
                <v:fill type="solid"/>
              </v:shape>
            </v:group>
            <v:group style="position:absolute;left:5232;top:875;width:860;height:468" coordorigin="5232,875" coordsize="860,468">
              <v:shape style="position:absolute;left:5232;top:875;width:860;height:468" coordorigin="5232,875" coordsize="860,468" path="m5232,1343l6091,1343,6091,875,5232,875,5232,1343xe" filled="true" fillcolor="#d3d3d3" stroked="false">
                <v:path arrowok="t"/>
                <v:fill type="solid"/>
              </v:shape>
            </v:group>
            <v:group style="position:absolute;left:5244;top:483;width:2;height:392" coordorigin="5244,483" coordsize="2,392">
              <v:shape style="position:absolute;left:5244;top:483;width:2;height:392" coordorigin="5244,483" coordsize="0,392" path="m5244,483l5244,875e" filled="false" stroked="true" strokeweight="1.2pt" strokecolor="#d3d3d3">
                <v:path arrowok="t"/>
              </v:shape>
            </v:group>
            <v:group style="position:absolute;left:5232;top:15;width:860;height:468" coordorigin="5232,15" coordsize="860,468">
              <v:shape style="position:absolute;left:5232;top:15;width:860;height:468" coordorigin="5232,15" coordsize="860,468" path="m5232,483l6091,483,6091,15,5232,15,5232,483xe" filled="true" fillcolor="#d3d3d3" stroked="false">
                <v:path arrowok="t"/>
                <v:fill type="solid"/>
              </v:shape>
            </v:group>
            <v:group style="position:absolute;left:6080;top:484;width:2;height:392" coordorigin="6080,484" coordsize="2,392">
              <v:shape style="position:absolute;left:6080;top:484;width:2;height:392" coordorigin="6080,484" coordsize="0,392" path="m6080,484l6080,875e" filled="false" stroked="true" strokeweight="1.140pt" strokecolor="#d3d3d3">
                <v:path arrowok="t"/>
              </v:shape>
            </v:group>
            <v:group style="position:absolute;left:5256;top:484;width:813;height:392" coordorigin="5256,484" coordsize="813,392">
              <v:shape style="position:absolute;left:5256;top:484;width:813;height:392" coordorigin="5256,484" coordsize="813,392" path="m5256,875l6068,875,6068,484,5256,484,5256,875xe" filled="true" fillcolor="#d3d3d3" stroked="false">
                <v:path arrowok="t"/>
                <v:fill type="solid"/>
              </v:shape>
            </v:group>
            <v:group style="position:absolute;left:6102;top:1031;width:860;height:312" coordorigin="6102,1031" coordsize="860,312">
              <v:shape style="position:absolute;left:6102;top:1031;width:860;height:312" coordorigin="6102,1031" coordsize="860,312" path="m6102,1343l6961,1343,6961,1031,6102,1031,6102,1343xe" filled="true" fillcolor="#d3d3d3" stroked="false">
                <v:path arrowok="t"/>
                <v:fill type="solid"/>
              </v:shape>
            </v:group>
            <v:group style="position:absolute;left:6113;top:327;width:2;height:704" coordorigin="6113,327" coordsize="2,704">
              <v:shape style="position:absolute;left:6113;top:327;width:2;height:704" coordorigin="6113,327" coordsize="0,704" path="m6113,327l6113,1031e" filled="false" stroked="true" strokeweight="1.140pt" strokecolor="#d3d3d3">
                <v:path arrowok="t"/>
              </v:shape>
            </v:group>
            <v:group style="position:absolute;left:6102;top:15;width:860;height:312" coordorigin="6102,15" coordsize="860,312">
              <v:shape style="position:absolute;left:6102;top:15;width:860;height:312" coordorigin="6102,15" coordsize="860,312" path="m6102,327l6961,327,6961,15,6102,15,6102,327xe" filled="true" fillcolor="#d3d3d3" stroked="false">
                <v:path arrowok="t"/>
                <v:fill type="solid"/>
              </v:shape>
            </v:group>
            <v:group style="position:absolute;left:6949;top:328;width:2;height:704" coordorigin="6949,328" coordsize="2,704">
              <v:shape style="position:absolute;left:6949;top:328;width:2;height:704" coordorigin="6949,328" coordsize="0,704" path="m6949,328l6949,1031e" filled="false" stroked="true" strokeweight="1.2pt" strokecolor="#d3d3d3">
                <v:path arrowok="t"/>
              </v:shape>
            </v:group>
            <v:group style="position:absolute;left:6125;top:328;width:813;height:352" coordorigin="6125,328" coordsize="813,352">
              <v:shape style="position:absolute;left:6125;top:328;width:813;height:352" coordorigin="6125,328" coordsize="813,352" path="m6125,679l6937,679,6937,328,6125,328,6125,679xe" filled="true" fillcolor="#d3d3d3" stroked="false">
                <v:path arrowok="t"/>
                <v:fill type="solid"/>
              </v:shape>
            </v:group>
            <v:group style="position:absolute;left:6125;top:679;width:813;height:352" coordorigin="6125,679" coordsize="813,352">
              <v:shape style="position:absolute;left:6125;top:679;width:813;height:352" coordorigin="6125,679" coordsize="813,352" path="m6125,1031l6937,1031,6937,679,6125,679,6125,1031xe" filled="true" fillcolor="#d3d3d3" stroked="false">
                <v:path arrowok="t"/>
                <v:fill type="solid"/>
              </v:shape>
            </v:group>
            <v:group style="position:absolute;left:6971;top:1031;width:860;height:312" coordorigin="6971,1031" coordsize="860,312">
              <v:shape style="position:absolute;left:6971;top:1031;width:860;height:312" coordorigin="6971,1031" coordsize="860,312" path="m6971,1343l7830,1343,7830,1031,6971,1031,6971,1343xe" filled="true" fillcolor="#d3d3d3" stroked="false">
                <v:path arrowok="t"/>
                <v:fill type="solid"/>
              </v:shape>
            </v:group>
            <v:group style="position:absolute;left:6982;top:327;width:2;height:704" coordorigin="6982,327" coordsize="2,704">
              <v:shape style="position:absolute;left:6982;top:327;width:2;height:704" coordorigin="6982,327" coordsize="0,704" path="m6982,327l6982,1031e" filled="false" stroked="true" strokeweight="1.140pt" strokecolor="#d3d3d3">
                <v:path arrowok="t"/>
              </v:shape>
            </v:group>
            <v:group style="position:absolute;left:6971;top:15;width:860;height:312" coordorigin="6971,15" coordsize="860,312">
              <v:shape style="position:absolute;left:6971;top:15;width:860;height:312" coordorigin="6971,15" coordsize="860,312" path="m6971,327l7830,327,7830,15,6971,15,6971,327xe" filled="true" fillcolor="#d3d3d3" stroked="false">
                <v:path arrowok="t"/>
                <v:fill type="solid"/>
              </v:shape>
            </v:group>
            <v:group style="position:absolute;left:7818;top:328;width:2;height:704" coordorigin="7818,328" coordsize="2,704">
              <v:shape style="position:absolute;left:7818;top:328;width:2;height:704" coordorigin="7818,328" coordsize="0,704" path="m7818,328l7818,1031e" filled="false" stroked="true" strokeweight="1.2pt" strokecolor="#d3d3d3">
                <v:path arrowok="t"/>
              </v:shape>
            </v:group>
            <v:group style="position:absolute;left:6994;top:328;width:813;height:352" coordorigin="6994,328" coordsize="813,352">
              <v:shape style="position:absolute;left:6994;top:328;width:813;height:352" coordorigin="6994,328" coordsize="813,352" path="m6994,679l7806,679,7806,328,6994,328,6994,679xe" filled="true" fillcolor="#d3d3d3" stroked="false">
                <v:path arrowok="t"/>
                <v:fill type="solid"/>
              </v:shape>
            </v:group>
            <v:group style="position:absolute;left:6994;top:679;width:813;height:352" coordorigin="6994,679" coordsize="813,352">
              <v:shape style="position:absolute;left:6994;top:679;width:813;height:352" coordorigin="6994,679" coordsize="813,352" path="m6994,1031l7806,1031,7806,679,6994,679,6994,1031xe" filled="true" fillcolor="#d3d3d3" stroked="false">
                <v:path arrowok="t"/>
                <v:fill type="solid"/>
              </v:shape>
            </v:group>
            <v:group style="position:absolute;left:7840;top:875;width:860;height:468" coordorigin="7840,875" coordsize="860,468">
              <v:shape style="position:absolute;left:7840;top:875;width:860;height:468" coordorigin="7840,875" coordsize="860,468" path="m7840,1343l8699,1343,8699,875,7840,875,7840,1343xe" filled="true" fillcolor="#d3d3d3" stroked="false">
                <v:path arrowok="t"/>
                <v:fill type="solid"/>
              </v:shape>
            </v:group>
            <v:group style="position:absolute;left:7851;top:483;width:2;height:392" coordorigin="7851,483" coordsize="2,392">
              <v:shape style="position:absolute;left:7851;top:483;width:2;height:392" coordorigin="7851,483" coordsize="0,392" path="m7851,483l7851,875e" filled="false" stroked="true" strokeweight="1.140pt" strokecolor="#d3d3d3">
                <v:path arrowok="t"/>
              </v:shape>
            </v:group>
            <v:group style="position:absolute;left:7840;top:15;width:860;height:468" coordorigin="7840,15" coordsize="860,468">
              <v:shape style="position:absolute;left:7840;top:15;width:860;height:468" coordorigin="7840,15" coordsize="860,468" path="m7840,483l8699,483,8699,15,7840,15,7840,483xe" filled="true" fillcolor="#d3d3d3" stroked="false">
                <v:path arrowok="t"/>
                <v:fill type="solid"/>
              </v:shape>
            </v:group>
            <v:group style="position:absolute;left:8687;top:484;width:2;height:392" coordorigin="8687,484" coordsize="2,392">
              <v:shape style="position:absolute;left:8687;top:484;width:2;height:392" coordorigin="8687,484" coordsize="0,392" path="m8687,484l8687,875e" filled="false" stroked="true" strokeweight="1.140pt" strokecolor="#d3d3d3">
                <v:path arrowok="t"/>
              </v:shape>
            </v:group>
            <v:group style="position:absolute;left:7862;top:484;width:814;height:392" coordorigin="7862,484" coordsize="814,392">
              <v:shape style="position:absolute;left:7862;top:484;width:814;height:392" coordorigin="7862,484" coordsize="814,392" path="m7862,875l8676,875,8676,484,7862,484,7862,875xe" filled="true" fillcolor="#d3d3d3" stroked="false">
                <v:path arrowok="t"/>
                <v:fill type="solid"/>
              </v:shape>
            </v:group>
            <v:group style="position:absolute;left:8708;top:1187;width:860;height:156" coordorigin="8708,1187" coordsize="860,156">
              <v:shape style="position:absolute;left:8708;top:1187;width:860;height:156" coordorigin="8708,1187" coordsize="860,156" path="m8708,1343l9568,1343,9568,1187,8708,1187,8708,1343xe" filled="true" fillcolor="#d3d3d3" stroked="false">
                <v:path arrowok="t"/>
                <v:fill type="solid"/>
              </v:shape>
            </v:group>
            <v:group style="position:absolute;left:8720;top:171;width:2;height:1016" coordorigin="8720,171" coordsize="2,1016">
              <v:shape style="position:absolute;left:8720;top:171;width:2;height:1016" coordorigin="8720,171" coordsize="0,1016" path="m8720,171l8720,1187e" filled="false" stroked="true" strokeweight="1.140pt" strokecolor="#d3d3d3">
                <v:path arrowok="t"/>
              </v:shape>
            </v:group>
            <v:group style="position:absolute;left:8708;top:15;width:860;height:156" coordorigin="8708,15" coordsize="860,156">
              <v:shape style="position:absolute;left:8708;top:15;width:860;height:156" coordorigin="8708,15" coordsize="860,156" path="m8708,171l9568,171,9568,15,8708,15,8708,171xe" filled="true" fillcolor="#d3d3d3" stroked="false">
                <v:path arrowok="t"/>
                <v:fill type="solid"/>
              </v:shape>
            </v:group>
            <v:group style="position:absolute;left:9556;top:172;width:2;height:1016" coordorigin="9556,172" coordsize="2,1016">
              <v:shape style="position:absolute;left:9556;top:172;width:2;height:1016" coordorigin="9556,172" coordsize="0,1016" path="m9556,172l9556,1187e" filled="false" stroked="true" strokeweight="1.140pt" strokecolor="#d3d3d3">
                <v:path arrowok="t"/>
              </v:shape>
            </v:group>
            <v:group style="position:absolute;left:8731;top:172;width:814;height:352" coordorigin="8731,172" coordsize="814,352">
              <v:shape style="position:absolute;left:8731;top:172;width:814;height:352" coordorigin="8731,172" coordsize="814,352" path="m8731,523l9545,523,9545,172,8731,172,8731,523xe" filled="true" fillcolor="#d3d3d3" stroked="false">
                <v:path arrowok="t"/>
                <v:fill type="solid"/>
              </v:shape>
            </v:group>
            <v:group style="position:absolute;left:8731;top:523;width:814;height:312" coordorigin="8731,523" coordsize="814,312">
              <v:shape style="position:absolute;left:8731;top:523;width:814;height:312" coordorigin="8731,523" coordsize="814,312" path="m8731,835l9545,835,9545,523,8731,523,8731,835xe" filled="true" fillcolor="#d3d3d3" stroked="false">
                <v:path arrowok="t"/>
                <v:fill type="solid"/>
              </v:shape>
            </v:group>
            <v:group style="position:absolute;left:8731;top:835;width:814;height:352" coordorigin="8731,835" coordsize="814,352">
              <v:shape style="position:absolute;left:8731;top:835;width:814;height:352" coordorigin="8731,835" coordsize="814,352" path="m8731,1187l9545,1187,9545,835,8731,835,8731,1187xe" filled="true" fillcolor="#d3d3d3" stroked="false">
                <v:path arrowok="t"/>
                <v:fill type="solid"/>
              </v:shape>
            </v:group>
            <v:group style="position:absolute;left:5;top:10;width:9573;height:2" coordorigin="5,10" coordsize="9573,2">
              <v:shape style="position:absolute;left:5;top:10;width:9573;height:2" coordorigin="5,10" coordsize="9573,0" path="m5,10l9577,10e" filled="false" stroked="true" strokeweight=".47998pt" strokecolor="#000000">
                <v:path arrowok="t"/>
              </v:shape>
            </v:group>
            <v:group style="position:absolute;left:10;top:5;width:2;height:1349" coordorigin="10,5" coordsize="2,1349">
              <v:shape style="position:absolute;left:10;top:5;width:2;height:1349" coordorigin="10,5" coordsize="0,1349" path="m10,5l10,1354e" filled="false" stroked="true" strokeweight=".48001pt" strokecolor="#000000">
                <v:path arrowok="t"/>
              </v:shape>
            </v:group>
            <v:group style="position:absolute;left:5;top:1349;width:870;height:2" coordorigin="5,1349" coordsize="870,2">
              <v:shape style="position:absolute;left:5;top:1349;width:870;height:2" coordorigin="5,1349" coordsize="870,0" path="m5,1349l875,1349e" filled="false" stroked="true" strokeweight=".48001pt" strokecolor="#000000">
                <v:path arrowok="t"/>
              </v:shape>
            </v:group>
            <v:group style="position:absolute;left:880;top:14;width:2;height:1340" coordorigin="880,14" coordsize="2,1340">
              <v:shape style="position:absolute;left:880;top:14;width:2;height:1340" coordorigin="880,14" coordsize="0,1340" path="m880,14l880,1354e" filled="false" stroked="true" strokeweight=".48001pt" strokecolor="#000000">
                <v:path arrowok="t"/>
              </v:shape>
            </v:group>
            <v:group style="position:absolute;left:884;top:1349;width:861;height:2" coordorigin="884,1349" coordsize="861,2">
              <v:shape style="position:absolute;left:884;top:1349;width:861;height:2" coordorigin="884,1349" coordsize="861,0" path="m884,1349l1745,1349e" filled="false" stroked="true" strokeweight=".48001pt" strokecolor="#000000">
                <v:path arrowok="t"/>
              </v:shape>
            </v:group>
            <v:group style="position:absolute;left:1750;top:14;width:2;height:1340" coordorigin="1750,14" coordsize="2,1340">
              <v:shape style="position:absolute;left:1750;top:14;width:2;height:1340" coordorigin="1750,14" coordsize="0,1340" path="m1750,14l1750,1354e" filled="false" stroked="true" strokeweight=".48pt" strokecolor="#000000">
                <v:path arrowok="t"/>
              </v:shape>
            </v:group>
            <v:group style="position:absolute;left:1754;top:1349;width:861;height:2" coordorigin="1754,1349" coordsize="861,2">
              <v:shape style="position:absolute;left:1754;top:1349;width:861;height:2" coordorigin="1754,1349" coordsize="861,0" path="m1754,1349l2615,1349e" filled="false" stroked="true" strokeweight=".48001pt" strokecolor="#000000">
                <v:path arrowok="t"/>
              </v:shape>
            </v:group>
            <v:group style="position:absolute;left:2620;top:14;width:2;height:1340" coordorigin="2620,14" coordsize="2,1340">
              <v:shape style="position:absolute;left:2620;top:14;width:2;height:1340" coordorigin="2620,14" coordsize="0,1340" path="m2620,14l2620,1354e" filled="false" stroked="true" strokeweight=".48pt" strokecolor="#000000">
                <v:path arrowok="t"/>
              </v:shape>
            </v:group>
            <v:group style="position:absolute;left:2624;top:1349;width:861;height:2" coordorigin="2624,1349" coordsize="861,2">
              <v:shape style="position:absolute;left:2624;top:1349;width:861;height:2" coordorigin="2624,1349" coordsize="861,0" path="m2624,1349l3485,1349e" filled="false" stroked="true" strokeweight=".48001pt" strokecolor="#000000">
                <v:path arrowok="t"/>
              </v:shape>
            </v:group>
            <v:group style="position:absolute;left:3490;top:14;width:2;height:1340" coordorigin="3490,14" coordsize="2,1340">
              <v:shape style="position:absolute;left:3490;top:14;width:2;height:1340" coordorigin="3490,14" coordsize="0,1340" path="m3490,14l3490,1354e" filled="false" stroked="true" strokeweight=".48pt" strokecolor="#000000">
                <v:path arrowok="t"/>
              </v:shape>
            </v:group>
            <v:group style="position:absolute;left:3494;top:1349;width:861;height:2" coordorigin="3494,1349" coordsize="861,2">
              <v:shape style="position:absolute;left:3494;top:1349;width:861;height:2" coordorigin="3494,1349" coordsize="861,0" path="m3494,1349l4355,1349e" filled="false" stroked="true" strokeweight=".48001pt" strokecolor="#000000">
                <v:path arrowok="t"/>
              </v:shape>
            </v:group>
            <v:group style="position:absolute;left:4360;top:14;width:2;height:1340" coordorigin="4360,14" coordsize="2,1340">
              <v:shape style="position:absolute;left:4360;top:14;width:2;height:1340" coordorigin="4360,14" coordsize="0,1340" path="m4360,14l4360,1354e" filled="false" stroked="true" strokeweight=".48001pt" strokecolor="#000000">
                <v:path arrowok="t"/>
              </v:shape>
            </v:group>
            <v:group style="position:absolute;left:4364;top:1349;width:858;height:2" coordorigin="4364,1349" coordsize="858,2">
              <v:shape style="position:absolute;left:4364;top:1349;width:858;height:2" coordorigin="4364,1349" coordsize="858,0" path="m4364,1349l5222,1349e" filled="false" stroked="true" strokeweight=".48001pt" strokecolor="#000000">
                <v:path arrowok="t"/>
              </v:shape>
            </v:group>
            <v:group style="position:absolute;left:5227;top:14;width:2;height:1340" coordorigin="5227,14" coordsize="2,1340">
              <v:shape style="position:absolute;left:5227;top:14;width:2;height:1340" coordorigin="5227,14" coordsize="0,1340" path="m5227,14l5227,1354e" filled="false" stroked="true" strokeweight=".48001pt" strokecolor="#000000">
                <v:path arrowok="t"/>
              </v:shape>
            </v:group>
            <v:group style="position:absolute;left:5232;top:1349;width:861;height:2" coordorigin="5232,1349" coordsize="861,2">
              <v:shape style="position:absolute;left:5232;top:1349;width:861;height:2" coordorigin="5232,1349" coordsize="861,0" path="m5232,1349l6092,1349e" filled="false" stroked="true" strokeweight=".48001pt" strokecolor="#000000">
                <v:path arrowok="t"/>
              </v:shape>
            </v:group>
            <v:group style="position:absolute;left:6097;top:14;width:2;height:1340" coordorigin="6097,14" coordsize="2,1340">
              <v:shape style="position:absolute;left:6097;top:14;width:2;height:1340" coordorigin="6097,14" coordsize="0,1340" path="m6097,14l6097,1354e" filled="false" stroked="true" strokeweight=".48001pt" strokecolor="#000000">
                <v:path arrowok="t"/>
              </v:shape>
            </v:group>
            <v:group style="position:absolute;left:6102;top:1349;width:860;height:2" coordorigin="6102,1349" coordsize="860,2">
              <v:shape style="position:absolute;left:6102;top:1349;width:860;height:2" coordorigin="6102,1349" coordsize="860,0" path="m6102,1349l6961,1349e" filled="false" stroked="true" strokeweight=".48001pt" strokecolor="#000000">
                <v:path arrowok="t"/>
              </v:shape>
            </v:group>
            <v:group style="position:absolute;left:6966;top:14;width:2;height:1340" coordorigin="6966,14" coordsize="2,1340">
              <v:shape style="position:absolute;left:6966;top:14;width:2;height:1340" coordorigin="6966,14" coordsize="0,1340" path="m6966,14l6966,1354e" filled="false" stroked="true" strokeweight=".48001pt" strokecolor="#000000">
                <v:path arrowok="t"/>
              </v:shape>
            </v:group>
            <v:group style="position:absolute;left:6971;top:1349;width:860;height:2" coordorigin="6971,1349" coordsize="860,2">
              <v:shape style="position:absolute;left:6971;top:1349;width:860;height:2" coordorigin="6971,1349" coordsize="860,0" path="m6971,1349l7830,1349e" filled="false" stroked="true" strokeweight=".48001pt" strokecolor="#000000">
                <v:path arrowok="t"/>
              </v:shape>
            </v:group>
            <v:group style="position:absolute;left:7835;top:14;width:2;height:1340" coordorigin="7835,14" coordsize="2,1340">
              <v:shape style="position:absolute;left:7835;top:14;width:2;height:1340" coordorigin="7835,14" coordsize="0,1340" path="m7835,14l7835,1354e" filled="false" stroked="true" strokeweight=".48001pt" strokecolor="#000000">
                <v:path arrowok="t"/>
              </v:shape>
            </v:group>
            <v:group style="position:absolute;left:7840;top:1349;width:860;height:2" coordorigin="7840,1349" coordsize="860,2">
              <v:shape style="position:absolute;left:7840;top:1349;width:860;height:2" coordorigin="7840,1349" coordsize="860,0" path="m7840,1349l8699,1349e" filled="false" stroked="true" strokeweight=".48001pt" strokecolor="#000000">
                <v:path arrowok="t"/>
              </v:shape>
            </v:group>
            <v:group style="position:absolute;left:8704;top:14;width:2;height:1340" coordorigin="8704,14" coordsize="2,1340">
              <v:shape style="position:absolute;left:8704;top:14;width:2;height:1340" coordorigin="8704,14" coordsize="0,1340" path="m8704,14l8704,1354e" filled="false" stroked="true" strokeweight=".48001pt" strokecolor="#000000">
                <v:path arrowok="t"/>
              </v:shape>
            </v:group>
            <v:group style="position:absolute;left:8708;top:1349;width:860;height:2" coordorigin="8708,1349" coordsize="860,2">
              <v:shape style="position:absolute;left:8708;top:1349;width:860;height:2" coordorigin="8708,1349" coordsize="860,0" path="m8708,1349l9568,1349e" filled="false" stroked="true" strokeweight=".48001pt" strokecolor="#000000">
                <v:path arrowok="t"/>
              </v:shape>
            </v:group>
            <v:group style="position:absolute;left:9572;top:5;width:2;height:1349" coordorigin="9572,5" coordsize="2,1349">
              <v:shape style="position:absolute;left:9572;top:5;width:2;height:1349" coordorigin="9572,5" coordsize="0,1349" path="m9572,5l9572,1354e" filled="false" stroked="true" strokeweight=".47998pt" strokecolor="#000000">
                <v:path arrowok="t"/>
              </v:shape>
              <v:shape style="position:absolute;left:10;top:10;width:870;height:1339" type="#_x0000_t202" filled="false" stroked="false">
                <v:textbox inset="0,0,0,0">
                  <w:txbxContent>
                    <w:p>
                      <w:pPr>
                        <w:spacing w:line="240" w:lineRule="auto" w:before="4"/>
                        <w:rPr>
                          <w:rFonts w:ascii="宋体" w:hAnsi="宋体" w:cs="宋体" w:eastAsia="宋体" w:hint="default"/>
                          <w:b/>
                          <w:bCs/>
                          <w:sz w:val="16"/>
                          <w:szCs w:val="16"/>
                        </w:rPr>
                      </w:pPr>
                    </w:p>
                    <w:p>
                      <w:pPr>
                        <w:spacing w:line="316" w:lineRule="auto" w:before="0"/>
                        <w:ind w:left="74" w:right="73" w:firstLine="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xbxContent>
                </v:textbox>
                <w10:wrap type="none"/>
              </v:shape>
              <v:shape style="position:absolute;left:880;top:10;width:870;height:1339" type="#_x0000_t202" filled="false" stroked="false">
                <v:textbox inset="0,0,0,0">
                  <w:txbxContent>
                    <w:p>
                      <w:pPr>
                        <w:spacing w:line="240" w:lineRule="auto" w:before="0"/>
                        <w:rPr>
                          <w:rFonts w:ascii="宋体" w:hAnsi="宋体" w:cs="宋体" w:eastAsia="宋体" w:hint="default"/>
                          <w:b/>
                          <w:bCs/>
                          <w:sz w:val="18"/>
                          <w:szCs w:val="18"/>
                        </w:rPr>
                      </w:pPr>
                    </w:p>
                    <w:p>
                      <w:pPr>
                        <w:spacing w:line="316" w:lineRule="auto" w:before="133"/>
                        <w:ind w:left="74" w:right="73" w:firstLine="0"/>
                        <w:jc w:val="left"/>
                        <w:rPr>
                          <w:rFonts w:ascii="宋体" w:hAnsi="宋体" w:cs="宋体" w:eastAsia="宋体" w:hint="default"/>
                          <w:sz w:val="18"/>
                          <w:szCs w:val="18"/>
                        </w:rPr>
                      </w:pPr>
                      <w:r>
                        <w:rPr>
                          <w:rFonts w:ascii="宋体" w:hAnsi="宋体" w:cs="宋体" w:eastAsia="宋体" w:hint="default"/>
                          <w:sz w:val="18"/>
                          <w:szCs w:val="18"/>
                        </w:rPr>
                        <w:t>合同订立 对方名称</w:t>
                      </w:r>
                    </w:p>
                  </w:txbxContent>
                </v:textbox>
                <w10:wrap type="none"/>
              </v:shape>
              <v:shape style="position:absolute;left:1750;top:10;width:870;height:1339" type="#_x0000_t202" filled="false" stroked="false">
                <v:textbox inset="0,0,0,0">
                  <w:txbxContent>
                    <w:p>
                      <w:pPr>
                        <w:spacing w:line="316" w:lineRule="auto" w:before="57"/>
                        <w:ind w:left="27" w:right="-28" w:firstLine="46"/>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r>
                        <w:rPr>
                          <w:rFonts w:ascii="宋体" w:hAnsi="宋体" w:cs="宋体" w:eastAsia="宋体" w:hint="default"/>
                          <w:sz w:val="18"/>
                          <w:szCs w:val="18"/>
                        </w:rPr>
                      </w:r>
                    </w:p>
                  </w:txbxContent>
                </v:textbox>
                <w10:wrap type="none"/>
              </v:shape>
              <v:shape style="position:absolute;left:2620;top:10;width:870;height:1339" type="#_x0000_t202" filled="false" stroked="false">
                <v:textbox inset="0,0,0,0">
                  <w:txbxContent>
                    <w:p>
                      <w:pPr>
                        <w:spacing w:line="316" w:lineRule="auto" w:before="57"/>
                        <w:ind w:left="27" w:right="26"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xbxContent>
                </v:textbox>
                <w10:wrap type="none"/>
              </v:shape>
              <v:shape style="position:absolute;left:3564;top:279;width:72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评估机构</w:t>
                      </w:r>
                    </w:p>
                    <w:p>
                      <w:pPr>
                        <w:spacing w:line="314" w:lineRule="exact" w:before="34"/>
                        <w:ind w:left="180" w:right="0" w:hanging="180"/>
                        <w:jc w:val="left"/>
                        <w:rPr>
                          <w:rFonts w:ascii="宋体" w:hAnsi="宋体" w:cs="宋体" w:eastAsia="宋体" w:hint="default"/>
                          <w:sz w:val="18"/>
                          <w:szCs w:val="18"/>
                        </w:rPr>
                      </w:pPr>
                      <w:r>
                        <w:rPr>
                          <w:rFonts w:ascii="宋体" w:hAnsi="宋体" w:cs="宋体" w:eastAsia="宋体" w:hint="default"/>
                          <w:sz w:val="18"/>
                          <w:szCs w:val="18"/>
                        </w:rPr>
                        <w:t>名称（如 有）</w:t>
                      </w:r>
                    </w:p>
                  </w:txbxContent>
                </v:textbox>
                <w10:wrap type="none"/>
              </v:shape>
              <v:shape style="position:absolute;left:3371;top:105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360;top:10;width:868;height:1339" type="#_x0000_t202" filled="false" stroked="false">
                <v:textbox inset="0,0,0,0">
                  <w:txbxContent>
                    <w:p>
                      <w:pPr>
                        <w:spacing w:line="240" w:lineRule="auto" w:before="0"/>
                        <w:rPr>
                          <w:rFonts w:ascii="宋体" w:hAnsi="宋体" w:cs="宋体" w:eastAsia="宋体" w:hint="default"/>
                          <w:b/>
                          <w:bCs/>
                          <w:sz w:val="18"/>
                          <w:szCs w:val="18"/>
                        </w:rPr>
                      </w:pPr>
                    </w:p>
                    <w:p>
                      <w:pPr>
                        <w:spacing w:line="316" w:lineRule="auto" w:before="133"/>
                        <w:ind w:left="27" w:right="72"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xbxContent>
                </v:textbox>
                <w10:wrap type="none"/>
              </v:shape>
              <v:shape style="position:absolute;left:5302;top:5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定价原则</w:t>
                      </w:r>
                    </w:p>
                  </w:txbxContent>
                </v:textbox>
                <w10:wrap type="none"/>
              </v:shape>
              <v:shape style="position:absolute;left:5107;top:74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097;top:10;width:869;height:1339" type="#_x0000_t202" filled="false" stroked="false">
                <v:textbox inset="0,0,0,0">
                  <w:txbxContent>
                    <w:p>
                      <w:pPr>
                        <w:spacing w:line="240" w:lineRule="auto" w:before="0"/>
                        <w:rPr>
                          <w:rFonts w:ascii="宋体" w:hAnsi="宋体" w:cs="宋体" w:eastAsia="宋体" w:hint="default"/>
                          <w:b/>
                          <w:bCs/>
                          <w:sz w:val="18"/>
                          <w:szCs w:val="18"/>
                        </w:rPr>
                      </w:pPr>
                    </w:p>
                    <w:p>
                      <w:pPr>
                        <w:spacing w:before="133"/>
                        <w:ind w:left="73" w:right="0" w:firstLine="0"/>
                        <w:jc w:val="left"/>
                        <w:rPr>
                          <w:rFonts w:ascii="宋体" w:hAnsi="宋体" w:cs="宋体" w:eastAsia="宋体" w:hint="default"/>
                          <w:sz w:val="18"/>
                          <w:szCs w:val="18"/>
                        </w:rPr>
                      </w:pPr>
                      <w:r>
                        <w:rPr>
                          <w:rFonts w:ascii="宋体" w:hAnsi="宋体" w:cs="宋体" w:eastAsia="宋体" w:hint="default"/>
                          <w:sz w:val="18"/>
                          <w:szCs w:val="18"/>
                        </w:rPr>
                        <w:t>交易价格</w:t>
                      </w:r>
                    </w:p>
                    <w:p>
                      <w:pPr>
                        <w:spacing w:before="76"/>
                        <w:ind w:left="73"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shape style="position:absolute;left:6966;top:10;width:869;height:1339" type="#_x0000_t202" filled="false" stroked="false">
                <v:textbox inset="0,0,0,0">
                  <w:txbxContent>
                    <w:p>
                      <w:pPr>
                        <w:spacing w:line="240" w:lineRule="auto" w:before="0"/>
                        <w:rPr>
                          <w:rFonts w:ascii="宋体" w:hAnsi="宋体" w:cs="宋体" w:eastAsia="宋体" w:hint="default"/>
                          <w:b/>
                          <w:bCs/>
                          <w:sz w:val="18"/>
                          <w:szCs w:val="18"/>
                        </w:rPr>
                      </w:pPr>
                    </w:p>
                    <w:p>
                      <w:pPr>
                        <w:spacing w:line="316" w:lineRule="auto" w:before="133"/>
                        <w:ind w:left="253" w:right="73"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xbxContent>
                </v:textbox>
                <w10:wrap type="none"/>
              </v:shape>
              <v:shape style="position:absolute;left:7835;top:10;width:869;height:1339"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2"/>
                          <w:szCs w:val="22"/>
                        </w:rPr>
                      </w:pPr>
                    </w:p>
                    <w:p>
                      <w:pPr>
                        <w:spacing w:before="0"/>
                        <w:ind w:left="73"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8704;top:10;width:869;height:1339" type="#_x0000_t202" filled="false" stroked="false">
                <v:textbox inset="0,0,0,0">
                  <w:txbxContent>
                    <w:p>
                      <w:pPr>
                        <w:spacing w:line="240" w:lineRule="auto" w:before="4"/>
                        <w:rPr>
                          <w:rFonts w:ascii="宋体" w:hAnsi="宋体" w:cs="宋体" w:eastAsia="宋体" w:hint="default"/>
                          <w:b/>
                          <w:bCs/>
                          <w:sz w:val="16"/>
                          <w:szCs w:val="16"/>
                        </w:rPr>
                      </w:pPr>
                    </w:p>
                    <w:p>
                      <w:pPr>
                        <w:spacing w:line="316" w:lineRule="auto" w:before="0"/>
                        <w:ind w:left="73" w:right="73" w:firstLine="0"/>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xbxContent>
                </v:textbox>
                <w10:wrap type="none"/>
              </v:shape>
            </v:group>
          </v:group>
        </w:pict>
      </w:r>
      <w:r>
        <w:rPr>
          <w:rFonts w:ascii="宋体" w:hAnsi="宋体" w:cs="宋体" w:eastAsia="宋体" w:hint="default"/>
          <w:position w:val="-26"/>
          <w:sz w:val="20"/>
          <w:szCs w:val="20"/>
        </w:rPr>
      </w:r>
    </w:p>
    <w:p>
      <w:pPr>
        <w:spacing w:line="240" w:lineRule="auto" w:before="10"/>
        <w:rPr>
          <w:rFonts w:ascii="宋体" w:hAnsi="宋体" w:cs="宋体" w:eastAsia="宋体" w:hint="default"/>
          <w:b/>
          <w:bCs/>
          <w:sz w:val="17"/>
          <w:szCs w:val="17"/>
        </w:rPr>
      </w:pPr>
    </w:p>
    <w:p>
      <w:pPr>
        <w:pStyle w:val="Heading2"/>
        <w:spacing w:line="240" w:lineRule="auto" w:before="26"/>
        <w:ind w:right="149"/>
        <w:jc w:val="left"/>
        <w:rPr>
          <w:b w:val="0"/>
          <w:bCs w:val="0"/>
        </w:rPr>
      </w:pP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220001pt;margin-top:72.5pt;width:63.4pt;height:234pt;mso-position-horizontal-relative:page;mso-position-vertical-relative:page;z-index:-935344" coordorigin="6884,1450" coordsize="1268,4680">
            <v:shape style="position:absolute;left:6884;top:1450;width:1268;height:4680" coordorigin="6884,1450" coordsize="1268,4680" path="m6884,6130l8152,6130,8152,1450,6884,1450,6884,613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63"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以上股东所做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出的避免同业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竞争的承诺；</w:t>
            </w:r>
            <w:r>
              <w:rPr>
                <w:rFonts w:ascii="Times New Roman" w:hAnsi="Times New Roman" w:cs="Times New Roman" w:eastAsia="Times New Roman" w:hint="default"/>
                <w:spacing w:val="-6"/>
                <w:sz w:val="18"/>
                <w:szCs w:val="18"/>
              </w:rPr>
              <w:t>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康平公司于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临时股东会，会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议审议通过了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《关于自愿锁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定所投资持有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的吉林紫鑫药</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业股份有限公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司股份的议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58"/>
              <w:jc w:val="both"/>
              <w:rPr>
                <w:rFonts w:ascii="宋体" w:hAnsi="宋体" w:cs="宋体" w:eastAsia="宋体" w:hint="default"/>
                <w:sz w:val="18"/>
                <w:szCs w:val="18"/>
              </w:rPr>
            </w:pPr>
            <w:r>
              <w:rPr>
                <w:rFonts w:ascii="宋体" w:hAnsi="宋体" w:cs="宋体" w:eastAsia="宋体" w:hint="default"/>
                <w:sz w:val="18"/>
                <w:szCs w:val="18"/>
              </w:rPr>
              <w:t>敦化市康平投 资有限责任公 司</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2"/>
              <w:jc w:val="left"/>
              <w:rPr>
                <w:rFonts w:ascii="宋体" w:hAnsi="宋体" w:cs="宋体" w:eastAsia="宋体" w:hint="default"/>
                <w:sz w:val="18"/>
                <w:szCs w:val="18"/>
              </w:rPr>
            </w:pPr>
            <w:r>
              <w:rPr>
                <w:rFonts w:ascii="宋体" w:hAnsi="宋体" w:cs="宋体" w:eastAsia="宋体" w:hint="default"/>
                <w:spacing w:val="-13"/>
                <w:sz w:val="18"/>
                <w:szCs w:val="18"/>
              </w:rPr>
              <w:t>案》，承诺在未</w:t>
            </w:r>
            <w:r>
              <w:rPr>
                <w:rFonts w:ascii="宋体" w:hAnsi="宋体" w:cs="宋体" w:eastAsia="宋体" w:hint="default"/>
                <w:sz w:val="18"/>
                <w:szCs w:val="18"/>
              </w:rPr>
              <w:t> 来十二个月内</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第一项承诺期 </w:t>
            </w:r>
            <w:r>
              <w:rPr>
                <w:rFonts w:ascii="宋体" w:hAnsi="宋体" w:cs="宋体" w:eastAsia="宋体" w:hint="default"/>
                <w:spacing w:val="-6"/>
                <w:sz w:val="18"/>
                <w:szCs w:val="18"/>
              </w:rPr>
              <w:t>限为长期；第二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项承诺期限为 十二个月。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第一项承诺目 前正在严格履 </w:t>
            </w:r>
            <w:r>
              <w:rPr>
                <w:rFonts w:ascii="宋体" w:hAnsi="宋体" w:cs="宋体" w:eastAsia="宋体" w:hint="default"/>
                <w:spacing w:val="-7"/>
                <w:sz w:val="18"/>
                <w:szCs w:val="18"/>
              </w:rPr>
              <w:t>行；第二项承诺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已经履行完毕。</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日止）自愿锁定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所持有的公司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股份，不转让、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不减持或者委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份，也不由公司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回购所持有的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该部分股份；若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违反上述决议，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将转让或减持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所得收益全部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承诺在使用闲</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1873"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2" w:right="158"/>
              <w:jc w:val="left"/>
              <w:rPr>
                <w:rFonts w:ascii="宋体" w:hAnsi="宋体" w:cs="宋体" w:eastAsia="宋体" w:hint="default"/>
                <w:sz w:val="18"/>
                <w:szCs w:val="18"/>
              </w:rPr>
            </w:pPr>
            <w:r>
              <w:rPr>
                <w:rFonts w:ascii="宋体" w:hAnsi="宋体" w:cs="宋体" w:eastAsia="宋体" w:hint="default"/>
                <w:sz w:val="18"/>
                <w:szCs w:val="18"/>
              </w:rPr>
              <w:t>吉林紫鑫药业 股份有限公司</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置募集资金暂 时补充流动资 </w:t>
            </w:r>
            <w:r>
              <w:rPr>
                <w:rFonts w:ascii="宋体" w:hAnsi="宋体" w:cs="宋体" w:eastAsia="宋体" w:hint="default"/>
                <w:spacing w:val="-6"/>
                <w:sz w:val="18"/>
                <w:szCs w:val="18"/>
              </w:rPr>
              <w:t>金期间，不进行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证券投资或金 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元人民币的风</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承诺已经履行 </w:t>
            </w:r>
            <w:r>
              <w:rPr>
                <w:rFonts w:ascii="宋体" w:hAnsi="宋体" w:cs="宋体" w:eastAsia="宋体" w:hint="default"/>
                <w:spacing w:val="-7"/>
                <w:sz w:val="18"/>
                <w:szCs w:val="18"/>
              </w:rPr>
              <w:t>完毕，承诺期间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未进行证券投 资和风险投资 情况。</w:t>
            </w:r>
          </w:p>
        </w:tc>
      </w:tr>
      <w:tr>
        <w:trPr>
          <w:trHeight w:val="356"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险投资。</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58"/>
              <w:jc w:val="left"/>
              <w:rPr>
                <w:rFonts w:ascii="宋体" w:hAnsi="宋体" w:cs="宋体" w:eastAsia="宋体" w:hint="default"/>
                <w:sz w:val="18"/>
                <w:szCs w:val="18"/>
              </w:rPr>
            </w:pPr>
            <w:r>
              <w:rPr>
                <w:rFonts w:ascii="宋体" w:hAnsi="宋体" w:cs="宋体" w:eastAsia="宋体" w:hint="default"/>
                <w:sz w:val="18"/>
                <w:szCs w:val="18"/>
              </w:rPr>
              <w:t>吉林紫鑫药业 股份有限公司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2"/>
              <w:jc w:val="both"/>
              <w:rPr>
                <w:rFonts w:ascii="宋体" w:hAnsi="宋体" w:cs="宋体" w:eastAsia="宋体" w:hint="default"/>
                <w:sz w:val="18"/>
                <w:szCs w:val="18"/>
              </w:rPr>
            </w:pPr>
            <w:r>
              <w:rPr>
                <w:rFonts w:ascii="宋体" w:hAnsi="宋体" w:cs="宋体" w:eastAsia="宋体" w:hint="default"/>
                <w:sz w:val="18"/>
                <w:szCs w:val="18"/>
              </w:rPr>
              <w:t>承诺在使用闲 置募集资金暂 时补充流动资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承诺已经履行 </w:t>
            </w:r>
            <w:r>
              <w:rPr>
                <w:rFonts w:ascii="宋体" w:hAnsi="宋体" w:cs="宋体" w:eastAsia="宋体" w:hint="default"/>
                <w:spacing w:val="-7"/>
                <w:sz w:val="18"/>
                <w:szCs w:val="18"/>
              </w:rPr>
              <w:t>完毕，承诺期间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未进行证券投</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1610"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金期间，不进行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证券投资或金 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元人民币的风 险投资。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5"/>
              <w:jc w:val="left"/>
              <w:rPr>
                <w:rFonts w:ascii="宋体" w:hAnsi="宋体" w:cs="宋体" w:eastAsia="宋体" w:hint="default"/>
                <w:sz w:val="18"/>
                <w:szCs w:val="18"/>
              </w:rPr>
            </w:pPr>
            <w:r>
              <w:rPr>
                <w:rFonts w:ascii="宋体" w:hAnsi="宋体" w:cs="宋体" w:eastAsia="宋体" w:hint="default"/>
                <w:sz w:val="18"/>
                <w:szCs w:val="18"/>
              </w:rPr>
              <w:t>资和风险投资 情况。</w:t>
            </w:r>
          </w:p>
        </w:tc>
      </w:tr>
      <w:tr>
        <w:trPr>
          <w:trHeight w:val="1962"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吉林紫鑫药业 股份有限公司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承诺在使用闲 置募集资金暂 时补充流动资 </w:t>
            </w:r>
            <w:r>
              <w:rPr>
                <w:rFonts w:ascii="宋体" w:hAnsi="宋体" w:cs="宋体" w:eastAsia="宋体" w:hint="default"/>
                <w:spacing w:val="-6"/>
                <w:sz w:val="18"/>
                <w:szCs w:val="18"/>
              </w:rPr>
              <w:t>金期间，不进行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证券投资等风 险投资。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承诺正在严格 履行。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149"/>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6"/>
        <w:gridCol w:w="1196"/>
        <w:gridCol w:w="1195"/>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1" w:right="50"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中准会计师事务所有限公司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韩波、支力</w:t>
            </w:r>
          </w:p>
        </w:tc>
      </w:tr>
    </w:tbl>
    <w:p>
      <w:pPr>
        <w:pStyle w:val="BodyText"/>
        <w:spacing w:line="240" w:lineRule="auto" w:before="51"/>
        <w:ind w:right="149"/>
        <w:jc w:val="left"/>
      </w:pPr>
      <w:r>
        <w:rPr/>
        <w:t>当期是否改聘会计师事务所</w:t>
      </w:r>
    </w:p>
    <w:p>
      <w:pPr>
        <w:pStyle w:val="BodyText"/>
        <w:spacing w:line="338" w:lineRule="auto" w:before="117"/>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9"/>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t>监事会对董事会编制的《关于对会计师事务所出具的非标准审计意见涉及事项的专项说明》的审核意见为：监事会认为董事</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153" w:right="5311"/>
        <w:jc w:val="left"/>
      </w:pPr>
      <w:r>
        <w:rPr/>
        <w:t>会的专项说明客观、真实地反映了公司的实际情况。 独立董事对非标准审计意见所涉及的事项发表如下意见：</w:t>
      </w:r>
    </w:p>
    <w:p>
      <w:pPr>
        <w:pStyle w:val="BodyText"/>
        <w:spacing w:line="309" w:lineRule="auto" w:before="28"/>
        <w:ind w:left="153" w:right="191"/>
        <w:jc w:val="both"/>
      </w:pPr>
      <w:r>
        <w:rPr>
          <w:spacing w:val="-2"/>
        </w:rPr>
        <w:t>我们对</w:t>
      </w:r>
      <w:r>
        <w:rPr>
          <w:rFonts w:ascii="Times New Roman" w:hAnsi="Times New Roman" w:cs="Times New Roman" w:eastAsia="Times New Roman" w:hint="default"/>
          <w:spacing w:val="-2"/>
        </w:rPr>
        <w:t>2012</w:t>
      </w:r>
      <w:r>
        <w:rPr>
          <w:spacing w:val="-2"/>
        </w:rPr>
        <w:t>年审计报告的非标准审计意见所涉及的审计事项作了深入的了解和研究，对所涉及的事项同会计师做了详细的沟</w:t>
      </w:r>
      <w:r>
        <w:rPr>
          <w:spacing w:val="-60"/>
        </w:rPr>
        <w:t> </w:t>
      </w:r>
      <w:r>
        <w:rPr>
          <w:spacing w:val="-60"/>
        </w:rPr>
      </w:r>
      <w:r>
        <w:rPr>
          <w:spacing w:val="-2"/>
        </w:rPr>
        <w:t>通。同时认真细致的审阅公司第四届董事会《关于对会计师事务所出具的非标准审计意见涉及事项的专项说明》，我们同意</w:t>
      </w:r>
      <w:r>
        <w:rPr>
          <w:spacing w:val="-66"/>
        </w:rPr>
        <w:t> </w:t>
      </w:r>
      <w:r>
        <w:rPr>
          <w:spacing w:val="-66"/>
        </w:rPr>
      </w:r>
      <w:r>
        <w:rPr/>
        <w:t>第四届董事会对非标准审计意见涉及事项的专项说明并提请公司对所涉事项采取措施以消除会计师的疑虑。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both"/>
        <w:rPr>
          <w:b w:val="0"/>
          <w:bCs w:val="0"/>
        </w:rPr>
      </w:pPr>
      <w:r>
        <w:rPr/>
        <w:t>十一、处罚及整改情况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中国证监会对公</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司立案稽查的公</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：公告号：</w:t>
            </w:r>
          </w:p>
        </w:tc>
      </w:tr>
      <w:tr>
        <w:trPr>
          <w:trHeight w:val="93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2" w:right="74"/>
              <w:jc w:val="left"/>
              <w:rPr>
                <w:rFonts w:ascii="宋体" w:hAnsi="宋体" w:cs="宋体" w:eastAsia="宋体" w:hint="default"/>
                <w:sz w:val="18"/>
                <w:szCs w:val="18"/>
              </w:rPr>
            </w:pPr>
            <w:r>
              <w:rPr>
                <w:rFonts w:ascii="宋体" w:hAnsi="宋体" w:cs="宋体" w:eastAsia="宋体" w:hint="default"/>
                <w:sz w:val="18"/>
                <w:szCs w:val="18"/>
              </w:rPr>
              <w:t>吉林紫鑫药业股 份有限公司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涉嫌证券违法违 规行为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尚无结论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2011-052</w:t>
            </w:r>
            <w:r>
              <w:rPr>
                <w:rFonts w:ascii="宋体" w:hAnsi="宋体" w:cs="宋体" w:eastAsia="宋体" w:hint="default"/>
                <w:sz w:val="18"/>
                <w:szCs w:val="18"/>
              </w:rPr>
              <w:t>；披露</w:t>
            </w:r>
          </w:p>
          <w:p>
            <w:pPr>
              <w:pStyle w:val="TableParagraph"/>
              <w:spacing w:line="316"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网站链接：巨潮 资讯网</w:t>
            </w:r>
          </w:p>
        </w:tc>
      </w:tr>
      <w:tr>
        <w:trPr>
          <w:trHeight w:val="320"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w:t>
            </w: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nfo.com.cn/finalp</w:t>
            </w:r>
          </w:p>
        </w:tc>
      </w:tr>
      <w:tr>
        <w:trPr>
          <w:trHeight w:val="309"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age/2011-10-21/6</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0085500.PDF</w:t>
            </w:r>
            <w:r>
              <w:rPr>
                <w:rFonts w:ascii="宋体" w:hAnsi="宋体" w:cs="宋体" w:eastAsia="宋体" w:hint="default"/>
                <w:sz w:val="18"/>
                <w:szCs w:val="18"/>
              </w:rPr>
              <w:t>）</w:t>
            </w:r>
          </w:p>
        </w:tc>
      </w:tr>
    </w:tbl>
    <w:p>
      <w:pPr>
        <w:pStyle w:val="BodyText"/>
        <w:spacing w:line="357" w:lineRule="auto" w:before="51"/>
        <w:ind w:right="3690"/>
        <w:jc w:val="left"/>
      </w:pPr>
      <w:r>
        <w:rPr/>
        <w:t>整改情况说明 公司针对自查中发现的问题，及时采取了必要的补救和整改措施，主要包括：</w:t>
      </w:r>
    </w:p>
    <w:p>
      <w:pPr>
        <w:pStyle w:val="BodyText"/>
        <w:spacing w:line="237" w:lineRule="exact"/>
        <w:ind w:left="153" w:right="0"/>
        <w:jc w:val="left"/>
      </w:pPr>
      <w:r>
        <w:rPr/>
        <w:t>（一）补充了关联交易审批程序。对于未履行必要审批程序的关联交易，公司召开了第四届董事会第十八次会议和</w:t>
      </w:r>
      <w:r>
        <w:rPr>
          <w:rFonts w:ascii="Times New Roman" w:hAnsi="Times New Roman" w:cs="Times New Roman" w:eastAsia="Times New Roman" w:hint="default"/>
        </w:rPr>
        <w:t>2011</w:t>
      </w:r>
      <w:r>
        <w:rPr/>
        <w:t>年第</w:t>
      </w:r>
    </w:p>
    <w:p>
      <w:pPr>
        <w:pStyle w:val="BodyText"/>
        <w:spacing w:line="240" w:lineRule="auto" w:before="63"/>
        <w:ind w:left="153" w:right="91"/>
        <w:jc w:val="left"/>
      </w:pPr>
      <w:r>
        <w:rPr/>
        <w:t>四次临时股东大会，补充了董事会、股东大会的审议程序，同时独立董事对相关的关联交易发表了独立意见。</w:t>
      </w:r>
    </w:p>
    <w:p>
      <w:pPr>
        <w:pStyle w:val="BodyText"/>
        <w:spacing w:line="300" w:lineRule="auto" w:before="76"/>
        <w:ind w:left="153" w:right="191"/>
        <w:jc w:val="left"/>
      </w:pPr>
      <w:r>
        <w:rPr>
          <w:spacing w:val="-2"/>
        </w:rPr>
        <w:t>（二）补充披露了关联方关系和关联交易。</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日，公司发布了《吉林紫鑫药业股份有限公司关于媒体报道相关情</w:t>
      </w:r>
      <w:r>
        <w:rPr>
          <w:spacing w:val="-58"/>
        </w:rPr>
        <w:t> </w:t>
      </w:r>
      <w:r>
        <w:rPr>
          <w:spacing w:val="-58"/>
        </w:rPr>
      </w:r>
      <w:r>
        <w:rPr/>
        <w:t>况的自查报告》（公告编号：</w:t>
      </w:r>
      <w:r>
        <w:rPr>
          <w:rFonts w:ascii="Times New Roman" w:hAnsi="Times New Roman" w:cs="Times New Roman" w:eastAsia="Times New Roman" w:hint="default"/>
        </w:rPr>
        <w:t>2011-054</w:t>
      </w:r>
      <w:r>
        <w:rPr/>
        <w:t>），补充披露了与草还丹药业等公司的关联关系和相关的关联交易情况。</w:t>
      </w:r>
    </w:p>
    <w:p>
      <w:pPr>
        <w:pStyle w:val="BodyText"/>
        <w:spacing w:line="309" w:lineRule="auto" w:before="13"/>
        <w:ind w:left="153" w:right="190"/>
        <w:jc w:val="both"/>
      </w:pPr>
      <w:r>
        <w:rPr>
          <w:spacing w:val="-2"/>
        </w:rPr>
        <w:t>（三）</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月，公司通过法律途径将草还丹药业形式上持有千草药业股权变更为千草药业实际控制人的名下，从根本上</w:t>
      </w:r>
      <w:r>
        <w:rPr>
          <w:spacing w:val="-60"/>
        </w:rPr>
        <w:t> </w:t>
      </w:r>
      <w:r>
        <w:rPr>
          <w:spacing w:val="-60"/>
        </w:rPr>
      </w:r>
      <w:r>
        <w:rPr>
          <w:spacing w:val="-2"/>
        </w:rPr>
        <w:t>解决了公司控股子公司草还丹药业与千草药业的关系。同时公司重新梳理与公司可能存在关联关系的法人单位和自然人，确</w:t>
      </w:r>
      <w:r>
        <w:rPr>
          <w:spacing w:val="-64"/>
        </w:rPr>
        <w:t> </w:t>
      </w:r>
      <w:r>
        <w:rPr>
          <w:spacing w:val="-64"/>
        </w:rPr>
      </w:r>
      <w:r>
        <w:rPr/>
        <w:t>保公司认定的关联方准确、完整。</w:t>
      </w:r>
    </w:p>
    <w:p>
      <w:pPr>
        <w:pStyle w:val="BodyText"/>
        <w:spacing w:line="316" w:lineRule="auto" w:before="24"/>
        <w:ind w:left="153" w:right="91"/>
        <w:jc w:val="left"/>
      </w:pPr>
      <w:r>
        <w:rPr>
          <w:spacing w:val="-2"/>
        </w:rPr>
        <w:t>（四）加强了内部控制和风险管理。针对公司内部控制存在的问题，公司一方面完善公司治理、组织结构、内部审计、人力</w:t>
      </w:r>
      <w:r>
        <w:rPr>
          <w:spacing w:val="-68"/>
        </w:rPr>
        <w:t> </w:t>
      </w:r>
      <w:r>
        <w:rPr>
          <w:spacing w:val="-68"/>
        </w:rPr>
      </w:r>
      <w:r>
        <w:rPr/>
        <w:t>资源、子公司管理等方面的制度，另一方面加强管理，确保各项内部制度得到切实执行。</w:t>
      </w:r>
    </w:p>
    <w:p>
      <w:pPr>
        <w:pStyle w:val="BodyText"/>
        <w:spacing w:line="314" w:lineRule="auto" w:before="19"/>
        <w:ind w:left="153" w:right="91"/>
        <w:jc w:val="left"/>
      </w:pPr>
      <w:r>
        <w:rPr>
          <w:spacing w:val="-2"/>
        </w:rPr>
        <w:t>（五）加强对董事、监事、高管人员的培训，提高履职能力。一是组织董事、监事、高级管理人员积极参加吉林证监局、深</w:t>
      </w:r>
      <w:r>
        <w:rPr>
          <w:spacing w:val="-67"/>
        </w:rPr>
        <w:t> </w:t>
      </w:r>
      <w:r>
        <w:rPr>
          <w:spacing w:val="-67"/>
        </w:rPr>
      </w:r>
      <w:r>
        <w:rPr/>
        <w:t>交所组织的业务培训。</w:t>
      </w:r>
      <w:r>
        <w:rPr>
          <w:rFonts w:ascii="Times New Roman" w:hAnsi="Times New Roman" w:cs="Times New Roman" w:eastAsia="Times New Roman" w:hint="default"/>
        </w:rPr>
        <w:t>2011</w:t>
      </w:r>
      <w:r>
        <w:rPr/>
        <w:t>年以来，公司</w:t>
      </w:r>
      <w:r>
        <w:rPr>
          <w:rFonts w:ascii="Times New Roman" w:hAnsi="Times New Roman" w:cs="Times New Roman" w:eastAsia="Times New Roman" w:hint="default"/>
        </w:rPr>
        <w:t>3</w:t>
      </w:r>
      <w:r>
        <w:rPr/>
        <w:t>次组织董事、监事及高级管理人员参加了中国证监会吉林监管局举办的董事、监 </w:t>
      </w:r>
      <w:r>
        <w:rPr>
          <w:spacing w:val="-4"/>
        </w:rPr>
        <w:t>事培训班，财务总监参加了深圳证券交易所举办的财务总监培训班。通过有组织、有计划的专业学习培训，提高了公司董事、</w:t>
      </w:r>
      <w:r>
        <w:rPr>
          <w:spacing w:val="-46"/>
        </w:rPr>
        <w:t> </w:t>
      </w:r>
      <w:r>
        <w:rPr>
          <w:spacing w:val="-46"/>
        </w:rPr>
      </w:r>
      <w:r>
        <w:rPr>
          <w:spacing w:val="-2"/>
        </w:rPr>
        <w:t>监事、高管人员的守法合规意识。二是完善员工培训管理制度，积极开展内部培训。组织开展了新员工入职培训和在职员工</w:t>
      </w:r>
      <w:r>
        <w:rPr>
          <w:spacing w:val="-66"/>
        </w:rPr>
        <w:t> </w:t>
      </w:r>
      <w:r>
        <w:rPr>
          <w:spacing w:val="-66"/>
        </w:rPr>
      </w:r>
      <w:r>
        <w:rPr>
          <w:spacing w:val="-2"/>
        </w:rPr>
        <w:t>培训、基层员工和中高级员工培训以及公司董事、监事、高级管理人员内部培训，着力增强公司全体人员遵守法律法规及公</w:t>
      </w:r>
      <w:r>
        <w:rPr>
          <w:spacing w:val="-66"/>
        </w:rPr>
        <w:t> </w:t>
      </w:r>
      <w:r>
        <w:rPr>
          <w:spacing w:val="-66"/>
        </w:rPr>
      </w:r>
      <w:r>
        <w:rPr/>
        <w:t>司内部制度的自觉性。</w:t>
      </w:r>
    </w:p>
    <w:p>
      <w:pPr>
        <w:pStyle w:val="BodyText"/>
        <w:spacing w:line="240" w:lineRule="auto" w:before="61"/>
        <w:ind w:left="153" w:right="91"/>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3"/>
        <w:ind w:left="15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9"/>
        <w:jc w:val="left"/>
        <w:rPr>
          <w:b w:val="0"/>
          <w:bCs w:val="0"/>
        </w:rPr>
      </w:pPr>
      <w:r>
        <w:rPr/>
        <w:t>十二、年度报告披露后面临暂停上市和终止上市情况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十三、其他重大事项的说明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rFonts w:ascii="Times New Roman" w:hAnsi="Times New Roman" w:cs="Times New Roman" w:eastAsia="Times New Roman" w:hint="default"/>
        </w:rPr>
        <w:t>1</w:t>
      </w:r>
      <w:r>
        <w:rPr/>
        <w:t>、报告期内披露重要事项的相关公告明细：</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970"/>
        <w:gridCol w:w="1985"/>
        <w:gridCol w:w="3685"/>
      </w:tblGrid>
      <w:tr>
        <w:trPr>
          <w:trHeight w:val="347" w:hRule="exact"/>
        </w:trPr>
        <w:tc>
          <w:tcPr>
            <w:tcW w:w="3970"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985"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685" w:type="dxa"/>
            <w:tcBorders>
              <w:top w:val="single" w:sz="6" w:space="0" w:color="000000"/>
              <w:left w:val="single" w:sz="6" w:space="0" w:color="000000"/>
              <w:bottom w:val="single" w:sz="6" w:space="0" w:color="000000"/>
              <w:right w:val="single" w:sz="6" w:space="0" w:color="000000"/>
            </w:tcBorders>
            <w:shd w:val="clear" w:color="auto" w:fill="C6E2FF"/>
          </w:tcPr>
          <w:p>
            <w:pPr>
              <w:pStyle w:val="TableParagraph"/>
              <w:spacing w:line="240" w:lineRule="auto" w:before="21"/>
              <w:ind w:left="934" w:right="0"/>
              <w:jc w:val="left"/>
              <w:rPr>
                <w:rFonts w:ascii="宋体" w:hAnsi="宋体" w:cs="宋体" w:eastAsia="宋体" w:hint="default"/>
                <w:sz w:val="18"/>
                <w:szCs w:val="18"/>
              </w:rPr>
            </w:pPr>
            <w:r>
              <w:rPr>
                <w:rFonts w:ascii="宋体" w:hAnsi="宋体" w:cs="宋体" w:eastAsia="宋体" w:hint="default"/>
                <w:sz w:val="18"/>
                <w:szCs w:val="18"/>
              </w:rPr>
              <w:t>披露的网站及检索路径</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第四届董事会第十九次会议决议公告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关于董事长辞职的公告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关于部分董事、监事、高级管理人员买入公司股票 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股东股权质押解除和再次质押公告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关于股东减持的公告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年度业绩快报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年第一季度业绩预告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第四届董事会第二十一次会议决议公告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第四届监事会第十二次会议决议公告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年年度报告摘要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年第一季度报告正文</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第四届董事会第二十二次会议决议公告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8"/>
                <w:sz w:val="18"/>
                <w:szCs w:val="18"/>
              </w:rPr>
              <w:t>关于继续使用部分闲置募集资金暂时补充流动资 </w:t>
            </w:r>
            <w:r>
              <w:rPr>
                <w:rFonts w:ascii="宋体" w:hAnsi="宋体" w:cs="宋体" w:eastAsia="宋体" w:hint="default"/>
                <w:sz w:val="18"/>
                <w:szCs w:val="18"/>
              </w:rPr>
              <w:t>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6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7"/>
                <w:sz w:val="18"/>
                <w:szCs w:val="18"/>
              </w:rPr>
              <w:t>关于</w:t>
            </w:r>
            <w:r>
              <w:rPr>
                <w:rFonts w:ascii="Times New Roman" w:hAnsi="Times New Roman" w:cs="Times New Roman" w:eastAsia="Times New Roman" w:hint="default"/>
                <w:spacing w:val="7"/>
                <w:sz w:val="18"/>
                <w:szCs w:val="18"/>
              </w:rPr>
              <w:t>2011</w:t>
            </w:r>
            <w:r>
              <w:rPr>
                <w:rFonts w:ascii="宋体" w:hAnsi="宋体" w:cs="宋体" w:eastAsia="宋体" w:hint="default"/>
                <w:spacing w:val="7"/>
                <w:sz w:val="18"/>
                <w:szCs w:val="18"/>
              </w:rPr>
              <w:t>年度业绩快报存在的问题及整改措施的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第四届董事会第二十三次会议决议公告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第四届监事会第十三次会议决议公告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股东股权质押解除和再次质押公</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第四届董事会第二十四次会议决议公告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年第一次临时股东大会的通知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第四届董事会第二十五次会议决议公告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年半年度报告摘要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股东股权质押解除和再次质押公告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70"/>
        <w:gridCol w:w="1985"/>
        <w:gridCol w:w="3685"/>
      </w:tblGrid>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关于公司股东股权质押的公告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第四届董事会第二十六次会议决议公告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年第三季度报告正文</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关于使用募集资金对子公司增资的公告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第四届董事会第二十七次会议决议公告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第四届董事会第二十八次会议决议公告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659"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8"/>
                <w:sz w:val="18"/>
                <w:szCs w:val="18"/>
              </w:rPr>
              <w:t>关于使用部分闲置募集资金暂时补充流动资金的 </w:t>
            </w:r>
            <w:r>
              <w:rPr>
                <w:rFonts w:ascii="宋体" w:hAnsi="宋体" w:cs="宋体" w:eastAsia="宋体" w:hint="default"/>
                <w:sz w:val="18"/>
                <w:szCs w:val="18"/>
              </w:rPr>
              <w:t>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第四届监事会第十六次会议决议公告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关于公司股东股权质押的公告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149"/>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91"/>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1"/>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020"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49.02%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412,373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0.08%</w:t>
            </w:r>
          </w:p>
        </w:tc>
      </w:tr>
      <w:tr>
        <w:trPr>
          <w:trHeight w:val="393"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49.02%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49.02%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9" w:space="0" w:color="D3D3D3"/>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412,373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412,373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412,373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0.08%</w:t>
            </w: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50.98%</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99.92%</w:t>
            </w:r>
          </w:p>
        </w:tc>
      </w:tr>
      <w:tr>
        <w:trPr>
          <w:trHeight w:val="393"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50.98%</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251,062,6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99.92%</w:t>
            </w:r>
          </w:p>
        </w:tc>
      </w:tr>
      <w:tr>
        <w:trPr>
          <w:trHeight w:val="393"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512,991,3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512,991,3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3"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38" w:lineRule="auto" w:before="51"/>
        <w:ind w:right="91"/>
        <w:jc w:val="left"/>
      </w:pPr>
      <w:r>
        <w:rPr/>
        <w:t>股份变动的原因 </w:t>
      </w:r>
      <w:r>
        <w:rPr>
          <w:spacing w:val="-2"/>
        </w:rPr>
        <w:t>公司董事长兼总经理曹恩辉先生、董事殷金龙先生、祖春香女士、监事范水波先生、韩明先生、财务总监徐吉峰先生、生产</w:t>
      </w:r>
      <w:r>
        <w:rPr>
          <w:spacing w:val="-67"/>
        </w:rPr>
        <w:t> </w:t>
      </w:r>
      <w:r>
        <w:rPr>
          <w:spacing w:val="-67"/>
        </w:rPr>
      </w:r>
      <w:r>
        <w:rPr/>
        <w:t>副总经理李宝芝女士和副总经理兼董事会秘书钟云香女士在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17</w:t>
      </w:r>
      <w:r>
        <w:rPr/>
        <w:t>日通过深圳证券交易所证券交易系统买入本</w:t>
      </w:r>
    </w:p>
    <w:p>
      <w:pPr>
        <w:pStyle w:val="BodyText"/>
        <w:spacing w:line="231" w:lineRule="exact"/>
        <w:ind w:right="91"/>
        <w:jc w:val="left"/>
      </w:pPr>
      <w:r>
        <w:rPr/>
        <w:t>公司股票</w:t>
      </w:r>
      <w:r>
        <w:rPr>
          <w:rFonts w:ascii="Times New Roman" w:hAnsi="Times New Roman" w:cs="Times New Roman" w:eastAsia="Times New Roman" w:hint="default"/>
        </w:rPr>
        <w:t>549,831</w:t>
      </w:r>
      <w:r>
        <w:rPr/>
        <w:t>股。按照相关规定，上述股票</w:t>
      </w:r>
      <w:r>
        <w:rPr>
          <w:rFonts w:ascii="Times New Roman" w:hAnsi="Times New Roman" w:cs="Times New Roman" w:eastAsia="Times New Roman" w:hint="default"/>
        </w:rPr>
        <w:t>2012</w:t>
      </w:r>
      <w:r>
        <w:rPr/>
        <w:t>年限售锁定</w:t>
      </w:r>
      <w:r>
        <w:rPr>
          <w:rFonts w:ascii="Times New Roman" w:hAnsi="Times New Roman" w:cs="Times New Roman" w:eastAsia="Times New Roman" w:hint="default"/>
        </w:rPr>
        <w:t>412,373</w:t>
      </w:r>
      <w:r>
        <w:rPr/>
        <w:t>股。</w:t>
      </w:r>
    </w:p>
    <w:p>
      <w:pPr>
        <w:pStyle w:val="BodyText"/>
        <w:spacing w:line="304" w:lineRule="auto" w:before="101"/>
        <w:ind w:right="91"/>
        <w:jc w:val="left"/>
      </w:pPr>
      <w:r>
        <w:rPr>
          <w:spacing w:val="-2"/>
        </w:rPr>
        <w:t>敦化市康平投资有限责任公司于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w:t>
      </w:r>
      <w:r>
        <w:rPr>
          <w:rFonts w:ascii="Times New Roman" w:hAnsi="Times New Roman" w:cs="Times New Roman" w:eastAsia="Times New Roman" w:hint="default"/>
          <w:spacing w:val="-2"/>
        </w:rPr>
        <w:t>2011</w:t>
      </w:r>
      <w:r>
        <w:rPr>
          <w:spacing w:val="-2"/>
        </w:rPr>
        <w:t>年临时股东会，会议审议通过了《关于自愿锁定所投资持有的吉林</w:t>
      </w:r>
      <w:r>
        <w:rPr>
          <w:spacing w:val="-52"/>
        </w:rPr>
        <w:t> </w:t>
      </w:r>
      <w:r>
        <w:rPr>
          <w:spacing w:val="-52"/>
        </w:rPr>
      </w:r>
      <w:r>
        <w:rPr>
          <w:spacing w:val="-2"/>
        </w:rPr>
        <w:t>紫鑫药业股份有限公司股份的议案》，承诺在未来十二个月内（即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日起至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日止）自愿锁定所持有</w:t>
      </w:r>
      <w:r>
        <w:rPr>
          <w:spacing w:val="-50"/>
        </w:rPr>
        <w:t> </w:t>
      </w:r>
      <w:r>
        <w:rPr>
          <w:spacing w:val="-50"/>
        </w:rPr>
      </w:r>
      <w:r>
        <w:rPr>
          <w:spacing w:val="-4"/>
        </w:rPr>
        <w:t>的公司股份，不转让、不减持或者委托他人管理所持有的公司股份，也不由公司回购所持有的该部分股份；若违反上述决议，</w:t>
      </w:r>
      <w:r>
        <w:rPr>
          <w:spacing w:val="-46"/>
        </w:rPr>
        <w:t> </w:t>
      </w:r>
      <w:r>
        <w:rPr>
          <w:spacing w:val="-46"/>
        </w:rPr>
      </w:r>
      <w:r>
        <w:rPr>
          <w:spacing w:val="-2"/>
        </w:rPr>
        <w:t>将转让或减持所得收益全部归公司所有。</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日，敦化市康平投资有限责任公司自愿锁定所持有的紫鑫药业股票期</w:t>
      </w:r>
      <w:r>
        <w:rPr>
          <w:spacing w:val="-56"/>
        </w:rPr>
        <w:t> </w:t>
      </w:r>
      <w:r>
        <w:rPr>
          <w:spacing w:val="-56"/>
        </w:rPr>
      </w:r>
      <w:r>
        <w:rPr/>
        <w:t>限已满，经申请解除限售，变更为无限售流通股。</w:t>
      </w:r>
    </w:p>
    <w:p>
      <w:pPr>
        <w:pStyle w:val="BodyText"/>
        <w:spacing w:line="240" w:lineRule="auto" w:before="67"/>
        <w:ind w:right="91"/>
        <w:jc w:val="left"/>
      </w:pPr>
      <w:r>
        <w:rPr/>
        <w:t>股份变动的批准情况</w:t>
      </w:r>
    </w:p>
    <w:p>
      <w:pPr>
        <w:pStyle w:val="BodyText"/>
        <w:spacing w:line="348" w:lineRule="auto" w:before="117"/>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 不适用。</w:t>
      </w:r>
    </w:p>
    <w:p>
      <w:pPr>
        <w:pStyle w:val="BodyText"/>
        <w:spacing w:line="240" w:lineRule="auto" w:before="36"/>
        <w:ind w:right="91"/>
        <w:jc w:val="left"/>
      </w:pPr>
      <w:r>
        <w:rPr/>
        <w:t>股份变动对最近一年和最近一期基本每股收益和稀释每股收益、归属于公司普通股股东的每股净资产等财务指标的影响</w:t>
      </w:r>
    </w:p>
    <w:p>
      <w:pPr>
        <w:pStyle w:val="BodyText"/>
        <w:spacing w:line="348" w:lineRule="auto" w:before="117"/>
        <w:ind w:right="5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 无。</w:t>
      </w:r>
    </w:p>
    <w:p>
      <w:pPr>
        <w:spacing w:after="0" w:line="348"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9"/>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49,875,311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49,875,311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1"/>
        <w:ind w:left="153" w:right="149"/>
        <w:jc w:val="left"/>
      </w:pPr>
      <w:r>
        <w:rPr/>
        <w:t>前三年历次证券发行情况的说明 经中国证监会证监许可</w:t>
      </w:r>
      <w:r>
        <w:rPr>
          <w:rFonts w:ascii="Times New Roman" w:hAnsi="Times New Roman" w:cs="Times New Roman" w:eastAsia="Times New Roman" w:hint="default"/>
        </w:rPr>
        <w:t>[2010]1815</w:t>
      </w:r>
      <w:r>
        <w:rPr/>
        <w:t>号文件核准，公司与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日向</w:t>
      </w:r>
      <w:r>
        <w:rPr>
          <w:rFonts w:ascii="Times New Roman" w:hAnsi="Times New Roman" w:cs="Times New Roman" w:eastAsia="Times New Roman" w:hint="default"/>
        </w:rPr>
        <w:t>6</w:t>
      </w:r>
      <w:r>
        <w:rPr/>
        <w:t>位特定投资者非公开发行人民币普通股（</w:t>
      </w:r>
      <w:r>
        <w:rPr>
          <w:rFonts w:ascii="Times New Roman" w:hAnsi="Times New Roman" w:cs="Times New Roman" w:eastAsia="Times New Roman" w:hint="default"/>
        </w:rPr>
        <w:t>A</w:t>
      </w:r>
      <w:r>
        <w:rPr/>
        <w:t>股）</w:t>
      </w:r>
    </w:p>
    <w:p>
      <w:pPr>
        <w:pStyle w:val="BodyText"/>
        <w:spacing w:line="214" w:lineRule="exact"/>
        <w:ind w:left="153" w:right="0"/>
        <w:jc w:val="left"/>
      </w:pPr>
      <w:r>
        <w:rPr>
          <w:rFonts w:ascii="Times New Roman" w:hAnsi="Times New Roman" w:cs="Times New Roman" w:eastAsia="Times New Roman" w:hint="default"/>
        </w:rPr>
        <w:t>49,875,311</w:t>
      </w:r>
      <w:r>
        <w:rPr/>
        <w:t>股，每股发行价格</w:t>
      </w:r>
      <w:r>
        <w:rPr>
          <w:rFonts w:ascii="Times New Roman" w:hAnsi="Times New Roman" w:cs="Times New Roman" w:eastAsia="Times New Roman" w:hint="default"/>
        </w:rPr>
        <w:t>20.05</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日，公司在中国证券登记结算有限责任公司深圳分公司办理完毕本次发</w:t>
      </w:r>
    </w:p>
    <w:p>
      <w:pPr>
        <w:spacing w:line="547" w:lineRule="auto" w:before="63"/>
        <w:ind w:left="154" w:right="2919" w:firstLine="0"/>
        <w:jc w:val="left"/>
        <w:rPr>
          <w:rFonts w:ascii="宋体" w:hAnsi="宋体" w:cs="宋体" w:eastAsia="宋体" w:hint="default"/>
          <w:sz w:val="18"/>
          <w:szCs w:val="18"/>
        </w:rPr>
      </w:pPr>
      <w:r>
        <w:rPr>
          <w:rFonts w:ascii="宋体" w:hAnsi="宋体" w:cs="宋体" w:eastAsia="宋体" w:hint="default"/>
          <w:sz w:val="18"/>
          <w:szCs w:val="18"/>
        </w:rPr>
        <w:t>行新增股份登记托管及股份限售手续，限售时间为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日上市流通。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4"/>
        <w:spacing w:line="240" w:lineRule="auto" w:before="122"/>
        <w:ind w:right="149"/>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18"/>
        <w:gridCol w:w="3848"/>
        <w:gridCol w:w="3179"/>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9"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43"/>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2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0"/>
        <w:gridCol w:w="1362"/>
        <w:gridCol w:w="1380"/>
        <w:gridCol w:w="678"/>
        <w:gridCol w:w="684"/>
        <w:gridCol w:w="684"/>
        <w:gridCol w:w="696"/>
        <w:gridCol w:w="1350"/>
        <w:gridCol w:w="1362"/>
      </w:tblGrid>
      <w:tr>
        <w:trPr>
          <w:trHeight w:val="402"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58,934</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59,480</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1" w:hRule="exact"/>
        </w:trPr>
        <w:tc>
          <w:tcPr>
            <w:tcW w:w="1360" w:type="dxa"/>
            <w:vMerge w:val="restart"/>
            <w:tcBorders>
              <w:top w:val="single" w:sz="4" w:space="0" w:color="000000"/>
              <w:left w:val="single" w:sz="4" w:space="0" w:color="000000"/>
              <w:right w:val="single" w:sz="4" w:space="0" w:color="000000"/>
            </w:tcBorders>
            <w:shd w:val="clear" w:color="auto" w:fill="D3D3D3"/>
          </w:tcPr>
          <w:p>
            <w:pPr/>
          </w:p>
        </w:tc>
        <w:tc>
          <w:tcPr>
            <w:tcW w:w="1362" w:type="dxa"/>
            <w:vMerge w:val="restart"/>
            <w:tcBorders>
              <w:top w:val="single" w:sz="4" w:space="0" w:color="000000"/>
              <w:left w:val="single" w:sz="4" w:space="0" w:color="000000"/>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77"/>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1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7"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2713" w:type="dxa"/>
            <w:gridSpan w:val="2"/>
            <w:vMerge/>
            <w:tcBorders>
              <w:left w:val="single" w:sz="4" w:space="0" w:color="000000"/>
              <w:bottom w:val="single" w:sz="4" w:space="0" w:color="000000"/>
              <w:right w:val="single" w:sz="4" w:space="0" w:color="000000"/>
            </w:tcBorders>
            <w:shd w:val="clear" w:color="auto" w:fill="D3D3D3"/>
          </w:tcPr>
          <w:p>
            <w:pPr/>
          </w:p>
        </w:tc>
      </w:tr>
      <w:tr>
        <w:trPr>
          <w:trHeight w:val="236" w:hRule="exact"/>
        </w:trPr>
        <w:tc>
          <w:tcPr>
            <w:tcW w:w="13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6"/>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6"/>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6"/>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13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80"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13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0" w:type="dxa"/>
            <w:vMerge w:val="restart"/>
            <w:tcBorders>
              <w:top w:val="nil" w:sz="6" w:space="0" w:color="auto"/>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c>
          <w:tcPr>
            <w:tcW w:w="1380" w:type="dxa"/>
            <w:vMerge w:val="restart"/>
            <w:tcBorders>
              <w:top w:val="nil" w:sz="6" w:space="0" w:color="auto"/>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1350"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r>
      <w:tr>
        <w:trPr>
          <w:trHeight w:val="110" w:hRule="exact"/>
        </w:trPr>
        <w:tc>
          <w:tcPr>
            <w:tcW w:w="1360"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right w:val="single" w:sz="4" w:space="0" w:color="000000"/>
            </w:tcBorders>
            <w:shd w:val="clear" w:color="auto" w:fill="D3D3D3"/>
          </w:tcPr>
          <w:p>
            <w:pPr/>
          </w:p>
        </w:tc>
        <w:tc>
          <w:tcPr>
            <w:tcW w:w="1380" w:type="dxa"/>
            <w:vMerge/>
            <w:tcBorders>
              <w:left w:val="single" w:sz="4" w:space="0" w:color="000000"/>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1350" w:type="dxa"/>
            <w:vMerge w:val="restart"/>
            <w:tcBorders>
              <w:top w:val="nil" w:sz="6" w:space="0" w:color="auto"/>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敦化市康平投资 有限责任公司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49.02%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251,475</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,016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251,475</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,016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250,680,000</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6.04%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30,961,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276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30,961,</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276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93.320007pt;margin-top:427.700012pt;width:341.55pt;height:28pt;mso-position-horizontal-relative:page;mso-position-vertical-relative:page;z-index:-935320" coordorigin="3866,8554" coordsize="6831,560">
            <v:group style="position:absolute;left:3866;top:8958;width:6831;height:156" coordorigin="3866,8958" coordsize="6831,156">
              <v:shape style="position:absolute;left:3866;top:8958;width:6831;height:156" coordorigin="3866,8958" coordsize="6831,156" path="m3866,9114l10697,9114,10697,8958,3866,8958,3866,9114xe" filled="true" fillcolor="#ffffff" stroked="false">
                <v:path arrowok="t"/>
                <v:fill type="solid"/>
              </v:shape>
            </v:group>
            <v:group style="position:absolute;left:3878;top:8566;width:2;height:392" coordorigin="3878,8566" coordsize="2,392">
              <v:shape style="position:absolute;left:3878;top:8566;width:2;height:392" coordorigin="3878,8566" coordsize="0,392" path="m3878,8566l3878,8958e" filled="false" stroked="true" strokeweight="1.2pt" strokecolor="#ffffff">
                <v:path arrowok="t"/>
              </v:shape>
            </v:group>
            <v:group style="position:absolute;left:3890;top:8566;width:6784;height:393" coordorigin="3890,8566" coordsize="6784,393">
              <v:shape style="position:absolute;left:3890;top:8566;width:6784;height:393" coordorigin="3890,8566" coordsize="6784,393" path="m3890,8958l10674,8958,10674,8566,3890,8566,3890,895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天津硅谷天堂鲲 鹏股权投资基金 合伙企业（有限 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吉林长白山股权 投资管理有限公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宗喜慧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1,388,0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章利华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于伟平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1,039,9</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罗满能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947,776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
              <w:jc w:val="center"/>
              <w:rPr>
                <w:rFonts w:ascii="Times New Roman" w:hAnsi="Times New Roman" w:cs="Times New Roman" w:eastAsia="Times New Roman" w:hint="default"/>
                <w:sz w:val="18"/>
                <w:szCs w:val="18"/>
              </w:rPr>
            </w:pPr>
            <w:r>
              <w:rPr>
                <w:rFonts w:ascii="Times New Roman"/>
                <w:sz w:val="18"/>
              </w:rPr>
              <w:t>784,409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947,776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中国农业银行－ 南方中证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指 数证券投资基金</w:t>
            </w:r>
          </w:p>
          <w:p>
            <w:pPr>
              <w:pStyle w:val="TableParagraph"/>
              <w:spacing w:line="240" w:lineRule="auto" w:before="65"/>
              <w:ind w:left="22" w:right="0"/>
              <w:jc w:val="both"/>
              <w:rPr>
                <w:rFonts w:ascii="Times New Roman" w:hAnsi="Times New Roman" w:cs="Times New Roman" w:eastAsia="Times New Roman" w:hint="default"/>
                <w:sz w:val="18"/>
                <w:szCs w:val="18"/>
              </w:rPr>
            </w:pPr>
            <w:r>
              <w:rPr>
                <w:rFonts w:ascii="Times New Roman"/>
                <w:sz w:val="18"/>
              </w:rPr>
              <w:t>(LOF)</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814,207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9"/>
              <w:jc w:val="center"/>
              <w:rPr>
                <w:rFonts w:ascii="Times New Roman" w:hAnsi="Times New Roman" w:cs="Times New Roman" w:eastAsia="Times New Roman" w:hint="default"/>
                <w:sz w:val="18"/>
                <w:szCs w:val="18"/>
              </w:rPr>
            </w:pPr>
            <w:r>
              <w:rPr>
                <w:rFonts w:ascii="Times New Roman"/>
                <w:sz w:val="18"/>
              </w:rPr>
              <w:t>814,207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center"/>
              <w:rPr>
                <w:rFonts w:ascii="Times New Roman" w:hAnsi="Times New Roman" w:cs="Times New Roman" w:eastAsia="Times New Roman" w:hint="default"/>
                <w:sz w:val="18"/>
                <w:szCs w:val="18"/>
              </w:rPr>
            </w:pPr>
            <w:r>
              <w:rPr>
                <w:rFonts w:ascii="Times New Roman"/>
                <w:sz w:val="18"/>
              </w:rPr>
              <w:t>814,207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名股东的情况（如有</w:t>
            </w:r>
          </w:p>
        </w:tc>
        <w:tc>
          <w:tcPr>
            <w:tcW w:w="684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7"/>
            <w:vMerge w:val="restart"/>
            <w:tcBorders>
              <w:top w:val="single" w:sz="4" w:space="0" w:color="000000"/>
              <w:left w:val="single" w:sz="9" w:space="0" w:color="D3D3D3"/>
              <w:right w:val="single" w:sz="4" w:space="0" w:color="000000"/>
            </w:tcBorders>
          </w:tcPr>
          <w:p>
            <w:pPr>
              <w:pStyle w:val="TableParagraph"/>
              <w:spacing w:line="300"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本公司董事郭春生先生通过其亲属持有康平公司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 </w:t>
            </w:r>
            <w:r>
              <w:rPr>
                <w:rFonts w:ascii="Times New Roman" w:hAnsi="Times New Roman" w:cs="Times New Roman" w:eastAsia="Times New Roman" w:hint="default"/>
                <w:spacing w:val="-6"/>
                <w:sz w:val="18"/>
                <w:szCs w:val="18"/>
              </w:rPr>
              <w:t>49.02%</w:t>
            </w:r>
            <w:r>
              <w:rPr>
                <w:rFonts w:ascii="宋体" w:hAnsi="宋体" w:cs="宋体" w:eastAsia="宋体" w:hint="default"/>
                <w:spacing w:val="-6"/>
                <w:sz w:val="18"/>
                <w:szCs w:val="18"/>
              </w:rPr>
              <w:t>的股份，而持有本公司</w:t>
            </w:r>
            <w:r>
              <w:rPr>
                <w:rFonts w:ascii="宋体" w:hAnsi="宋体" w:cs="宋体" w:eastAsia="宋体" w:hint="default"/>
                <w:spacing w:val="-24"/>
                <w:sz w:val="18"/>
                <w:szCs w:val="18"/>
              </w:rPr>
              <w:t> </w:t>
            </w:r>
            <w:r>
              <w:rPr>
                <w:rFonts w:ascii="Times New Roman" w:hAnsi="Times New Roman" w:cs="Times New Roman" w:eastAsia="Times New Roman" w:hint="default"/>
                <w:spacing w:val="-1"/>
                <w:sz w:val="18"/>
                <w:szCs w:val="18"/>
              </w:rPr>
              <w:t>6.04%</w:t>
            </w:r>
            <w:r>
              <w:rPr>
                <w:rFonts w:ascii="宋体" w:hAnsi="宋体" w:cs="宋体" w:eastAsia="宋体" w:hint="default"/>
                <w:spacing w:val="-1"/>
                <w:sz w:val="18"/>
                <w:szCs w:val="18"/>
              </w:rPr>
              <w:t>股份的自然人股东仲维光为郭春生先生的亲属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所以</w:t>
            </w:r>
            <w:r>
              <w:rPr>
                <w:rFonts w:ascii="宋体" w:hAnsi="宋体" w:cs="宋体" w:eastAsia="宋体" w:hint="default"/>
                <w:spacing w:val="-78"/>
                <w:sz w:val="18"/>
                <w:szCs w:val="18"/>
              </w:rPr>
              <w:t> </w:t>
            </w:r>
            <w:r>
              <w:rPr>
                <w:rFonts w:ascii="宋体" w:hAnsi="宋体" w:cs="宋体" w:eastAsia="宋体" w:hint="default"/>
                <w:sz w:val="18"/>
                <w:szCs w:val="18"/>
              </w:rPr>
              <w:t>康平公司与仲维光先生存在关联关系，为一致行动人。</w:t>
            </w:r>
          </w:p>
        </w:tc>
      </w:tr>
      <w:tr>
        <w:trPr>
          <w:trHeight w:val="704" w:hRule="exact"/>
        </w:trPr>
        <w:tc>
          <w:tcPr>
            <w:tcW w:w="272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7"/>
            <w:vMerge/>
            <w:tcBorders>
              <w:left w:val="single" w:sz="9" w:space="0" w:color="D3D3D3"/>
              <w:right w:val="single" w:sz="4" w:space="0" w:color="000000"/>
            </w:tcBorders>
          </w:tcPr>
          <w:p>
            <w:pPr/>
          </w:p>
        </w:tc>
      </w:tr>
      <w:tr>
        <w:trPr>
          <w:trHeight w:val="161"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7"/>
            <w:vMerge/>
            <w:tcBorders>
              <w:left w:val="single" w:sz="9" w:space="0" w:color="D3D3D3"/>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72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728" w:type="dxa"/>
            <w:gridSpan w:val="2"/>
            <w:vMerge/>
            <w:tcBorders>
              <w:left w:val="single" w:sz="4" w:space="0" w:color="000000"/>
              <w:bottom w:val="nil" w:sz="6" w:space="0" w:color="auto"/>
              <w:right w:val="single" w:sz="4" w:space="0" w:color="000000"/>
            </w:tcBorders>
            <w:shd w:val="clear" w:color="auto" w:fill="D3D3D3"/>
          </w:tcPr>
          <w:p>
            <w:pPr/>
          </w:p>
        </w:tc>
        <w:tc>
          <w:tcPr>
            <w:tcW w:w="4104" w:type="dxa"/>
            <w:gridSpan w:val="5"/>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251,475,016</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30,961,276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30,961,276</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天津硅谷天堂鲲鹏股权投资基金 合伙企业（有限合伙）</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吉林长白山股权投资管理有限公 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宗喜慧</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章利华</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于伟平</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1,270,590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罗会明</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1,039,990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8"/>
        <w:gridCol w:w="4104"/>
        <w:gridCol w:w="1368"/>
        <w:gridCol w:w="1368"/>
      </w:tblGrid>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罗满能</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947,776</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中国农业银行－南方中证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指数 证券投资基金</w:t>
            </w:r>
            <w:r>
              <w:rPr>
                <w:rFonts w:ascii="Times New Roman" w:hAnsi="Times New Roman" w:cs="Times New Roman" w:eastAsia="Times New Roman" w:hint="default"/>
                <w:sz w:val="18"/>
                <w:szCs w:val="18"/>
              </w:rPr>
              <w:t>(LOF)</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814,207</w:t>
            </w:r>
          </w:p>
        </w:tc>
      </w:tr>
      <w:tr>
        <w:trPr>
          <w:trHeight w:val="1650"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本公司董事郭春生先生通过其亲属持有康平公司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 </w:t>
            </w:r>
            <w:r>
              <w:rPr>
                <w:rFonts w:ascii="Times New Roman" w:hAnsi="Times New Roman" w:cs="Times New Roman" w:eastAsia="Times New Roman" w:hint="default"/>
                <w:spacing w:val="-6"/>
                <w:sz w:val="18"/>
                <w:szCs w:val="18"/>
              </w:rPr>
              <w:t>49.02%</w:t>
            </w:r>
            <w:r>
              <w:rPr>
                <w:rFonts w:ascii="宋体" w:hAnsi="宋体" w:cs="宋体" w:eastAsia="宋体" w:hint="default"/>
                <w:spacing w:val="-6"/>
                <w:sz w:val="18"/>
                <w:szCs w:val="18"/>
              </w:rPr>
              <w:t>的股份，而持有本公司</w:t>
            </w:r>
            <w:r>
              <w:rPr>
                <w:rFonts w:ascii="宋体" w:hAnsi="宋体" w:cs="宋体" w:eastAsia="宋体" w:hint="default"/>
                <w:spacing w:val="-21"/>
                <w:sz w:val="18"/>
                <w:szCs w:val="18"/>
              </w:rPr>
              <w:t> </w:t>
            </w:r>
            <w:r>
              <w:rPr>
                <w:rFonts w:ascii="Times New Roman" w:hAnsi="Times New Roman" w:cs="Times New Roman" w:eastAsia="Times New Roman" w:hint="default"/>
                <w:spacing w:val="-1"/>
                <w:sz w:val="18"/>
                <w:szCs w:val="18"/>
              </w:rPr>
              <w:t>6.04%</w:t>
            </w:r>
            <w:r>
              <w:rPr>
                <w:rFonts w:ascii="宋体" w:hAnsi="宋体" w:cs="宋体" w:eastAsia="宋体" w:hint="default"/>
                <w:spacing w:val="-1"/>
                <w:sz w:val="18"/>
                <w:szCs w:val="18"/>
              </w:rPr>
              <w:t>股份的自然人股东仲维光为郭春生先生的亲属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所以</w:t>
            </w:r>
            <w:r>
              <w:rPr>
                <w:rFonts w:ascii="宋体" w:hAnsi="宋体" w:cs="宋体" w:eastAsia="宋体" w:hint="default"/>
                <w:spacing w:val="-81"/>
                <w:sz w:val="18"/>
                <w:szCs w:val="18"/>
              </w:rPr>
              <w:t> </w:t>
            </w:r>
            <w:r>
              <w:rPr>
                <w:rFonts w:ascii="宋体" w:hAnsi="宋体" w:cs="宋体" w:eastAsia="宋体" w:hint="default"/>
                <w:sz w:val="18"/>
                <w:szCs w:val="18"/>
              </w:rPr>
              <w:t>康平公司与仲维光先生存在关联关系，为一致行动人。除上述情况外，其他前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r>
              <w:rPr>
                <w:rFonts w:ascii="宋体" w:hAnsi="宋体" w:cs="宋体" w:eastAsia="宋体" w:hint="default"/>
                <w:spacing w:val="1"/>
                <w:sz w:val="18"/>
                <w:szCs w:val="18"/>
              </w:rPr>
              <w:t> </w:t>
            </w:r>
            <w:r>
              <w:rPr>
                <w:rFonts w:ascii="宋体" w:hAnsi="宋体" w:cs="宋体" w:eastAsia="宋体" w:hint="default"/>
                <w:spacing w:val="-2"/>
                <w:sz w:val="18"/>
                <w:szCs w:val="18"/>
              </w:rPr>
              <w:t>限售流通股股东之间未知是否存在关联关系，也未知是否属于《上市公司股东持股变动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信息披露管理办法》规定的一致行动人。</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4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103"/>
        <w:gridCol w:w="888"/>
        <w:gridCol w:w="1801"/>
        <w:gridCol w:w="1801"/>
        <w:gridCol w:w="1804"/>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2"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敦化市康平投资有限责任 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24483598-7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97"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敦化康平投资有限责任公司目前财务状况正常，公司主要从事实业投资。</w:t>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97"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控股股东报告期内无控股和参股其他境内外上市公司的股权情况。</w:t>
            </w:r>
          </w:p>
        </w:tc>
      </w:tr>
    </w:tbl>
    <w:p>
      <w:pPr>
        <w:pStyle w:val="BodyText"/>
        <w:spacing w:line="240" w:lineRule="auto" w:before="51"/>
        <w:ind w:right="149"/>
        <w:jc w:val="left"/>
      </w:pPr>
      <w:r>
        <w:rPr/>
        <w:t>报告期控股股东变更</w:t>
      </w:r>
    </w:p>
    <w:p>
      <w:pPr>
        <w:spacing w:line="547" w:lineRule="auto" w:before="117"/>
        <w:ind w:left="154" w:right="7557" w:firstLine="0"/>
        <w:jc w:val="left"/>
        <w:rPr>
          <w:rFonts w:ascii="宋体" w:hAnsi="宋体" w:cs="宋体" w:eastAsia="宋体" w:hint="default"/>
          <w:sz w:val="18"/>
          <w:szCs w:val="18"/>
        </w:rPr>
      </w:pPr>
      <w:r>
        <w:rPr/>
        <w:pict>
          <v:shape style="position:absolute;margin-left:56.459999pt;margin-top:84.102013pt;width:479.1pt;height:112.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月起任通化紫金药业有限责任公司（本公司前身）董事长兼总经理，</w:t>
                        </w:r>
                      </w:p>
                      <w:p>
                        <w:pPr>
                          <w:pStyle w:val="TableParagraph"/>
                          <w:spacing w:line="302" w:lineRule="auto" w:before="6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月辞去吉林紫鑫药业股份有限公司董事长及总经理职务，现任吉林紫 鑫药业股份有限公司董事。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right="149"/>
        <w:jc w:val="left"/>
      </w:pPr>
      <w:r>
        <w:rPr/>
        <w:t>报告期实际控制人变更</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1603" w:lineRule="exact"/>
        <w:ind w:left="3810"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1487990" cy="101803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1487990" cy="1018031"/>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3"/>
        <w:rPr>
          <w:rFonts w:ascii="宋体" w:hAnsi="宋体" w:cs="宋体" w:eastAsia="宋体" w:hint="default"/>
          <w:sz w:val="20"/>
          <w:szCs w:val="20"/>
        </w:rPr>
      </w:pPr>
    </w:p>
    <w:p>
      <w:pPr>
        <w:pStyle w:val="Heading3"/>
        <w:spacing w:line="240" w:lineRule="auto" w:before="26"/>
        <w:ind w:right="149"/>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49"/>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2"/>
        <w:gridCol w:w="1092"/>
        <w:gridCol w:w="888"/>
        <w:gridCol w:w="1801"/>
        <w:gridCol w:w="1801"/>
        <w:gridCol w:w="1792"/>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91"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16" w:right="7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3" w:hRule="exact"/>
        </w:trPr>
        <w:tc>
          <w:tcPr>
            <w:tcW w:w="13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计划增持股份数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计划增持股份比</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实际增持股份数</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股份增持计划初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r>
        <w:trPr>
          <w:trHeight w:val="351" w:hRule="exact"/>
        </w:trPr>
        <w:tc>
          <w:tcPr>
            <w:tcW w:w="13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动人姓名</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48"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pStyle w:val="BodyText"/>
        <w:spacing w:line="240" w:lineRule="auto" w:before="51"/>
        <w:ind w:right="149"/>
        <w:jc w:val="left"/>
      </w:pPr>
      <w:r>
        <w:rPr/>
        <w:t>其他情况说明</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49"/>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汤兆利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54,031</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生产副总 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69,100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99,700</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91"/>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74" w:right="168" w:hanging="42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曹恩辉，董事长、总经理，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月至今担任该职务。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-2009</w:t>
      </w:r>
      <w:r>
        <w:rPr/>
        <w:t>年，任中磊会计师事务所项目经理；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p>
    <w:p>
      <w:pPr>
        <w:pStyle w:val="BodyText"/>
        <w:spacing w:line="230" w:lineRule="exact"/>
        <w:ind w:left="153" w:right="91"/>
        <w:jc w:val="left"/>
      </w:pPr>
      <w:r>
        <w:rPr/>
        <w:t>任公司证券事务代表；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spacing w:val="1"/>
        </w:rPr>
        <w:t> </w:t>
      </w:r>
      <w:r>
        <w:rPr/>
        <w:t>，任公司副总经理兼董事会秘书；</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月，补选为公司董事；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月，任公司常</w:t>
      </w:r>
    </w:p>
    <w:p>
      <w:pPr>
        <w:pStyle w:val="BodyText"/>
        <w:spacing w:line="300" w:lineRule="auto" w:before="63"/>
        <w:ind w:left="574" w:right="91" w:hanging="420"/>
        <w:jc w:val="left"/>
      </w:pPr>
      <w:r>
        <w:rPr/>
        <w:t>务副总经理，不再兼任董事会秘书；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月辞去公司常务副总经理。 郭春生，董事，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月至今担任该职务。</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月，担任公司董事长兼总经理，于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月辞去公</w:t>
      </w:r>
    </w:p>
    <w:p>
      <w:pPr>
        <w:pStyle w:val="BodyText"/>
        <w:spacing w:line="309" w:lineRule="auto" w:before="13"/>
        <w:ind w:left="574" w:right="91" w:hanging="420"/>
        <w:jc w:val="left"/>
      </w:pPr>
      <w:r>
        <w:rPr/>
        <w:t>司董事长、总经理职务，只担任公司董事。 祖春香，董事，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月至今担任该职务。</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月，担任公司副总经理。 殷金龙，董事，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月至今担任该职务。</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年任公司药物研究所副所长；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月任公</w:t>
      </w:r>
    </w:p>
    <w:p>
      <w:pPr>
        <w:pStyle w:val="BodyText"/>
        <w:spacing w:line="240" w:lineRule="auto" w:before="5"/>
        <w:ind w:right="91"/>
        <w:jc w:val="left"/>
      </w:pPr>
      <w:r>
        <w:rPr/>
        <w:t>司副总经理。</w:t>
      </w:r>
    </w:p>
    <w:p>
      <w:pPr>
        <w:pStyle w:val="BodyText"/>
        <w:spacing w:line="300" w:lineRule="auto" w:before="76"/>
        <w:ind w:right="174" w:firstLine="420"/>
        <w:jc w:val="left"/>
      </w:pPr>
      <w:r>
        <w:rPr>
          <w:spacing w:val="-1"/>
        </w:rPr>
        <w:t>徐卫东，独立董事，</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月至今担任该职务。现任吉林大学法学院法学教授，博士生导师，兼任长春市仲裁委员会</w:t>
      </w:r>
      <w:r>
        <w:rPr/>
        <w:t> 仲裁员、长春市人民政府法律顾问、教育部法学教学指导委员会委员兼秘书长、中国商法研究会副会长。</w:t>
      </w:r>
    </w:p>
    <w:p>
      <w:pPr>
        <w:pStyle w:val="BodyText"/>
        <w:spacing w:line="300" w:lineRule="auto" w:before="31"/>
        <w:ind w:right="174" w:firstLine="420"/>
        <w:jc w:val="left"/>
      </w:pPr>
      <w:r>
        <w:rPr>
          <w:spacing w:val="-1"/>
        </w:rPr>
        <w:t>李飞，独立董事，</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月至今担任该职务。现任北京中医药大学中药炮制研究中心主任，中药炮制系主任，中华中</w:t>
      </w:r>
      <w:r>
        <w:rPr/>
        <w:t> 医药学会炮制分会副秘书长，北京市中医药学会理事。</w:t>
      </w:r>
    </w:p>
    <w:p>
      <w:pPr>
        <w:pStyle w:val="BodyText"/>
        <w:spacing w:line="300" w:lineRule="auto" w:before="31"/>
        <w:ind w:left="573" w:right="184"/>
        <w:jc w:val="left"/>
        <w:rPr>
          <w:rFonts w:ascii="Times New Roman" w:hAnsi="Times New Roman" w:cs="Times New Roman" w:eastAsia="Times New Roman" w:hint="default"/>
        </w:rPr>
      </w:pPr>
      <w:r>
        <w:rPr/>
        <w:t>方勇，独立董事，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月至今担任该职务。现任中磊会计师事务所部门经理。 汤兆利，职工监事，</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月至今担任该职务。</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月至今在公司工作。 </w:t>
      </w:r>
      <w:r>
        <w:rPr>
          <w:spacing w:val="-1"/>
        </w:rPr>
        <w:t>范水波，监事会召集人，</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月至今担任该职务。</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10</w:t>
      </w:r>
      <w:r>
        <w:rPr>
          <w:spacing w:val="-1"/>
        </w:rPr>
        <w:t>月，在公司财务部任主管会计；</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11</w:t>
      </w:r>
      <w:r>
        <w:rPr>
          <w:rFonts w:ascii="Times New Roman" w:hAnsi="Times New Roman" w:cs="Times New Roman" w:eastAsia="Times New Roman" w:hint="default"/>
        </w:rPr>
      </w:r>
    </w:p>
    <w:p>
      <w:pPr>
        <w:pStyle w:val="BodyText"/>
        <w:spacing w:line="300" w:lineRule="auto" w:before="13"/>
        <w:ind w:left="574" w:right="91" w:hanging="420"/>
        <w:jc w:val="left"/>
      </w:pP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月，担任公司审计部部长，</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月至今担任公司总经理助理。 韩明，监事，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月至今担任该职务。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月起任公司项目总监。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月起任公司生产经理。 徐吉峰，财务总监，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月至今担任该职务。</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月在公司历任会计、财务部长。 李宝芝，生产副总经理，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月至今担任该职务。</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月，吉林紫鑫药业股份有限公司，任生产经</w:t>
      </w:r>
    </w:p>
    <w:p>
      <w:pPr>
        <w:pStyle w:val="BodyText"/>
        <w:spacing w:line="300" w:lineRule="auto" w:before="13"/>
        <w:ind w:left="732" w:right="142" w:hanging="579"/>
        <w:jc w:val="left"/>
      </w:pPr>
      <w:r>
        <w:rPr/>
        <w:t>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日，任公司生产副总经理。 钟云香，副总经理、董事会秘书，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月至今担任该职务。</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2010</w:t>
      </w:r>
      <w:r>
        <w:rPr/>
        <w:t>年就职于中磊会计师事务所吉林分所，</w:t>
      </w:r>
    </w:p>
    <w:p>
      <w:pPr>
        <w:pStyle w:val="BodyText"/>
        <w:spacing w:line="340" w:lineRule="auto" w:before="13"/>
        <w:ind w:left="153" w:right="3961"/>
        <w:jc w:val="left"/>
      </w:pPr>
      <w:r>
        <w:rPr/>
        <w:t>历任审计助理、项目经理；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月担任公司证券部部长。 在股东单位任职情况</w:t>
      </w:r>
    </w:p>
    <w:p>
      <w:pPr>
        <w:pStyle w:val="BodyText"/>
        <w:spacing w:line="338" w:lineRule="auto" w:before="41"/>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1"/>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91"/>
        <w:jc w:val="left"/>
      </w:pPr>
      <w:r>
        <w:rPr/>
        <w:t>董事、监事、高级管理人员报酬的决策程序、确定依据 </w:t>
      </w:r>
      <w:r>
        <w:rPr>
          <w:spacing w:val="-2"/>
        </w:rPr>
        <w:t>由公司董事会按年度对公司高级管理人员的业绩和履职情况进行考评，并根据工作业绩决定年度薪酬，以考核结果作为下一</w:t>
      </w:r>
      <w:r>
        <w:rPr>
          <w:spacing w:val="-64"/>
        </w:rPr>
        <w:t> </w:t>
      </w:r>
      <w:r>
        <w:rPr>
          <w:spacing w:val="-64"/>
        </w:rPr>
      </w:r>
      <w:r>
        <w:rPr>
          <w:spacing w:val="-2"/>
        </w:rPr>
        <w:t>年度的岗位安排、年薪档次、是否续聘及职位升降和下一届任免的依据。年初，董事会根据公司的经营计划和个人的岗位职</w:t>
      </w:r>
    </w:p>
    <w:p>
      <w:pPr>
        <w:pStyle w:val="BodyText"/>
        <w:spacing w:line="300" w:lineRule="auto" w:before="2"/>
        <w:ind w:right="90"/>
        <w:jc w:val="left"/>
      </w:pPr>
      <w:r>
        <w:rPr/>
        <w:t>责，确定年度工资额；年终董事会根据高级管理人员本年度的工作业绩进行考评后确定对高管人员的奖金总额。</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12</w:t>
      </w:r>
      <w:r>
        <w:rPr/>
        <w:t>日公司召开的</w:t>
      </w:r>
      <w:r>
        <w:rPr>
          <w:rFonts w:ascii="Times New Roman" w:hAnsi="Times New Roman" w:cs="Times New Roman" w:eastAsia="Times New Roman" w:hint="default"/>
        </w:rPr>
        <w:t>2010</w:t>
      </w:r>
      <w:r>
        <w:rPr/>
        <w:t>年年度股东大会审议通过了《关于调整董事、监事、高级管理人员薪酬的议案》，为现任董事、监事、 高级管理人员报酬确定依据。</w:t>
      </w:r>
    </w:p>
    <w:p>
      <w:pPr>
        <w:pStyle w:val="BodyText"/>
        <w:spacing w:line="240" w:lineRule="auto" w:before="72"/>
        <w:ind w:right="91"/>
        <w:jc w:val="left"/>
      </w:pPr>
      <w:r>
        <w:rPr/>
        <w:t>公司报告期内董事、监事和高级管理人员报酬情况</w:t>
      </w:r>
    </w:p>
    <w:p>
      <w:pPr>
        <w:pStyle w:val="BodyText"/>
        <w:spacing w:line="240" w:lineRule="auto" w:before="117"/>
        <w:ind w:left="153" w:right="19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9"/>
              <w:jc w:val="center"/>
              <w:rPr>
                <w:rFonts w:ascii="宋体" w:hAnsi="宋体" w:cs="宋体" w:eastAsia="宋体" w:hint="default"/>
                <w:sz w:val="18"/>
                <w:szCs w:val="18"/>
              </w:rPr>
            </w:pPr>
            <w:r>
              <w:rPr>
                <w:rFonts w:ascii="宋体" w:hAnsi="宋体" w:cs="宋体" w:eastAsia="宋体" w:hint="default"/>
                <w:sz w:val="18"/>
                <w:szCs w:val="18"/>
              </w:rPr>
              <w:t>董事长兼总经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  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汤兆利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  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副总经理兼董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w:t>
            </w:r>
          </w:p>
        </w:tc>
      </w:tr>
    </w:tbl>
    <w:p>
      <w:pPr>
        <w:pStyle w:val="BodyText"/>
        <w:spacing w:line="240" w:lineRule="auto" w:before="51"/>
        <w:ind w:right="149"/>
        <w:jc w:val="left"/>
      </w:pPr>
      <w:r>
        <w:rPr/>
        <w:t>公司董事、监事、高级管理人员报告期内被授予的股权激励情况</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9"/>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因身体原因辞去董事长、总经理职务。</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9"/>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日，公司在册员工总数为</w:t>
      </w:r>
      <w:r>
        <w:rPr>
          <w:rFonts w:ascii="Times New Roman" w:hAnsi="Times New Roman" w:cs="Times New Roman" w:eastAsia="Times New Roman" w:hint="default"/>
        </w:rPr>
        <w:t>893</w:t>
      </w:r>
      <w:r>
        <w:rPr/>
        <w:t>人，员工构成见下表：</w:t>
      </w:r>
    </w:p>
    <w:p>
      <w:pPr>
        <w:pStyle w:val="BodyText"/>
        <w:spacing w:line="240" w:lineRule="auto" w:before="63"/>
        <w:ind w:left="153" w:right="149"/>
        <w:jc w:val="left"/>
      </w:pPr>
      <w:r>
        <w:rPr>
          <w:rFonts w:ascii="Times New Roman" w:hAnsi="Times New Roman" w:cs="Times New Roman" w:eastAsia="Times New Roman" w:hint="default"/>
        </w:rPr>
        <w:t>1</w:t>
      </w:r>
      <w:r>
        <w:rPr/>
        <w:t>、按专业结构划分</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787"/>
        <w:gridCol w:w="4788"/>
      </w:tblGrid>
      <w:tr>
        <w:trPr>
          <w:trHeight w:val="347"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498</w:t>
            </w:r>
          </w:p>
        </w:tc>
      </w:tr>
      <w:tr>
        <w:trPr>
          <w:trHeight w:val="347"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210</w:t>
            </w:r>
          </w:p>
        </w:tc>
      </w:tr>
      <w:tr>
        <w:trPr>
          <w:trHeight w:val="347"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158</w:t>
            </w:r>
          </w:p>
        </w:tc>
      </w:tr>
      <w:tr>
        <w:trPr>
          <w:trHeight w:val="347"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166</w:t>
            </w:r>
          </w:p>
        </w:tc>
      </w:tr>
      <w:tr>
        <w:trPr>
          <w:trHeight w:val="347"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w:t>
            </w:r>
          </w:p>
        </w:tc>
      </w:tr>
      <w:tr>
        <w:trPr>
          <w:trHeight w:val="348"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1088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4155" w:lineRule="exact"/>
        <w:ind w:left="154"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6106787" cy="26384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6106787" cy="263842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7"/>
        <w:rPr>
          <w:rFonts w:ascii="宋体" w:hAnsi="宋体" w:cs="宋体" w:eastAsia="宋体" w:hint="default"/>
          <w:sz w:val="5"/>
          <w:szCs w:val="5"/>
        </w:rPr>
      </w:pPr>
    </w:p>
    <w:p>
      <w:pPr>
        <w:pStyle w:val="BodyText"/>
        <w:spacing w:line="240" w:lineRule="auto" w:before="44"/>
        <w:ind w:left="153" w:right="149"/>
        <w:jc w:val="left"/>
      </w:pPr>
      <w:r>
        <w:rPr>
          <w:rFonts w:ascii="Times New Roman" w:hAnsi="Times New Roman" w:cs="Times New Roman" w:eastAsia="Times New Roman" w:hint="default"/>
        </w:rPr>
        <w:t>2</w:t>
      </w:r>
      <w:r>
        <w:rPr/>
        <w:t>、按教育程度划分：</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752"/>
        <w:gridCol w:w="4837"/>
      </w:tblGrid>
      <w:tr>
        <w:trPr>
          <w:trHeight w:val="347"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本科以上</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r>
      <w:tr>
        <w:trPr>
          <w:trHeight w:val="347"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203</w:t>
            </w:r>
          </w:p>
        </w:tc>
      </w:tr>
      <w:tr>
        <w:trPr>
          <w:trHeight w:val="348"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208</w:t>
            </w:r>
          </w:p>
        </w:tc>
      </w:tr>
      <w:tr>
        <w:trPr>
          <w:trHeight w:val="347"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中专或技校</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168</w:t>
            </w:r>
          </w:p>
        </w:tc>
      </w:tr>
      <w:tr>
        <w:trPr>
          <w:trHeight w:val="347"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高中</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227</w:t>
            </w:r>
          </w:p>
        </w:tc>
      </w:tr>
      <w:tr>
        <w:trPr>
          <w:trHeight w:val="347"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初中及以下</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273</w:t>
            </w:r>
          </w:p>
        </w:tc>
      </w:tr>
      <w:tr>
        <w:trPr>
          <w:trHeight w:val="348" w:hRule="exact"/>
        </w:trPr>
        <w:tc>
          <w:tcPr>
            <w:tcW w:w="4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1088</w:t>
            </w:r>
          </w:p>
        </w:tc>
      </w:tr>
    </w:tbl>
    <w:p>
      <w:pPr>
        <w:spacing w:line="240" w:lineRule="auto" w:before="1"/>
        <w:rPr>
          <w:rFonts w:ascii="宋体" w:hAnsi="宋体" w:cs="宋体" w:eastAsia="宋体" w:hint="default"/>
          <w:sz w:val="8"/>
          <w:szCs w:val="8"/>
        </w:rPr>
      </w:pPr>
    </w:p>
    <w:p>
      <w:pPr>
        <w:spacing w:line="4155" w:lineRule="exact"/>
        <w:ind w:left="164"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6106025" cy="26384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6106025" cy="263842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8"/>
        <w:rPr>
          <w:rFonts w:ascii="宋体" w:hAnsi="宋体" w:cs="宋体" w:eastAsia="宋体" w:hint="default"/>
          <w:sz w:val="5"/>
          <w:szCs w:val="5"/>
        </w:rPr>
      </w:pPr>
    </w:p>
    <w:p>
      <w:pPr>
        <w:pStyle w:val="BodyText"/>
        <w:spacing w:line="240" w:lineRule="auto" w:before="44"/>
        <w:ind w:left="153" w:right="149"/>
        <w:jc w:val="left"/>
      </w:pPr>
      <w:r>
        <w:rPr>
          <w:rFonts w:ascii="Times New Roman" w:hAnsi="Times New Roman" w:cs="Times New Roman" w:eastAsia="Times New Roman" w:hint="default"/>
        </w:rPr>
        <w:t>3</w:t>
      </w:r>
      <w:r>
        <w:rPr/>
        <w:t>、按年龄结构划分</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717"/>
        <w:gridCol w:w="4922"/>
      </w:tblGrid>
      <w:tr>
        <w:trPr>
          <w:trHeight w:val="347" w:hRule="exact"/>
        </w:trPr>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岁以上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45</w:t>
            </w:r>
            <w:r>
              <w:rPr>
                <w:rFonts w:ascii="宋体" w:hAnsi="宋体" w:cs="宋体" w:eastAsia="宋体" w:hint="default"/>
                <w:sz w:val="18"/>
                <w:szCs w:val="18"/>
              </w:rPr>
              <w:t>岁</w:t>
            </w:r>
            <w:r>
              <w:rPr>
                <w:rFonts w:ascii="Times New Roman" w:hAnsi="Times New Roman" w:cs="Times New Roman" w:eastAsia="Times New Roman" w:hint="default"/>
                <w:sz w:val="18"/>
                <w:szCs w:val="18"/>
              </w:rPr>
              <w:t>)</w:t>
            </w:r>
          </w:p>
        </w:tc>
        <w:tc>
          <w:tcPr>
            <w:tcW w:w="4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155</w:t>
            </w:r>
          </w:p>
        </w:tc>
      </w:tr>
      <w:tr>
        <w:trPr>
          <w:trHeight w:val="347" w:hRule="exact"/>
        </w:trPr>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w:t>
            </w:r>
            <w:r>
              <w:rPr>
                <w:rFonts w:ascii="Times New Roman" w:hAnsi="Times New Roman" w:cs="Times New Roman" w:eastAsia="Times New Roman" w:hint="default"/>
                <w:sz w:val="18"/>
                <w:szCs w:val="18"/>
              </w:rPr>
              <w:t>45</w:t>
            </w:r>
            <w:r>
              <w:rPr>
                <w:rFonts w:ascii="宋体" w:hAnsi="宋体" w:cs="宋体" w:eastAsia="宋体" w:hint="default"/>
                <w:sz w:val="18"/>
                <w:szCs w:val="18"/>
              </w:rPr>
              <w:t>岁</w:t>
            </w:r>
          </w:p>
        </w:tc>
        <w:tc>
          <w:tcPr>
            <w:tcW w:w="4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366</w:t>
            </w:r>
          </w:p>
        </w:tc>
      </w:tr>
      <w:tr>
        <w:trPr>
          <w:trHeight w:val="347" w:hRule="exact"/>
        </w:trPr>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岁以下</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35</w:t>
            </w:r>
            <w:r>
              <w:rPr>
                <w:rFonts w:ascii="宋体" w:hAnsi="宋体" w:cs="宋体" w:eastAsia="宋体" w:hint="default"/>
                <w:sz w:val="18"/>
                <w:szCs w:val="18"/>
              </w:rPr>
              <w:t>岁</w:t>
            </w:r>
            <w:r>
              <w:rPr>
                <w:rFonts w:ascii="Times New Roman" w:hAnsi="Times New Roman" w:cs="Times New Roman" w:eastAsia="Times New Roman" w:hint="default"/>
                <w:sz w:val="18"/>
                <w:szCs w:val="18"/>
              </w:rPr>
              <w:t>)</w:t>
            </w:r>
          </w:p>
        </w:tc>
        <w:tc>
          <w:tcPr>
            <w:tcW w:w="4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567</w:t>
            </w:r>
          </w:p>
        </w:tc>
      </w:tr>
      <w:tr>
        <w:trPr>
          <w:trHeight w:val="348" w:hRule="exact"/>
        </w:trPr>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1088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153" w:right="141"/>
        <w:jc w:val="left"/>
      </w:pPr>
      <w:r>
        <w:rPr>
          <w:rFonts w:ascii="Times New Roman" w:hAnsi="Times New Roman" w:cs="Times New Roman" w:eastAsia="Times New Roman" w:hint="default"/>
        </w:rPr>
        <w:t>4</w:t>
      </w:r>
      <w:r>
        <w:rPr/>
        <w:t>、本公司实行劳动合同制，员工按照《劳动法》的有关规定与公司签订《劳动合同》，享受权利并承担义务。本公司按照</w:t>
      </w:r>
      <w:r>
        <w:rPr>
          <w:spacing w:val="-83"/>
        </w:rPr>
        <w:t> </w:t>
      </w:r>
      <w:r>
        <w:rPr>
          <w:spacing w:val="-83"/>
        </w:rPr>
      </w:r>
      <w:r>
        <w:rPr/>
        <w:t>国家法律法规及吉林省、通化市的有关规定，为员工办理了基本养老保险、医疗保险、失业保险以及工伤和生育保险。</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65" w:right="101"/>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1"/>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360"/>
        <w:jc w:val="left"/>
      </w:pPr>
      <w:r>
        <w:rPr>
          <w:spacing w:val="-2"/>
        </w:rPr>
        <w:t>报告期内，公司严格按照《公司法》、《证券法》、《上市公司治理准则》、《深圳证券交易所股票上市规则》、《深</w:t>
      </w:r>
      <w:r>
        <w:rPr/>
        <w:t> </w:t>
      </w:r>
      <w:r>
        <w:rPr>
          <w:spacing w:val="-4"/>
        </w:rPr>
        <w:t>圳证券交易所中小企业板上市公司规范运作指引》和中国证券监督管理委员会有关法律法规、规范性文件及公司章程的要求，</w:t>
      </w:r>
      <w:r>
        <w:rPr>
          <w:spacing w:val="-44"/>
        </w:rPr>
        <w:t> </w:t>
      </w:r>
      <w:r>
        <w:rPr>
          <w:spacing w:val="-44"/>
        </w:rPr>
      </w:r>
      <w:r>
        <w:rPr>
          <w:spacing w:val="-2"/>
        </w:rPr>
        <w:t>不断完善公司治理结构，建立健全内部管理和控制制度，进一步规范公司运作，提高公司治理水平。报告期内，公司修订了</w:t>
      </w:r>
    </w:p>
    <w:p>
      <w:pPr>
        <w:pStyle w:val="BodyText"/>
        <w:spacing w:line="240" w:lineRule="auto" w:before="19"/>
        <w:ind w:left="153" w:right="91"/>
        <w:jc w:val="left"/>
      </w:pPr>
      <w:r>
        <w:rPr/>
        <w:t>《公司章程》。</w:t>
      </w:r>
    </w:p>
    <w:p>
      <w:pPr>
        <w:pStyle w:val="BodyText"/>
        <w:spacing w:line="300" w:lineRule="auto" w:before="76"/>
        <w:ind w:left="513" w:right="91"/>
        <w:jc w:val="left"/>
      </w:pPr>
      <w:r>
        <w:rPr>
          <w:rFonts w:ascii="Times New Roman" w:hAnsi="Times New Roman" w:cs="Times New Roman" w:eastAsia="Times New Roman" w:hint="default"/>
          <w:b/>
          <w:bCs/>
        </w:rPr>
        <w:t>1</w:t>
      </w:r>
      <w:r>
        <w:rPr>
          <w:rFonts w:ascii="宋体" w:hAnsi="宋体" w:cs="宋体" w:eastAsia="宋体" w:hint="default"/>
          <w:b/>
          <w:bCs/>
        </w:rPr>
        <w:t>、关于股东、股东大会</w:t>
      </w:r>
      <w:r>
        <w:rPr>
          <w:rFonts w:ascii="宋体" w:hAnsi="宋体" w:cs="宋体" w:eastAsia="宋体" w:hint="default"/>
          <w:b/>
          <w:bCs/>
          <w:w w:val="99"/>
        </w:rPr>
        <w:t> </w:t>
      </w:r>
      <w:r>
        <w:rPr>
          <w:spacing w:val="-2"/>
        </w:rPr>
        <w:t>股东大会是公司的权力机构，行使决定公司经营方针和投资计划，审议批准公司的年度财务预算和决算方案、利润分配</w:t>
      </w:r>
    </w:p>
    <w:p>
      <w:pPr>
        <w:pStyle w:val="BodyText"/>
        <w:spacing w:line="316" w:lineRule="auto" w:before="31"/>
        <w:ind w:left="513" w:right="91" w:hanging="360"/>
        <w:jc w:val="left"/>
      </w:pPr>
      <w:r>
        <w:rPr/>
        <w:t>方案和弥补亏损方案等职权。 </w:t>
      </w:r>
      <w:r>
        <w:rPr>
          <w:spacing w:val="-2"/>
        </w:rPr>
        <w:t>公司严格按照《公司章程》、《股东大会议事规则》等规定和要求，规范股东大会的召集、召开及表决程序，并聘请律</w:t>
      </w:r>
    </w:p>
    <w:p>
      <w:pPr>
        <w:pStyle w:val="BodyText"/>
        <w:spacing w:line="240" w:lineRule="auto" w:before="19"/>
        <w:ind w:left="153" w:right="91"/>
        <w:jc w:val="left"/>
      </w:pPr>
      <w:r>
        <w:rPr/>
        <w:t>师进行现场见证，确保所有股东，特别是中小股东能享有平等地位，充分行使自己的权利。</w:t>
      </w:r>
    </w:p>
    <w:p>
      <w:pPr>
        <w:pStyle w:val="BodyText"/>
        <w:spacing w:line="300" w:lineRule="auto" w:before="76"/>
        <w:ind w:left="513" w:right="91"/>
        <w:jc w:val="left"/>
      </w:pPr>
      <w:r>
        <w:rPr>
          <w:rFonts w:ascii="Times New Roman" w:hAnsi="Times New Roman" w:cs="Times New Roman" w:eastAsia="Times New Roman" w:hint="default"/>
          <w:b/>
          <w:bCs/>
        </w:rPr>
        <w:t>2</w:t>
      </w:r>
      <w:r>
        <w:rPr>
          <w:rFonts w:ascii="宋体" w:hAnsi="宋体" w:cs="宋体" w:eastAsia="宋体" w:hint="default"/>
          <w:b/>
          <w:bCs/>
        </w:rPr>
        <w:t>、控股股东与公司</w:t>
      </w:r>
      <w:r>
        <w:rPr>
          <w:rFonts w:ascii="宋体" w:hAnsi="宋体" w:cs="宋体" w:eastAsia="宋体" w:hint="default"/>
          <w:b/>
          <w:bCs/>
          <w:w w:val="99"/>
        </w:rPr>
        <w:t> </w:t>
      </w:r>
      <w:r>
        <w:rPr>
          <w:spacing w:val="-2"/>
        </w:rPr>
        <w:t>公司控股股东能够依法通过股东大会行使股东的权利，严格规范自身行为，没有直接或间接干预公司的决策及依法开展</w:t>
      </w:r>
    </w:p>
    <w:p>
      <w:pPr>
        <w:pStyle w:val="BodyText"/>
        <w:spacing w:line="316" w:lineRule="auto" w:before="31"/>
        <w:ind w:left="153" w:right="91"/>
        <w:jc w:val="left"/>
      </w:pPr>
      <w:r>
        <w:rPr>
          <w:spacing w:val="-4"/>
        </w:rPr>
        <w:t>的生产经营活动，损害公司及其他股东权益的行为。公司在人员、资产、财务分开，机构、业务等方面完全独立于控股股东，</w:t>
      </w:r>
      <w:r>
        <w:rPr>
          <w:spacing w:val="-44"/>
        </w:rPr>
        <w:t> </w:t>
      </w:r>
      <w:r>
        <w:rPr>
          <w:spacing w:val="-44"/>
        </w:rPr>
      </w:r>
      <w:r>
        <w:rPr>
          <w:spacing w:val="-2"/>
        </w:rPr>
        <w:t>具有独立完整的业务和自主经营能力；公司董事会、监事会及其他内部机构独立运作。报告期内，公司大股东、实际控制人</w:t>
      </w:r>
      <w:r>
        <w:rPr>
          <w:spacing w:val="-66"/>
        </w:rPr>
        <w:t> </w:t>
      </w:r>
      <w:r>
        <w:rPr>
          <w:spacing w:val="-66"/>
        </w:rPr>
      </w:r>
      <w:r>
        <w:rPr/>
        <w:t>不存在干预公司生产、经营、管理等公司治理非规范情况。</w:t>
      </w:r>
    </w:p>
    <w:p>
      <w:pPr>
        <w:pStyle w:val="BodyText"/>
        <w:spacing w:line="300" w:lineRule="auto" w:before="19"/>
        <w:ind w:left="513" w:right="91"/>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spacing w:val="1"/>
          <w:w w:val="99"/>
        </w:rPr>
        <w:t> </w:t>
      </w:r>
      <w:r>
        <w:rPr>
          <w:spacing w:val="-2"/>
        </w:rPr>
        <w:t>公司严格按照《公司法》、《公司章程》等相关法律法规选举产生董事人选，董事会人数及人员构成符合法律法规的要</w:t>
      </w:r>
    </w:p>
    <w:p>
      <w:pPr>
        <w:pStyle w:val="BodyText"/>
        <w:spacing w:line="316" w:lineRule="auto" w:before="31"/>
        <w:ind w:left="153" w:right="91"/>
        <w:jc w:val="left"/>
      </w:pPr>
      <w:r>
        <w:rPr>
          <w:spacing w:val="-4"/>
        </w:rPr>
        <w:t>求。公司董事会严格按照《公司章程》、《独立董事制度》、《董事会议事规则》及《中小企业板块上市公司董事行为指引》</w:t>
      </w:r>
      <w:r>
        <w:rPr>
          <w:spacing w:val="-46"/>
        </w:rPr>
        <w:t> </w:t>
      </w:r>
      <w:r>
        <w:rPr>
          <w:spacing w:val="-46"/>
        </w:rPr>
      </w:r>
      <w:r>
        <w:rPr/>
        <w:t>等相关规定召集召开董事会，各董事认真出席董事会，认真审议各项议案，履行职责，勤勉尽责。独立董事独立履行职责， </w:t>
      </w:r>
      <w:r>
        <w:rPr>
          <w:spacing w:val="-2"/>
        </w:rPr>
        <w:t>维护公司整体利益，尤其关注中小股东的合法权益不受损害，对重要及重大事项发表独立意见。董事会下设战略与投资、提</w:t>
      </w:r>
      <w:r>
        <w:rPr>
          <w:spacing w:val="-66"/>
        </w:rPr>
        <w:t> </w:t>
      </w:r>
      <w:r>
        <w:rPr>
          <w:spacing w:val="-66"/>
        </w:rPr>
      </w:r>
      <w:r>
        <w:rPr>
          <w:spacing w:val="-2"/>
        </w:rPr>
        <w:t>名、薪酬与考核、审计委员会，制定了《董事会各专业委员会议事规则》，规范和完善了公司董事、经理及其他高级管理人</w:t>
      </w:r>
      <w:r>
        <w:rPr>
          <w:spacing w:val="-65"/>
        </w:rPr>
        <w:t> </w:t>
      </w:r>
      <w:r>
        <w:rPr>
          <w:spacing w:val="-65"/>
        </w:rPr>
      </w:r>
      <w:r>
        <w:rPr/>
        <w:t>员的产生，优化了董事会及经营管理层的组成。各专门委员会运作情况良好，确保董事会高效运作和科学决策。</w:t>
      </w:r>
    </w:p>
    <w:p>
      <w:pPr>
        <w:pStyle w:val="BodyText"/>
        <w:spacing w:line="300" w:lineRule="auto" w:before="19"/>
        <w:ind w:left="513" w:right="91"/>
        <w:jc w:val="left"/>
      </w:pPr>
      <w:r>
        <w:rPr>
          <w:rFonts w:ascii="Times New Roman" w:hAnsi="Times New Roman" w:cs="Times New Roman" w:eastAsia="Times New Roman" w:hint="default"/>
          <w:b/>
          <w:bCs/>
        </w:rPr>
        <w:t>4</w:t>
      </w:r>
      <w:r>
        <w:rPr>
          <w:rFonts w:ascii="宋体" w:hAnsi="宋体" w:cs="宋体" w:eastAsia="宋体" w:hint="default"/>
          <w:b/>
          <w:bCs/>
        </w:rPr>
        <w:t>、关于监事与监事会</w:t>
      </w:r>
      <w:r>
        <w:rPr>
          <w:rFonts w:ascii="宋体" w:hAnsi="宋体" w:cs="宋体" w:eastAsia="宋体" w:hint="default"/>
          <w:b/>
          <w:bCs/>
          <w:spacing w:val="1"/>
          <w:w w:val="99"/>
        </w:rPr>
        <w:t> </w:t>
      </w:r>
      <w:r>
        <w:rPr>
          <w:spacing w:val="-2"/>
        </w:rPr>
        <w:t>公司严格按照《公司法》、《公司章程》等相关法律法规选举产生监事人选，监事会人数及人员构成符合法律法规的要</w:t>
      </w:r>
    </w:p>
    <w:p>
      <w:pPr>
        <w:pStyle w:val="BodyText"/>
        <w:spacing w:line="316" w:lineRule="auto" w:before="31"/>
        <w:ind w:left="153" w:right="91"/>
        <w:jc w:val="left"/>
      </w:pPr>
      <w:r>
        <w:rPr>
          <w:spacing w:val="-2"/>
        </w:rPr>
        <w:t>求。公司监事会严格按照《公司章程》及《监事会议事规则》等相关规定召集召开监事会，各监事认真出席监事会，认真履</w:t>
      </w:r>
      <w:r>
        <w:rPr>
          <w:spacing w:val="-65"/>
        </w:rPr>
        <w:t> </w:t>
      </w:r>
      <w:r>
        <w:rPr>
          <w:spacing w:val="-65"/>
        </w:rPr>
      </w:r>
      <w:r>
        <w:rPr/>
        <w:t>行职责，对公司财务及董事、高级管理人员履行职责的合法合规性等进行有效监督，维护公司及股东的合法权益。</w:t>
      </w:r>
    </w:p>
    <w:p>
      <w:pPr>
        <w:spacing w:line="300" w:lineRule="auto" w:before="19"/>
        <w:ind w:left="513" w:right="9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、关于信息披露与投资者关系管理</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公司严格按照法律、法规和《公司章程》的规定，设立专门机构并配备专业人员，依法履行信息披露义务。公司指定董</w:t>
      </w:r>
    </w:p>
    <w:p>
      <w:pPr>
        <w:pStyle w:val="BodyText"/>
        <w:spacing w:line="316" w:lineRule="auto" w:before="31"/>
        <w:ind w:left="513" w:right="91" w:hanging="360"/>
        <w:jc w:val="left"/>
      </w:pPr>
      <w:r>
        <w:rPr/>
        <w:t>事会秘书负责信息披露工作和投资者关系管理工作。 </w:t>
      </w:r>
      <w:r>
        <w:rPr>
          <w:spacing w:val="-2"/>
        </w:rPr>
        <w:t>公司指定《证券时报》、《中国证券报》、《上海证券报》、《证券日报》和</w:t>
      </w:r>
      <w:r>
        <w:rPr>
          <w:rFonts w:ascii="Times New Roman" w:hAnsi="Times New Roman" w:cs="Times New Roman" w:eastAsia="Times New Roman" w:hint="default"/>
          <w:spacing w:val="-2"/>
        </w:rPr>
        <w:t>“</w:t>
      </w:r>
      <w:r>
        <w:rPr>
          <w:spacing w:val="-2"/>
        </w:rPr>
        <w:t>巨潮资讯网</w:t>
      </w:r>
      <w:r>
        <w:rPr>
          <w:rFonts w:ascii="Times New Roman" w:hAnsi="Times New Roman" w:cs="Times New Roman" w:eastAsia="Times New Roman" w:hint="default"/>
          <w:spacing w:val="-2"/>
        </w:rPr>
        <w:t>”</w:t>
      </w:r>
      <w:r>
        <w:rPr>
          <w:spacing w:val="-2"/>
        </w:rPr>
        <w:t>为公司信息披露的报纸和网</w:t>
      </w:r>
    </w:p>
    <w:p>
      <w:pPr>
        <w:pStyle w:val="BodyText"/>
        <w:spacing w:line="316" w:lineRule="auto"/>
        <w:ind w:left="153" w:right="91"/>
        <w:jc w:val="left"/>
      </w:pPr>
      <w:r>
        <w:rPr>
          <w:spacing w:val="-2"/>
        </w:rPr>
        <w:t>站，真实、准确、及时地披露公司信息，确保公司所有股东公平的获得公司相关信息。依托巨潮资讯中小企业路演网建立了</w:t>
      </w:r>
      <w:r>
        <w:rPr>
          <w:spacing w:val="-66"/>
        </w:rPr>
        <w:t> </w:t>
      </w:r>
      <w:r>
        <w:rPr>
          <w:spacing w:val="-66"/>
        </w:rPr>
      </w:r>
      <w:r>
        <w:rPr/>
        <w:t>与投资者的沟通平台，公司明确了投资者关系管理的职能部门和负责人，组织实施投资者关系的日常管理工作。</w:t>
      </w:r>
    </w:p>
    <w:p>
      <w:pPr>
        <w:pStyle w:val="BodyText"/>
        <w:spacing w:line="300" w:lineRule="auto" w:before="19"/>
        <w:ind w:left="513" w:right="91"/>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公司充分尊重和维护相关利益者的合法权益，积极与相关利益者合作，加强与各方的沟通和交流，实现股东、员工、社</w:t>
      </w:r>
    </w:p>
    <w:p>
      <w:pPr>
        <w:pStyle w:val="BodyText"/>
        <w:spacing w:line="360" w:lineRule="auto" w:before="31"/>
        <w:ind w:left="153" w:right="4591"/>
        <w:jc w:val="left"/>
      </w:pPr>
      <w:r>
        <w:rPr/>
        <w:t>会等各方利益的均衡，以推动公司持续、稳定、健康地发展。 公司治理与《公司法》和中国证监会相关规定的要求是否存在差异</w:t>
      </w:r>
    </w:p>
    <w:p>
      <w:pPr>
        <w:pStyle w:val="BodyText"/>
        <w:spacing w:line="338" w:lineRule="auto" w:before="27"/>
        <w:ind w:right="45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spacing w:after="0" w:line="338"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公司治理专项活动开展情况以及内幕信息知情人登记管理制度的制定、实施情况</w:t>
      </w:r>
    </w:p>
    <w:p>
      <w:pPr>
        <w:pStyle w:val="BodyText"/>
        <w:spacing w:line="240" w:lineRule="auto" w:before="115"/>
        <w:ind w:left="693" w:right="14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spacing w:val="1"/>
        </w:rPr>
        <w:t>公</w:t>
      </w:r>
      <w:r>
        <w:rPr/>
        <w:t>司收到深圳证券交易所发来的《关于对吉林紫鑫药业股份有限公司的监管函</w:t>
      </w:r>
      <w:r>
        <w:rPr>
          <w:spacing w:val="-90"/>
        </w:rPr>
        <w:t>》</w:t>
      </w:r>
      <w:r>
        <w:rPr/>
        <w:t>（中小板监管函</w:t>
      </w:r>
    </w:p>
    <w:p>
      <w:pPr>
        <w:pStyle w:val="BodyText"/>
        <w:spacing w:line="240" w:lineRule="auto" w:before="63"/>
        <w:ind w:right="0"/>
        <w:jc w:val="both"/>
      </w:pPr>
      <w:r>
        <w:rPr/>
        <w:t>【</w:t>
      </w:r>
      <w:r>
        <w:rPr>
          <w:rFonts w:ascii="Times New Roman" w:hAnsi="Times New Roman" w:cs="Times New Roman" w:eastAsia="Times New Roman" w:hint="default"/>
        </w:rPr>
        <w:t>2012</w:t>
      </w:r>
      <w:r>
        <w:rPr/>
        <w:t>】第</w:t>
      </w:r>
      <w:r>
        <w:rPr>
          <w:spacing w:val="-46"/>
        </w:rPr>
        <w:t> </w:t>
      </w:r>
      <w:r>
        <w:rPr>
          <w:rFonts w:ascii="Times New Roman" w:hAnsi="Times New Roman" w:cs="Times New Roman" w:eastAsia="Times New Roman" w:hint="default"/>
        </w:rPr>
        <w:t>74 </w:t>
      </w:r>
      <w:r>
        <w:rPr/>
        <w:t>号</w:t>
      </w:r>
      <w:r>
        <w:rPr>
          <w:spacing w:val="-90"/>
        </w:rPr>
        <w:t>）</w:t>
      </w:r>
      <w:r>
        <w:rPr/>
        <w:t>（以下简称：</w:t>
      </w:r>
      <w:r>
        <w:rPr>
          <w:rFonts w:ascii="Times New Roman" w:hAnsi="Times New Roman" w:cs="Times New Roman" w:eastAsia="Times New Roman" w:hint="default"/>
          <w:spacing w:val="-1"/>
        </w:rPr>
        <w:t>“</w:t>
      </w:r>
      <w:r>
        <w:rPr/>
        <w:t>监管函</w:t>
      </w:r>
      <w:r>
        <w:rPr>
          <w:rFonts w:ascii="Times New Roman" w:hAnsi="Times New Roman" w:cs="Times New Roman" w:eastAsia="Times New Roman" w:hint="default"/>
        </w:rPr>
        <w:t>”</w:t>
      </w:r>
      <w:r>
        <w:rPr>
          <w:spacing w:val="-90"/>
        </w:rPr>
        <w:t>）</w:t>
      </w:r>
      <w:r>
        <w:rPr/>
        <w:t>，公司收到《监管函》后，董事会高度重视，及时向董事、监事、高级管理人员</w:t>
      </w:r>
    </w:p>
    <w:p>
      <w:pPr>
        <w:pStyle w:val="BodyText"/>
        <w:spacing w:line="240" w:lineRule="auto" w:before="63"/>
        <w:ind w:right="0"/>
        <w:jc w:val="both"/>
      </w:pPr>
      <w:r>
        <w:rPr/>
        <w:t>及相关人员进行传达，并按照《监管函》的要求进行认真自查，提出整改措施，避免再次出现类似违规行为。并于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307" w:lineRule="auto" w:before="63"/>
        <w:ind w:right="149"/>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日披露了《关于</w:t>
      </w:r>
      <w:r>
        <w:rPr>
          <w:spacing w:val="-4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2"/>
        </w:rPr>
        <w:t>年度业绩快报存在的问题及整改措施的公告》，公告编号：</w:t>
      </w:r>
      <w:r>
        <w:rPr>
          <w:rFonts w:ascii="Times New Roman" w:hAnsi="Times New Roman" w:cs="Times New Roman" w:eastAsia="Times New Roman" w:hint="default"/>
          <w:spacing w:val="-2"/>
        </w:rPr>
        <w:t>2012-021</w:t>
      </w:r>
      <w:r>
        <w:rPr>
          <w:spacing w:val="-2"/>
        </w:rPr>
        <w:t>，披露网站查询索引：巨潮</w:t>
      </w:r>
      <w:r>
        <w:rPr/>
        <w:t> </w:t>
      </w:r>
      <w:r>
        <w:rPr>
          <w:spacing w:val="-3"/>
        </w:rPr>
        <w:t>资讯网（</w:t>
      </w:r>
      <w:hyperlink r:id="rId15">
        <w:r>
          <w:rPr>
            <w:rFonts w:ascii="Times New Roman" w:hAnsi="Times New Roman" w:cs="Times New Roman" w:eastAsia="Times New Roman" w:hint="default"/>
            <w:spacing w:val="-3"/>
          </w:rPr>
          <w:t>http://www.cninfo.com.cn/finalpage/2012-06-01/61073952.PDF</w:t>
        </w:r>
      </w:hyperlink>
      <w:r>
        <w:rPr>
          <w:spacing w:val="-3"/>
        </w:rPr>
        <w:t>）。</w:t>
      </w:r>
      <w:r>
        <w:rPr>
          <w:spacing w:val="6"/>
        </w:rPr>
        <w:t> </w:t>
      </w:r>
      <w:r>
        <w:rPr>
          <w:spacing w:val="-3"/>
        </w:rPr>
        <w:t>报告期内，公司严格执行《内幕信息知情人</w:t>
      </w:r>
      <w:r>
        <w:rPr/>
        <w:t> </w:t>
      </w:r>
      <w:r>
        <w:rPr>
          <w:spacing w:val="-2"/>
        </w:rPr>
        <w:t>登记管理制度》，在编制和审核定期报告前，向相关人员通报有关法律法规对内幕信息知情人的有关规定和做好登记工作，</w:t>
      </w:r>
      <w:r>
        <w:rPr>
          <w:spacing w:val="-72"/>
        </w:rPr>
        <w:t> </w:t>
      </w:r>
      <w:r>
        <w:rPr>
          <w:spacing w:val="-72"/>
        </w:rPr>
      </w:r>
      <w:r>
        <w:rPr/>
        <w:t>并于定期报告发布的同时，将内幕信息知情人登记表向深圳证券交易所报备。</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BodyText"/>
        <w:spacing w:line="240" w:lineRule="auto" w:before="44"/>
        <w:ind w:left="0" w:right="169"/>
        <w:jc w:val="right"/>
      </w:pPr>
      <w:r>
        <w:rPr/>
        <w:pict>
          <v:shape style="position:absolute;margin-left:56.459999pt;margin-top:-137.977966pt;width:479.05pt;height:227.9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年度董事会</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年度监事会工作报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报告》及其摘要</w:t>
                        </w:r>
                        <w:r>
                          <w:rPr>
                            <w:rFonts w:ascii="Times New Roman" w:hAnsi="Times New Roman" w:cs="Times New Roman" w:eastAsia="Times New Roman" w:hint="default"/>
                            <w:sz w:val="18"/>
                            <w:szCs w:val="18"/>
                          </w:rPr>
                          <w:t>;</w:t>
                        </w:r>
                      </w:p>
                      <w:p>
                        <w:pPr>
                          <w:pStyle w:val="TableParagraph"/>
                          <w:spacing w:line="300" w:lineRule="auto" w:before="63"/>
                          <w:ind w:left="2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年度财务决 算报告》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度利润分配预案》</w:t>
                        </w:r>
                        <w:r>
                          <w:rPr>
                            <w:rFonts w:ascii="Times New Roman" w:hAnsi="Times New Roman" w:cs="Times New Roman" w:eastAsia="Times New Roman" w:hint="default"/>
                            <w:sz w:val="18"/>
                            <w:szCs w:val="18"/>
                          </w:rPr>
                          <w:t>;</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《关于续聘会计师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 </w:t>
                        </w:r>
                        <w:r>
                          <w:rPr>
                            <w:rFonts w:ascii="宋体" w:hAnsi="宋体" w:cs="宋体" w:eastAsia="宋体" w:hint="default"/>
                            <w:spacing w:val="-10"/>
                            <w:sz w:val="18"/>
                            <w:szCs w:val="18"/>
                          </w:rPr>
                          <w:t>会决议公告》公告编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2012-018</w:t>
                        </w:r>
                        <w:r>
                          <w:rPr>
                            <w:rFonts w:ascii="宋体" w:hAnsi="宋体" w:cs="宋体" w:eastAsia="宋体" w:hint="default"/>
                            <w:spacing w:val="-5"/>
                            <w:sz w:val="18"/>
                            <w:szCs w:val="18"/>
                          </w:rPr>
                          <w:t>，披露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网站：巨潮资讯网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事务所的议案</w:t>
                        </w:r>
                        <w:r>
                          <w:rPr>
                            <w:rFonts w:ascii="宋体" w:hAnsi="宋体" w:cs="宋体" w:eastAsia="宋体" w:hint="default"/>
                            <w:spacing w:val="-82"/>
                            <w:sz w:val="18"/>
                            <w:szCs w:val="18"/>
                          </w:rPr>
                          <w:t>》</w:t>
                        </w:r>
                        <w:r>
                          <w:rPr>
                            <w:rFonts w:ascii="宋体" w:hAnsi="宋体" w:cs="宋体" w:eastAsia="宋体" w:hint="default"/>
                            <w:spacing w:val="-165"/>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于增加经营范围的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《关于修改</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公司章程的议案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before="35"/>
        <w:ind w:right="149"/>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w:t>
            </w:r>
          </w:p>
        </w:tc>
      </w:tr>
      <w:tr>
        <w:trPr>
          <w:trHeight w:val="93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16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3" w:right="20"/>
              <w:jc w:val="left"/>
              <w:rPr>
                <w:rFonts w:ascii="宋体" w:hAnsi="宋体" w:cs="宋体" w:eastAsia="宋体" w:hint="default"/>
                <w:sz w:val="18"/>
                <w:szCs w:val="18"/>
              </w:rPr>
            </w:pPr>
            <w:r>
              <w:rPr>
                <w:rFonts w:ascii="宋体" w:hAnsi="宋体" w:cs="宋体" w:eastAsia="宋体" w:hint="default"/>
                <w:spacing w:val="-10"/>
                <w:sz w:val="18"/>
                <w:szCs w:val="18"/>
              </w:rPr>
              <w:t>《关于修订〈公司章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程〉的议案》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2012-029</w:t>
            </w:r>
            <w:r>
              <w:rPr>
                <w:rFonts w:ascii="宋体" w:hAnsi="宋体" w:cs="宋体" w:eastAsia="宋体" w:hint="default"/>
                <w:sz w:val="18"/>
                <w:szCs w:val="18"/>
              </w:rPr>
              <w:t>，披露网</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95"/>
              <w:jc w:val="center"/>
              <w:rPr>
                <w:rFonts w:ascii="宋体" w:hAnsi="宋体" w:cs="宋体" w:eastAsia="宋体" w:hint="default"/>
                <w:sz w:val="18"/>
                <w:szCs w:val="18"/>
              </w:rPr>
            </w:pPr>
            <w:r>
              <w:rPr>
                <w:rFonts w:ascii="宋体" w:hAnsi="宋体" w:cs="宋体" w:eastAsia="宋体" w:hint="default"/>
                <w:sz w:val="18"/>
                <w:szCs w:val="18"/>
              </w:rPr>
              <w:t>站：巨潮资讯网。</w:t>
            </w:r>
          </w:p>
        </w:tc>
      </w:tr>
    </w:tbl>
    <w:p>
      <w:pPr>
        <w:spacing w:line="240" w:lineRule="auto" w:before="2"/>
        <w:rPr>
          <w:rFonts w:ascii="宋体" w:hAnsi="宋体" w:cs="宋体" w:eastAsia="宋体" w:hint="default"/>
          <w:b/>
          <w:bCs/>
          <w:sz w:val="18"/>
          <w:szCs w:val="18"/>
        </w:rPr>
      </w:pPr>
    </w:p>
    <w:p>
      <w:pPr>
        <w:pStyle w:val="Heading2"/>
        <w:spacing w:line="240" w:lineRule="auto" w:before="26"/>
        <w:ind w:right="149"/>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本报告期应参加</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以通讯方式参加</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是否连续两次未</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62"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3" w:right="5451"/>
        <w:jc w:val="left"/>
      </w:pPr>
      <w:r>
        <w:rPr/>
        <w:t>连续两次未亲自出席董事会的说明 公司独立董事未有连续两次未亲自出席董事会的情形。</w:t>
      </w:r>
    </w:p>
    <w:p>
      <w:pPr>
        <w:spacing w:line="240" w:lineRule="auto" w:before="11"/>
        <w:rPr>
          <w:rFonts w:ascii="宋体" w:hAnsi="宋体" w:cs="宋体" w:eastAsia="宋体" w:hint="default"/>
          <w:sz w:val="19"/>
          <w:szCs w:val="19"/>
        </w:rPr>
      </w:pPr>
    </w:p>
    <w:p>
      <w:pPr>
        <w:pStyle w:val="Heading4"/>
        <w:spacing w:line="240" w:lineRule="auto"/>
        <w:ind w:right="14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独立董事对公司有关事项是否提出异议</w:t>
      </w:r>
    </w:p>
    <w:p>
      <w:pPr>
        <w:pStyle w:val="BodyText"/>
        <w:spacing w:line="338"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14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独立董事对公司有关建议是否被采纳</w:t>
      </w:r>
    </w:p>
    <w:p>
      <w:pPr>
        <w:pStyle w:val="BodyText"/>
        <w:spacing w:line="338" w:lineRule="auto" w:before="117"/>
        <w:ind w:right="58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1"/>
        <w:ind w:right="149"/>
        <w:jc w:val="left"/>
      </w:pPr>
      <w:r>
        <w:rPr/>
        <w:t>报告期内，公司独立董事对公司的未来发展规划、规范运作等方面提出了合理建议，公司董事会进行了认真听取和采纳。</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9"/>
        <w:jc w:val="left"/>
      </w:pPr>
      <w:r>
        <w:rPr>
          <w:rFonts w:ascii="Times New Roman" w:hAnsi="Times New Roman" w:cs="Times New Roman" w:eastAsia="Times New Roman" w:hint="default"/>
        </w:rPr>
        <w:t>1</w:t>
      </w:r>
      <w:r>
        <w:rPr/>
        <w:t>、审计委员会履行职责情况 </w:t>
      </w:r>
      <w:r>
        <w:rPr>
          <w:spacing w:val="-3"/>
        </w:rPr>
        <w:t>报告期内，审计委员会每季度审议内部审计部门提交的审计工作报告和工作计划；对公司内部控制情况进行审核，出具</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5"/>
        </w:rPr>
        <w:t> </w:t>
      </w:r>
      <w:r>
        <w:rPr>
          <w:spacing w:val="-2"/>
        </w:rPr>
        <w:t>年度内部控制自我评价报告；审计委员会与会计师事务所协商确定了公司</w:t>
      </w:r>
      <w:r>
        <w:rPr>
          <w:rFonts w:ascii="Times New Roman" w:hAnsi="Times New Roman" w:cs="Times New Roman" w:eastAsia="Times New Roman" w:hint="default"/>
          <w:spacing w:val="-2"/>
        </w:rPr>
        <w:t>2011</w:t>
      </w:r>
      <w:r>
        <w:rPr>
          <w:spacing w:val="-2"/>
        </w:rPr>
        <w:t>年度财务报告审计工作的时间安排，并不断加</w:t>
      </w:r>
      <w:r>
        <w:rPr>
          <w:spacing w:val="-60"/>
        </w:rPr>
        <w:t> </w:t>
      </w:r>
      <w:r>
        <w:rPr>
          <w:spacing w:val="-60"/>
        </w:rPr>
      </w:r>
      <w:r>
        <w:rPr/>
        <w:t>强与年审注册会计师的沟通，督促其在约定时限内提交审计报告。在审阅审计报告后</w:t>
      </w:r>
      <w:r>
        <w:rPr>
          <w:rFonts w:ascii="Times New Roman" w:hAnsi="Times New Roman" w:cs="Times New Roman" w:eastAsia="Times New Roman" w:hint="default"/>
        </w:rPr>
        <w:t>,</w:t>
      </w:r>
      <w:r>
        <w:rPr/>
        <w:t>向董事会提交审阅意见以及续聘会计 师事务所的建议书。</w:t>
      </w:r>
    </w:p>
    <w:p>
      <w:pPr>
        <w:pStyle w:val="BodyText"/>
        <w:spacing w:line="309" w:lineRule="auto" w:before="31"/>
        <w:ind w:left="153" w:right="2391"/>
        <w:jc w:val="left"/>
      </w:pPr>
      <w:r>
        <w:rPr>
          <w:rFonts w:ascii="Times New Roman" w:hAnsi="Times New Roman" w:cs="Times New Roman" w:eastAsia="Times New Roman" w:hint="default"/>
        </w:rPr>
        <w:t>2</w:t>
      </w:r>
      <w:r>
        <w:rPr/>
        <w:t>、提名委员会履行职责情况 报告期内，提名委员会对董事长的候选人进行了审查，并向董事会提交了补选董事长的议案。 </w:t>
      </w:r>
      <w:r>
        <w:rPr>
          <w:rFonts w:ascii="Times New Roman" w:hAnsi="Times New Roman" w:cs="Times New Roman" w:eastAsia="Times New Roman" w:hint="default"/>
        </w:rPr>
        <w:t>3</w:t>
      </w:r>
      <w:r>
        <w:rPr/>
        <w:t>、薪酬与考核委员会履行职责情况</w:t>
      </w:r>
    </w:p>
    <w:p>
      <w:pPr>
        <w:pStyle w:val="BodyText"/>
        <w:spacing w:line="316" w:lineRule="auto" w:before="5"/>
        <w:ind w:left="153" w:right="149"/>
        <w:jc w:val="both"/>
      </w:pPr>
      <w:r>
        <w:rPr>
          <w:spacing w:val="-2"/>
        </w:rPr>
        <w:t>报告期内，薪酬与考核委员会认真了解公司薪酬现状及社会整体薪酬水平，听取公司薪酬支付情况的汇报。对公司董事、高</w:t>
      </w:r>
      <w:r>
        <w:rPr>
          <w:spacing w:val="-66"/>
        </w:rPr>
        <w:t> </w:t>
      </w:r>
      <w:r>
        <w:rPr>
          <w:spacing w:val="-66"/>
        </w:rPr>
      </w:r>
      <w:r>
        <w:rPr>
          <w:spacing w:val="-2"/>
        </w:rPr>
        <w:t>级管理人员薪酬进行了审阅，认为其薪酬标准和发放符合公司的薪酬管理制度，年度报告中所披露的董事、高级管理人员薪</w:t>
      </w:r>
      <w:r>
        <w:rPr>
          <w:spacing w:val="-66"/>
        </w:rPr>
        <w:t> </w:t>
      </w:r>
      <w:r>
        <w:rPr>
          <w:spacing w:val="-66"/>
        </w:rPr>
      </w:r>
      <w:r>
        <w:rPr/>
        <w:t>酬是合理和真实的。</w:t>
      </w:r>
    </w:p>
    <w:p>
      <w:pPr>
        <w:pStyle w:val="BodyText"/>
        <w:spacing w:line="300" w:lineRule="auto" w:before="19"/>
        <w:ind w:left="153" w:right="1491"/>
        <w:jc w:val="left"/>
      </w:pPr>
      <w:r>
        <w:rPr>
          <w:rFonts w:ascii="Times New Roman" w:hAnsi="Times New Roman" w:cs="Times New Roman" w:eastAsia="Times New Roman" w:hint="default"/>
        </w:rPr>
        <w:t>4</w:t>
      </w:r>
      <w:r>
        <w:rPr/>
        <w:t>、战略与投资委员会履行职责情况 报告期内，战略委员会认真履行职责，对公司未来发展规划、项目投资、融资等进行了充分讨论和论证。</w:t>
      </w:r>
    </w:p>
    <w:p>
      <w:pPr>
        <w:spacing w:line="240" w:lineRule="auto" w:before="9"/>
        <w:rPr>
          <w:rFonts w:ascii="宋体" w:hAnsi="宋体" w:cs="宋体" w:eastAsia="宋体" w:hint="default"/>
          <w:sz w:val="21"/>
          <w:szCs w:val="21"/>
        </w:rPr>
      </w:pPr>
    </w:p>
    <w:p>
      <w:pPr>
        <w:pStyle w:val="Heading2"/>
        <w:spacing w:line="240" w:lineRule="auto"/>
        <w:ind w:right="149"/>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监事会在报告期内的监督活动中发现公司是否存在风险</w:t>
      </w:r>
    </w:p>
    <w:p>
      <w:pPr>
        <w:pStyle w:val="BodyText"/>
        <w:spacing w:line="338" w:lineRule="auto" w:before="116"/>
        <w:ind w:right="67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1"/>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98" w:hanging="93"/>
        <w:jc w:val="center"/>
      </w:pPr>
      <w:r>
        <w:rPr>
          <w:spacing w:val="-2"/>
        </w:rPr>
        <w:t>公司具备完整、规范的产、供、销生产经营管理体制和运行机制，在业务、人员、资产、机构、财务等方面与股东单位完全</w:t>
      </w:r>
      <w:r>
        <w:rPr/>
        <w:t> 分开，独立运作。 </w:t>
      </w:r>
      <w:r>
        <w:rPr>
          <w:rFonts w:ascii="Times New Roman" w:hAnsi="Times New Roman" w:cs="Times New Roman" w:eastAsia="Times New Roman" w:hint="default"/>
        </w:rPr>
        <w:t>1</w:t>
      </w:r>
      <w:r>
        <w:rPr/>
        <w:t>、业务独立</w:t>
      </w:r>
      <w:r>
        <w:rPr>
          <w:spacing w:val="10"/>
        </w:rPr>
        <w:t> </w:t>
      </w:r>
      <w:r>
        <w:rPr/>
        <w:t>公司具有完整的采购供应体系、完整的生产管理体系和独立的销售运作体系，独立开展</w:t>
      </w:r>
      <w:r>
        <w:rPr/>
        <w:t> 业务，不依赖于任何股东及关联方。 </w:t>
      </w:r>
      <w:r>
        <w:rPr>
          <w:rFonts w:ascii="Times New Roman" w:hAnsi="Times New Roman" w:cs="Times New Roman" w:eastAsia="Times New Roman" w:hint="default"/>
        </w:rPr>
        <w:t>2</w:t>
      </w:r>
      <w:r>
        <w:rPr/>
        <w:t>、人员独立</w:t>
      </w:r>
      <w:r>
        <w:rPr>
          <w:spacing w:val="6"/>
        </w:rPr>
        <w:t> </w:t>
      </w:r>
      <w:r>
        <w:rPr/>
        <w:t>本公司董事、监事及高级管理人员严格按照《公司法》和《公司章程》</w:t>
      </w:r>
      <w:r>
        <w:rPr/>
        <w:t> </w:t>
      </w:r>
      <w:r>
        <w:rPr>
          <w:spacing w:val="-4"/>
        </w:rPr>
        <w:t>的有关规定产生；公司建有独立的人事及工资管理系统；公司还制订了严格的《人事管理制度》，对人员管理做到了制度化。</w:t>
      </w:r>
      <w:r>
        <w:rPr/>
        <w:t> </w:t>
      </w:r>
      <w:r>
        <w:rPr>
          <w:rFonts w:ascii="Times New Roman" w:hAnsi="Times New Roman" w:cs="Times New Roman" w:eastAsia="Times New Roman" w:hint="default"/>
        </w:rPr>
        <w:t>3</w:t>
      </w:r>
      <w:r>
        <w:rPr/>
        <w:t>、资产独立</w:t>
      </w:r>
      <w:r>
        <w:rPr>
          <w:spacing w:val="50"/>
        </w:rPr>
        <w:t> </w:t>
      </w:r>
      <w:r>
        <w:rPr/>
        <w:t>本公司的主要资产包括主营业务所需的完整的生产设备、土地、厂房、办公用房、仓储用房、交通工具和</w:t>
      </w:r>
      <w:r>
        <w:rPr/>
        <w:t> 知识产权，具有完整的配套设施。上述资产产权清晰，完全独立于股东单位。 </w:t>
      </w:r>
      <w:r>
        <w:rPr>
          <w:rFonts w:ascii="Times New Roman" w:hAnsi="Times New Roman" w:cs="Times New Roman" w:eastAsia="Times New Roman" w:hint="default"/>
        </w:rPr>
        <w:t>4</w:t>
      </w:r>
      <w:r>
        <w:rPr/>
        <w:t>、机构独立</w:t>
      </w:r>
      <w:r>
        <w:rPr>
          <w:spacing w:val="8"/>
        </w:rPr>
        <w:t> </w:t>
      </w:r>
      <w:r>
        <w:rPr/>
        <w:t>本公司设股东大会、董事会、</w:t>
      </w:r>
      <w:r>
        <w:rPr/>
        <w:t> </w:t>
      </w:r>
      <w:r>
        <w:rPr>
          <w:spacing w:val="-2"/>
        </w:rPr>
        <w:t>监事会，按照《公司章程》的规定履行相关权利和义务。公司拥有独立的组织机构，拥有独立的运作、管理和考核机制。公</w:t>
      </w:r>
    </w:p>
    <w:p>
      <w:pPr>
        <w:pStyle w:val="BodyText"/>
        <w:spacing w:line="309" w:lineRule="auto" w:before="26"/>
        <w:ind w:left="153" w:right="91"/>
        <w:jc w:val="left"/>
      </w:pPr>
      <w:r>
        <w:rPr/>
        <w:t>司总经理、副总经理、董事会秘书、财务总监均在公司领取报酬。 </w:t>
      </w:r>
      <w:r>
        <w:rPr>
          <w:rFonts w:ascii="Times New Roman" w:hAnsi="Times New Roman" w:cs="Times New Roman" w:eastAsia="Times New Roman" w:hint="default"/>
        </w:rPr>
        <w:t>5</w:t>
      </w:r>
      <w:r>
        <w:rPr/>
        <w:t>、财务独立</w:t>
      </w:r>
      <w:r>
        <w:rPr>
          <w:spacing w:val="10"/>
        </w:rPr>
        <w:t> </w:t>
      </w:r>
      <w:r>
        <w:rPr/>
        <w:t>公司设有独立的财务部门，建立独立的</w:t>
      </w:r>
      <w:r>
        <w:rPr/>
        <w:t> </w:t>
      </w:r>
      <w:r>
        <w:rPr>
          <w:spacing w:val="-2"/>
        </w:rPr>
        <w:t>财务会计核算体系和财务管理制度，财务人员与股东单位完全独立，不存在交叉任职情况。公司独立开设银行帐户，作为独</w:t>
      </w:r>
      <w:r>
        <w:rPr>
          <w:spacing w:val="-66"/>
        </w:rPr>
        <w:t> </w:t>
      </w:r>
      <w:r>
        <w:rPr>
          <w:spacing w:val="-66"/>
        </w:rPr>
      </w:r>
      <w:r>
        <w:rPr/>
        <w:t>立的纳税人依法独立纳税。</w:t>
      </w:r>
    </w:p>
    <w:p>
      <w:pPr>
        <w:spacing w:line="240" w:lineRule="auto" w:before="13"/>
        <w:rPr>
          <w:rFonts w:ascii="宋体" w:hAnsi="宋体" w:cs="宋体" w:eastAsia="宋体" w:hint="default"/>
          <w:sz w:val="20"/>
          <w:szCs w:val="20"/>
        </w:rPr>
      </w:pPr>
    </w:p>
    <w:p>
      <w:pPr>
        <w:pStyle w:val="Heading2"/>
        <w:spacing w:line="240" w:lineRule="auto"/>
        <w:ind w:right="91"/>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公司与控股公司及其子公司不存在同业竞争情况。</w:t>
      </w:r>
    </w:p>
    <w:p>
      <w:pPr>
        <w:spacing w:line="240" w:lineRule="auto" w:before="2"/>
        <w:rPr>
          <w:rFonts w:ascii="宋体" w:hAnsi="宋体" w:cs="宋体" w:eastAsia="宋体" w:hint="default"/>
          <w:sz w:val="25"/>
          <w:szCs w:val="25"/>
        </w:rPr>
      </w:pPr>
    </w:p>
    <w:p>
      <w:pPr>
        <w:pStyle w:val="Heading2"/>
        <w:spacing w:line="240" w:lineRule="auto"/>
        <w:ind w:right="91"/>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0"/>
        <w:jc w:val="left"/>
      </w:pPr>
      <w:r>
        <w:rPr/>
        <w:t>公司正逐步完善和建立公正、透明的高级管理人员的绩效评价标准和激励约束机制，公司高级管理人员的聘任公开、透明， 符合法律法规的规定。</w:t>
      </w:r>
      <w:r>
        <w:rPr>
          <w:spacing w:val="50"/>
        </w:rPr>
        <w:t> </w:t>
      </w:r>
      <w:r>
        <w:rPr>
          <w:rFonts w:ascii="Times New Roman" w:hAnsi="Times New Roman" w:cs="Times New Roman" w:eastAsia="Times New Roman" w:hint="default"/>
        </w:rPr>
        <w:t>1</w:t>
      </w:r>
      <w:r>
        <w:rPr/>
        <w:t>、考评机制：由公司董事会按年度对公司高级管理人员的业绩和履职情况进行考评，并根据工作 业绩决定年度薪酬，以考核结果作为下一年度的岗位安排、年薪档次、是否续聘及职位升降和下一届任免的依据。</w:t>
      </w:r>
      <w:r>
        <w:rPr>
          <w:spacing w:val="50"/>
        </w:rPr>
        <w:t> </w:t>
      </w:r>
      <w:r>
        <w:rPr>
          <w:rFonts w:ascii="Times New Roman" w:hAnsi="Times New Roman" w:cs="Times New Roman" w:eastAsia="Times New Roman" w:hint="default"/>
        </w:rPr>
        <w:t>2</w:t>
      </w:r>
      <w:r>
        <w:rPr/>
        <w:t>、激 </w:t>
      </w:r>
      <w:r>
        <w:rPr>
          <w:spacing w:val="-2"/>
        </w:rPr>
        <w:t>励机制：年初，董事会根据公司的经营计划和个人的岗位职责，确定年度工资额；年终董事会根据高级管理人员本年度的工</w:t>
      </w:r>
      <w:r>
        <w:rPr>
          <w:spacing w:val="-66"/>
        </w:rPr>
        <w:t> </w:t>
      </w:r>
      <w:r>
        <w:rPr>
          <w:spacing w:val="-66"/>
        </w:rPr>
      </w:r>
      <w:r>
        <w:rPr/>
        <w:t>作业绩进行考评后确定对高管人员的奖金总额。</w:t>
      </w:r>
    </w:p>
    <w:p>
      <w:pPr>
        <w:spacing w:after="0" w:line="309"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65" w:right="101"/>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91" w:firstLine="630"/>
        <w:jc w:val="left"/>
      </w:pPr>
      <w:r>
        <w:rPr>
          <w:spacing w:val="-7"/>
        </w:rPr>
        <w:t>公司严格按照《公司法》、《证券法》、《企业内部控制基本规范》和《深圳证券交易所中小企业板上市公司规范运作</w:t>
      </w:r>
      <w:r>
        <w:rPr/>
        <w:t> </w:t>
      </w:r>
      <w:r>
        <w:rPr>
          <w:spacing w:val="-2"/>
        </w:rPr>
        <w:t>指引》的要求，并根据现实情况变化和执行中发现的问题，不断改进、充实和完善内部控制制度。公司已构建了较为有效的</w:t>
      </w:r>
      <w:r>
        <w:rPr>
          <w:spacing w:val="-65"/>
        </w:rPr>
        <w:t> </w:t>
      </w:r>
      <w:r>
        <w:rPr>
          <w:spacing w:val="-65"/>
        </w:rPr>
      </w:r>
      <w:r>
        <w:rPr>
          <w:spacing w:val="-2"/>
        </w:rPr>
        <w:t>内部控制机制，建立了包括财务管理、行政管理、内部沟通管理、统计工作管理、安全生产管理、环境保护管理、信息披露</w:t>
      </w:r>
      <w:r>
        <w:rPr>
          <w:spacing w:val="-65"/>
        </w:rPr>
        <w:t> </w:t>
      </w:r>
      <w:r>
        <w:rPr>
          <w:spacing w:val="-65"/>
        </w:rPr>
      </w:r>
      <w:r>
        <w:rPr>
          <w:spacing w:val="-2"/>
        </w:rPr>
        <w:t>等各项管理规范，涵盖公司整个经营过程，确保覆盖公司各个部门，确保各项工作都有章可循；公司审计监察部在董事会及</w:t>
      </w:r>
      <w:r>
        <w:rPr>
          <w:spacing w:val="-66"/>
        </w:rPr>
        <w:t> </w:t>
      </w:r>
      <w:r>
        <w:rPr>
          <w:spacing w:val="-66"/>
        </w:rPr>
      </w:r>
      <w:r>
        <w:rPr>
          <w:spacing w:val="-4"/>
        </w:rPr>
        <w:t>其审计委员会的领导下独立开展审计工作，监督公司内部控制制度的建立和执行情况，并对公司及其所属企业的财务、经营、</w:t>
      </w:r>
      <w:r>
        <w:rPr>
          <w:spacing w:val="-44"/>
        </w:rPr>
        <w:t> </w:t>
      </w:r>
      <w:r>
        <w:rPr>
          <w:spacing w:val="-44"/>
        </w:rPr>
      </w:r>
      <w:r>
        <w:rPr>
          <w:spacing w:val="-2"/>
        </w:rPr>
        <w:t>管理等工作进行审计监督和评价，确保了公司生产经营、管理等各项工作合理、合法、有序、高效地进行。公司监事会、董</w:t>
      </w:r>
      <w:r>
        <w:rPr>
          <w:spacing w:val="-65"/>
        </w:rPr>
        <w:t> </w:t>
      </w:r>
      <w:r>
        <w:rPr>
          <w:spacing w:val="-65"/>
        </w:rPr>
      </w:r>
      <w:r>
        <w:rPr/>
        <w:t>事会各专门委员会、独立董事和审计监察部履行各自监督职责，形成了规范且持续有效的管理体系。</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3" w:right="190"/>
        <w:jc w:val="both"/>
      </w:pPr>
      <w:r>
        <w:rPr/>
        <w:t>公司董事会及全体董事保证本报告内容不存在任何虚假记载、误导性陈述或重大遗漏</w:t>
      </w:r>
      <w:r>
        <w:rPr>
          <w:rFonts w:ascii="Times New Roman" w:hAnsi="Times New Roman" w:cs="Times New Roman" w:eastAsia="Times New Roman" w:hint="default"/>
        </w:rPr>
        <w:t>,</w:t>
      </w:r>
      <w:r>
        <w:rPr/>
        <w:t>并对报告内容的真实性、准确性和完 </w:t>
      </w:r>
      <w:r>
        <w:rPr>
          <w:spacing w:val="-2"/>
        </w:rPr>
        <w:t>整性承担个别及连带责任。建立健全并有效实施内部控制是公司董事会的责任；监事会对董事会建立与实施内部控制进行监</w:t>
      </w:r>
      <w:r>
        <w:rPr>
          <w:spacing w:val="-64"/>
        </w:rPr>
        <w:t> </w:t>
      </w:r>
      <w:r>
        <w:rPr>
          <w:spacing w:val="-64"/>
        </w:rPr>
      </w:r>
      <w:r>
        <w:rPr/>
        <w:t>督；经理层负责组织领导公司内部控制的日常运行。</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85"/>
        <w:jc w:val="left"/>
      </w:pPr>
      <w:r>
        <w:rPr>
          <w:spacing w:val="-5"/>
        </w:rPr>
        <w:t>《公司法》、《深圳证券交易所中小企业板上市公司规范运作指引》及《公司章程》的规定，结合自身实际特点和情况制定公</w:t>
      </w:r>
      <w:r>
        <w:rPr>
          <w:spacing w:val="-79"/>
        </w:rPr>
        <w:t> </w:t>
      </w:r>
      <w:r>
        <w:rPr>
          <w:spacing w:val="-79"/>
        </w:rPr>
      </w:r>
      <w:r>
        <w:rPr/>
        <w:t>司内部控制制度。</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年度内部控制的自我评价报告》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right="91"/>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我们认为，紫鑫药业管理层对截至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日与财务报表相关内部控制有效性的自我评价报告符合公司内部控制 状况，在所有重大方面保持了有效的内部控制。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6"/>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6"/>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8"/>
                <w:szCs w:val="18"/>
              </w:rPr>
              <w:t>《内部控制鉴证报告》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t>会计师事务所是否出具非标准意见的内部控制审计报告</w:t>
      </w:r>
    </w:p>
    <w:p>
      <w:pPr>
        <w:pStyle w:val="BodyText"/>
        <w:spacing w:line="340" w:lineRule="auto" w:before="116"/>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49"/>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49"/>
        <w:jc w:val="left"/>
      </w:pPr>
      <w:r>
        <w:rPr>
          <w:spacing w:val="-2"/>
        </w:rPr>
        <w:t>公司已严格按照中国证监会、深圳证券交易所等监管部门的要求，制定了《年报信息披露重大差错责任追究制度》，报告期</w:t>
      </w:r>
      <w:r>
        <w:rPr>
          <w:spacing w:val="-72"/>
        </w:rPr>
        <w:t> </w:t>
      </w:r>
      <w:r>
        <w:rPr>
          <w:spacing w:val="-72"/>
        </w:rPr>
      </w:r>
      <w:r>
        <w:rPr/>
        <w:t>内未发生重大会计差错更正、重大遗漏信息补充的情况。</w:t>
      </w:r>
    </w:p>
    <w:p>
      <w:pPr>
        <w:spacing w:after="0" w:line="319"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65" w:right="101"/>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中准会计师事务所有限公司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中准审字</w:t>
            </w:r>
            <w:r>
              <w:rPr>
                <w:rFonts w:ascii="Times New Roman" w:hAnsi="Times New Roman" w:cs="Times New Roman" w:eastAsia="Times New Roman" w:hint="default"/>
                <w:sz w:val="18"/>
                <w:szCs w:val="18"/>
              </w:rPr>
              <w:t>[2013]1324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51"/>
        <w:ind w:left="4433" w:right="91"/>
        <w:jc w:val="left"/>
      </w:pPr>
      <w:r>
        <w:rPr/>
        <w:t>审计报告正文</w:t>
      </w:r>
    </w:p>
    <w:p>
      <w:pPr>
        <w:spacing w:line="240" w:lineRule="auto" w:before="5"/>
        <w:rPr>
          <w:rFonts w:ascii="宋体" w:hAnsi="宋体" w:cs="宋体" w:eastAsia="宋体" w:hint="default"/>
          <w:sz w:val="13"/>
          <w:szCs w:val="13"/>
        </w:rPr>
      </w:pPr>
    </w:p>
    <w:p>
      <w:pPr>
        <w:spacing w:line="316" w:lineRule="auto" w:before="0"/>
        <w:ind w:left="546" w:right="91" w:hanging="393"/>
        <w:jc w:val="left"/>
        <w:rPr>
          <w:rFonts w:ascii="宋体" w:hAnsi="宋体" w:cs="宋体" w:eastAsia="宋体" w:hint="default"/>
          <w:sz w:val="18"/>
          <w:szCs w:val="18"/>
        </w:rPr>
      </w:pPr>
      <w:r>
        <w:rPr>
          <w:rFonts w:ascii="宋体" w:hAnsi="宋体" w:cs="宋体" w:eastAsia="宋体" w:hint="default"/>
          <w:b/>
          <w:bCs/>
          <w:sz w:val="18"/>
          <w:szCs w:val="18"/>
        </w:rPr>
        <w:t>吉林紫鑫药业股份有限公司全体股东：</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我们审计了后附的吉林紫鑫药业股份有限公司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紫鑫药业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财务报表，包括</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日的合并及母公司</w:t>
      </w:r>
    </w:p>
    <w:p>
      <w:pPr>
        <w:pStyle w:val="BodyText"/>
        <w:spacing w:line="300" w:lineRule="auto"/>
        <w:ind w:right="91"/>
        <w:jc w:val="left"/>
      </w:pPr>
      <w:r>
        <w:rPr>
          <w:spacing w:val="-2"/>
        </w:rPr>
        <w:t>资产负债表，</w:t>
      </w:r>
      <w:r>
        <w:rPr>
          <w:rFonts w:ascii="Times New Roman" w:hAnsi="Times New Roman" w:cs="Times New Roman" w:eastAsia="Times New Roman" w:hint="default"/>
          <w:spacing w:val="-2"/>
        </w:rPr>
        <w:t>2012</w:t>
      </w:r>
      <w:r>
        <w:rPr>
          <w:spacing w:val="-2"/>
        </w:rPr>
        <w:t>年度的合并及母公司利润表、合并及母公司股东权益变动表和合并及母公司现金流量表以及财务报表附</w:t>
      </w:r>
      <w:r>
        <w:rPr>
          <w:spacing w:val="-60"/>
        </w:rPr>
        <w:t> </w:t>
      </w:r>
      <w:r>
        <w:rPr>
          <w:spacing w:val="-60"/>
        </w:rPr>
      </w:r>
      <w:r>
        <w:rPr/>
        <w:t>注。</w:t>
      </w:r>
    </w:p>
    <w:p>
      <w:pPr>
        <w:pStyle w:val="Heading6"/>
        <w:spacing w:line="240" w:lineRule="auto" w:before="132"/>
        <w:ind w:right="91"/>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328" w:firstLine="392"/>
        <w:jc w:val="left"/>
      </w:pPr>
      <w:r>
        <w:rPr/>
        <w:t>编制和公允列报财务报表是紫鑫药业管理层的责任。这种责任包括：（</w:t>
      </w:r>
      <w:r>
        <w:rPr>
          <w:rFonts w:ascii="Times New Roman" w:hAnsi="Times New Roman" w:cs="Times New Roman" w:eastAsia="Times New Roman" w:hint="default"/>
        </w:rPr>
        <w:t>1</w:t>
      </w:r>
      <w:r>
        <w:rPr/>
        <w:t>）按照企业会计准则的规定编制财务报表， 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6"/>
        <w:spacing w:line="240" w:lineRule="auto"/>
        <w:ind w:right="91"/>
        <w:jc w:val="left"/>
        <w:rPr>
          <w:b w:val="0"/>
          <w:bCs w:val="0"/>
        </w:rPr>
      </w:pPr>
      <w:r>
        <w:rPr/>
        <w:t>二、注册会计师的责任</w:t>
      </w:r>
      <w:r>
        <w:rPr>
          <w:b w:val="0"/>
          <w:bCs w:val="0"/>
        </w:rPr>
      </w:r>
    </w:p>
    <w:p>
      <w:pPr>
        <w:spacing w:line="240" w:lineRule="auto" w:before="12"/>
        <w:rPr>
          <w:rFonts w:ascii="宋体" w:hAnsi="宋体" w:cs="宋体" w:eastAsia="宋体" w:hint="default"/>
          <w:b/>
          <w:bCs/>
          <w:sz w:val="14"/>
          <w:szCs w:val="14"/>
        </w:rPr>
      </w:pPr>
    </w:p>
    <w:p>
      <w:pPr>
        <w:pStyle w:val="BodyText"/>
        <w:spacing w:line="316" w:lineRule="auto"/>
        <w:ind w:right="188" w:firstLine="392"/>
        <w:jc w:val="both"/>
      </w:pPr>
      <w:r>
        <w:rPr/>
        <w:t>我们的责任是在按照中国注册会计师审计准则的规定执行审计工作的基础上对财务报表发表审计意见。我们按照中国 </w:t>
      </w:r>
      <w:r>
        <w:rPr>
          <w:spacing w:val="-2"/>
        </w:rPr>
        <w:t>注册会计师审计准则的规定执行了审计工作。中国注册会计师审计准则要求我们遵守中国注册会计职业道德守则，计划和执</w:t>
      </w:r>
      <w:r>
        <w:rPr>
          <w:spacing w:val="-64"/>
        </w:rPr>
        <w:t> </w:t>
      </w:r>
      <w:r>
        <w:rPr>
          <w:spacing w:val="-64"/>
        </w:rPr>
      </w:r>
      <w:r>
        <w:rPr/>
        <w:t>行审计工作以对财务报表是否不存在重大错报获取合理保证。</w:t>
      </w:r>
    </w:p>
    <w:p>
      <w:pPr>
        <w:pStyle w:val="BodyText"/>
        <w:spacing w:line="316" w:lineRule="auto" w:before="19"/>
        <w:ind w:right="91" w:firstLine="392"/>
        <w:jc w:val="left"/>
      </w:pPr>
      <w:r>
        <w:rPr>
          <w:spacing w:val="-1"/>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spacing w:line="420" w:lineRule="auto" w:before="19"/>
        <w:ind w:left="546" w:right="3118" w:firstLine="0"/>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我们相信，我们获取的审计证据是充分、适当的，为发表保留意见提供了基础。 </w:t>
      </w:r>
      <w:r>
        <w:rPr>
          <w:rFonts w:ascii="宋体" w:hAnsi="宋体" w:cs="宋体" w:eastAsia="宋体" w:hint="default"/>
          <w:b/>
          <w:bCs/>
          <w:sz w:val="18"/>
          <w:szCs w:val="18"/>
        </w:rPr>
        <w:t>三、导致保留意见的事项</w:t>
      </w:r>
      <w:r>
        <w:rPr>
          <w:rFonts w:ascii="宋体" w:hAnsi="宋体" w:cs="宋体" w:eastAsia="宋体" w:hint="default"/>
          <w:sz w:val="18"/>
          <w:szCs w:val="18"/>
        </w:rPr>
      </w:r>
    </w:p>
    <w:p>
      <w:pPr>
        <w:pStyle w:val="BodyText"/>
        <w:spacing w:line="314" w:lineRule="auto" w:before="60"/>
        <w:ind w:right="288" w:firstLine="392"/>
        <w:jc w:val="both"/>
      </w:pPr>
      <w:r>
        <w:rPr>
          <w:spacing w:val="-1"/>
        </w:rPr>
        <w:t>紫鑫药业存货中含有</w:t>
      </w:r>
      <w:r>
        <w:rPr>
          <w:rFonts w:ascii="Times New Roman" w:hAnsi="Times New Roman" w:cs="Times New Roman" w:eastAsia="Times New Roman" w:hint="default"/>
          <w:spacing w:val="-1"/>
        </w:rPr>
        <w:t>2011</w:t>
      </w:r>
      <w:r>
        <w:rPr>
          <w:spacing w:val="-1"/>
        </w:rPr>
        <w:t>年内购入的野山参</w:t>
      </w:r>
      <w:r>
        <w:rPr>
          <w:rFonts w:ascii="Times New Roman" w:hAnsi="Times New Roman" w:cs="Times New Roman" w:eastAsia="Times New Roman" w:hint="default"/>
          <w:spacing w:val="-1"/>
        </w:rPr>
        <w:t>1,842</w:t>
      </w:r>
      <w:r>
        <w:rPr>
          <w:spacing w:val="-1"/>
        </w:rPr>
        <w:t>根计</w:t>
      </w:r>
      <w:r>
        <w:rPr>
          <w:rFonts w:ascii="Times New Roman" w:hAnsi="Times New Roman" w:cs="Times New Roman" w:eastAsia="Times New Roman" w:hint="default"/>
          <w:spacing w:val="-1"/>
        </w:rPr>
        <w:t>8,284.06</w:t>
      </w:r>
      <w:r>
        <w:rPr>
          <w:spacing w:val="-1"/>
        </w:rPr>
        <w:t>克，账面含税价值</w:t>
      </w:r>
      <w:r>
        <w:rPr>
          <w:rFonts w:ascii="Times New Roman" w:hAnsi="Times New Roman" w:cs="Times New Roman" w:eastAsia="Times New Roman" w:hint="default"/>
          <w:spacing w:val="-1"/>
        </w:rPr>
        <w:t>131,039,740.09</w:t>
      </w:r>
      <w:r>
        <w:rPr>
          <w:spacing w:val="-1"/>
        </w:rPr>
        <w:t>元，虽已取得延边山参</w:t>
      </w:r>
      <w:r>
        <w:rPr/>
        <w:t> 研究所出具的野山参鉴定证书，并由中国科学院北京基因组研究所单品抽样测试检验报告，但其中仍有部分未取得购买发 票等合规入账凭证。虽然紫鑫药业本期有少量市场销售行为，但鉴于野山参货品的特殊性，目前尚无公开的令人信服的市 场交易报价体系，亦无价值认定权威机构或部门，我们无法取得充分适当的审计证据以判定紫鑫药业对该等存货认定的恰 当性。</w:t>
      </w:r>
    </w:p>
    <w:p>
      <w:pPr>
        <w:pStyle w:val="Heading6"/>
        <w:spacing w:line="240" w:lineRule="auto" w:before="121"/>
        <w:ind w:right="91"/>
        <w:jc w:val="left"/>
        <w:rPr>
          <w:b w:val="0"/>
          <w:bCs w:val="0"/>
        </w:rPr>
      </w:pPr>
      <w:r>
        <w:rPr/>
        <w:t>四、保留意见</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366" w:firstLine="392"/>
        <w:jc w:val="both"/>
      </w:pPr>
      <w:r>
        <w:rPr/>
        <w:t>我们认为，除</w:t>
      </w:r>
      <w:r>
        <w:rPr>
          <w:rFonts w:ascii="Times New Roman" w:hAnsi="Times New Roman" w:cs="Times New Roman" w:eastAsia="Times New Roman" w:hint="default"/>
        </w:rPr>
        <w:t>“</w:t>
      </w:r>
      <w:r>
        <w:rPr/>
        <w:t>三、导致保留意见的事项</w:t>
      </w:r>
      <w:r>
        <w:rPr>
          <w:rFonts w:ascii="Times New Roman" w:hAnsi="Times New Roman" w:cs="Times New Roman" w:eastAsia="Times New Roman" w:hint="default"/>
        </w:rPr>
        <w:t>”</w:t>
      </w:r>
      <w:r>
        <w:rPr/>
        <w:t>段所述事项可能产生的影响外，紫鑫药业的财务报表在所有重大方面按照</w:t>
      </w:r>
      <w:r>
        <w:rPr>
          <w:spacing w:val="1"/>
        </w:rPr>
        <w:t> </w:t>
      </w:r>
      <w:r>
        <w:rPr>
          <w:spacing w:val="-2"/>
        </w:rPr>
        <w:t>企业会计准则编制，公允反映了紫鑫药业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日合并及母公司财务状况以及</w:t>
      </w:r>
      <w:r>
        <w:rPr>
          <w:rFonts w:ascii="Times New Roman" w:hAnsi="Times New Roman" w:cs="Times New Roman" w:eastAsia="Times New Roman" w:hint="default"/>
          <w:spacing w:val="-2"/>
        </w:rPr>
        <w:t>2012</w:t>
      </w:r>
      <w:r>
        <w:rPr>
          <w:spacing w:val="-2"/>
        </w:rPr>
        <w:t>年度合并及母公司经营成果和现</w:t>
      </w:r>
      <w:r>
        <w:rPr>
          <w:spacing w:val="-53"/>
        </w:rPr>
        <w:t> </w:t>
      </w:r>
      <w:r>
        <w:rPr/>
        <w:t>金流量。</w:t>
      </w:r>
    </w:p>
    <w:p>
      <w:pPr>
        <w:spacing w:line="439" w:lineRule="auto" w:before="132"/>
        <w:ind w:left="546" w:right="6898" w:firstLine="0"/>
        <w:jc w:val="left"/>
        <w:rPr>
          <w:rFonts w:ascii="宋体" w:hAnsi="宋体" w:cs="宋体" w:eastAsia="宋体" w:hint="default"/>
          <w:sz w:val="18"/>
          <w:szCs w:val="18"/>
        </w:rPr>
      </w:pPr>
      <w:r>
        <w:rPr>
          <w:rFonts w:ascii="宋体" w:hAnsi="宋体" w:cs="宋体" w:eastAsia="宋体" w:hint="default"/>
          <w:b/>
          <w:bCs/>
          <w:sz w:val="18"/>
          <w:szCs w:val="18"/>
        </w:rPr>
        <w:t>五、强调事项</w:t>
      </w:r>
      <w:r>
        <w:rPr>
          <w:rFonts w:ascii="宋体" w:hAnsi="宋体" w:cs="宋体" w:eastAsia="宋体" w:hint="default"/>
          <w:b/>
          <w:bCs/>
          <w:w w:val="99"/>
          <w:sz w:val="18"/>
          <w:szCs w:val="18"/>
        </w:rPr>
        <w:t> </w:t>
      </w:r>
      <w:r>
        <w:rPr>
          <w:rFonts w:ascii="宋体" w:hAnsi="宋体" w:cs="宋体" w:eastAsia="宋体" w:hint="default"/>
          <w:sz w:val="18"/>
          <w:szCs w:val="18"/>
        </w:rPr>
        <w:t>我们提醒财务报表使用者关注：</w:t>
      </w:r>
    </w:p>
    <w:p>
      <w:pPr>
        <w:spacing w:after="0" w:line="439"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248" w:firstLine="392"/>
        <w:jc w:val="both"/>
      </w:pPr>
      <w:r>
        <w:rPr>
          <w:rFonts w:ascii="Times New Roman" w:hAnsi="Times New Roman" w:cs="Times New Roman" w:eastAsia="Times New Roman" w:hint="default"/>
          <w:spacing w:val="-2"/>
        </w:rPr>
        <w:t>1</w:t>
      </w:r>
      <w:r>
        <w:rPr>
          <w:spacing w:val="-2"/>
        </w:rPr>
        <w:t>、如紫鑫药业财务报表</w:t>
      </w:r>
      <w:r>
        <w:rPr>
          <w:rFonts w:ascii="Times New Roman" w:hAnsi="Times New Roman" w:cs="Times New Roman" w:eastAsia="Times New Roman" w:hint="default"/>
          <w:spacing w:val="-2"/>
        </w:rPr>
        <w:t>“</w:t>
      </w:r>
      <w:r>
        <w:rPr>
          <w:spacing w:val="-2"/>
        </w:rPr>
        <w:t>附注九、其他重大事项</w:t>
      </w:r>
      <w:r>
        <w:rPr>
          <w:rFonts w:ascii="Times New Roman" w:hAnsi="Times New Roman" w:cs="Times New Roman" w:eastAsia="Times New Roman" w:hint="default"/>
          <w:spacing w:val="-2"/>
        </w:rPr>
        <w:t>”</w:t>
      </w:r>
      <w:r>
        <w:rPr>
          <w:spacing w:val="-2"/>
        </w:rPr>
        <w:t>所述，紫鑫药业于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日第</w:t>
      </w:r>
      <w:r>
        <w:rPr>
          <w:rFonts w:ascii="Times New Roman" w:hAnsi="Times New Roman" w:cs="Times New Roman" w:eastAsia="Times New Roman" w:hint="default"/>
          <w:spacing w:val="-2"/>
        </w:rPr>
        <w:t>2011-052</w:t>
      </w:r>
      <w:r>
        <w:rPr>
          <w:spacing w:val="-2"/>
        </w:rPr>
        <w:t>号临时公告，因涉嫌证</w:t>
      </w:r>
      <w:r>
        <w:rPr/>
        <w:t> 券违法违规行为，中国证监会于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日对紫鑫药业下发了《调查通知书》，开始对紫鑫药业进行立案稽查，截至 目前稽查工作尚未结束。</w:t>
      </w:r>
    </w:p>
    <w:p>
      <w:pPr>
        <w:pStyle w:val="BodyText"/>
        <w:spacing w:line="300" w:lineRule="auto" w:before="31"/>
        <w:ind w:left="153" w:right="249" w:firstLine="392"/>
        <w:jc w:val="both"/>
      </w:pPr>
      <w:r>
        <w:rPr>
          <w:rFonts w:ascii="Times New Roman" w:hAnsi="Times New Roman" w:cs="Times New Roman" w:eastAsia="Times New Roman" w:hint="default"/>
          <w:spacing w:val="-5"/>
        </w:rPr>
        <w:t>2</w:t>
      </w:r>
      <w:r>
        <w:rPr>
          <w:spacing w:val="-5"/>
        </w:rPr>
        <w:t>、紫鑫药业</w:t>
      </w:r>
      <w:r>
        <w:rPr>
          <w:rFonts w:ascii="Times New Roman" w:hAnsi="Times New Roman" w:cs="Times New Roman" w:eastAsia="Times New Roman" w:hint="default"/>
          <w:spacing w:val="-5"/>
        </w:rPr>
        <w:t>2011</w:t>
      </w:r>
      <w:r>
        <w:rPr>
          <w:spacing w:val="-5"/>
        </w:rPr>
        <w:t>年度购入在地参</w:t>
      </w:r>
      <w:r>
        <w:rPr>
          <w:rFonts w:ascii="Times New Roman" w:hAnsi="Times New Roman" w:cs="Times New Roman" w:eastAsia="Times New Roman" w:hint="default"/>
          <w:spacing w:val="-5"/>
        </w:rPr>
        <w:t>135,760</w:t>
      </w:r>
      <w:r>
        <w:rPr>
          <w:spacing w:val="-5"/>
        </w:rPr>
        <w:t>丈，财务报表列报金额</w:t>
      </w:r>
      <w:r>
        <w:rPr>
          <w:rFonts w:ascii="Times New Roman" w:hAnsi="Times New Roman" w:cs="Times New Roman" w:eastAsia="Times New Roman" w:hint="default"/>
          <w:spacing w:val="-5"/>
        </w:rPr>
        <w:t>82,488,960.00</w:t>
      </w:r>
      <w:r>
        <w:rPr>
          <w:spacing w:val="-5"/>
        </w:rPr>
        <w:t>元，其中</w:t>
      </w:r>
      <w:r>
        <w:rPr>
          <w:rFonts w:ascii="Times New Roman" w:hAnsi="Times New Roman" w:cs="Times New Roman" w:eastAsia="Times New Roman" w:hint="default"/>
          <w:spacing w:val="-5"/>
        </w:rPr>
        <w:t>104,003</w:t>
      </w:r>
      <w:r>
        <w:rPr>
          <w:spacing w:val="-5"/>
        </w:rPr>
        <w:t>丈（账面价值</w:t>
      </w:r>
      <w:r>
        <w:rPr>
          <w:rFonts w:ascii="Times New Roman" w:hAnsi="Times New Roman" w:cs="Times New Roman" w:eastAsia="Times New Roman" w:hint="default"/>
          <w:spacing w:val="-5"/>
        </w:rPr>
        <w:t>66,087,650.00</w:t>
      </w:r>
      <w:r>
        <w:rPr>
          <w:rFonts w:ascii="Times New Roman" w:hAnsi="Times New Roman" w:cs="Times New Roman" w:eastAsia="Times New Roman" w:hint="default"/>
        </w:rPr>
        <w:t> </w:t>
      </w:r>
      <w:r>
        <w:rPr>
          <w:spacing w:val="-3"/>
        </w:rPr>
        <w:t>元）的在地参林地系转让方从其他林地持有人处转包再与紫鑫药业签约而来。本期公司对已至采收年限在地参</w:t>
      </w:r>
      <w:r>
        <w:rPr>
          <w:rFonts w:ascii="Times New Roman" w:hAnsi="Times New Roman" w:cs="Times New Roman" w:eastAsia="Times New Roman" w:hint="default"/>
          <w:spacing w:val="-3"/>
        </w:rPr>
        <w:t>41,371</w:t>
      </w:r>
      <w:r>
        <w:rPr>
          <w:spacing w:val="-3"/>
        </w:rPr>
        <w:t>丈（其</w:t>
      </w:r>
      <w:r>
        <w:rPr>
          <w:spacing w:val="-59"/>
        </w:rPr>
        <w:t> </w:t>
      </w:r>
      <w:r>
        <w:rPr>
          <w:spacing w:val="-59"/>
        </w:rPr>
      </w:r>
      <w:r>
        <w:rPr>
          <w:spacing w:val="-1"/>
        </w:rPr>
        <w:t>中转包在地参</w:t>
      </w:r>
      <w:r>
        <w:rPr>
          <w:rFonts w:ascii="Times New Roman" w:hAnsi="Times New Roman" w:cs="Times New Roman" w:eastAsia="Times New Roman" w:hint="default"/>
          <w:spacing w:val="-1"/>
        </w:rPr>
        <w:t>33,521</w:t>
      </w:r>
      <w:r>
        <w:rPr>
          <w:spacing w:val="-1"/>
        </w:rPr>
        <w:t>丈）进行采收，采收入库人参干品</w:t>
      </w:r>
      <w:r>
        <w:rPr>
          <w:rFonts w:ascii="Times New Roman" w:hAnsi="Times New Roman" w:cs="Times New Roman" w:eastAsia="Times New Roman" w:hint="default"/>
          <w:spacing w:val="-1"/>
        </w:rPr>
        <w:t>100,779.82</w:t>
      </w:r>
      <w:r>
        <w:rPr>
          <w:spacing w:val="-1"/>
        </w:rPr>
        <w:t>公斤，在采收入库过程中未受任何权属事项影响。目前尚</w:t>
      </w:r>
      <w:r>
        <w:rPr>
          <w:spacing w:val="-76"/>
        </w:rPr>
        <w:t> </w:t>
      </w:r>
      <w:r>
        <w:rPr>
          <w:spacing w:val="-76"/>
        </w:rPr>
      </w:r>
      <w:r>
        <w:rPr>
          <w:spacing w:val="6"/>
        </w:rPr>
        <w:t>余在地参</w:t>
      </w:r>
      <w:r>
        <w:rPr>
          <w:rFonts w:ascii="Times New Roman" w:hAnsi="Times New Roman" w:cs="Times New Roman" w:eastAsia="Times New Roman" w:hint="default"/>
          <w:spacing w:val="6"/>
        </w:rPr>
        <w:t>94,389</w:t>
      </w:r>
      <w:r>
        <w:rPr>
          <w:rFonts w:ascii="Times New Roman" w:hAnsi="Times New Roman" w:cs="Times New Roman" w:eastAsia="Times New Roman" w:hint="default"/>
          <w:spacing w:val="-25"/>
        </w:rPr>
        <w:t> </w:t>
      </w:r>
      <w:r>
        <w:rPr>
          <w:spacing w:val="15"/>
        </w:rPr>
        <w:t>丈，其中转让方从其他林地持有人处转包再与紫鑫药业签约的</w:t>
      </w:r>
      <w:r>
        <w:rPr>
          <w:spacing w:val="-70"/>
        </w:rPr>
        <w:t> </w:t>
      </w:r>
      <w:r>
        <w:rPr>
          <w:rFonts w:ascii="Times New Roman" w:hAnsi="Times New Roman" w:cs="Times New Roman" w:eastAsia="Times New Roman" w:hint="default"/>
        </w:rPr>
        <w:t>70,482</w:t>
      </w:r>
      <w:r>
        <w:rPr>
          <w:rFonts w:ascii="Times New Roman" w:hAnsi="Times New Roman" w:cs="Times New Roman" w:eastAsia="Times New Roman" w:hint="default"/>
          <w:spacing w:val="-25"/>
        </w:rPr>
        <w:t> </w:t>
      </w:r>
      <w:r>
        <w:rPr>
          <w:spacing w:val="12"/>
        </w:rPr>
        <w:t>丈，参龄为</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spacing w:val="13"/>
        </w:rPr>
        <w:t>年，账面价值</w:t>
      </w:r>
      <w:r>
        <w:rPr>
          <w:spacing w:val="-79"/>
        </w:rPr>
        <w:t> </w:t>
      </w:r>
      <w:r>
        <w:rPr>
          <w:spacing w:val="-79"/>
        </w:rPr>
      </w:r>
      <w:r>
        <w:rPr>
          <w:rFonts w:ascii="Times New Roman" w:hAnsi="Times New Roman" w:cs="Times New Roman" w:eastAsia="Times New Roman" w:hint="default"/>
        </w:rPr>
        <w:t>31,488,250.00</w:t>
      </w:r>
      <w:r>
        <w:rPr/>
        <w:t>元。</w:t>
      </w:r>
    </w:p>
    <w:p>
      <w:pPr>
        <w:pStyle w:val="BodyText"/>
        <w:spacing w:line="240" w:lineRule="auto" w:before="13"/>
        <w:ind w:left="546" w:right="149"/>
        <w:jc w:val="left"/>
      </w:pPr>
      <w:r>
        <w:rPr/>
        <w:t>本段内容不影响已发表的审计意见。</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tabs>
          <w:tab w:pos="4411" w:val="left" w:leader="none"/>
        </w:tabs>
        <w:spacing w:line="676" w:lineRule="auto"/>
        <w:ind w:left="4411" w:right="3730" w:hanging="3215"/>
        <w:jc w:val="left"/>
      </w:pPr>
      <w:r>
        <w:rPr/>
        <w:t>中准会计师事务所有限公司</w:t>
        <w:tab/>
        <w:t>中国注册会计师：韩波 中国注册会计师：支力</w:t>
      </w:r>
    </w:p>
    <w:p>
      <w:pPr>
        <w:pStyle w:val="BodyText"/>
        <w:tabs>
          <w:tab w:pos="5570" w:val="left" w:leader="none"/>
        </w:tabs>
        <w:spacing w:line="240" w:lineRule="auto" w:before="80"/>
        <w:ind w:left="1895" w:right="149"/>
        <w:jc w:val="left"/>
      </w:pPr>
      <w:r>
        <w:rPr>
          <w:w w:val="95"/>
        </w:rPr>
        <w:t>中国</w:t>
      </w:r>
      <w:r>
        <w:rPr>
          <w:rFonts w:ascii="Times New Roman" w:hAnsi="Times New Roman" w:cs="Times New Roman" w:eastAsia="Times New Roman" w:hint="default"/>
          <w:w w:val="95"/>
        </w:rPr>
        <w:t>·</w:t>
      </w:r>
      <w:r>
        <w:rPr>
          <w:w w:val="95"/>
        </w:rPr>
        <w:t>北京</w:t>
        <w:tab/>
      </w:r>
      <w:r>
        <w:rPr/>
        <w:t>二Ｏ一三年四月二十五日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2"/>
        <w:spacing w:line="240" w:lineRule="auto"/>
        <w:ind w:right="149"/>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9"/>
        <w:jc w:val="left"/>
      </w:pPr>
      <w:r>
        <w:rPr/>
        <w:t>编制单位：吉林紫鑫药业股份有限公司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175,327,428.74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403,521,229.81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13,457,900.49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6,642,918.19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229,540,921.43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549,458,496.15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111,411,356.47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59,095,823.79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25,958,123.16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33,683,540.93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1,415,635,463.92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850,942,555.79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59,064,000.55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2,030,395,194.76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1,906,344,564.66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262,155,121.82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270,417,901.15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546,334,870.41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442,500,575.41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171,478,396.44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136,514,564.73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866,666.60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1,444,444.40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3,561,959.53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3,341,988.05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1,014,997,014.80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882,819,473.74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3,045,392,209.56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2,789,164,038.40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53,361,821.54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51,911,939.54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88,719.30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1,154,183.13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761,511.75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612,430.41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-76,410,487.59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-49,448,933.74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1,339,315.74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3,646,873.93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1,099,140,880.74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934,876,493.27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691,533.33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49,017,418.00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50,815,218.00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45,191,533.33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1,149,956,098.74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980,068,026.60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512,991,382.00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723,884,483.90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723,850,750.57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55,663,102.62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51,044,585.97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602,894,877.13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521,202,000.67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1,895,433,845.65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1,809,088,719.21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7,292.59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1,895,436,110.82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1,809,096,011.80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3,045,392,209.56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2,789,164,038.40</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149"/>
        <w:jc w:val="left"/>
      </w:pPr>
      <w:r>
        <w:rPr/>
        <w:t>法定代表人：曹恩辉</w:t>
        <w:tab/>
        <w:t>主管会计工作负责人：徐吉峰</w:t>
        <w:tab/>
        <w:t>会计机构负责人：邵天宇</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编制单位：吉林紫鑫药业股份有限公司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36,263,627.49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67,987,712.42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13,457,900.49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6,642,918.19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211,774,536.06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218,274,299.80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95,756,142.99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44,079,346.97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406,109,418.76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1,200,270,210.53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564,395,196.85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465,128,966.61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25,097,186.01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1,352,854,008.65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2,005,383,454.52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1,166,287,641.41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229,837,641.41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188,162,045.78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205,083,830.67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11,479,374.74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11,802,864.02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866,666.60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1,444,444.40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2,221,374.50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2,477,156.02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1,371,017,103.03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450,645,936.52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2,723,871,111.68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2,456,029,391.04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27,790,152.50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15,592,300.54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504,272.21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301,828.25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-20,742,732.83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-21,108,678.87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66,058,886.75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20,028,574.61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1,148,610,578.63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926,814,024.53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1,149,650,578.63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927,994,024.53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512,991,382.00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719,482,283.90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54,501,351.91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49,882,835.26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287,245,515.24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245,678,865.35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1,574,220,533.05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1,528,035,366.51</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2,723,871,111.68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2,456,029,391.04</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149"/>
        <w:jc w:val="left"/>
      </w:pPr>
      <w:r>
        <w:rPr/>
        <w:t>法定代表人：曹恩辉</w:t>
        <w:tab/>
        <w:t>主管会计工作负责人：徐吉峰</w:t>
        <w:tab/>
        <w:t>会计机构负责人：邵天宇</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编制单位：吉林紫鑫药业股份有限公司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418,500,365.23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927,619,550.21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418,500,365.23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927,619,550.21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355,394,085.83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740,012,354.90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152,412,497.95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424,919,739.43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3,054,302.32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8,178,952.98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72,954,100.22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144,688,287.20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78,446,138.03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78,912,837.52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68,226,637.75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53,762,215.58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-19,699,590.44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29,550,322.19</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5,860,000.00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65,536,279.40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193,467,195.31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28,871,821.61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44,265,509.53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1,671,625.53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4,949,381.58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434,645.28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50,132.73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92,736,475.48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232,783,323.26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6,430,109.79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15,500,772.04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86,306,365.69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217,282,551.22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86,311,393.11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217,289,950.92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-7,399.70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33,733.34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86,340,099.02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217,316,284.56</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86,345,126.44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217,323,684.26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-7,399.70</w:t>
            </w:r>
          </w:p>
        </w:tc>
      </w:tr>
    </w:tbl>
    <w:p>
      <w:pPr>
        <w:pStyle w:val="BodyText"/>
        <w:spacing w:line="240" w:lineRule="auto" w:before="51"/>
        <w:ind w:right="149"/>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573" w:val="left" w:leader="none"/>
          <w:tab w:pos="7713" w:val="left" w:leader="none"/>
        </w:tabs>
        <w:spacing w:line="240" w:lineRule="auto" w:before="127"/>
        <w:ind w:left="153" w:right="149"/>
        <w:jc w:val="left"/>
      </w:pPr>
      <w:r>
        <w:rPr/>
        <w:t>法定代表人：曹恩辉</w:t>
        <w:tab/>
        <w:t>主管会计工作负责人：徐吉峰</w:t>
        <w:tab/>
        <w:t>会计机构负责人：邵天宇</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9"/>
        <w:jc w:val="left"/>
      </w:pPr>
      <w:r>
        <w:rPr/>
        <w:t>编制单位：吉林紫鑫药业股份有限公司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264,620,153.25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447,088,192.82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61,028,450.93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139,882,415.72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2,904,739.81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4,899,453.18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60,913,876.56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129,637,583.75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50,231,286.01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58,259,917.19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67,304,511.57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54,244,503.10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-1,705,210.11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10,410,812.94</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5,860,000.00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26,372,498.48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55,613,506.94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25,689,304.11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35,911,909.53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451,624.43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2,480,924.17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434,644.18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51,610,178.16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89,044,492.30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5,425,011.62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13,131,232.23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75,913,260.07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75,913,260.07</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149"/>
        <w:jc w:val="left"/>
      </w:pPr>
      <w:r>
        <w:rPr/>
        <w:t>法定代表人：曹恩辉</w:t>
        <w:tab/>
        <w:t>主管会计工作负责人：徐吉峰</w:t>
        <w:tab/>
        <w:t>会计机构负责人：邵天宇</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编制单位：吉林紫鑫药业股份有限公司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791,964,449.12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633,210,556.67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123,465,451.20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49,206,932.52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915,429,900.32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682,417,489.19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835,660,577.28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935,386,648.93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38,436,427.41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35,861,363.55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52,658,049.01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110,492,975.60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184,122,891.27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159,397,720.72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1,110,877,944.97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1,241,138,708.80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-195,448,044.65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-558,721,219.61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36,334,015.38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31,256,218.00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34,706,218.00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42,194,015.38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190,249,523.86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490,725,006.73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190,249,523.86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490,725,006.73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-155,543,305.86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-448,530,991.35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1,020,320,000.00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70,202,450.56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60,901,038.99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1,297,202,450.56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1,018,041,038.99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122,797,549.44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2,278,961.01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-228,193,801.07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-1,004,973,249.95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403,521,229.81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1,408,494,479.76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175,327,428.74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403,521,229.81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573" w:val="left" w:leader="none"/>
          <w:tab w:pos="7713" w:val="left" w:leader="none"/>
        </w:tabs>
        <w:spacing w:line="240" w:lineRule="auto" w:before="44"/>
        <w:ind w:left="153" w:right="149"/>
        <w:jc w:val="left"/>
      </w:pPr>
      <w:r>
        <w:rPr/>
        <w:t>法定代表人：曹恩辉</w:t>
        <w:tab/>
        <w:t>主管会计工作负责人：徐吉峰</w:t>
        <w:tab/>
        <w:t>会计机构负责人：邵天宇</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9"/>
        <w:jc w:val="left"/>
      </w:pPr>
      <w:r>
        <w:rPr/>
        <w:t>编制单位：吉林紫鑫药业股份有限公司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293,679,522.71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542,159,902.44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617,900,246.43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155,234,874.94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911,579,769.14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697,394,777.38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725,761,548.30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825,274,430.56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18,602,253.37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15,125,328.19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40,507,015.19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75,818,859.66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160,432,574.04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138,839,775.11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945,303,390.90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1,055,058,393.52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-33,723,621.76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-357,663,616.14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36,314,400.00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42,174,400.00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7,058,106.66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15,450,679.23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849,279,130.19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97,058,106.66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964,729,809.42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-93,608,106.66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-922,555,409.42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67,392,356.51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58,553,596.66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979,392,356.51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985,693,596.66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95,607,643.49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-23,693,596.66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-31,724,084.93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-1,303,912,622.22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67,987,712.42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1,371,900,334.64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36,263,627.49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67,987,712.42</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149"/>
        <w:jc w:val="left"/>
      </w:pPr>
      <w:r>
        <w:rPr/>
        <w:t>法定代表人：曹恩辉</w:t>
        <w:tab/>
        <w:t>主管会计工作负责人：徐吉峰</w:t>
        <w:tab/>
        <w:t>会计机构负责人：邵天宇</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编制单位：吉林紫鑫药业股份有限公司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4" w:hRule="exact"/>
        </w:trPr>
        <w:tc>
          <w:tcPr>
            <w:tcW w:w="2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3"/>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3"/>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2" w:hRule="exact"/>
        </w:trPr>
        <w:tc>
          <w:tcPr>
            <w:tcW w:w="236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236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,382.00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723,850,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750.57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51,044,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585.97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521,202,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000.67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7,292.59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1,809,096,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011.80</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,382.00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723,850,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750.57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51,044,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585.97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521,202,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000.67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7,292.59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1,809,096,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011.80</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33,733.3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4,618,5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81,692,8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-5,027.42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86,340,099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Times New Roman" w:hAnsi="Times New Roman" w:cs="Times New Roman" w:eastAsia="Times New Roman" w:hint="default"/>
                <w:sz w:val="18"/>
                <w:szCs w:val="18"/>
              </w:rPr>
            </w:pPr>
            <w:r>
              <w:rPr>
                <w:rFonts w:ascii="Times New Roman"/>
                <w:sz w:val="18"/>
              </w:rPr>
              <w:t>16.65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76.46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86,311,3</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93.11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-5,027.42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86,306,365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33,733.33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86,311,3</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93.11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-5,027.42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86,340,099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4,618,5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16.65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-4,618,5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16.65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4,618,5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16.65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-4,618,5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16.65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,382.00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723,884,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483.90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55,663,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102.62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602,894,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877.13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2,265.17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1,895,436,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110.82</w:t>
            </w:r>
          </w:p>
        </w:tc>
      </w:tr>
    </w:tbl>
    <w:p>
      <w:pPr>
        <w:pStyle w:val="BodyText"/>
        <w:spacing w:line="240" w:lineRule="auto" w:before="51"/>
        <w:ind w:right="149"/>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54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5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3"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8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161"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single" w:sz="4" w:space="0" w:color="000000"/>
              <w:left w:val="single" w:sz="9" w:space="0" w:color="D3D3D3"/>
              <w:right w:val="single" w:sz="4" w:space="0" w:color="000000"/>
            </w:tcBorders>
          </w:tcPr>
          <w:p>
            <w:pPr>
              <w:pStyle w:val="TableParagraph"/>
              <w:spacing w:line="240" w:lineRule="auto" w:before="11"/>
              <w:ind w:left="216"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1"/>
              <w:ind w:left="171"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56"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9" w:space="0" w:color="D3D3D3"/>
              <w:right w:val="single" w:sz="4" w:space="0" w:color="000000"/>
            </w:tcBorders>
          </w:tcPr>
          <w:p>
            <w:pPr/>
          </w:p>
        </w:tc>
        <w:tc>
          <w:tcPr>
            <w:tcW w:w="894" w:type="dxa"/>
            <w:vMerge/>
            <w:tcBorders>
              <w:left w:val="single" w:sz="4" w:space="0" w:color="000000"/>
              <w:right w:val="single" w:sz="4" w:space="0" w:color="000000"/>
            </w:tcBorders>
          </w:tcPr>
          <w:p>
            <w:pPr/>
          </w:p>
        </w:tc>
      </w:tr>
      <w:tr>
        <w:trPr>
          <w:trHeight w:val="392"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9" w:space="0" w:color="D3D3D3"/>
              <w:right w:val="single" w:sz="4" w:space="0" w:color="000000"/>
            </w:tcBorders>
          </w:tcPr>
          <w:p>
            <w:pPr/>
          </w:p>
        </w:tc>
        <w:tc>
          <w:tcPr>
            <w:tcW w:w="894" w:type="dxa"/>
            <w:vMerge/>
            <w:tcBorders>
              <w:left w:val="single" w:sz="4" w:space="0" w:color="000000"/>
              <w:right w:val="single" w:sz="4" w:space="0" w:color="000000"/>
            </w:tcBorders>
          </w:tcPr>
          <w:p>
            <w:pPr/>
          </w:p>
        </w:tc>
      </w:tr>
      <w:tr>
        <w:trPr>
          <w:trHeight w:val="156"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tcBorders>
              <w:left w:val="single" w:sz="9" w:space="0" w:color="D3D3D3"/>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9" w:space="0" w:color="D3D3D3"/>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256,495</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,691.00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980,312,</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708.23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43,453,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259.96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311,503,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375.76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14,692.29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1,591,779,</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727.24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256,495</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,691.00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980,312,</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708.23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43,453,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259.96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311,503,</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375.76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14,692.29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1,591,779,</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727.24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256,495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,691.00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-256,46</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1,957.66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7,591,3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26.01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209,698,</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624.91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-7,399.70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217,316,28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4.56</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217,289,</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950.92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-7,399.70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217,282,55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1.22</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33,733.34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217,289,</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950.92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-7,399.70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217,316,28</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4.56</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7,591,3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26.01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-7,591,3</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26.01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7,591,3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26.01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-7,591,3</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26.01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256,495</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,691.00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-256,49</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5,691.00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256,495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,691.00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-256,49</w:t>
            </w:r>
          </w:p>
          <w:p>
            <w:pPr>
              <w:pStyle w:val="TableParagraph"/>
              <w:spacing w:line="240" w:lineRule="auto" w:before="106"/>
              <w:ind w:left="25" w:right="0"/>
              <w:jc w:val="left"/>
              <w:rPr>
                <w:rFonts w:ascii="Times New Roman" w:hAnsi="Times New Roman" w:cs="Times New Roman" w:eastAsia="Times New Roman" w:hint="default"/>
                <w:sz w:val="18"/>
                <w:szCs w:val="18"/>
              </w:rPr>
            </w:pPr>
            <w:r>
              <w:rPr>
                <w:rFonts w:ascii="Times New Roman"/>
                <w:sz w:val="18"/>
              </w:rPr>
              <w:t>5,691.00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,382.00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723,850,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750.57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51,044,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585.97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521,202,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000.67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7,292.59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1,809,096,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011.80</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149"/>
        <w:jc w:val="left"/>
      </w:pPr>
      <w:r>
        <w:rPr/>
        <w:t>法定代表人：曹恩辉</w:t>
        <w:tab/>
        <w:t>主管会计工作负责人：徐吉峰</w:t>
        <w:tab/>
        <w:t>会计机构负责人：邵天宇</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编制单位：吉林紫鑫药业股份有限公司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402"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53"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512,991,38</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2.00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719,482,28</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3.90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49,882,835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245,678,86</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5.35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1,528,035,</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366.51</w:t>
            </w:r>
          </w:p>
        </w:tc>
      </w:tr>
      <w:tr>
        <w:trPr>
          <w:trHeight w:val="393"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512,991,38</w:t>
            </w:r>
          </w:p>
          <w:p>
            <w:pPr>
              <w:pStyle w:val="TableParagraph"/>
              <w:spacing w:line="240" w:lineRule="auto" w:before="106"/>
              <w:ind w:left="543" w:right="0"/>
              <w:jc w:val="left"/>
              <w:rPr>
                <w:rFonts w:ascii="Times New Roman" w:hAnsi="Times New Roman" w:cs="Times New Roman" w:eastAsia="Times New Roman" w:hint="default"/>
                <w:sz w:val="18"/>
                <w:szCs w:val="18"/>
              </w:rPr>
            </w:pPr>
            <w:r>
              <w:rPr>
                <w:rFonts w:ascii="Times New Roman"/>
                <w:sz w:val="18"/>
              </w:rPr>
              <w:t>2.00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719,482,28</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3.90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49,882,835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245,678,86</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5.35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1,528,035,</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366.51</w:t>
            </w:r>
          </w:p>
        </w:tc>
      </w:tr>
      <w:tr>
        <w:trPr>
          <w:trHeight w:val="393"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41,566,649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46,185,166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r>
      <w:tr>
        <w:trPr>
          <w:trHeight w:val="160"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46,185,166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46,185,166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r>
      <w:tr>
        <w:trPr>
          <w:trHeight w:val="393"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46,185,166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46,185,166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r>
      <w:tr>
        <w:trPr>
          <w:trHeight w:val="393"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180.779999pt;margin-top:243.809998pt;width:42.55pt;height:40.9pt;mso-position-horizontal-relative:page;mso-position-vertical-relative:page;z-index:-935248" coordorigin="3616,4876" coordsize="851,818">
            <v:group style="position:absolute;left:3627;top:4888;width:2;height:393" coordorigin="3627,4888" coordsize="2,393">
              <v:shape style="position:absolute;left:3627;top:4888;width:2;height:393" coordorigin="3627,4888" coordsize="0,393" path="m3627,4888l3627,5280e" filled="false" stroked="true" strokeweight="1.140pt" strokecolor="#ffffff">
                <v:path arrowok="t"/>
              </v:shape>
            </v:group>
            <v:group style="position:absolute;left:3638;top:4888;width:828;height:393" coordorigin="3638,4888" coordsize="828,393">
              <v:shape style="position:absolute;left:3638;top:4888;width:828;height:393" coordorigin="3638,4888" coordsize="828,393" path="m3638,5280l4466,5280,4466,4888,3638,4888,3638,5280xe" filled="true" fillcolor="#ffffff" stroked="false">
                <v:path arrowok="t"/>
                <v:fill type="solid"/>
              </v:shape>
            </v:group>
            <v:group style="position:absolute;left:3627;top:5290;width:2;height:393" coordorigin="3627,5290" coordsize="2,393">
              <v:shape style="position:absolute;left:3627;top:5290;width:2;height:393" coordorigin="3627,5290" coordsize="0,393" path="m3627,5290l3627,5682e" filled="false" stroked="true" strokeweight="1.140pt" strokecolor="#ffffff">
                <v:path arrowok="t"/>
              </v:shape>
            </v:group>
            <v:group style="position:absolute;left:3638;top:5290;width:828;height:393" coordorigin="3638,5290" coordsize="828,393">
              <v:shape style="position:absolute;left:3638;top:5290;width:828;height:393" coordorigin="3638,5290" coordsize="828,393" path="m3638,5682l4466,5682,4466,5290,3638,5290,3638,568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512,991,38</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2.00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719,482,28</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3.90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54,501,351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287,245,51</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1,574,220,</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533.05</w:t>
            </w:r>
          </w:p>
        </w:tc>
      </w:tr>
    </w:tbl>
    <w:p>
      <w:pPr>
        <w:pStyle w:val="BodyText"/>
        <w:spacing w:line="240" w:lineRule="auto" w:before="51"/>
        <w:ind w:right="149"/>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7"/>
        <w:gridCol w:w="884"/>
        <w:gridCol w:w="886"/>
        <w:gridCol w:w="883"/>
        <w:gridCol w:w="884"/>
        <w:gridCol w:w="884"/>
        <w:gridCol w:w="883"/>
        <w:gridCol w:w="882"/>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256,495,69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975,977,97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4.90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42,291,509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177,356,93</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1.29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1,452,122,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106.44</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256,495,69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975,977,97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4.90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42,291,509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177,356,93</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1.29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1,452,122,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106.44</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256,495,69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-256,495,6</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91.00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7,591,326.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68,321,934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75,913,260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75,913,260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75,913,260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371.01001pt;width:42.6pt;height:56.5pt;mso-position-horizontal-relative:page;mso-position-vertical-relative:page;z-index:-935224" coordorigin="3634,7420" coordsize="852,1130">
            <v:group style="position:absolute;left:3645;top:7432;width:2;height:705" coordorigin="3645,7432" coordsize="2,705">
              <v:shape style="position:absolute;left:3645;top:7432;width:2;height:705" coordorigin="3645,7432" coordsize="0,705" path="m3645,7432l3645,8136e" filled="false" stroked="true" strokeweight="1.140pt" strokecolor="#ffffff">
                <v:path arrowok="t"/>
              </v:shape>
            </v:group>
            <v:group style="position:absolute;left:3656;top:7432;width:830;height:353" coordorigin="3656,7432" coordsize="830,353">
              <v:shape style="position:absolute;left:3656;top:7432;width:830;height:353" coordorigin="3656,7432" coordsize="830,353" path="m3656,7784l4486,7784,4486,7432,3656,7432,3656,7784xe" filled="true" fillcolor="#ffffff" stroked="false">
                <v:path arrowok="t"/>
                <v:fill type="solid"/>
              </v:shape>
            </v:group>
            <v:group style="position:absolute;left:3656;top:7784;width:830;height:352" coordorigin="3656,7784" coordsize="830,352">
              <v:shape style="position:absolute;left:3656;top:7784;width:830;height:352" coordorigin="3656,7784" coordsize="830,352" path="m3656,8136l4486,8136,4486,7784,3656,7784,3656,8136xe" filled="true" fillcolor="#ffffff" stroked="false">
                <v:path arrowok="t"/>
                <v:fill type="solid"/>
              </v:shape>
            </v:group>
            <v:group style="position:absolute;left:3645;top:8146;width:2;height:393" coordorigin="3645,8146" coordsize="2,393">
              <v:shape style="position:absolute;left:3645;top:8146;width:2;height:393" coordorigin="3645,8146" coordsize="0,393" path="m3645,8146l3645,8538e" filled="false" stroked="true" strokeweight="1.140pt" strokecolor="#ffffff">
                <v:path arrowok="t"/>
              </v:shape>
            </v:group>
            <v:group style="position:absolute;left:3656;top:8146;width:830;height:393" coordorigin="3656,8146" coordsize="830,393">
              <v:shape style="position:absolute;left:3656;top:8146;width:830;height:393" coordorigin="3656,8146" coordsize="830,393" path="m3656,8538l4486,8538,4486,8146,3656,8146,3656,853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75,913,260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75,913,260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256,495,69</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-256,495,6</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91.00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before="91"/>
              <w:ind w:left="41" w:right="0"/>
              <w:jc w:val="left"/>
              <w:rPr>
                <w:rFonts w:ascii="Times New Roman" w:hAnsi="Times New Roman" w:cs="Times New Roman" w:eastAsia="Times New Roman" w:hint="default"/>
                <w:sz w:val="18"/>
                <w:szCs w:val="18"/>
              </w:rPr>
            </w:pPr>
            <w:r>
              <w:rPr>
                <w:rFonts w:ascii="Times New Roman"/>
                <w:sz w:val="18"/>
              </w:rPr>
              <w:t>256,495,69</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537" w:right="0"/>
              <w:jc w:val="lef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-256,495,6</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91.00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512,991,38</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2.00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719,482,28</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3.90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49,882,835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245,678,86</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5.35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1,528,035,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366.51</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149"/>
        <w:jc w:val="left"/>
      </w:pPr>
      <w:r>
        <w:rPr/>
        <w:t>法定代表人：曹恩辉</w:t>
        <w:tab/>
        <w:t>主管会计工作负责人：徐吉峰</w:t>
        <w:tab/>
        <w:t>会计机构负责人：邵天宇</w:t>
      </w:r>
    </w:p>
    <w:p>
      <w:pPr>
        <w:spacing w:line="240" w:lineRule="auto" w:before="1"/>
        <w:rPr>
          <w:rFonts w:ascii="宋体" w:hAnsi="宋体" w:cs="宋体" w:eastAsia="宋体" w:hint="default"/>
          <w:sz w:val="25"/>
          <w:szCs w:val="25"/>
        </w:rPr>
      </w:pPr>
    </w:p>
    <w:p>
      <w:pPr>
        <w:pStyle w:val="Heading2"/>
        <w:spacing w:line="240" w:lineRule="auto"/>
        <w:ind w:right="149"/>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left="513" w:right="4731"/>
        <w:jc w:val="left"/>
      </w:pPr>
      <w:r>
        <w:rPr>
          <w:rFonts w:ascii="Times New Roman" w:hAnsi="Times New Roman" w:cs="Times New Roman" w:eastAsia="Times New Roman" w:hint="default"/>
          <w:b/>
          <w:bCs/>
        </w:rPr>
        <w:t>1</w:t>
      </w:r>
      <w:r>
        <w:rPr>
          <w:rFonts w:ascii="宋体" w:hAnsi="宋体" w:cs="宋体" w:eastAsia="宋体" w:hint="default"/>
          <w:b/>
          <w:bCs/>
        </w:rPr>
        <w:t>、公司概况</w:t>
      </w:r>
      <w:r>
        <w:rPr>
          <w:rFonts w:ascii="宋体" w:hAnsi="宋体" w:cs="宋体" w:eastAsia="宋体" w:hint="default"/>
          <w:b/>
          <w:bCs/>
          <w:spacing w:val="1"/>
          <w:w w:val="99"/>
        </w:rPr>
        <w:t> </w:t>
      </w:r>
      <w:r>
        <w:rPr/>
        <w:t>公司名称：吉林紫鑫药业股份有限公司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 </w:t>
      </w:r>
      <w:r>
        <w:rPr/>
        <w:t>注册地址：吉林省柳河县英利路</w:t>
      </w:r>
      <w:r>
        <w:rPr>
          <w:rFonts w:ascii="Times New Roman" w:hAnsi="Times New Roman" w:cs="Times New Roman" w:eastAsia="Times New Roman" w:hint="default"/>
        </w:rPr>
        <w:t>88</w:t>
      </w:r>
      <w:r>
        <w:rPr/>
        <w:t>号 登记机关：吉林省工商行政管理局 企业法人营业执照注册号：</w:t>
      </w:r>
      <w:r>
        <w:rPr>
          <w:rFonts w:ascii="Times New Roman" w:hAnsi="Times New Roman" w:cs="Times New Roman" w:eastAsia="Times New Roman" w:hint="default"/>
        </w:rPr>
        <w:t>220000000052632 </w:t>
      </w:r>
      <w:r>
        <w:rPr/>
        <w:t>法定代表人：曹恩辉 注册资本：人民币伍亿壹仟贰佰玖拾玖万壹仟叁佰捌拾贰元</w:t>
      </w:r>
    </w:p>
    <w:p>
      <w:pPr>
        <w:spacing w:after="0" w:line="307"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513" w:right="181"/>
        <w:jc w:val="left"/>
      </w:pPr>
      <w:r>
        <w:rPr>
          <w:rFonts w:ascii="Times New Roman" w:hAnsi="Times New Roman" w:cs="Times New Roman" w:eastAsia="Times New Roman" w:hint="default"/>
          <w:b/>
          <w:bCs/>
        </w:rPr>
        <w:t>2</w:t>
      </w:r>
      <w:r>
        <w:rPr>
          <w:rFonts w:ascii="宋体" w:hAnsi="宋体" w:cs="宋体" w:eastAsia="宋体" w:hint="default"/>
          <w:b/>
          <w:bCs/>
        </w:rPr>
        <w:t>、历史沿革</w:t>
      </w:r>
      <w:r>
        <w:rPr>
          <w:rFonts w:ascii="宋体" w:hAnsi="宋体" w:cs="宋体" w:eastAsia="宋体" w:hint="default"/>
          <w:b/>
          <w:bCs/>
          <w:spacing w:val="1"/>
          <w:w w:val="99"/>
        </w:rPr>
        <w:t> </w:t>
      </w:r>
      <w:r>
        <w:rPr/>
        <w:t>本公司前身系通化紫金药业有限责任公司，于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日由敦化市康平保健食品有限责任公司、敦化市吉泰经贸有</w:t>
      </w:r>
    </w:p>
    <w:p>
      <w:pPr>
        <w:pStyle w:val="BodyText"/>
        <w:spacing w:line="309" w:lineRule="auto" w:before="13"/>
        <w:ind w:left="153" w:right="91"/>
        <w:jc w:val="left"/>
      </w:pPr>
      <w:r>
        <w:rPr>
          <w:spacing w:val="-2"/>
        </w:rPr>
        <w:t>限责任公司共同发起设立的有限责任公司。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11</w:t>
      </w:r>
      <w:r>
        <w:rPr>
          <w:spacing w:val="-2"/>
        </w:rPr>
        <w:t>月，根据本公司临时股东会通过的增资扩股决议，新增柳河沈飞合联工</w:t>
      </w:r>
      <w:r>
        <w:rPr>
          <w:spacing w:val="-60"/>
        </w:rPr>
        <w:t> </w:t>
      </w:r>
      <w:r>
        <w:rPr>
          <w:spacing w:val="-60"/>
        </w:rPr>
      </w:r>
      <w:r>
        <w:rPr/>
        <w:t>贸有限责任公司、吉林省霄峰广告有限公司、柳河日新餐饮有限责任公司三家股东，增资扩股后本公司注册资本为人民币 </w:t>
      </w:r>
      <w:r>
        <w:rPr>
          <w:rFonts w:ascii="Times New Roman" w:hAnsi="Times New Roman" w:cs="Times New Roman" w:eastAsia="Times New Roman" w:hint="default"/>
        </w:rPr>
        <w:t>30,000,000.00</w:t>
      </w:r>
      <w:r>
        <w:rPr/>
        <w:t>元。</w:t>
      </w:r>
    </w:p>
    <w:p>
      <w:pPr>
        <w:pStyle w:val="BodyText"/>
        <w:spacing w:line="300" w:lineRule="auto" w:before="5"/>
        <w:ind w:left="153" w:right="191" w:firstLine="36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日，经吉林省人民政府</w:t>
      </w:r>
      <w:r>
        <w:rPr>
          <w:rFonts w:ascii="Times New Roman" w:hAnsi="Times New Roman" w:cs="Times New Roman" w:eastAsia="Times New Roman" w:hint="default"/>
        </w:rPr>
        <w:t>[2001]5</w:t>
      </w:r>
      <w:r>
        <w:rPr>
          <w:rFonts w:ascii="Times New Roman" w:hAnsi="Times New Roman" w:cs="Times New Roman" w:eastAsia="Times New Roman" w:hint="default"/>
          <w:spacing w:val="21"/>
        </w:rPr>
        <w:t> </w:t>
      </w:r>
      <w:r>
        <w:rPr/>
        <w:t>号文《关于通化紫金药业有限责任公司依法变更为通化紫金药业股份有限公 </w:t>
      </w:r>
      <w:r>
        <w:rPr>
          <w:spacing w:val="-2"/>
        </w:rPr>
        <w:t>司的批复》的批准，以通化紫金药业有限责任公司截至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日的净资产等额折成股份整体变更为股份有限公司，股</w:t>
      </w:r>
      <w:r>
        <w:rPr>
          <w:spacing w:val="-58"/>
        </w:rPr>
        <w:t> </w:t>
      </w:r>
      <w:r>
        <w:rPr>
          <w:spacing w:val="-58"/>
        </w:rPr>
      </w:r>
      <w:r>
        <w:rPr/>
        <w:t>本总额为人民币</w:t>
      </w:r>
      <w:r>
        <w:rPr>
          <w:rFonts w:ascii="Times New Roman" w:hAnsi="Times New Roman" w:cs="Times New Roman" w:eastAsia="Times New Roman" w:hint="default"/>
        </w:rPr>
        <w:t>35,650,000.00</w:t>
      </w:r>
      <w:r>
        <w:rPr/>
        <w:t>元。同年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日，本公司名称变更为吉林紫鑫药业股份有限公司。</w:t>
      </w:r>
    </w:p>
    <w:p>
      <w:pPr>
        <w:pStyle w:val="BodyText"/>
        <w:spacing w:line="300" w:lineRule="auto" w:before="13"/>
        <w:ind w:left="153" w:right="91" w:firstLine="360"/>
        <w:jc w:val="left"/>
      </w:pP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日，经吉林省人民政府审批文件</w:t>
      </w:r>
      <w:r>
        <w:rPr>
          <w:rFonts w:ascii="Times New Roman" w:hAnsi="Times New Roman" w:cs="Times New Roman" w:eastAsia="Times New Roman" w:hint="default"/>
          <w:spacing w:val="-2"/>
        </w:rPr>
        <w:t>[2002]12</w:t>
      </w:r>
      <w:r>
        <w:rPr>
          <w:spacing w:val="-2"/>
        </w:rPr>
        <w:t>号《关于同意吉林紫鑫药业股份有限公司增资扩股的批复》的批准，</w:t>
      </w:r>
      <w:r>
        <w:rPr/>
        <w:t> 以</w:t>
      </w:r>
      <w:r>
        <w:rPr>
          <w:rFonts w:ascii="Times New Roman" w:hAnsi="Times New Roman" w:cs="Times New Roman" w:eastAsia="Times New Roman" w:hint="default"/>
        </w:rPr>
        <w:t>2001</w:t>
      </w:r>
      <w:r>
        <w:rPr/>
        <w:t>年末总股本</w:t>
      </w:r>
      <w:r>
        <w:rPr>
          <w:rFonts w:ascii="Times New Roman" w:hAnsi="Times New Roman" w:cs="Times New Roman" w:eastAsia="Times New Roman" w:hint="default"/>
        </w:rPr>
        <w:t>3,565</w:t>
      </w:r>
      <w:r>
        <w:rPr/>
        <w:t>万股为基数每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4.2</w:t>
      </w:r>
      <w:r>
        <w:rPr/>
        <w:t>股，向全体股东转增股份总额为人民币</w:t>
      </w:r>
      <w:r>
        <w:rPr>
          <w:rFonts w:ascii="Times New Roman" w:hAnsi="Times New Roman" w:cs="Times New Roman" w:eastAsia="Times New Roman" w:hint="default"/>
        </w:rPr>
        <w:t>14,973,000.00</w:t>
      </w:r>
      <w:r>
        <w:rPr/>
        <w:t>元，转增后的股本总额 为人民币</w:t>
      </w:r>
      <w:r>
        <w:rPr>
          <w:rFonts w:ascii="Times New Roman" w:hAnsi="Times New Roman" w:cs="Times New Roman" w:eastAsia="Times New Roman" w:hint="default"/>
        </w:rPr>
        <w:t>50,623,000.00</w:t>
      </w:r>
      <w:r>
        <w:rPr/>
        <w:t>元。</w:t>
      </w:r>
    </w:p>
    <w:p>
      <w:pPr>
        <w:pStyle w:val="BodyText"/>
        <w:spacing w:line="300" w:lineRule="auto" w:before="13"/>
        <w:ind w:left="153" w:right="91" w:firstLine="360"/>
        <w:jc w:val="left"/>
      </w:pPr>
      <w:r>
        <w:rPr/>
        <w:t>根据本公司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日第二次临时股东大会决议和修改后的章程规定，申请向社会公开发行人民币普通股（</w:t>
      </w:r>
      <w:r>
        <w:rPr>
          <w:rFonts w:ascii="Times New Roman" w:hAnsi="Times New Roman" w:cs="Times New Roman" w:eastAsia="Times New Roman" w:hint="default"/>
        </w:rPr>
        <w:t>A</w:t>
      </w:r>
      <w:r>
        <w:rPr/>
        <w:t>股） 增加注册资本人民币</w:t>
      </w:r>
      <w:r>
        <w:rPr>
          <w:rFonts w:ascii="Times New Roman" w:hAnsi="Times New Roman" w:cs="Times New Roman" w:eastAsia="Times New Roman" w:hint="default"/>
        </w:rPr>
        <w:t>16,900,000.00</w:t>
      </w:r>
      <w:r>
        <w:rPr/>
        <w:t>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25</w:t>
      </w:r>
      <w:r>
        <w:rPr>
          <w:rFonts w:ascii="Times New Roman" w:hAnsi="Times New Roman" w:cs="Times New Roman" w:eastAsia="Times New Roman" w:hint="default"/>
          <w:spacing w:val="17"/>
        </w:rPr>
        <w:t> </w:t>
      </w:r>
      <w:r>
        <w:rPr/>
        <w:t>号文核准，同意本 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1,690</w:t>
      </w:r>
      <w:r>
        <w:rPr/>
        <w:t>万股，每股面值人民币</w:t>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9.56</w:t>
      </w:r>
      <w:r>
        <w:rPr/>
        <w:t>元。本公司采用 </w:t>
      </w:r>
      <w:r>
        <w:rPr>
          <w:spacing w:val="-1"/>
        </w:rPr>
        <w:t>网下向询价对象配售和网上向社会公众投资者定价发行相结合的方式，向社会公开发行人民币普通股（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16,900,000</w:t>
      </w:r>
      <w:r>
        <w:rPr>
          <w:spacing w:val="-1"/>
        </w:rPr>
        <w:t>股，</w:t>
      </w:r>
      <w:r>
        <w:rPr>
          <w:spacing w:val="-63"/>
        </w:rPr>
        <w:t> </w:t>
      </w:r>
      <w:r>
        <w:rPr/>
        <w:t>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日在深圳证券交易所上市，股票代码为</w:t>
      </w:r>
      <w:r>
        <w:rPr>
          <w:rFonts w:ascii="Times New Roman" w:hAnsi="Times New Roman" w:cs="Times New Roman" w:eastAsia="Times New Roman" w:hint="default"/>
        </w:rPr>
        <w:t>002118</w:t>
      </w:r>
      <w:r>
        <w:rPr/>
        <w:t>。上市发行后的股本总额为人民币</w:t>
      </w:r>
      <w:r>
        <w:rPr>
          <w:rFonts w:ascii="Times New Roman" w:hAnsi="Times New Roman" w:cs="Times New Roman" w:eastAsia="Times New Roman" w:hint="default"/>
        </w:rPr>
        <w:t>67,523,000.00</w:t>
      </w:r>
      <w:r>
        <w:rPr/>
        <w:t>元。</w:t>
      </w:r>
    </w:p>
    <w:p>
      <w:pPr>
        <w:pStyle w:val="BodyText"/>
        <w:spacing w:line="300" w:lineRule="auto" w:before="13"/>
        <w:ind w:left="153" w:right="191" w:firstLine="360"/>
        <w:jc w:val="both"/>
      </w:pPr>
      <w:r>
        <w:rPr>
          <w:spacing w:val="-1"/>
        </w:rPr>
        <w:t>根据本公司</w:t>
      </w:r>
      <w:r>
        <w:rPr>
          <w:rFonts w:ascii="Times New Roman" w:hAnsi="Times New Roman" w:cs="Times New Roman" w:eastAsia="Times New Roman" w:hint="default"/>
          <w:spacing w:val="-1"/>
        </w:rPr>
        <w:t>2007</w:t>
      </w:r>
      <w:r>
        <w:rPr>
          <w:spacing w:val="-1"/>
        </w:rPr>
        <w:t>年度股东大会决议和修改后章程的规定，贵公司申请增加注册资本人民币</w:t>
      </w:r>
      <w:r>
        <w:rPr>
          <w:rFonts w:ascii="Times New Roman" w:hAnsi="Times New Roman" w:cs="Times New Roman" w:eastAsia="Times New Roman" w:hint="default"/>
          <w:spacing w:val="-1"/>
        </w:rPr>
        <w:t>54,018,400.00</w:t>
      </w:r>
      <w:r>
        <w:rPr>
          <w:spacing w:val="-1"/>
        </w:rPr>
        <w:t>元，以</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67,523,000</w:t>
      </w:r>
      <w:r>
        <w:rPr>
          <w:spacing w:val="-1"/>
        </w:rPr>
        <w:t>股为基础，向全体股东按每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3</w:t>
      </w:r>
      <w:r>
        <w:rPr>
          <w:spacing w:val="-1"/>
        </w:rPr>
        <w:t>股、派现金股利</w:t>
      </w:r>
      <w:r>
        <w:rPr>
          <w:rFonts w:ascii="Times New Roman" w:hAnsi="Times New Roman" w:cs="Times New Roman" w:eastAsia="Times New Roman" w:hint="default"/>
          <w:spacing w:val="-1"/>
        </w:rPr>
        <w:t>0.33</w:t>
      </w:r>
      <w:r>
        <w:rPr>
          <w:spacing w:val="-1"/>
        </w:rPr>
        <w:t>元（含税），同时以资本公积转增股本。每</w:t>
      </w:r>
      <w:r>
        <w:rPr>
          <w:spacing w:val="-66"/>
        </w:rPr>
        <w:t> </w:t>
      </w:r>
      <w:r>
        <w:rPr>
          <w:spacing w:val="-66"/>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股，每股面值</w:t>
      </w:r>
      <w:r>
        <w:rPr>
          <w:rFonts w:ascii="Times New Roman" w:hAnsi="Times New Roman" w:cs="Times New Roman" w:eastAsia="Times New Roman" w:hint="default"/>
        </w:rPr>
        <w:t>1</w:t>
      </w:r>
      <w:r>
        <w:rPr/>
        <w:t>元，变更后的股本总额为人民币</w:t>
      </w:r>
      <w:r>
        <w:rPr>
          <w:rFonts w:ascii="Times New Roman" w:hAnsi="Times New Roman" w:cs="Times New Roman" w:eastAsia="Times New Roman" w:hint="default"/>
        </w:rPr>
        <w:t>121,541,400.00</w:t>
      </w:r>
      <w:r>
        <w:rPr/>
        <w:t>元。</w:t>
      </w:r>
    </w:p>
    <w:p>
      <w:pPr>
        <w:pStyle w:val="BodyText"/>
        <w:spacing w:line="300" w:lineRule="auto" w:before="13"/>
        <w:ind w:left="153" w:right="190" w:firstLine="360"/>
        <w:jc w:val="both"/>
      </w:pPr>
      <w:r>
        <w:rPr>
          <w:spacing w:val="-1"/>
        </w:rPr>
        <w:t>根据本公司</w:t>
      </w:r>
      <w:r>
        <w:rPr>
          <w:rFonts w:ascii="Times New Roman" w:hAnsi="Times New Roman" w:cs="Times New Roman" w:eastAsia="Times New Roman" w:hint="default"/>
          <w:spacing w:val="-1"/>
        </w:rPr>
        <w:t>2009</w:t>
      </w:r>
      <w:r>
        <w:rPr>
          <w:spacing w:val="-1"/>
        </w:rPr>
        <w:t>年度股东大会决议和修改后章程的规定，贵公司申请增加注册资本人民币</w:t>
      </w:r>
      <w:r>
        <w:rPr>
          <w:rFonts w:ascii="Times New Roman" w:hAnsi="Times New Roman" w:cs="Times New Roman" w:eastAsia="Times New Roman" w:hint="default"/>
          <w:spacing w:val="-1"/>
        </w:rPr>
        <w:t>85,078,980.00</w:t>
      </w:r>
      <w:r>
        <w:rPr>
          <w:spacing w:val="-1"/>
        </w:rPr>
        <w:t>元，以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121,541,400</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股、派发现金红利</w:t>
      </w:r>
      <w:r>
        <w:rPr>
          <w:rFonts w:ascii="Times New Roman" w:hAnsi="Times New Roman" w:cs="Times New Roman" w:eastAsia="Times New Roman" w:hint="default"/>
        </w:rPr>
        <w:t>0.23</w:t>
      </w:r>
      <w:r>
        <w:rPr/>
        <w:t>元（含税），同时以资本公积转增股本，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股，每股面值</w:t>
      </w:r>
      <w:r>
        <w:rPr>
          <w:rFonts w:ascii="Times New Roman" w:hAnsi="Times New Roman" w:cs="Times New Roman" w:eastAsia="Times New Roman" w:hint="default"/>
        </w:rPr>
        <w:t>1</w:t>
      </w:r>
      <w:r>
        <w:rPr/>
        <w:t>元，变更后的股本总额为人民币</w:t>
      </w:r>
      <w:r>
        <w:rPr>
          <w:rFonts w:ascii="Times New Roman" w:hAnsi="Times New Roman" w:cs="Times New Roman" w:eastAsia="Times New Roman" w:hint="default"/>
        </w:rPr>
        <w:t>206,620,380.00</w:t>
      </w:r>
      <w:r>
        <w:rPr/>
        <w:t>元。此次股本变更事宜，经中准会计师事务所有 </w:t>
      </w:r>
      <w:r>
        <w:rPr>
          <w:spacing w:val="-1"/>
        </w:rPr>
        <w:t>限公司于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w:t>
      </w:r>
      <w:r>
        <w:rPr>
          <w:spacing w:val="-1"/>
        </w:rPr>
        <w:t>日出具的中准验字</w:t>
      </w:r>
      <w:r>
        <w:rPr>
          <w:rFonts w:ascii="Times New Roman" w:hAnsi="Times New Roman" w:cs="Times New Roman" w:eastAsia="Times New Roman" w:hint="default"/>
          <w:spacing w:val="-1"/>
        </w:rPr>
        <w:t>[2010]</w:t>
      </w:r>
      <w:r>
        <w:rPr>
          <w:spacing w:val="-1"/>
        </w:rPr>
        <w:t>第</w:t>
      </w:r>
      <w:r>
        <w:rPr>
          <w:rFonts w:ascii="Times New Roman" w:hAnsi="Times New Roman" w:cs="Times New Roman" w:eastAsia="Times New Roman" w:hint="default"/>
          <w:spacing w:val="-1"/>
        </w:rPr>
        <w:t>2012</w:t>
      </w:r>
      <w:r>
        <w:rPr>
          <w:spacing w:val="-1"/>
        </w:rPr>
        <w:t>号验资报告予以验证，本公司已于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日取得了吉林省工商行</w:t>
      </w:r>
      <w:r>
        <w:rPr>
          <w:spacing w:val="-47"/>
        </w:rPr>
        <w:t> </w:t>
      </w:r>
      <w:r>
        <w:rPr/>
        <w:t>政管理局核发的新的企业法人营业执照，注册号为</w:t>
      </w:r>
      <w:r>
        <w:rPr>
          <w:rFonts w:ascii="Times New Roman" w:hAnsi="Times New Roman" w:cs="Times New Roman" w:eastAsia="Times New Roman" w:hint="default"/>
        </w:rPr>
        <w:t>220000000052632</w:t>
      </w:r>
      <w:r>
        <w:rPr/>
        <w:t>。</w:t>
      </w:r>
    </w:p>
    <w:p>
      <w:pPr>
        <w:pStyle w:val="BodyText"/>
        <w:spacing w:line="302" w:lineRule="auto" w:before="13"/>
        <w:ind w:left="153" w:right="181" w:firstLine="360"/>
        <w:jc w:val="left"/>
      </w:pPr>
      <w:r>
        <w:rPr>
          <w:spacing w:val="-4"/>
        </w:rPr>
        <w:t>本公司经中国证券监督管理委员会《关于核准吉林紫鑫药业股份有限公司非公开发行股票的批复》（证监许可</w:t>
      </w:r>
      <w:r>
        <w:rPr>
          <w:rFonts w:ascii="Times New Roman" w:hAnsi="Times New Roman" w:cs="Times New Roman" w:eastAsia="Times New Roman" w:hint="default"/>
          <w:spacing w:val="-4"/>
        </w:rPr>
        <w:t>[2010]1815</w:t>
      </w:r>
      <w:r>
        <w:rPr>
          <w:rFonts w:ascii="Times New Roman" w:hAnsi="Times New Roman" w:cs="Times New Roman" w:eastAsia="Times New Roman" w:hint="default"/>
        </w:rPr>
        <w:t> </w:t>
      </w:r>
      <w:r>
        <w:rPr>
          <w:spacing w:val="-2"/>
        </w:rPr>
        <w:t>号），核准本公司非公开发行</w:t>
      </w:r>
      <w:r>
        <w:rPr>
          <w:rFonts w:ascii="Times New Roman" w:hAnsi="Times New Roman" w:cs="Times New Roman" w:eastAsia="Times New Roman" w:hint="default"/>
          <w:spacing w:val="-2"/>
        </w:rPr>
        <w:t>A</w:t>
      </w:r>
      <w:r>
        <w:rPr>
          <w:spacing w:val="-2"/>
        </w:rPr>
        <w:t>股股票不超过</w:t>
      </w:r>
      <w:r>
        <w:rPr>
          <w:rFonts w:ascii="Times New Roman" w:hAnsi="Times New Roman" w:cs="Times New Roman" w:eastAsia="Times New Roman" w:hint="default"/>
          <w:spacing w:val="-2"/>
        </w:rPr>
        <w:t>9,000</w:t>
      </w:r>
      <w:r>
        <w:rPr>
          <w:spacing w:val="-2"/>
        </w:rPr>
        <w:t>万股，由保荐机构东北证券股份有限公司作为主承销商，通过非公开发行</w:t>
      </w:r>
      <w:r>
        <w:rPr>
          <w:spacing w:val="-62"/>
        </w:rPr>
        <w:t> </w:t>
      </w:r>
      <w:r>
        <w:rPr>
          <w:spacing w:val="-62"/>
        </w:rPr>
      </w:r>
      <w:r>
        <w:rPr/>
        <w:t>方式向特定投资者发行。通过本次发行的认购询价、申购过程，本公司最终确定本次发行数量为</w:t>
      </w:r>
      <w:r>
        <w:rPr>
          <w:rFonts w:ascii="Times New Roman" w:hAnsi="Times New Roman" w:cs="Times New Roman" w:eastAsia="Times New Roman" w:hint="default"/>
        </w:rPr>
        <w:t>49,875,311</w:t>
      </w:r>
      <w:r>
        <w:rPr/>
        <w:t>股，每股面值为 </w:t>
      </w:r>
      <w:r>
        <w:rPr>
          <w:spacing w:val="-1"/>
        </w:rPr>
        <w:t>人民币</w:t>
      </w:r>
      <w:r>
        <w:rPr>
          <w:rFonts w:ascii="Times New Roman" w:hAnsi="Times New Roman" w:cs="Times New Roman" w:eastAsia="Times New Roman" w:hint="default"/>
          <w:spacing w:val="-1"/>
        </w:rPr>
        <w:t>1.00</w:t>
      </w:r>
      <w:r>
        <w:rPr>
          <w:spacing w:val="-1"/>
        </w:rPr>
        <w:t>元、每股发行价格为人民币</w:t>
      </w:r>
      <w:r>
        <w:rPr>
          <w:rFonts w:ascii="Times New Roman" w:hAnsi="Times New Roman" w:cs="Times New Roman" w:eastAsia="Times New Roman" w:hint="default"/>
          <w:spacing w:val="-1"/>
        </w:rPr>
        <w:t>20.05</w:t>
      </w:r>
      <w:r>
        <w:rPr>
          <w:spacing w:val="-1"/>
        </w:rPr>
        <w:t>元，申请增加注册资本人民币</w:t>
      </w:r>
      <w:r>
        <w:rPr>
          <w:rFonts w:ascii="Times New Roman" w:hAnsi="Times New Roman" w:cs="Times New Roman" w:eastAsia="Times New Roman" w:hint="default"/>
          <w:spacing w:val="-1"/>
        </w:rPr>
        <w:t>49,875,311.00</w:t>
      </w:r>
      <w:r>
        <w:rPr>
          <w:spacing w:val="-1"/>
        </w:rPr>
        <w:t>元，由吉林长白山股权投资管理有限</w:t>
      </w:r>
      <w:r>
        <w:rPr>
          <w:spacing w:val="-67"/>
        </w:rPr>
        <w:t> </w:t>
      </w:r>
      <w:r>
        <w:rPr>
          <w:spacing w:val="-67"/>
        </w:rPr>
      </w:r>
      <w:r>
        <w:rPr>
          <w:spacing w:val="-2"/>
        </w:rPr>
        <w:t>公司、兴业全球基金管理有限公司、太平资产管理有限公司、百年化妆护理品有限公司、天津硅谷天堂鲲鹏股权投资基金合</w:t>
      </w:r>
      <w:r>
        <w:rPr>
          <w:spacing w:val="-66"/>
        </w:rPr>
        <w:t> </w:t>
      </w:r>
      <w:r>
        <w:rPr>
          <w:spacing w:val="-66"/>
        </w:rPr>
      </w:r>
      <w:r>
        <w:rPr/>
        <w:t>伙企业（有限合伙）、杨录军于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日前一次性缴足，变更后的注册资本为人民币</w:t>
      </w:r>
      <w:r>
        <w:rPr>
          <w:rFonts w:ascii="Times New Roman" w:hAnsi="Times New Roman" w:cs="Times New Roman" w:eastAsia="Times New Roman" w:hint="default"/>
        </w:rPr>
        <w:t>256,495,691.00</w:t>
      </w:r>
      <w:r>
        <w:rPr/>
        <w:t>元。此次股本变 </w:t>
      </w:r>
      <w:r>
        <w:rPr>
          <w:spacing w:val="-1"/>
        </w:rPr>
        <w:t>更事宜，经中准会计师事务所有限公司于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日出具的中准验字</w:t>
      </w:r>
      <w:r>
        <w:rPr>
          <w:rFonts w:ascii="Times New Roman" w:hAnsi="Times New Roman" w:cs="Times New Roman" w:eastAsia="Times New Roman" w:hint="default"/>
          <w:spacing w:val="-1"/>
        </w:rPr>
        <w:t>[2010]2068</w:t>
      </w:r>
      <w:r>
        <w:rPr>
          <w:spacing w:val="-1"/>
        </w:rPr>
        <w:t>号验资报告予以验证，本公司已于</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日取得了吉林省工商行政管理局核发的新的企业法人营业执照，注册号为</w:t>
      </w:r>
      <w:r>
        <w:rPr>
          <w:rFonts w:ascii="Times New Roman" w:hAnsi="Times New Roman" w:cs="Times New Roman" w:eastAsia="Times New Roman" w:hint="default"/>
        </w:rPr>
        <w:t>220000000052632</w:t>
      </w:r>
      <w:r>
        <w:rPr/>
        <w:t>、注册资本为人民币 </w:t>
      </w:r>
      <w:r>
        <w:rPr>
          <w:rFonts w:ascii="Times New Roman" w:hAnsi="Times New Roman" w:cs="Times New Roman" w:eastAsia="Times New Roman" w:hint="default"/>
        </w:rPr>
        <w:t>256,495,691.00</w:t>
      </w:r>
      <w:r>
        <w:rPr/>
        <w:t>元。</w:t>
      </w:r>
    </w:p>
    <w:p>
      <w:pPr>
        <w:pStyle w:val="BodyText"/>
        <w:spacing w:line="300" w:lineRule="auto" w:before="11"/>
        <w:ind w:left="153" w:right="91" w:firstLine="360"/>
        <w:jc w:val="left"/>
      </w:pPr>
      <w:r>
        <w:rPr>
          <w:spacing w:val="-1"/>
        </w:rPr>
        <w:t>根据本公司</w:t>
      </w:r>
      <w:r>
        <w:rPr>
          <w:rFonts w:ascii="Times New Roman" w:hAnsi="Times New Roman" w:cs="Times New Roman" w:eastAsia="Times New Roman" w:hint="default"/>
          <w:spacing w:val="-1"/>
        </w:rPr>
        <w:t>2010</w:t>
      </w:r>
      <w:r>
        <w:rPr>
          <w:spacing w:val="-1"/>
        </w:rPr>
        <w:t>年度股东大会决议，审议通过了</w:t>
      </w:r>
      <w:r>
        <w:rPr>
          <w:rFonts w:ascii="Times New Roman" w:hAnsi="Times New Roman" w:cs="Times New Roman" w:eastAsia="Times New Roman" w:hint="default"/>
          <w:spacing w:val="-1"/>
        </w:rPr>
        <w:t>2010</w:t>
      </w:r>
      <w:r>
        <w:rPr>
          <w:spacing w:val="-1"/>
        </w:rPr>
        <w:t>年度利润分配方案，拟以</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256,495,691</w:t>
      </w:r>
      <w:r>
        <w:rPr>
          <w:spacing w:val="-1"/>
        </w:rPr>
        <w:t>股为</w:t>
      </w:r>
      <w:r>
        <w:rPr>
          <w:spacing w:val="-2"/>
        </w:rPr>
        <w:t> </w:t>
      </w:r>
      <w:r>
        <w:rPr/>
        <w:t>基数，用资本公积向全体股东转增股本，每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股。经中准会计师事务所有限公司于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日出具的中准验 字</w:t>
      </w:r>
      <w:r>
        <w:rPr>
          <w:rFonts w:ascii="Times New Roman" w:hAnsi="Times New Roman" w:cs="Times New Roman" w:eastAsia="Times New Roman" w:hint="default"/>
        </w:rPr>
        <w:t>[2011]2022</w:t>
      </w:r>
      <w:r>
        <w:rPr/>
        <w:t>号验资报告予以验证，本公司已于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日取得了吉林省工商行政管理局核发的新的企业法人营业执 照，注册号为</w:t>
      </w:r>
      <w:r>
        <w:rPr>
          <w:rFonts w:ascii="Times New Roman" w:hAnsi="Times New Roman" w:cs="Times New Roman" w:eastAsia="Times New Roman" w:hint="default"/>
        </w:rPr>
        <w:t>220000000052632</w:t>
      </w:r>
      <w:r>
        <w:rPr/>
        <w:t>、注册资本为人民币</w:t>
      </w:r>
      <w:r>
        <w:rPr>
          <w:rFonts w:ascii="Times New Roman" w:hAnsi="Times New Roman" w:cs="Times New Roman" w:eastAsia="Times New Roman" w:hint="default"/>
        </w:rPr>
        <w:t>512,991,382.00</w:t>
      </w:r>
      <w:r>
        <w:rPr/>
        <w:t>元。</w:t>
      </w:r>
    </w:p>
    <w:p>
      <w:pPr>
        <w:pStyle w:val="BodyText"/>
        <w:spacing w:line="300" w:lineRule="auto" w:before="133"/>
        <w:ind w:left="513" w:right="91"/>
        <w:jc w:val="left"/>
      </w:pPr>
      <w:r>
        <w:rPr>
          <w:rFonts w:ascii="Times New Roman" w:hAnsi="Times New Roman" w:cs="Times New Roman" w:eastAsia="Times New Roman" w:hint="default"/>
          <w:b/>
          <w:bCs/>
        </w:rPr>
        <w:t>3</w:t>
      </w:r>
      <w:r>
        <w:rPr>
          <w:rFonts w:ascii="宋体" w:hAnsi="宋体" w:cs="宋体" w:eastAsia="宋体" w:hint="default"/>
          <w:b/>
          <w:bCs/>
        </w:rPr>
        <w:t>、行业性质及主要产品</w:t>
      </w:r>
      <w:r>
        <w:rPr>
          <w:rFonts w:ascii="宋体" w:hAnsi="宋体" w:cs="宋体" w:eastAsia="宋体" w:hint="default"/>
          <w:b/>
          <w:bCs/>
          <w:w w:val="99"/>
        </w:rPr>
        <w:t> </w:t>
      </w:r>
      <w:r>
        <w:rPr/>
        <w:t>本公司属医药行业，主要产品为活血通脉片、复方益肝灵片、四妙丸、肾复康胶囊、醒脑再造胶囊、补肾安神口服液、</w:t>
      </w:r>
    </w:p>
    <w:p>
      <w:pPr>
        <w:pStyle w:val="BodyText"/>
        <w:spacing w:line="240" w:lineRule="auto" w:before="31"/>
        <w:ind w:left="153" w:right="91"/>
        <w:jc w:val="left"/>
      </w:pPr>
      <w:r>
        <w:rPr/>
        <w:t>六味地黄软胶囊、人参系列产品等。</w:t>
      </w:r>
    </w:p>
    <w:p>
      <w:pPr>
        <w:spacing w:line="240" w:lineRule="auto" w:before="0"/>
        <w:rPr>
          <w:rFonts w:ascii="宋体" w:hAnsi="宋体" w:cs="宋体" w:eastAsia="宋体" w:hint="default"/>
          <w:sz w:val="15"/>
          <w:szCs w:val="15"/>
        </w:rPr>
      </w:pPr>
    </w:p>
    <w:p>
      <w:pPr>
        <w:pStyle w:val="BodyText"/>
        <w:spacing w:line="300" w:lineRule="auto"/>
        <w:ind w:left="513" w:right="91"/>
        <w:jc w:val="left"/>
      </w:pPr>
      <w:r>
        <w:rPr>
          <w:rFonts w:ascii="Times New Roman" w:hAnsi="Times New Roman" w:cs="Times New Roman" w:eastAsia="Times New Roman" w:hint="default"/>
          <w:b/>
          <w:bCs/>
        </w:rPr>
        <w:t>4</w:t>
      </w:r>
      <w:r>
        <w:rPr>
          <w:rFonts w:ascii="宋体" w:hAnsi="宋体" w:cs="宋体" w:eastAsia="宋体" w:hint="default"/>
          <w:b/>
          <w:bCs/>
        </w:rPr>
        <w:t>、经营范围</w:t>
      </w:r>
      <w:r>
        <w:rPr>
          <w:rFonts w:ascii="宋体" w:hAnsi="宋体" w:cs="宋体" w:eastAsia="宋体" w:hint="default"/>
          <w:b/>
          <w:bCs/>
          <w:spacing w:val="1"/>
          <w:w w:val="99"/>
        </w:rPr>
        <w:t> </w:t>
      </w:r>
      <w:r>
        <w:rPr/>
        <w:t>加工销售中成药，化学药制剂（口服液、片剂、胶囊），药材原料，针织品加工，种养殖业；设计、制作，代理电视，</w:t>
      </w:r>
    </w:p>
    <w:p>
      <w:pPr>
        <w:pStyle w:val="BodyText"/>
        <w:spacing w:line="316" w:lineRule="auto" w:before="31"/>
        <w:ind w:left="153" w:right="91"/>
        <w:jc w:val="left"/>
      </w:pPr>
      <w:r>
        <w:rPr>
          <w:spacing w:val="-2"/>
        </w:rPr>
        <w:t>报纸，灯箱，路牌广告业务；经营本企业自产产品及相关技术的出口业务（国家限定公司经营或禁止出口的商品除外）；经</w:t>
      </w:r>
      <w:r>
        <w:rPr>
          <w:spacing w:val="-67"/>
        </w:rPr>
        <w:t> </w:t>
      </w:r>
      <w:r>
        <w:rPr>
          <w:spacing w:val="-67"/>
        </w:rPr>
      </w:r>
      <w:r>
        <w:rPr>
          <w:spacing w:val="-2"/>
        </w:rPr>
        <w:t>营本企业生产科研所需的原辅材料、机械设备、仪器仪表、零配件及相关技术的进出口业务（国家限定公司经营或禁止进口</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91"/>
        <w:jc w:val="left"/>
      </w:pPr>
      <w:r>
        <w:rPr/>
        <w:t>的商品除外）；经营本企业的进料加工和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业务；茶叶（袋泡茶）生产（工业产品生产许可证有效期至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 </w:t>
      </w:r>
      <w:r>
        <w:rPr>
          <w:rFonts w:ascii="Times New Roman" w:hAnsi="Times New Roman" w:cs="Times New Roman" w:eastAsia="Times New Roman" w:hint="default"/>
          <w:spacing w:val="-2"/>
        </w:rPr>
        <w:t>16</w:t>
      </w:r>
      <w:r>
        <w:rPr>
          <w:spacing w:val="-2"/>
        </w:rPr>
        <w:t>日），含茶制品和代用茶（代用茶、速溶茶类）生产（工业产品生产许可证有效期至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日），糖果制品（糖果、</w:t>
      </w:r>
      <w:r>
        <w:rPr>
          <w:spacing w:val="-60"/>
        </w:rPr>
        <w:t> </w:t>
      </w:r>
      <w:r>
        <w:rPr>
          <w:spacing w:val="-60"/>
        </w:rPr>
      </w:r>
      <w:r>
        <w:rPr/>
        <w:t>巧克力及巧克力制品）生产（工业产品生产许可证有效期至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日）（凭环保证经营）。</w:t>
      </w:r>
    </w:p>
    <w:p>
      <w:pPr>
        <w:pStyle w:val="BodyText"/>
        <w:spacing w:line="300" w:lineRule="auto" w:before="133"/>
        <w:ind w:left="514" w:right="91"/>
        <w:jc w:val="left"/>
      </w:pPr>
      <w:r>
        <w:rPr>
          <w:rFonts w:ascii="Times New Roman" w:hAnsi="Times New Roman" w:cs="Times New Roman" w:eastAsia="Times New Roman" w:hint="default"/>
          <w:b/>
          <w:bCs/>
        </w:rPr>
        <w:t>5</w:t>
      </w:r>
      <w:r>
        <w:rPr>
          <w:rFonts w:ascii="宋体" w:hAnsi="宋体" w:cs="宋体" w:eastAsia="宋体" w:hint="default"/>
          <w:b/>
          <w:bCs/>
        </w:rPr>
        <w:t>、公司的基本组织架构</w:t>
      </w:r>
      <w:r>
        <w:rPr>
          <w:rFonts w:ascii="宋体" w:hAnsi="宋体" w:cs="宋体" w:eastAsia="宋体" w:hint="default"/>
          <w:b/>
          <w:bCs/>
          <w:w w:val="99"/>
        </w:rPr>
        <w:t> </w:t>
      </w:r>
      <w:r>
        <w:rPr>
          <w:spacing w:val="-2"/>
        </w:rPr>
        <w:t>本公司按照《公司法》要求及公司实际情况设立组织机构，主要包括股东大会（公司的权力机构）、董事会（股东大会</w:t>
      </w:r>
    </w:p>
    <w:p>
      <w:pPr>
        <w:pStyle w:val="BodyText"/>
        <w:spacing w:line="240" w:lineRule="auto" w:before="31"/>
        <w:ind w:right="91"/>
        <w:jc w:val="left"/>
      </w:pPr>
      <w:r>
        <w:rPr/>
        <w:t>的执行机构）、监事会（公司的内部监督机构）、经营管理机构（包括总经理、副总经理、生产副总经理、财务总监）。</w:t>
      </w:r>
    </w:p>
    <w:p>
      <w:pPr>
        <w:spacing w:line="240" w:lineRule="auto" w:before="2"/>
        <w:rPr>
          <w:rFonts w:ascii="宋体" w:hAnsi="宋体" w:cs="宋体" w:eastAsia="宋体" w:hint="default"/>
          <w:sz w:val="25"/>
          <w:szCs w:val="25"/>
        </w:rPr>
      </w:pPr>
    </w:p>
    <w:p>
      <w:pPr>
        <w:pStyle w:val="Heading2"/>
        <w:spacing w:line="240" w:lineRule="auto"/>
        <w:ind w:right="91"/>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1"/>
        <w:jc w:val="left"/>
      </w:pPr>
      <w:r>
        <w:rPr/>
        <w:t>本公司以持续经营为基础，根据实际发生的交易和事项，按照企业会计准则的规定进行确认，计量和编制财务报表。</w:t>
      </w:r>
    </w:p>
    <w:p>
      <w:pPr>
        <w:spacing w:line="240" w:lineRule="auto" w:before="12"/>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8" w:firstLine="362"/>
        <w:jc w:val="both"/>
      </w:pPr>
      <w:r>
        <w:rPr>
          <w:spacing w:val="-2"/>
        </w:rPr>
        <w:t>本公司编制的财务报表符合企业会计准则的要求，真实、完整地反映了本公司的财务状况、经营成果、股东权益变动和</w:t>
      </w:r>
      <w:r>
        <w:rPr/>
        <w:t> 现金流量等有关信息。</w:t>
      </w:r>
    </w:p>
    <w:p>
      <w:pPr>
        <w:spacing w:line="240" w:lineRule="auto" w:before="7"/>
        <w:rPr>
          <w:rFonts w:ascii="宋体" w:hAnsi="宋体" w:cs="宋体" w:eastAsia="宋体" w:hint="default"/>
          <w:sz w:val="22"/>
          <w:szCs w:val="22"/>
        </w:rPr>
      </w:pPr>
    </w:p>
    <w:p>
      <w:pPr>
        <w:pStyle w:val="Heading4"/>
        <w:spacing w:line="240" w:lineRule="auto"/>
        <w:ind w:right="91"/>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1"/>
        <w:jc w:val="left"/>
      </w:pPr>
      <w:r>
        <w:rPr/>
        <w:t>本公司以公历年度为会计期间，即每年从</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4"/>
        <w:spacing w:line="240" w:lineRule="auto"/>
        <w:ind w:right="9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1"/>
        <w:jc w:val="left"/>
      </w:pPr>
      <w:r>
        <w:rPr/>
        <w:t>本公司采用人民币为记账本位币。</w:t>
      </w:r>
    </w:p>
    <w:p>
      <w:pPr>
        <w:spacing w:line="240" w:lineRule="auto" w:before="12"/>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0" w:firstLine="360"/>
        <w:jc w:val="both"/>
      </w:pPr>
      <w:r>
        <w:rPr>
          <w:spacing w:val="-2"/>
        </w:rPr>
        <w:t>参与合并的企业在合并前后均受同一方或相同的多方最终控制且该控制并非暂时性的，为同一控制下的企业合并。通常</w:t>
      </w:r>
      <w:r>
        <w:rPr/>
        <w:t> </w:t>
      </w:r>
      <w:r>
        <w:rPr>
          <w:spacing w:val="-2"/>
        </w:rPr>
        <w:t>情况下，同一控制下的企业合并是指发生在同一企业集团内部企业之间的合并，除此之外，一般不作为同一控制下的企业合</w:t>
      </w:r>
      <w:r>
        <w:rPr>
          <w:spacing w:val="-66"/>
        </w:rPr>
        <w:t> </w:t>
      </w:r>
      <w:r>
        <w:rPr>
          <w:spacing w:val="-66"/>
        </w:rPr>
      </w:r>
      <w:r>
        <w:rPr/>
        <w:t>并。</w:t>
      </w:r>
    </w:p>
    <w:p>
      <w:pPr>
        <w:pStyle w:val="BodyText"/>
        <w:spacing w:line="316" w:lineRule="auto" w:before="19"/>
        <w:ind w:right="189" w:firstLine="360"/>
        <w:jc w:val="both"/>
      </w:pPr>
      <w:r>
        <w:rPr>
          <w:spacing w:val="-2"/>
        </w:rPr>
        <w:t>本公司作为合并方在企业合并中取得的资产、负债，按照合并日在被合并方的账面价值计量。同一控制下的控股合并形</w:t>
      </w:r>
      <w:r>
        <w:rPr/>
        <w:t> </w:t>
      </w:r>
      <w:r>
        <w:rPr>
          <w:spacing w:val="-2"/>
        </w:rPr>
        <w:t>成的长期股权投资，本公司以合并日应享有被合并方账面所有者权益的份额作为形成长期股权投资的初始投资成本，相关会</w:t>
      </w:r>
      <w:r>
        <w:rPr>
          <w:spacing w:val="-64"/>
        </w:rPr>
        <w:t> </w:t>
      </w:r>
      <w:r>
        <w:rPr>
          <w:spacing w:val="-64"/>
        </w:rPr>
      </w:r>
      <w:r>
        <w:rPr>
          <w:spacing w:val="-2"/>
        </w:rPr>
        <w:t>计处理见长期股权投资；同一控制下的吸收合并取得的资产、负债，本公司按照相关资产、负债在被合并方的原账面价值入</w:t>
      </w:r>
      <w:r>
        <w:rPr>
          <w:spacing w:val="-66"/>
        </w:rPr>
        <w:t> </w:t>
      </w:r>
      <w:r>
        <w:rPr>
          <w:spacing w:val="-66"/>
        </w:rPr>
      </w:r>
      <w:r>
        <w:rPr>
          <w:spacing w:val="-2"/>
        </w:rPr>
        <w:t>账。本公司取得的净资产账面价值与支付的合并对价账面价值（或发行股份面值总额）的差额调整资本公积；资本公积不足</w:t>
      </w:r>
      <w:r>
        <w:rPr>
          <w:spacing w:val="-66"/>
        </w:rPr>
        <w:t> </w:t>
      </w:r>
      <w:r>
        <w:rPr>
          <w:spacing w:val="-66"/>
        </w:rPr>
      </w:r>
      <w:r>
        <w:rPr/>
        <w:t>冲减的，调整留存收益。</w:t>
      </w:r>
    </w:p>
    <w:p>
      <w:pPr>
        <w:pStyle w:val="BodyText"/>
        <w:spacing w:line="316" w:lineRule="auto" w:before="19"/>
        <w:ind w:left="153" w:right="189" w:firstLine="360"/>
        <w:jc w:val="both"/>
      </w:pPr>
      <w:r>
        <w:rPr>
          <w:spacing w:val="-2"/>
        </w:rPr>
        <w:t>本公司作为合并方为进行企业合并发生的各项直接相关费用，包括支付的审计费用、评估费用、法律服务费等，于发生</w:t>
      </w:r>
      <w:r>
        <w:rPr/>
        <w:t> 时计入当期损益。</w:t>
      </w:r>
    </w:p>
    <w:p>
      <w:pPr>
        <w:pStyle w:val="BodyText"/>
        <w:spacing w:line="316" w:lineRule="auto" w:before="19"/>
        <w:ind w:left="153" w:right="191" w:firstLine="360"/>
        <w:jc w:val="both"/>
      </w:pPr>
      <w:r>
        <w:rPr>
          <w:spacing w:val="-2"/>
        </w:rPr>
        <w:t>为企业合并发行的债券或承担其他债务支付的手续费、佣金等，计入所发行债券及其他债务的初始计量金额。企业合并</w:t>
      </w:r>
      <w:r>
        <w:rPr/>
        <w:t> 中发行权益性证券发生的手续费、佣金等费用，应当递延权益性证券溢价收入，溢价收入不足冲减的，冲减留存收益。</w:t>
      </w:r>
    </w:p>
    <w:p>
      <w:pPr>
        <w:pStyle w:val="BodyText"/>
        <w:spacing w:line="316" w:lineRule="auto" w:before="19"/>
        <w:ind w:right="191" w:firstLine="360"/>
        <w:jc w:val="both"/>
      </w:pPr>
      <w:r>
        <w:rPr>
          <w:spacing w:val="-2"/>
        </w:rPr>
        <w:t>同一控制下的控股合并形成母子关系的，母公司在合并日编制合并财务报表，包括合并资产负债表、合并利润表和合并</w:t>
      </w:r>
      <w:r>
        <w:rPr/>
        <w:t> 现金流量表。</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left="153" w:right="190" w:firstLine="360"/>
        <w:jc w:val="both"/>
      </w:pPr>
      <w:r>
        <w:rPr>
          <w:spacing w:val="-2"/>
        </w:rPr>
        <w:t>合并资产负债表，以被合并方有关资产、负债的账面价值并入合并财务报表，合并方与被合并方在合并日及以前期间发</w:t>
      </w:r>
      <w:r>
        <w:rPr/>
        <w:t> </w:t>
      </w:r>
      <w:r>
        <w:rPr>
          <w:spacing w:val="-2"/>
        </w:rPr>
        <w:t>生的交易，作为内部交易，按照</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w:t>
      </w:r>
      <w:r>
        <w:rPr>
          <w:spacing w:val="-2"/>
        </w:rPr>
        <w:t>有关原则进行抵销；合并利润表和现金流量表，包含合并及被合并方自合并</w:t>
      </w:r>
      <w:r>
        <w:rPr>
          <w:spacing w:val="-44"/>
        </w:rPr>
        <w:t> </w:t>
      </w:r>
      <w:r>
        <w:rPr>
          <w:spacing w:val="-44"/>
        </w:rPr>
      </w:r>
      <w:r>
        <w:rPr>
          <w:spacing w:val="-2"/>
        </w:rPr>
        <w:t>当期期初至合并日实现的净利润和产生的现金流量，涉及双方在当期发生的交易及内部交易产生的现金流量，按照合并财务</w:t>
      </w:r>
      <w:r>
        <w:rPr>
          <w:spacing w:val="-64"/>
        </w:rPr>
        <w:t> </w:t>
      </w:r>
      <w:r>
        <w:rPr>
          <w:spacing w:val="-64"/>
        </w:rPr>
      </w:r>
      <w:r>
        <w:rPr/>
        <w:t>报表的有关原则进行抵销。</w:t>
      </w:r>
    </w:p>
    <w:p>
      <w:pPr>
        <w:spacing w:line="240" w:lineRule="auto" w:before="10"/>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1"/>
        <w:jc w:val="left"/>
      </w:pPr>
      <w:r>
        <w:rPr/>
        <w:t>参与合并的各方在合并前后不受同一方或相同的多方最终控制的，为非同一控制下的企业合并。 </w:t>
      </w:r>
      <w:r>
        <w:rPr>
          <w:spacing w:val="-2"/>
        </w:rPr>
        <w:t>确定企业合并成本：企业合并成本包括购买方为进行企业合并支付的现金或非现金资产、发行或承担的债务、发行的权</w:t>
      </w:r>
    </w:p>
    <w:p>
      <w:pPr>
        <w:pStyle w:val="BodyText"/>
        <w:spacing w:line="316" w:lineRule="auto" w:before="19"/>
        <w:ind w:left="153" w:right="91"/>
        <w:jc w:val="left"/>
      </w:pPr>
      <w:r>
        <w:rPr>
          <w:spacing w:val="-2"/>
        </w:rPr>
        <w:t>益性证券等在购买日的公允价值以及企业合并中发生的各项直接相关费用之和。通过多次交换交易分步实现的企业合并，合</w:t>
      </w:r>
      <w:r>
        <w:rPr>
          <w:spacing w:val="-64"/>
        </w:rPr>
        <w:t> </w:t>
      </w:r>
      <w:r>
        <w:rPr>
          <w:spacing w:val="-64"/>
        </w:rPr>
      </w:r>
      <w:r>
        <w:rPr/>
        <w:t>并成本为每一单项交易成本之和。</w:t>
      </w:r>
    </w:p>
    <w:p>
      <w:pPr>
        <w:pStyle w:val="BodyText"/>
        <w:spacing w:line="316" w:lineRule="auto" w:before="19"/>
        <w:ind w:left="153" w:right="189" w:firstLine="360"/>
        <w:jc w:val="both"/>
      </w:pPr>
      <w:r>
        <w:rPr>
          <w:spacing w:val="-2"/>
        </w:rPr>
        <w:t>非同一控制下的控股合并取得的长期股权投资，本公司以购买日确定的企业合并成本（不包括应自被投资单位收取的现</w:t>
      </w:r>
      <w:r>
        <w:rPr/>
        <w:t> </w:t>
      </w:r>
      <w:r>
        <w:rPr>
          <w:spacing w:val="-2"/>
        </w:rPr>
        <w:t>金股利和利润），作为对被购买方长期股权投资的初始投资成本；非同一控制下的吸收合并取得的符合确认条件的各项可辨</w:t>
      </w:r>
      <w:r>
        <w:rPr>
          <w:spacing w:val="-66"/>
        </w:rPr>
        <w:t> </w:t>
      </w:r>
      <w:r>
        <w:rPr>
          <w:spacing w:val="-66"/>
        </w:rPr>
      </w:r>
      <w:r>
        <w:rPr>
          <w:spacing w:val="-2"/>
        </w:rPr>
        <w:t>认资产、负债，本公司在购买日按照公允价值确认为本企业的资产和负债。本公司以非货币资产为对价取得被购买方的控制</w:t>
      </w:r>
      <w:r>
        <w:rPr>
          <w:spacing w:val="-66"/>
        </w:rPr>
        <w:t> </w:t>
      </w:r>
      <w:r>
        <w:rPr>
          <w:spacing w:val="-66"/>
        </w:rPr>
      </w:r>
      <w:r>
        <w:rPr>
          <w:spacing w:val="-2"/>
        </w:rPr>
        <w:t>权或各项可辨认资产、负债的，有关非货币资产在购买日的公允价值与其账面价值的差额，作为资产的处置损益，计入合并</w:t>
      </w:r>
      <w:r>
        <w:rPr>
          <w:spacing w:val="-66"/>
        </w:rPr>
        <w:t> </w:t>
      </w:r>
      <w:r>
        <w:rPr>
          <w:spacing w:val="-66"/>
        </w:rPr>
      </w:r>
      <w:r>
        <w:rPr/>
        <w:t>当期的利润表。</w:t>
      </w:r>
    </w:p>
    <w:p>
      <w:pPr>
        <w:pStyle w:val="BodyText"/>
        <w:spacing w:line="338" w:lineRule="auto" w:before="19"/>
        <w:ind w:left="153" w:right="101" w:firstLine="360"/>
        <w:jc w:val="both"/>
      </w:pPr>
      <w:r>
        <w:rPr>
          <w:spacing w:val="-4"/>
        </w:rPr>
        <w:t>非同一控制下的企业合并中，企业合并成本大于合并中取得的被购买方可辨认净资产公允价值份额的差额，确认为商誉；</w:t>
      </w:r>
      <w:r>
        <w:rPr/>
        <w:t> </w:t>
      </w:r>
      <w:r>
        <w:rPr>
          <w:spacing w:val="-4"/>
        </w:rPr>
        <w:t>在吸收合并情况下，该差额在母公司个别财务报表中确认的商誉；在控股合并情况下，该差额在合并财务报表中列示为商誉。</w:t>
      </w:r>
      <w:r>
        <w:rPr>
          <w:spacing w:val="-44"/>
        </w:rPr>
        <w:t> </w:t>
      </w:r>
      <w:r>
        <w:rPr>
          <w:spacing w:val="-44"/>
        </w:rPr>
      </w:r>
      <w:r>
        <w:rPr>
          <w:spacing w:val="-2"/>
        </w:rPr>
        <w:t>企业合并成本小于合并中取得的被购买方可辨认净资产公允价值份额的差额，本公司计入合并当期损益（营业外收入）。在</w:t>
      </w:r>
    </w:p>
    <w:p>
      <w:pPr>
        <w:pStyle w:val="BodyText"/>
        <w:spacing w:line="240" w:lineRule="auto" w:before="2"/>
        <w:ind w:right="91"/>
        <w:jc w:val="left"/>
      </w:pPr>
      <w:r>
        <w:rPr/>
        <w:t>吸收合并情况下，该差额计入合并当期母公司个别利润表；在控股合并情况下，该差额计入合并当期的合并利润表。</w:t>
      </w:r>
    </w:p>
    <w:p>
      <w:pPr>
        <w:spacing w:line="240" w:lineRule="auto" w:before="11"/>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513" w:right="91"/>
        <w:jc w:val="left"/>
      </w:pPr>
      <w:r>
        <w:rPr>
          <w:rFonts w:ascii="Times New Roman" w:hAnsi="Times New Roman" w:cs="Times New Roman" w:eastAsia="Times New Roman" w:hint="default"/>
        </w:rPr>
        <w:t>1</w:t>
      </w:r>
      <w:r>
        <w:rPr/>
        <w:t>）合并范围的确定原则 本公司将全部子公司纳入合并财务报表的合并范围。合并财务报表的合并范围以控制为基础加以确定。 </w:t>
      </w:r>
      <w:r>
        <w:rPr>
          <w:spacing w:val="-2"/>
        </w:rPr>
        <w:t>本公司直接或通过子公司间接拥有被投资单位半数以上的表决权，表明本公司能够控制被投资单位，将该被投资单位认</w:t>
      </w:r>
    </w:p>
    <w:p>
      <w:pPr>
        <w:pStyle w:val="BodyText"/>
        <w:spacing w:line="316" w:lineRule="auto" w:before="24"/>
        <w:ind w:left="513" w:right="91" w:hanging="360"/>
        <w:jc w:val="left"/>
      </w:pPr>
      <w:r>
        <w:rPr/>
        <w:t>定为子公司，纳入合并财务报表的合并范围。但是，有证据表明本公司不能控制被投资单位的除外。 </w:t>
      </w:r>
      <w:r>
        <w:rPr>
          <w:spacing w:val="-2"/>
        </w:rPr>
        <w:t>本公司拥有被投资单位半数或以下的表决权，满足以下条件之一的，视为本公司能够控制被投资单位，将该被投资单位</w:t>
      </w:r>
    </w:p>
    <w:p>
      <w:pPr>
        <w:pStyle w:val="BodyText"/>
        <w:spacing w:line="240" w:lineRule="auto" w:before="19"/>
        <w:ind w:left="153" w:right="91"/>
        <w:jc w:val="left"/>
      </w:pPr>
      <w:r>
        <w:rPr/>
        <w:t>认定为子公司，纳入合并财务报表的合并范围；但是，有证据表明本公司不能控制被投资单位的除外：</w:t>
      </w:r>
    </w:p>
    <w:p>
      <w:pPr>
        <w:pStyle w:val="BodyText"/>
        <w:spacing w:line="240" w:lineRule="auto" w:before="76"/>
        <w:ind w:left="513" w:right="91"/>
        <w:jc w:val="left"/>
      </w:pPr>
      <w:r>
        <w:rPr/>
        <w:t>①通过与被投资单位其他投资者之间的协议，拥有被投资单位半数以上的表决权；</w:t>
      </w:r>
    </w:p>
    <w:p>
      <w:pPr>
        <w:pStyle w:val="BodyText"/>
        <w:spacing w:line="240" w:lineRule="auto" w:before="76"/>
        <w:ind w:left="513" w:right="91"/>
        <w:jc w:val="left"/>
      </w:pPr>
      <w:r>
        <w:rPr/>
        <w:t>②根据本公司章程或协议，有权决定被投资单位的财务和经营政策；</w:t>
      </w:r>
    </w:p>
    <w:p>
      <w:pPr>
        <w:pStyle w:val="BodyText"/>
        <w:spacing w:line="240" w:lineRule="auto" w:before="76"/>
        <w:ind w:left="513" w:right="91"/>
        <w:jc w:val="left"/>
      </w:pPr>
      <w:r>
        <w:rPr/>
        <w:t>③有权任免被投资单位的董事会或类似机构的多数成员；</w:t>
      </w:r>
    </w:p>
    <w:p>
      <w:pPr>
        <w:pStyle w:val="BodyText"/>
        <w:spacing w:line="240" w:lineRule="auto" w:before="76"/>
        <w:ind w:left="513" w:right="91"/>
        <w:jc w:val="left"/>
      </w:pPr>
      <w:r>
        <w:rPr/>
        <w:t>④在被投资单位的董事会或类似机构占多数表决权。</w:t>
      </w:r>
    </w:p>
    <w:p>
      <w:pPr>
        <w:pStyle w:val="BodyText"/>
        <w:spacing w:line="240" w:lineRule="auto" w:before="76"/>
        <w:ind w:left="513" w:right="91"/>
        <w:jc w:val="left"/>
      </w:pPr>
      <w:r>
        <w:rPr>
          <w:rFonts w:ascii="Times New Roman" w:hAnsi="Times New Roman" w:cs="Times New Roman" w:eastAsia="Times New Roman" w:hint="default"/>
        </w:rPr>
        <w:t>2</w:t>
      </w:r>
      <w:r>
        <w:rPr/>
        <w:t>、合并程序</w:t>
      </w:r>
    </w:p>
    <w:p>
      <w:pPr>
        <w:pStyle w:val="BodyText"/>
        <w:spacing w:line="312" w:lineRule="auto" w:before="63"/>
        <w:ind w:left="153" w:right="189" w:firstLine="360"/>
        <w:jc w:val="both"/>
      </w:pPr>
      <w:r>
        <w:rPr>
          <w:spacing w:val="-2"/>
        </w:rPr>
        <w:t>①本公司合并财务报表以母公司和各子公司的财务报表为基础，根据其他有关资料，对子公司的长期股权投资按照权益</w:t>
      </w:r>
      <w:r>
        <w:rPr/>
        <w:t> </w:t>
      </w:r>
      <w:r>
        <w:rPr>
          <w:spacing w:val="-2"/>
        </w:rPr>
        <w:t>法调整后编制。编制时根据《企业会计准则第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合并财务报表》的要求，将母公司与各子公司及各子公司之间的重要投</w:t>
      </w:r>
      <w:r>
        <w:rPr>
          <w:spacing w:val="-64"/>
        </w:rPr>
        <w:t> </w:t>
      </w:r>
      <w:r>
        <w:rPr>
          <w:spacing w:val="-64"/>
        </w:rPr>
      </w:r>
      <w:r>
        <w:rPr>
          <w:spacing w:val="-2"/>
        </w:rPr>
        <w:t>资、往来、存货购销等内部交易及其未实现利润抵销后逐项合并，并计算少数股东权益和少数股东本期收益。如果子公司会</w:t>
      </w:r>
      <w:r>
        <w:rPr>
          <w:spacing w:val="-66"/>
        </w:rPr>
        <w:t> </w:t>
      </w:r>
      <w:r>
        <w:rPr>
          <w:spacing w:val="-66"/>
        </w:rPr>
      </w:r>
      <w:r>
        <w:rPr/>
        <w:t>计政策及会计期间与母公司不一致，合并前先按母公司的会计政策及会计期间调整子公司财务报表。</w:t>
      </w:r>
    </w:p>
    <w:p>
      <w:pPr>
        <w:pStyle w:val="BodyText"/>
        <w:spacing w:line="312" w:lineRule="auto" w:before="22"/>
        <w:ind w:left="153" w:right="188" w:firstLine="360"/>
        <w:jc w:val="both"/>
      </w:pPr>
      <w:r>
        <w:rPr>
          <w:spacing w:val="-2"/>
        </w:rPr>
        <w:t>②对于因同一控制下企业合并增加的子公司，在编制合并财务报表时，视同该企业合并于报告期最早期间的年初已经发</w:t>
      </w:r>
      <w:r>
        <w:rPr/>
        <w:t> </w:t>
      </w:r>
      <w:r>
        <w:rPr>
          <w:spacing w:val="-2"/>
        </w:rPr>
        <w:t>生，从报告期最早期间的年初起将其资产、负债、经营成果和现金流量纳入合并财务报表，且其合并日前实现的净利润在合</w:t>
      </w:r>
      <w:r>
        <w:rPr>
          <w:spacing w:val="-66"/>
        </w:rPr>
        <w:t> </w:t>
      </w:r>
      <w:r>
        <w:rPr>
          <w:spacing w:val="-66"/>
        </w:rPr>
      </w:r>
      <w:r>
        <w:rPr>
          <w:spacing w:val="-1"/>
        </w:rPr>
        <w:t>并利润表中</w:t>
      </w:r>
      <w:r>
        <w:rPr>
          <w:rFonts w:ascii="Times New Roman" w:hAnsi="Times New Roman" w:cs="Times New Roman" w:eastAsia="Times New Roman" w:hint="default"/>
          <w:spacing w:val="-1"/>
        </w:rPr>
        <w:t>“</w:t>
      </w:r>
      <w:r>
        <w:rPr>
          <w:spacing w:val="-1"/>
        </w:rPr>
        <w:t>净利润</w:t>
      </w:r>
      <w:r>
        <w:rPr>
          <w:rFonts w:ascii="Times New Roman" w:hAnsi="Times New Roman" w:cs="Times New Roman" w:eastAsia="Times New Roman" w:hint="default"/>
          <w:spacing w:val="-1"/>
        </w:rPr>
        <w:t>”</w:t>
      </w:r>
      <w:r>
        <w:rPr>
          <w:spacing w:val="-1"/>
        </w:rPr>
        <w:t>项下单列</w:t>
      </w:r>
      <w:r>
        <w:rPr>
          <w:rFonts w:ascii="Times New Roman" w:hAnsi="Times New Roman" w:cs="Times New Roman" w:eastAsia="Times New Roman" w:hint="default"/>
          <w:spacing w:val="-1"/>
        </w:rPr>
        <w:t>“</w:t>
      </w:r>
      <w:r>
        <w:rPr>
          <w:spacing w:val="-1"/>
        </w:rPr>
        <w:t>被合并方在合并前实现的净利润</w:t>
      </w:r>
      <w:r>
        <w:rPr>
          <w:rFonts w:ascii="Times New Roman" w:hAnsi="Times New Roman" w:cs="Times New Roman" w:eastAsia="Times New Roman" w:hint="default"/>
          <w:spacing w:val="-1"/>
        </w:rPr>
        <w:t>”</w:t>
      </w:r>
      <w:r>
        <w:rPr>
          <w:spacing w:val="-1"/>
        </w:rPr>
        <w:t>项目反映。对于因非同一控制下企业合并取得的子公司，在</w:t>
      </w:r>
      <w:r>
        <w:rPr>
          <w:spacing w:val="-77"/>
        </w:rPr>
        <w:t> </w:t>
      </w:r>
      <w:r>
        <w:rPr>
          <w:spacing w:val="-77"/>
        </w:rPr>
      </w:r>
      <w:r>
        <w:rPr/>
        <w:t>编制合并财务报表时，以购买日可辨认净资产公允价值为基础对其个别财务报表进行调整。</w:t>
      </w:r>
    </w:p>
    <w:p>
      <w:pPr>
        <w:spacing w:after="0" w:line="312"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firstLine="360"/>
        <w:jc w:val="left"/>
      </w:pPr>
      <w:r>
        <w:rPr>
          <w:spacing w:val="-2"/>
        </w:rPr>
        <w:t>③对于因同一控制下企业合并增加的子公司，编制合并资产负债表时，应当调整合并资产负债表的期初数；对于因非同</w:t>
      </w:r>
      <w:r>
        <w:rPr/>
        <w:t> 一控制下企业合并增加的子公司，不应当调整合并资产负债表的期初数。在报告期内处置子公司，编制合并资产负债表时， 不应当调整合并资产负债表的期初数。</w:t>
      </w:r>
    </w:p>
    <w:p>
      <w:pPr>
        <w:pStyle w:val="BodyText"/>
        <w:spacing w:line="316" w:lineRule="auto" w:before="19"/>
        <w:ind w:left="153" w:right="91" w:firstLine="360"/>
        <w:jc w:val="left"/>
      </w:pPr>
      <w:r>
        <w:rPr/>
        <w:t>④对于因同一控制下企业合并增加的子公司，在编制合并利润表时，应当将该子公司合并当期期初至报告期末的收入、 </w:t>
      </w:r>
      <w:r>
        <w:rPr>
          <w:spacing w:val="-2"/>
        </w:rPr>
        <w:t>费用、利润纳入合并利润表；对于因非同一控制下企业合并增加的子公司，在编制合并利润表时，应当将该子公司购买日至</w:t>
      </w:r>
      <w:r>
        <w:rPr>
          <w:spacing w:val="-66"/>
        </w:rPr>
        <w:t> </w:t>
      </w:r>
      <w:r>
        <w:rPr>
          <w:spacing w:val="-66"/>
        </w:rPr>
      </w:r>
      <w:r>
        <w:rPr>
          <w:spacing w:val="-2"/>
        </w:rPr>
        <w:t>报告期末的收入、费用、利润纳入合并利润表。在报告期内处置子公司，应当将该子公司期初至处置日的收入、费用、利润</w:t>
      </w:r>
      <w:r>
        <w:rPr>
          <w:spacing w:val="-68"/>
        </w:rPr>
        <w:t> </w:t>
      </w:r>
      <w:r>
        <w:rPr>
          <w:spacing w:val="-68"/>
        </w:rPr>
      </w:r>
      <w:r>
        <w:rPr/>
        <w:t>纳入合并利润表。</w:t>
      </w:r>
    </w:p>
    <w:p>
      <w:pPr>
        <w:pStyle w:val="BodyText"/>
        <w:spacing w:line="316" w:lineRule="auto" w:before="19"/>
        <w:ind w:left="153" w:right="190" w:firstLine="360"/>
        <w:jc w:val="both"/>
      </w:pPr>
      <w:r>
        <w:rPr>
          <w:spacing w:val="-2"/>
        </w:rPr>
        <w:t>⑤对于因同一控制下企业合并增加的子公司，在编制合并现金流量表时，应当将该子公司合并当期期初至报告期末的现</w:t>
      </w:r>
      <w:r>
        <w:rPr/>
        <w:t> </w:t>
      </w:r>
      <w:r>
        <w:rPr>
          <w:spacing w:val="-2"/>
        </w:rPr>
        <w:t>金流量纳入合并现金流量表；对于因非同一控制下企业合并增加的子公司，在编制合并现金流量表时，应当将该子公司购买</w:t>
      </w:r>
      <w:r>
        <w:rPr>
          <w:spacing w:val="-66"/>
        </w:rPr>
        <w:t> </w:t>
      </w:r>
      <w:r>
        <w:rPr>
          <w:spacing w:val="-66"/>
        </w:rPr>
      </w:r>
      <w:r>
        <w:rPr>
          <w:spacing w:val="-2"/>
        </w:rPr>
        <w:t>日至报告期末的现金流量纳入合并现金流量表。在报告期内处置子公司，应当将该子公司期初至处置日的现金流量纳入合并</w:t>
      </w:r>
      <w:r>
        <w:rPr>
          <w:spacing w:val="-64"/>
        </w:rPr>
        <w:t> </w:t>
      </w:r>
      <w:r>
        <w:rPr>
          <w:spacing w:val="-64"/>
        </w:rPr>
      </w:r>
      <w:r>
        <w:rPr/>
        <w:t>现金流量表。</w:t>
      </w:r>
    </w:p>
    <w:p>
      <w:pPr>
        <w:pStyle w:val="BodyText"/>
        <w:spacing w:line="316" w:lineRule="auto" w:before="19"/>
        <w:ind w:left="513" w:right="91"/>
        <w:jc w:val="left"/>
      </w:pPr>
      <w:r>
        <w:rPr/>
        <w:t>⑥子公司发生超额亏损在合并利润表中的反映如下： 章程或协议规定少数股东有义务承担，并且少数股东有能力予以弥补的，该项余额应当冲减少数股东权益； </w:t>
      </w:r>
      <w:r>
        <w:rPr>
          <w:spacing w:val="-2"/>
        </w:rPr>
        <w:t>章程或协议未规定少数股东有义务承担的，该项余额应当冲减母公司的所有者权益。该子公司以后期间实现的利润，在</w:t>
      </w:r>
    </w:p>
    <w:p>
      <w:pPr>
        <w:pStyle w:val="BodyText"/>
        <w:spacing w:line="240" w:lineRule="auto" w:before="19"/>
        <w:ind w:left="153" w:right="91"/>
        <w:jc w:val="left"/>
      </w:pPr>
      <w:r>
        <w:rPr/>
        <w:t>弥补了由母公司所有者权益所承担的属于少数股东的损失之前，应当全部归属于母公司的所有者权益。</w:t>
      </w:r>
    </w:p>
    <w:p>
      <w:pPr>
        <w:spacing w:line="240" w:lineRule="auto" w:before="12"/>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434"/>
        <w:jc w:val="both"/>
      </w:pPr>
      <w:r>
        <w:rPr>
          <w:spacing w:val="-2"/>
        </w:rPr>
        <w:t>本公司在编制现金流量表时，将同时具备期限短（从购买日起三个月内到期）、流动性强、易于转换为已知金额现金、</w:t>
      </w:r>
      <w:r>
        <w:rPr/>
        <w:t> 价值变动风险很小等四个条件的投资确定为现金等价物；权益性投资不作为现金等价物。</w:t>
      </w:r>
    </w:p>
    <w:p>
      <w:pPr>
        <w:spacing w:line="240" w:lineRule="auto" w:before="7"/>
        <w:rPr>
          <w:rFonts w:ascii="宋体" w:hAnsi="宋体" w:cs="宋体" w:eastAsia="宋体" w:hint="default"/>
          <w:sz w:val="22"/>
          <w:szCs w:val="22"/>
        </w:rPr>
      </w:pPr>
    </w:p>
    <w:p>
      <w:pPr>
        <w:pStyle w:val="Heading4"/>
        <w:spacing w:line="240" w:lineRule="auto"/>
        <w:ind w:right="91"/>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360"/>
        <w:jc w:val="left"/>
      </w:pPr>
      <w:r>
        <w:rPr>
          <w:spacing w:val="-4"/>
        </w:rPr>
        <w:t>外币交易在初始确认时，采用交易发生日的即期汇率作为折算汇率，折合成人民币记账；收到投资者以外币投入的资本，</w:t>
      </w:r>
      <w:r>
        <w:rPr/>
        <w:t> 采用交易日即期汇率折算。在资产负债表日，视下列情况进行处理：</w:t>
      </w:r>
    </w:p>
    <w:p>
      <w:pPr>
        <w:pStyle w:val="BodyText"/>
        <w:spacing w:line="316" w:lineRule="auto" w:before="19"/>
        <w:ind w:left="153" w:right="91" w:firstLine="360"/>
        <w:jc w:val="left"/>
      </w:pPr>
      <w:r>
        <w:rPr>
          <w:spacing w:val="-2"/>
        </w:rPr>
        <w:t>①外币货币性项目：采用资产负债表日即期汇率折算。因资产负债表日即期汇率与初始确认时或前一资产负债表日即期</w:t>
      </w:r>
      <w:r>
        <w:rPr/>
        <w:t> 汇率不同而产生的汇兑差额，计入财务费用。</w:t>
      </w:r>
    </w:p>
    <w:p>
      <w:pPr>
        <w:pStyle w:val="BodyText"/>
        <w:spacing w:line="240" w:lineRule="auto" w:before="19"/>
        <w:ind w:left="513" w:right="91"/>
        <w:jc w:val="left"/>
      </w:pPr>
      <w:r>
        <w:rPr/>
        <w:t>②以历史成本计量的外币非货币性项目：按交易发生日的即期汇率折算，在资产负债表日不改变其记账本位币金额。</w:t>
      </w:r>
    </w:p>
    <w:p>
      <w:pPr>
        <w:pStyle w:val="BodyText"/>
        <w:spacing w:line="316" w:lineRule="auto" w:before="76"/>
        <w:ind w:right="191" w:firstLine="506"/>
        <w:jc w:val="both"/>
      </w:pPr>
      <w:r>
        <w:rPr>
          <w:spacing w:val="-1"/>
        </w:rPr>
        <w:t>③以公允价值计量的外币非货币性项目：按公允价值确定日的即期汇率折算。折算后的记账本位币金额与原账面记账</w:t>
      </w:r>
      <w:r>
        <w:rPr/>
        <w:t> </w:t>
      </w:r>
      <w:r>
        <w:rPr>
          <w:spacing w:val="-2"/>
        </w:rPr>
        <w:t>本位币金额的差额，作为公允价值变动处理，计入当期损益。如属于可供出售外币非货币性项目，形成的汇兑差额，计入资</w:t>
      </w:r>
      <w:r>
        <w:rPr>
          <w:spacing w:val="-66"/>
        </w:rPr>
        <w:t> </w:t>
      </w:r>
      <w:r>
        <w:rPr>
          <w:spacing w:val="-66"/>
        </w:rPr>
      </w:r>
      <w:r>
        <w:rPr/>
        <w:t>本公积。</w:t>
      </w:r>
    </w:p>
    <w:p>
      <w:pPr>
        <w:spacing w:line="240" w:lineRule="auto" w:before="7"/>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8" w:firstLine="36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 </w:t>
      </w:r>
      <w:r>
        <w:rPr>
          <w:spacing w:val="-2"/>
        </w:rPr>
        <w:t>目采用发生时的即期汇率折算。利润表中的收入和费用项目，采用交易发生日的即期汇率折算。按照上述折算产生的外币财</w:t>
      </w:r>
      <w:r>
        <w:rPr>
          <w:spacing w:val="-66"/>
        </w:rPr>
        <w:t> </w:t>
      </w:r>
      <w:r>
        <w:rPr>
          <w:spacing w:val="-66"/>
        </w:rPr>
      </w:r>
      <w:r>
        <w:rPr>
          <w:spacing w:val="-3"/>
        </w:rPr>
        <w:t>务报表折算差额，在编制合并财务报表时，应在合并资产负债表中所有者权益项目下单独作为</w:t>
      </w:r>
      <w:r>
        <w:rPr>
          <w:rFonts w:ascii="Times New Roman" w:hAnsi="Times New Roman" w:cs="Times New Roman" w:eastAsia="Times New Roman" w:hint="default"/>
          <w:spacing w:val="-3"/>
        </w:rPr>
        <w:t>“</w:t>
      </w:r>
      <w:r>
        <w:rPr>
          <w:spacing w:val="-3"/>
        </w:rPr>
        <w:t>外币报表折算差额</w:t>
      </w:r>
      <w:r>
        <w:rPr>
          <w:rFonts w:ascii="Times New Roman" w:hAnsi="Times New Roman" w:cs="Times New Roman" w:eastAsia="Times New Roman" w:hint="default"/>
          <w:spacing w:val="-3"/>
        </w:rPr>
        <w:t>”</w:t>
      </w:r>
      <w:r>
        <w:rPr>
          <w:spacing w:val="-3"/>
        </w:rPr>
        <w:t>项目列示。</w:t>
      </w:r>
    </w:p>
    <w:p>
      <w:pPr>
        <w:pStyle w:val="BodyText"/>
        <w:spacing w:line="300" w:lineRule="auto" w:before="5"/>
        <w:ind w:right="188" w:firstLine="506"/>
        <w:jc w:val="both"/>
      </w:pPr>
      <w:r>
        <w:rPr>
          <w:spacing w:val="-1"/>
        </w:rPr>
        <w:t>外币报表折算差额，在编制合并财务报表时，在合并资产负债表中所有者权益项目下单独作为</w:t>
      </w:r>
      <w:r>
        <w:rPr>
          <w:rFonts w:ascii="Times New Roman" w:hAnsi="Times New Roman" w:cs="Times New Roman" w:eastAsia="Times New Roman" w:hint="default"/>
          <w:spacing w:val="-1"/>
        </w:rPr>
        <w:t>“</w:t>
      </w:r>
      <w:r>
        <w:rPr>
          <w:spacing w:val="-1"/>
        </w:rPr>
        <w:t>外币报表折算差额</w:t>
      </w:r>
      <w:r>
        <w:rPr>
          <w:rFonts w:ascii="Times New Roman" w:hAnsi="Times New Roman" w:cs="Times New Roman" w:eastAsia="Times New Roman" w:hint="default"/>
          <w:spacing w:val="-1"/>
        </w:rPr>
        <w:t>”</w:t>
      </w:r>
      <w:r>
        <w:rPr>
          <w:spacing w:val="-1"/>
        </w:rPr>
        <w:t>项</w:t>
      </w:r>
      <w:r>
        <w:rPr/>
        <w:t> 目列示。</w:t>
      </w:r>
    </w:p>
    <w:p>
      <w:pPr>
        <w:spacing w:after="0" w:line="300"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9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60"/>
        <w:jc w:val="left"/>
      </w:pPr>
      <w:r>
        <w:rPr>
          <w:spacing w:val="-2"/>
        </w:rPr>
        <w:t>金融工具是指形成一个企业的金融资产、并形成其他单位的金融负债或权益工具的合同。包括：金额资产、金融负债和</w:t>
      </w:r>
      <w:r>
        <w:rPr/>
        <w:t> 权益工具。</w:t>
      </w:r>
    </w:p>
    <w:p>
      <w:pPr>
        <w:pStyle w:val="BodyText"/>
        <w:spacing w:line="316" w:lineRule="auto" w:before="19"/>
        <w:ind w:right="91" w:firstLine="360"/>
        <w:jc w:val="left"/>
      </w:pPr>
      <w:r>
        <w:rPr>
          <w:spacing w:val="-2"/>
        </w:rPr>
        <w:t>本公司金融资产和金融负债划分为以公允价值计量且其变动计入当期损益的金融资产或金融负债、持有至到期投资、应</w:t>
      </w:r>
      <w:r>
        <w:rPr/>
        <w:t> 收款项和可供出售金融资产四类。</w:t>
      </w:r>
    </w:p>
    <w:p>
      <w:pPr>
        <w:spacing w:line="240" w:lineRule="auto" w:before="7"/>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1"/>
        <w:jc w:val="left"/>
      </w:pPr>
      <w:r>
        <w:rPr/>
        <w:t>①以公允价值计量且其变动计入当期损益的金融资产或金融负债 </w:t>
      </w:r>
      <w:r>
        <w:rPr>
          <w:spacing w:val="-2"/>
        </w:rPr>
        <w:t>确认依据：此类金融资产或金融负债可进一步分为交易性金融资产或金融负债、直接指定为以公允价值计量且其变动计</w:t>
      </w:r>
    </w:p>
    <w:p>
      <w:pPr>
        <w:pStyle w:val="BodyText"/>
        <w:spacing w:line="316" w:lineRule="auto" w:before="19"/>
        <w:ind w:left="153" w:right="189"/>
        <w:jc w:val="both"/>
      </w:pPr>
      <w:r>
        <w:rPr>
          <w:spacing w:val="-2"/>
        </w:rPr>
        <w:t>入当期损益的金融资产或金融负债。交易性金融资产或金融负债，主要指企业为了近期内出售而持有的股票、债券、基金以</w:t>
      </w:r>
      <w:r>
        <w:rPr>
          <w:spacing w:val="-66"/>
        </w:rPr>
        <w:t> </w:t>
      </w:r>
      <w:r>
        <w:rPr>
          <w:spacing w:val="-66"/>
        </w:rPr>
      </w:r>
      <w:r>
        <w:rPr>
          <w:spacing w:val="-2"/>
        </w:rPr>
        <w:t>及不作为有效套期工具的衍生工具或近期内回购而承担的金融负债；直接指定以公允价值计量且其变动计入当期损益的金融</w:t>
      </w:r>
      <w:r>
        <w:rPr>
          <w:spacing w:val="-64"/>
        </w:rPr>
        <w:t> </w:t>
      </w:r>
      <w:r>
        <w:rPr>
          <w:spacing w:val="-64"/>
        </w:rPr>
      </w:r>
      <w:r>
        <w:rPr/>
        <w:t>资产或金融负债，主要是指企业基于风险管理，战略投资需要等所作的指定。</w:t>
      </w:r>
    </w:p>
    <w:p>
      <w:pPr>
        <w:pStyle w:val="BodyText"/>
        <w:spacing w:line="316" w:lineRule="auto" w:before="19"/>
        <w:ind w:left="153" w:right="91" w:firstLine="360"/>
        <w:jc w:val="left"/>
      </w:pPr>
      <w:r>
        <w:rPr>
          <w:spacing w:val="-2"/>
        </w:rPr>
        <w:t>计量方法：以公允价值计量且其变动计入当期损益的金融资产或金融负债，取得时以公允价值（扣除已宣告但尚未发放</w:t>
      </w:r>
      <w:r>
        <w:rPr/>
        <w:t> 的现金股利或已到付息期但尚未领取的债券利息）作为初始确认金额。</w:t>
      </w:r>
    </w:p>
    <w:p>
      <w:pPr>
        <w:pStyle w:val="BodyText"/>
        <w:spacing w:line="316" w:lineRule="auto" w:before="19"/>
        <w:ind w:left="513" w:right="1711"/>
        <w:jc w:val="left"/>
      </w:pPr>
      <w:r>
        <w:rPr/>
        <w:t>持有期间将取得的利息或现金股利确认为投资收益，资产负债表日将公允价值变动计入当期损益。 处置时，公允价值与初始入账金额之间的差额确认为投资收益，同时调整公允价值变动损益。</w:t>
      </w:r>
    </w:p>
    <w:p>
      <w:pPr>
        <w:pStyle w:val="BodyText"/>
        <w:spacing w:line="316" w:lineRule="auto" w:before="19"/>
        <w:ind w:left="513" w:right="91"/>
        <w:jc w:val="left"/>
      </w:pPr>
      <w:r>
        <w:rPr/>
        <w:t>②持有至到期投资 </w:t>
      </w:r>
      <w:r>
        <w:rPr>
          <w:spacing w:val="-2"/>
        </w:rPr>
        <w:t>确认依据：指本公司购入的到期日固定、回收金额固定或可确定，且本公司有明确意图和能力持有至到期的固定利率国</w:t>
      </w:r>
    </w:p>
    <w:p>
      <w:pPr>
        <w:pStyle w:val="BodyText"/>
        <w:spacing w:line="316" w:lineRule="auto" w:before="19"/>
        <w:ind w:left="513" w:right="91" w:hanging="360"/>
        <w:jc w:val="left"/>
      </w:pPr>
      <w:r>
        <w:rPr/>
        <w:t>债、浮动利率公司债券等非衍生金融资产。 计量方法：取得时按公允价值（扣除已到付息期但尚未领取的债券利息）和相关交易费用之和作为初始确认金额。 持有期间按照摊余成本计量，采用实际利率法（如实际利率与票面利率差别较小的，按票面利率）计算确认利息收入，</w:t>
      </w:r>
    </w:p>
    <w:p>
      <w:pPr>
        <w:pStyle w:val="BodyText"/>
        <w:spacing w:line="316" w:lineRule="auto" w:before="19"/>
        <w:ind w:left="514" w:right="91" w:hanging="360"/>
        <w:jc w:val="left"/>
      </w:pPr>
      <w:r>
        <w:rPr/>
        <w:t>计入投资收益。实际利率在取得时确定，在该预期存续期间或适用的更短期间内保持不变。 处置时，将所取得价款与该投资账面价值之间的差额计入投资收益。 </w:t>
      </w:r>
      <w:r>
        <w:rPr>
          <w:spacing w:val="-2"/>
        </w:rPr>
        <w:t>若本公司于到期日前出售或重分类了较大金额的持有至到期投资（较大金额是指相对该类投资出售或重分类前的总金额</w:t>
      </w:r>
    </w:p>
    <w:p>
      <w:pPr>
        <w:pStyle w:val="BodyText"/>
        <w:spacing w:line="316" w:lineRule="auto" w:before="19"/>
        <w:ind w:right="191"/>
        <w:jc w:val="both"/>
      </w:pPr>
      <w:r>
        <w:rPr>
          <w:spacing w:val="-2"/>
        </w:rPr>
        <w:t>而言），则本公司将该类投资的剩余部分重分类为可供出售金融资产，且在本会计期间及以后两个完整的会计年度内不再将</w:t>
      </w:r>
      <w:r>
        <w:rPr>
          <w:spacing w:val="-66"/>
        </w:rPr>
        <w:t> </w:t>
      </w:r>
      <w:r>
        <w:rPr>
          <w:spacing w:val="-66"/>
        </w:rPr>
      </w:r>
      <w:r>
        <w:rPr>
          <w:spacing w:val="-2"/>
        </w:rPr>
        <w:t>该金融资产划分为持有至到期投资，但下列情况除外：出售日或重分类日距离该项投资到期日或赎回日较近（如到期前三个</w:t>
      </w:r>
      <w:r>
        <w:rPr>
          <w:spacing w:val="-66"/>
        </w:rPr>
        <w:t> </w:t>
      </w:r>
      <w:r>
        <w:rPr>
          <w:spacing w:val="-66"/>
        </w:rPr>
      </w:r>
      <w:r>
        <w:rPr>
          <w:spacing w:val="-2"/>
        </w:rPr>
        <w:t>月内），市场利率变化对该项投资的公允价值没有显著影响；根据合同约定的定期偿付或提前还款方式收回该投资几乎所有</w:t>
      </w:r>
      <w:r>
        <w:rPr>
          <w:spacing w:val="-66"/>
        </w:rPr>
        <w:t> </w:t>
      </w:r>
      <w:r>
        <w:rPr>
          <w:spacing w:val="-66"/>
        </w:rPr>
      </w:r>
      <w:r>
        <w:rPr>
          <w:spacing w:val="-2"/>
        </w:rPr>
        <w:t>初始本金后，将剩余部分予以出售或重分类；出售或重分类是由于本公司无法控制、预期不会重复发生且难以合理预计的独</w:t>
      </w:r>
      <w:r>
        <w:rPr>
          <w:spacing w:val="-66"/>
        </w:rPr>
        <w:t> </w:t>
      </w:r>
      <w:r>
        <w:rPr>
          <w:spacing w:val="-66"/>
        </w:rPr>
      </w:r>
      <w:r>
        <w:rPr/>
        <w:t>立事项所引起。</w:t>
      </w:r>
    </w:p>
    <w:p>
      <w:pPr>
        <w:pStyle w:val="BodyText"/>
        <w:spacing w:line="316" w:lineRule="auto" w:before="19"/>
        <w:ind w:left="514" w:right="91"/>
        <w:jc w:val="left"/>
      </w:pPr>
      <w:r>
        <w:rPr/>
        <w:t>③应收款项 </w:t>
      </w:r>
      <w:r>
        <w:rPr>
          <w:spacing w:val="-4"/>
        </w:rPr>
        <w:t>确认依据：公司对外销售商品或提供劳务形成的应收账款等债权，按从购货方应收的合同或协议价款作为初始确认金额。</w:t>
      </w:r>
      <w:r>
        <w:rPr>
          <w:spacing w:val="-52"/>
        </w:rPr>
        <w:t> </w:t>
      </w:r>
      <w:r>
        <w:rPr>
          <w:spacing w:val="-52"/>
        </w:rPr>
      </w:r>
      <w:r>
        <w:rPr/>
        <w:t>计量方法：持有期间采用实际利率法，按摊余成本计量。 收回或处置时，将取得的价款与该应收款项账面价值之间的差额计入当期损益。</w:t>
      </w:r>
    </w:p>
    <w:p>
      <w:pPr>
        <w:pStyle w:val="BodyText"/>
        <w:spacing w:line="316" w:lineRule="auto" w:before="19"/>
        <w:ind w:left="514" w:right="91"/>
        <w:jc w:val="left"/>
      </w:pPr>
      <w:r>
        <w:rPr/>
        <w:t>④可供出售金融资产 </w:t>
      </w:r>
      <w:r>
        <w:rPr>
          <w:spacing w:val="-2"/>
        </w:rPr>
        <w:t>确认依据：指本公司没有划分为以公允价值计量且其变动计入当期损益的金融资产、持有至到期投资、应收款项的金融</w:t>
      </w:r>
    </w:p>
    <w:p>
      <w:pPr>
        <w:pStyle w:val="BodyText"/>
        <w:spacing w:line="240" w:lineRule="auto" w:before="19"/>
        <w:ind w:right="91"/>
        <w:jc w:val="left"/>
      </w:pPr>
      <w:r>
        <w:rPr/>
        <w:t>资产。</w:t>
      </w:r>
    </w:p>
    <w:p>
      <w:pPr>
        <w:pStyle w:val="BodyText"/>
        <w:spacing w:line="316" w:lineRule="auto" w:before="76"/>
        <w:ind w:right="91" w:firstLine="360"/>
        <w:jc w:val="left"/>
      </w:pPr>
      <w:r>
        <w:rPr>
          <w:spacing w:val="-2"/>
        </w:rPr>
        <w:t>计量方法：取得时按公允价值（扣除已宣告但尚未发放的现金股利或已到付息期但尚未领取的债券利息）和相关交易费</w:t>
      </w:r>
      <w:r>
        <w:rPr/>
        <w:t> 用之和作为初始确认金额。</w:t>
      </w:r>
    </w:p>
    <w:p>
      <w:pPr>
        <w:pStyle w:val="BodyText"/>
        <w:spacing w:line="316" w:lineRule="auto" w:before="19"/>
        <w:ind w:left="514" w:right="91"/>
        <w:jc w:val="left"/>
      </w:pPr>
      <w:r>
        <w:rPr/>
        <w:t>持有期间将取得的利息或现金股利确认为投资收益。资产负债表日将公允价值变动计入资本公积（其他资本公积）。 </w:t>
      </w:r>
      <w:r>
        <w:rPr>
          <w:spacing w:val="-2"/>
        </w:rPr>
        <w:t>处置时，将取得的价款与该金融资产账面价值之间的差额，计入投资损益；同时，将原直接计入所有者权益的公允价值</w:t>
      </w:r>
    </w:p>
    <w:p>
      <w:pPr>
        <w:pStyle w:val="BodyText"/>
        <w:spacing w:line="240" w:lineRule="auto" w:before="19"/>
        <w:ind w:right="91"/>
        <w:jc w:val="left"/>
      </w:pPr>
      <w:r>
        <w:rPr/>
        <w:t>变动累计额对应处置部分的金额转出，计入投资损益。</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360"/>
        <w:jc w:val="left"/>
      </w:pPr>
      <w:r>
        <w:rPr>
          <w:spacing w:val="-2"/>
        </w:rPr>
        <w:t>金融资产转移的确认依据：本公司已将金融资产所有权上几乎所有的风险和报酬转移给转入方的或即没有转移也没有保</w:t>
      </w:r>
      <w:r>
        <w:rPr/>
        <w:t> 留金融资产所有权上几乎所有的风险和报酬，但放弃了对该金融资产控制的，终止对该金融资产的确认。</w:t>
      </w:r>
    </w:p>
    <w:p>
      <w:pPr>
        <w:pStyle w:val="BodyText"/>
        <w:spacing w:line="240" w:lineRule="auto" w:before="19"/>
        <w:ind w:left="513" w:right="91"/>
        <w:jc w:val="left"/>
      </w:pPr>
      <w:r>
        <w:rPr/>
        <w:t>金融资产转移的计量方法</w:t>
      </w:r>
    </w:p>
    <w:p>
      <w:pPr>
        <w:pStyle w:val="BodyText"/>
        <w:spacing w:line="316" w:lineRule="auto" w:before="76"/>
        <w:ind w:left="514" w:right="270"/>
        <w:jc w:val="left"/>
      </w:pPr>
      <w:r>
        <w:rPr/>
        <w:t>①整体转移满足终止确认条件时的计量：金融资产整体转移满足终止确认条件的，将下列两项的差额计入当期损益。 所转移金融资产的账面价值；</w:t>
      </w:r>
    </w:p>
    <w:p>
      <w:pPr>
        <w:pStyle w:val="BodyText"/>
        <w:spacing w:line="240" w:lineRule="auto" w:before="19"/>
        <w:ind w:left="514" w:right="91"/>
        <w:jc w:val="left"/>
      </w:pPr>
      <w:r>
        <w:rPr/>
        <w:t>因转移而收到的对价，与原直接计入所有者权益的公允价值变动累计额之和。</w:t>
      </w:r>
    </w:p>
    <w:p>
      <w:pPr>
        <w:pStyle w:val="BodyText"/>
        <w:spacing w:line="316" w:lineRule="auto" w:before="76"/>
        <w:ind w:right="90" w:firstLine="360"/>
        <w:jc w:val="left"/>
      </w:pPr>
      <w:r>
        <w:rPr/>
        <w:t>②部分转移满足终止确认条件时的计量：金融资产部分转移满足终止确认条件的，将所转移金融资产整体的账面价值， 在终止确认部分和未终止确认部分之间，按照各自的相对公允价值进行分摊，并将下列两项金额的差额计入当期损益。</w:t>
      </w:r>
    </w:p>
    <w:p>
      <w:pPr>
        <w:pStyle w:val="BodyText"/>
        <w:spacing w:line="316" w:lineRule="auto" w:before="19"/>
        <w:ind w:left="514" w:right="1170"/>
        <w:jc w:val="left"/>
      </w:pPr>
      <w:r>
        <w:rPr/>
        <w:t>终止确认部分的账面价值； 终止确认部分的对价，与原直接计入所有者权益的公允价值变动累计额中对应终止确认部分的金额之和。</w:t>
      </w:r>
    </w:p>
    <w:p>
      <w:pPr>
        <w:pStyle w:val="BodyText"/>
        <w:spacing w:line="240" w:lineRule="auto" w:before="19"/>
        <w:ind w:left="514" w:right="91"/>
        <w:jc w:val="left"/>
      </w:pPr>
      <w:r>
        <w:rPr/>
        <w:t>③金融资产转移不满足终止确认条件的，继续确认该金融资产，将所收到的对价确认为一项金融负债。</w:t>
      </w:r>
    </w:p>
    <w:p>
      <w:pPr>
        <w:pStyle w:val="BodyText"/>
        <w:spacing w:line="316" w:lineRule="auto" w:before="76"/>
        <w:ind w:right="175" w:firstLine="506"/>
        <w:jc w:val="left"/>
      </w:pPr>
      <w:r>
        <w:rPr>
          <w:spacing w:val="-1"/>
        </w:rPr>
        <w:t>④对于采用继续涉入方式的金融资产转移，本公司按照继续涉入所转移金融资产的程度确认一项金融资产，同时确认</w:t>
      </w:r>
      <w:r>
        <w:rPr/>
        <w:t> 一项金融负债。</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60" w:right="91"/>
        <w:jc w:val="left"/>
      </w:pPr>
      <w:r>
        <w:rPr/>
        <w:t>本公司在金融负债的现实义务全部或部分已经解除时终止确认该金融负债或其一部分。</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3331"/>
        <w:jc w:val="left"/>
      </w:pPr>
      <w:r>
        <w:rPr/>
        <w:t>存在活跃市场的金融资产或金融负债，用活跃市场中的报价来确定公允价值； 金融工具不存在活跃市场的，本公司采用估值技术确定其公允价值。</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1"/>
        <w:jc w:val="left"/>
      </w:pPr>
      <w:r>
        <w:rPr>
          <w:spacing w:val="-4"/>
        </w:rPr>
        <w:t>本公司在资产负债表日对金融资产（不含应收款项）的账面价值进行检查，有客观证据表明发生减值的，计提减值准备。</w:t>
      </w:r>
      <w:r>
        <w:rPr>
          <w:spacing w:val="-54"/>
        </w:rPr>
        <w:t> </w:t>
      </w:r>
      <w:r>
        <w:rPr>
          <w:spacing w:val="-54"/>
        </w:rPr>
      </w:r>
      <w:r>
        <w:rPr/>
        <w:t>持有至到期投资：根据账面价值与预计未来现金流量的现值之间的差额计算确认减值损失。 </w:t>
      </w:r>
      <w:r>
        <w:rPr>
          <w:spacing w:val="-2"/>
        </w:rPr>
        <w:t>可供出售金融资产：有客观证据表明可供出售金融资产公允价值发生较大幅度下降，并预期这种下降趋势属于非暂时性</w:t>
      </w:r>
    </w:p>
    <w:p>
      <w:pPr>
        <w:pStyle w:val="BodyText"/>
        <w:spacing w:line="316" w:lineRule="auto" w:before="19"/>
        <w:ind w:right="191"/>
        <w:jc w:val="both"/>
      </w:pPr>
      <w:r>
        <w:rPr>
          <w:spacing w:val="-2"/>
        </w:rPr>
        <w:t>的，可以认定该可供出售金融资产已发生减值，确认减值损失。可供出售金融资产发生减值的，在确认减值损失时，应当将</w:t>
      </w:r>
      <w:r>
        <w:rPr>
          <w:spacing w:val="-66"/>
        </w:rPr>
        <w:t> </w:t>
      </w:r>
      <w:r>
        <w:rPr>
          <w:spacing w:val="-66"/>
        </w:rPr>
      </w:r>
      <w:r>
        <w:rPr>
          <w:spacing w:val="-2"/>
        </w:rPr>
        <w:t>原直接计入所有者权益的公允价值下降形成的累计损失一并转出，计入减值损失。该转出的累积损失，等于可供出售金融资</w:t>
      </w:r>
      <w:r>
        <w:rPr>
          <w:spacing w:val="-66"/>
        </w:rPr>
        <w:t> </w:t>
      </w:r>
      <w:r>
        <w:rPr>
          <w:spacing w:val="-66"/>
        </w:rPr>
      </w:r>
      <w:r>
        <w:rPr/>
        <w:t>产的初始取得成本扣除已收回本金和已摊销金额、当前公允价值和原已计入损益的减值损失后的余额。</w:t>
      </w:r>
    </w:p>
    <w:p>
      <w:pPr>
        <w:pStyle w:val="BodyText"/>
        <w:spacing w:line="316" w:lineRule="auto" w:before="19"/>
        <w:ind w:right="90" w:firstLine="360"/>
        <w:jc w:val="left"/>
      </w:pPr>
      <w:r>
        <w:rPr>
          <w:spacing w:val="-2"/>
        </w:rPr>
        <w:t>对于已确认减值损失的可供出售债务工具，在随后的会计期间公允价值已上升且客观上与确认原减值损失后发生的事项</w:t>
      </w:r>
      <w:r>
        <w:rPr/>
        <w:t> 有关的，原确认的减值损失予以转回，计入当期损益。可供出售权益工具投资发生的减值损失，在该权益工具价值回升时， 通过权益转回，不通过损益转回。</w:t>
      </w:r>
    </w:p>
    <w:p>
      <w:pPr>
        <w:pStyle w:val="BodyText"/>
        <w:spacing w:line="316" w:lineRule="auto" w:before="19"/>
        <w:ind w:right="91" w:firstLine="360"/>
        <w:jc w:val="left"/>
      </w:pPr>
      <w:r>
        <w:rPr>
          <w:spacing w:val="-2"/>
        </w:rPr>
        <w:t>表明金融资产发生减值的客观证据，是指在该金融资产初始确认后实际发生的，对该金融资产的预计未来现金流量有影</w:t>
      </w:r>
      <w:r>
        <w:rPr/>
        <w:t> 响，且本公司能够对该影响进行可靠计量的事项。</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单项金额重大的应收款项为期末余额在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万元以上的应 收款项</w:t>
            </w:r>
          </w:p>
        </w:tc>
      </w:tr>
      <w:tr>
        <w:trPr>
          <w:trHeight w:val="1339"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有客观证据表明其已发生减值，确认减值损失，计提坏账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准备；如无客观证据表明其已发生减值，则对单项金额重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大的应收款项按账龄分析法计提坏账准备。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单项金额重大的应收款项为期末余额在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 款项</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其他不重大应收账款为期末余额在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万元以下的应收款项</w:t>
            </w:r>
          </w:p>
        </w:tc>
      </w:tr>
    </w:tbl>
    <w:p>
      <w:pPr>
        <w:pStyle w:val="BodyText"/>
        <w:spacing w:line="240" w:lineRule="auto" w:before="51"/>
        <w:ind w:right="149"/>
        <w:jc w:val="left"/>
      </w:pPr>
      <w:r>
        <w:rPr/>
        <w:t>组合中，采用账龄分析法计提坏账准备的</w:t>
      </w:r>
    </w:p>
    <w:p>
      <w:pPr>
        <w:pStyle w:val="BodyText"/>
        <w:spacing w:line="240" w:lineRule="auto" w:before="117"/>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51"/>
        <w:ind w:right="149"/>
        <w:jc w:val="left"/>
      </w:pPr>
      <w:r>
        <w:rPr/>
        <w:t>组合中，采用余额百分比法计提坏账准备的</w:t>
      </w:r>
    </w:p>
    <w:p>
      <w:pPr>
        <w:pStyle w:val="BodyText"/>
        <w:spacing w:line="338" w:lineRule="auto" w:before="117"/>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25"/>
          <w:szCs w:val="25"/>
        </w:rPr>
      </w:pPr>
    </w:p>
    <w:p>
      <w:pPr>
        <w:spacing w:line="1317" w:lineRule="exact"/>
        <w:ind w:left="14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9.35pt;height:65.9pt;mso-position-horizontal-relative:char;mso-position-vertical-relative:line" coordorigin="0,0" coordsize="9587,1318">
            <v:group style="position:absolute;left:14;top:854;width:3345;height:448" coordorigin="14,854" coordsize="3345,448">
              <v:shape style="position:absolute;left:14;top:854;width:3345;height:448" coordorigin="14,854" coordsize="3345,448" path="m14,1302l3359,1302,3359,854,14,854,14,1302xe" filled="true" fillcolor="#d3d3d3" stroked="false">
                <v:path arrowok="t"/>
                <v:fill type="solid"/>
              </v:shape>
            </v:group>
            <v:group style="position:absolute;left:26;top:462;width:2;height:392" coordorigin="26,462" coordsize="2,392">
              <v:shape style="position:absolute;left:26;top:462;width:2;height:392" coordorigin="26,462" coordsize="0,392" path="m26,462l26,854e" filled="false" stroked="true" strokeweight="1.140pt" strokecolor="#d3d3d3">
                <v:path arrowok="t"/>
              </v:shape>
            </v:group>
            <v:group style="position:absolute;left:14;top:14;width:3345;height:448" coordorigin="14,14" coordsize="3345,448">
              <v:shape style="position:absolute;left:14;top:14;width:3345;height:448" coordorigin="14,14" coordsize="3345,448" path="m14,462l3359,462,3359,14,14,14,14,462xe" filled="true" fillcolor="#d3d3d3" stroked="false">
                <v:path arrowok="t"/>
                <v:fill type="solid"/>
              </v:shape>
            </v:group>
            <v:group style="position:absolute;left:3347;top:462;width:2;height:393" coordorigin="3347,462" coordsize="2,393">
              <v:shape style="position:absolute;left:3347;top:462;width:2;height:393" coordorigin="3347,462" coordsize="0,393" path="m3347,462l3347,854e" filled="false" stroked="true" strokeweight="1.140pt" strokecolor="#d3d3d3">
                <v:path arrowok="t"/>
              </v:shape>
            </v:group>
            <v:group style="position:absolute;left:37;top:462;width:3299;height:393" coordorigin="37,462" coordsize="3299,393">
              <v:shape style="position:absolute;left:37;top:462;width:3299;height:393" coordorigin="37,462" coordsize="3299,393" path="m37,854l3336,854,3336,462,37,462,37,854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1308" coordorigin="10,5" coordsize="2,1308">
              <v:shape style="position:absolute;left:10;top:5;width:2;height:1308" coordorigin="10,5" coordsize="0,1308" path="m10,5l10,1313e" filled="false" stroked="true" strokeweight=".48001pt" strokecolor="#000000">
                <v:path arrowok="t"/>
              </v:shape>
            </v:group>
            <v:group style="position:absolute;left:5;top:1308;width:3354;height:2" coordorigin="5,1308" coordsize="3354,2">
              <v:shape style="position:absolute;left:5;top:1308;width:3354;height:2" coordorigin="5,1308" coordsize="3354,0" path="m5,1308l3359,1308e" filled="false" stroked="true" strokeweight=".47998pt" strokecolor="#000000">
                <v:path arrowok="t"/>
              </v:shape>
            </v:group>
            <v:group style="position:absolute;left:3364;top:14;width:2;height:1299" coordorigin="3364,14" coordsize="2,1299">
              <v:shape style="position:absolute;left:3364;top:14;width:2;height:1299" coordorigin="3364,14" coordsize="0,1299" path="m3364,14l3364,1313e" filled="false" stroked="true" strokeweight=".48pt" strokecolor="#000000">
                <v:path arrowok="t"/>
              </v:shape>
            </v:group>
            <v:group style="position:absolute;left:3368;top:1308;width:6204;height:2" coordorigin="3368,1308" coordsize="6204,2">
              <v:shape style="position:absolute;left:3368;top:1308;width:6204;height:2" coordorigin="3368,1308" coordsize="6204,0" path="m3368,1308l9572,1308e" filled="false" stroked="true" strokeweight=".47998pt" strokecolor="#000000">
                <v:path arrowok="t"/>
              </v:shape>
            </v:group>
            <v:group style="position:absolute;left:9577;top:5;width:2;height:1308" coordorigin="9577,5" coordsize="2,1308">
              <v:shape style="position:absolute;left:9577;top:5;width:2;height:1308" coordorigin="9577,5" coordsize="0,1308" path="m9577,5l9577,1313e" filled="false" stroked="true" strokeweight=".47998pt" strokecolor="#000000">
                <v:path arrowok="t"/>
              </v:shape>
              <v:shape style="position:absolute;left:10;top:10;width:3354;height:1299"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0"/>
                          <w:szCs w:val="20"/>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3364;top:10;width:6214;height:1299" type="#_x0000_t202" filled="false" stroked="false">
                <v:textbox inset="0,0,0,0">
                  <w:txbxContent>
                    <w:p>
                      <w:pPr>
                        <w:spacing w:line="316" w:lineRule="auto" w:before="56"/>
                        <w:ind w:left="27" w:right="65" w:firstLine="0"/>
                        <w:jc w:val="both"/>
                        <w:rPr>
                          <w:rFonts w:ascii="宋体" w:hAnsi="宋体" w:cs="宋体" w:eastAsia="宋体" w:hint="default"/>
                          <w:sz w:val="18"/>
                          <w:szCs w:val="18"/>
                        </w:rPr>
                      </w:pPr>
                      <w:r>
                        <w:rPr>
                          <w:rFonts w:ascii="宋体" w:hAnsi="宋体" w:cs="宋体" w:eastAsia="宋体" w:hint="default"/>
                          <w:sz w:val="18"/>
                          <w:szCs w:val="18"/>
                        </w:rPr>
                        <w:t>期末对于合并报表范围内的公司及关联方的应收款项单独进行减值测试。如有 客观证据表明其发生了减值的，根据其未来现金流量现值低于其账面价值的差 额，确认减值损失，计提坏账准备。如无客观证据表明其发生减值的，则对关 联方的应收款项按账龄分析法计提坏账准备；对合并报表范围内的公司不计提</w:t>
                      </w:r>
                    </w:p>
                  </w:txbxContent>
                </v:textbox>
                <w10:wrap type="none"/>
              </v:shape>
            </v:group>
          </v:group>
        </w:pict>
      </w:r>
      <w:r>
        <w:rPr>
          <w:rFonts w:ascii="宋体" w:hAnsi="宋体" w:cs="宋体" w:eastAsia="宋体" w:hint="default"/>
          <w:position w:val="-25"/>
          <w:sz w:val="20"/>
          <w:szCs w:val="20"/>
        </w:rPr>
      </w:r>
    </w:p>
    <w:p>
      <w:pPr>
        <w:spacing w:after="0" w:line="1317"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before="44"/>
        <w:ind w:left="0" w:right="158"/>
        <w:jc w:val="right"/>
      </w:pPr>
      <w:r>
        <w:rPr/>
        <w:pict>
          <v:shape style="position:absolute;margin-left:56.459999pt;margin-top:-18.968008pt;width:479.1pt;height:69.9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4"/>
                    <w:gridCol w:w="6214"/>
                  </w:tblGrid>
                  <w:tr>
                    <w:trPr>
                      <w:trHeight w:val="36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pacing w:val="-2"/>
                            <w:sz w:val="18"/>
                            <w:szCs w:val="18"/>
                          </w:rPr>
                          <w:t>对于期末单项金额非重大、采用与经单独测试后未减值的非关联方的应收款项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按应收款项账龄余额的百分比分析计提坏账准备，期末与期初坏账准备余额之 差计入资产减值损失。</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35"/>
        <w:ind w:right="149"/>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0" w:firstLine="360"/>
        <w:jc w:val="both"/>
      </w:pPr>
      <w:r>
        <w:rPr>
          <w:spacing w:val="-2"/>
        </w:rPr>
        <w:t>存货是指本公司在日常活动中持有以备出售的产成品或商品、处在生产过程中的在产品、在生产过程或提供劳务过程中</w:t>
      </w:r>
      <w:r>
        <w:rPr/>
        <w:t> 耗用的材料和物料等。本公司存货包括库存商品、原材料、包装物、在产品、自制半成品、消耗性生物资产等。</w:t>
      </w:r>
    </w:p>
    <w:p>
      <w:pPr>
        <w:spacing w:line="240" w:lineRule="auto" w:before="3"/>
        <w:rPr>
          <w:rFonts w:ascii="宋体" w:hAnsi="宋体" w:cs="宋体" w:eastAsia="宋体" w:hint="default"/>
          <w:sz w:val="22"/>
          <w:szCs w:val="22"/>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计价方法：加权平均法</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0" w:firstLine="360"/>
        <w:jc w:val="both"/>
      </w:pPr>
      <w:r>
        <w:rPr>
          <w:spacing w:val="-2"/>
        </w:rPr>
        <w:t>本公司存货按照成本与可变现净值孰低计量。可变现净值，是指在日常活动中，存货的估计售价减去至完工时估计将要</w:t>
      </w:r>
      <w:r>
        <w:rPr/>
        <w:t> </w:t>
      </w:r>
      <w:r>
        <w:rPr>
          <w:spacing w:val="-2"/>
        </w:rPr>
        <w:t>发生的成本、估计的销售费用以及相关税费后的金额。其中：商品存货的可变现净值为估计售价减去估计的销售费用以及相</w:t>
      </w:r>
      <w:r>
        <w:rPr>
          <w:spacing w:val="-66"/>
        </w:rPr>
        <w:t> </w:t>
      </w:r>
      <w:r>
        <w:rPr>
          <w:spacing w:val="-66"/>
        </w:rPr>
      </w:r>
      <w:r>
        <w:rPr>
          <w:spacing w:val="-2"/>
        </w:rPr>
        <w:t>关税费后的金额；材料存货的可变现净值为产成品估计售价减去至完工时估计将要发生的成本、估计的销售费用以及相关税</w:t>
      </w:r>
      <w:r>
        <w:rPr>
          <w:spacing w:val="-64"/>
        </w:rPr>
        <w:t> </w:t>
      </w:r>
      <w:r>
        <w:rPr>
          <w:spacing w:val="-64"/>
        </w:rPr>
      </w:r>
      <w:r>
        <w:rPr/>
        <w:t>费后的金额。</w:t>
      </w:r>
    </w:p>
    <w:p>
      <w:pPr>
        <w:pStyle w:val="BodyText"/>
        <w:spacing w:line="319" w:lineRule="auto" w:before="56"/>
        <w:ind w:right="149" w:firstLine="360"/>
        <w:jc w:val="both"/>
      </w:pPr>
      <w:r>
        <w:rPr>
          <w:spacing w:val="-2"/>
        </w:rPr>
        <w:t>本公司确定存货的可变现净值，以取得的确凿证据为基础，并且考虑持有存货的目的、资产负债表日后事项的影响等因</w:t>
      </w:r>
      <w:r>
        <w:rPr/>
        <w:t> </w:t>
      </w:r>
      <w:r>
        <w:rPr>
          <w:spacing w:val="-2"/>
        </w:rPr>
        <w:t>素。为生产而持有的材料等，用其生产的产成品的可变现净值高于成本的，该材料仍然按照成本计量；材料价格的下降表明</w:t>
      </w:r>
      <w:r>
        <w:rPr>
          <w:spacing w:val="-66"/>
        </w:rPr>
        <w:t> </w:t>
      </w:r>
      <w:r>
        <w:rPr>
          <w:spacing w:val="-66"/>
        </w:rPr>
      </w:r>
      <w:r>
        <w:rPr/>
        <w:t>产成品的可变现净值低于成本的，该材料按照可变现净值计量。</w:t>
      </w:r>
    </w:p>
    <w:p>
      <w:pPr>
        <w:pStyle w:val="BodyText"/>
        <w:spacing w:line="357" w:lineRule="auto" w:before="56"/>
        <w:ind w:left="514" w:right="149"/>
        <w:jc w:val="left"/>
      </w:pPr>
      <w:r>
        <w:rPr/>
        <w:t>存货成本高于其可变现净值的，计提存货跌价准备，计入当期损益。本公司按照单个存货项目计提存货跌价准备。 </w:t>
      </w:r>
      <w:r>
        <w:rPr>
          <w:spacing w:val="-2"/>
        </w:rPr>
        <w:t>本公司于资产负债表日确定存货的可变现净值。以前减记存货价值的影响因素已经消失的，减记的金额予以恢复，并在</w:t>
      </w:r>
    </w:p>
    <w:p>
      <w:pPr>
        <w:pStyle w:val="BodyText"/>
        <w:spacing w:line="225" w:lineRule="exact"/>
        <w:ind w:right="149"/>
        <w:jc w:val="left"/>
      </w:pPr>
      <w:r>
        <w:rPr/>
        <w:t>原已计提的存货跌价准备金额内转回，转回的金额计入当期损益。</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盘存制度：永续盘存制</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971"/>
        <w:jc w:val="left"/>
      </w:pPr>
      <w:r>
        <w:rPr/>
        <w:t>低值易耗品 摊销方法：一次摊销法 包装物 摊销方法：一次摊销法</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9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jc w:val="left"/>
      </w:pPr>
      <w:r>
        <w:rPr/>
        <w:t>①同一控制下的企业合并取得的长期股权投资 本公司对同一控制下企业合并采用权益结合法确定企业合并成本。</w:t>
      </w:r>
      <w:r>
        <w:rPr>
          <w:spacing w:val="8"/>
        </w:rPr>
        <w:t> </w:t>
      </w:r>
      <w:r>
        <w:rPr/>
        <w:t>本公司</w:t>
      </w:r>
      <w:r>
        <w:rPr/>
        <w:t> </w:t>
      </w:r>
      <w:r>
        <w:rPr>
          <w:spacing w:val="-2"/>
        </w:rPr>
        <w:t>以支付现金、转让非现金资产或承担债务方式以及以发行权益性证券作为合并对价的，在合并日按照取得被合并方所有者权</w:t>
      </w:r>
      <w:r>
        <w:rPr>
          <w:spacing w:val="-64"/>
        </w:rPr>
        <w:t> </w:t>
      </w:r>
      <w:r>
        <w:rPr>
          <w:spacing w:val="-64"/>
        </w:rPr>
      </w:r>
      <w:r>
        <w:rPr>
          <w:spacing w:val="-2"/>
        </w:rPr>
        <w:t>益账面价值的份额作为长期股权投资的初始投资成本。长期股权投资的初始投资成本与支付的现金、转让的非现金资产或承</w:t>
      </w:r>
      <w:r>
        <w:rPr>
          <w:spacing w:val="-64"/>
        </w:rPr>
        <w:t> </w:t>
      </w:r>
      <w:r>
        <w:rPr>
          <w:spacing w:val="-64"/>
        </w:rPr>
      </w:r>
      <w:r>
        <w:rPr>
          <w:spacing w:val="-2"/>
        </w:rPr>
        <w:t>担债务账面价值以及所发行股份面值总额之间的差额，调整资本公积（资本溢价或股本溢价）；资本公积（资本溢价或股本</w:t>
      </w:r>
      <w:r>
        <w:rPr>
          <w:spacing w:val="-72"/>
        </w:rPr>
        <w:t> </w:t>
      </w:r>
      <w:r>
        <w:rPr>
          <w:spacing w:val="-72"/>
        </w:rPr>
      </w:r>
      <w:r>
        <w:rPr>
          <w:spacing w:val="-2"/>
        </w:rPr>
        <w:t>溢价）不足冲减的，调整留存收益。合并发生的各项直接相关费用，包括为进行合并而支付的审计费用、评估费用、法律服</w:t>
      </w:r>
      <w:r>
        <w:rPr>
          <w:spacing w:val="-68"/>
        </w:rPr>
        <w:t> </w:t>
      </w:r>
      <w:r>
        <w:rPr>
          <w:spacing w:val="-68"/>
        </w:rPr>
      </w:r>
      <w:r>
        <w:rPr/>
        <w:t>务费用等，于发生时计入当期损益。</w:t>
      </w:r>
      <w:r>
        <w:rPr>
          <w:spacing w:val="20"/>
        </w:rPr>
        <w:t> </w:t>
      </w:r>
      <w:r>
        <w:rPr/>
        <w:t>同一控制下企业合并形成的长期股权投资，如子公司按照改制时确定的资产、负债评</w:t>
      </w:r>
      <w:r>
        <w:rPr/>
        <w:t> </w:t>
      </w:r>
      <w:r>
        <w:rPr>
          <w:spacing w:val="-2"/>
        </w:rPr>
        <w:t>估价值调整账面价值的，本公司应当按照取得子公司经评估确认净资产的份额作为长期股权投资的成本，该成本与支付对价</w:t>
      </w:r>
      <w:r>
        <w:rPr>
          <w:spacing w:val="-64"/>
        </w:rPr>
        <w:t> </w:t>
      </w:r>
      <w:r>
        <w:rPr>
          <w:spacing w:val="-64"/>
        </w:rPr>
      </w:r>
      <w:r>
        <w:rPr/>
        <w:t>账面价值的差额调整所有者权益。 ②非同一控制下的企业合并取得的长期股权投资</w:t>
      </w:r>
      <w:r>
        <w:rPr>
          <w:spacing w:val="8"/>
        </w:rPr>
        <w:t> </w:t>
      </w:r>
      <w:r>
        <w:rPr/>
        <w:t>本公司对非同一控制下的控股合并采</w:t>
      </w:r>
      <w:r>
        <w:rPr/>
        <w:t> </w:t>
      </w:r>
      <w:r>
        <w:rPr>
          <w:spacing w:val="-2"/>
        </w:rPr>
        <w:t>用购买法确定企业合并成本，并按照确定的企业合并成本作为长期股权投资的初始投资成本。企业合并成本包括购买日为取</w:t>
      </w:r>
      <w:r>
        <w:rPr>
          <w:spacing w:val="-64"/>
        </w:rPr>
        <w:t> </w:t>
      </w:r>
      <w:r>
        <w:rPr>
          <w:spacing w:val="-64"/>
        </w:rPr>
      </w:r>
      <w:r>
        <w:rPr>
          <w:spacing w:val="-2"/>
        </w:rPr>
        <w:t>得对被购买方的控制权而付出的资产、发生或承担的负债以及发行的权益性证券的公允价值以及为进行企业合并发生的各项</w:t>
      </w:r>
      <w:r>
        <w:rPr>
          <w:spacing w:val="-64"/>
        </w:rPr>
        <w:t> </w:t>
      </w:r>
      <w:r>
        <w:rPr>
          <w:spacing w:val="-64"/>
        </w:rPr>
      </w:r>
      <w:r>
        <w:rPr>
          <w:spacing w:val="-2"/>
        </w:rPr>
        <w:t>直接相关费用之和。通过多次交易分布实现的企业合并，其企业合并成本为每一单项交易的成本之和。采用吸收合并时，企</w:t>
      </w:r>
      <w:r>
        <w:rPr>
          <w:spacing w:val="-66"/>
        </w:rPr>
        <w:t> </w:t>
      </w:r>
      <w:r>
        <w:rPr>
          <w:spacing w:val="-66"/>
        </w:rPr>
      </w:r>
      <w:r>
        <w:rPr>
          <w:spacing w:val="-4"/>
        </w:rPr>
        <w:t>业合并成本大于合并中取得的被购买方可辨认净资产公允价值份额的差额，在个别财务报表中确认为商誉；采用控股合并时，</w:t>
      </w:r>
      <w:r>
        <w:rPr>
          <w:spacing w:val="-44"/>
        </w:rPr>
        <w:t> </w:t>
      </w:r>
      <w:r>
        <w:rPr>
          <w:spacing w:val="-44"/>
        </w:rPr>
      </w:r>
      <w:r>
        <w:rPr>
          <w:spacing w:val="-2"/>
        </w:rPr>
        <w:t>合并成本大于在合并中取得的各项可辨认资产、负债公允价值份额的差额，在编制合并财务报表时确认为商誉；合并成本小</w:t>
      </w:r>
      <w:r>
        <w:rPr>
          <w:spacing w:val="-66"/>
        </w:rPr>
        <w:t> </w:t>
      </w:r>
      <w:r>
        <w:rPr>
          <w:spacing w:val="-66"/>
        </w:rPr>
      </w:r>
      <w:r>
        <w:rPr/>
        <w:t>于合并中取得的被购买方可辨认净资产公允价值份额的差额，计入合并当期损益。 ③其他方式取得的长期股权投资</w:t>
      </w:r>
      <w:r>
        <w:rPr>
          <w:spacing w:val="7"/>
        </w:rPr>
        <w:t> </w:t>
      </w:r>
      <w:r>
        <w:rPr/>
        <w:t>以支</w:t>
      </w:r>
      <w:r>
        <w:rPr/>
        <w:t> 付现金取得的长期股权投资，按照实际支付的购买价款作为初始投资成本。</w:t>
      </w:r>
      <w:r>
        <w:rPr>
          <w:spacing w:val="19"/>
        </w:rPr>
        <w:t> </w:t>
      </w:r>
      <w:r>
        <w:rPr/>
        <w:t>以发行权益性证券取得的长期股权投资，按照</w:t>
      </w:r>
      <w:r>
        <w:rPr/>
        <w:t> 所发行权益性证券的公允价值（不包括自被投资单位收取的已宣告但未发放的现金股利或利润）作为初始投资成本。</w:t>
      </w:r>
      <w:r>
        <w:rPr>
          <w:spacing w:val="19"/>
        </w:rPr>
        <w:t> </w:t>
      </w:r>
      <w:r>
        <w:rPr/>
        <w:t>投资</w:t>
      </w:r>
      <w:r>
        <w:rPr/>
        <w:t> 者投入的长期股权投资，按照投资合同或协议约定的价值作为初始投资成本，但合同或协议约定的价值不公允的除外。</w:t>
      </w:r>
      <w:r>
        <w:rPr>
          <w:spacing w:val="19"/>
        </w:rPr>
        <w:t> </w:t>
      </w:r>
      <w:r>
        <w:rPr/>
        <w:t>在</w:t>
      </w:r>
      <w:r>
        <w:rPr/>
        <w:t> </w:t>
      </w:r>
      <w:r>
        <w:rPr>
          <w:spacing w:val="-2"/>
        </w:rPr>
        <w:t>非货币性资产交换具备商业实质和换入资产或换出资产的公允价值能够可靠计量的前提下，非货币性资产交换换入的长期股</w:t>
      </w:r>
      <w:r>
        <w:rPr>
          <w:spacing w:val="-64"/>
        </w:rPr>
        <w:t> </w:t>
      </w:r>
      <w:r>
        <w:rPr>
          <w:spacing w:val="-64"/>
        </w:rPr>
      </w:r>
      <w:r>
        <w:rPr>
          <w:spacing w:val="-2"/>
        </w:rPr>
        <w:t>权投资以换出资产的公允价值为基础确定其初始投资成本，除非有确凿证据表明换入资产的公允价值更加可靠；不满足上述</w:t>
      </w:r>
      <w:r>
        <w:rPr>
          <w:spacing w:val="-64"/>
        </w:rPr>
        <w:t> </w:t>
      </w:r>
      <w:r>
        <w:rPr>
          <w:spacing w:val="-64"/>
        </w:rPr>
      </w:r>
      <w:r>
        <w:rPr/>
        <w:t>前提的非货币性资产交换，以换出资产的账面价值和应支付的相关税费作为换入长期股权投资的初始投资成本。</w:t>
      </w:r>
      <w:r>
        <w:rPr>
          <w:spacing w:val="16"/>
        </w:rPr>
        <w:t> </w:t>
      </w:r>
      <w:r>
        <w:rPr/>
        <w:t>通过债务</w:t>
      </w:r>
      <w:r>
        <w:rPr/>
        <w:t> 重组取得的长期股权投资，其初始投资成本按照公允价值为基础确定。</w:t>
      </w:r>
    </w:p>
    <w:p>
      <w:pPr>
        <w:spacing w:line="240" w:lineRule="auto" w:before="4"/>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0"/>
        <w:jc w:val="both"/>
      </w:pPr>
      <w:r>
        <w:rPr/>
        <w:t>本公司对子公司的长期股权投资，采用成本法核算，编制合并财务报表时按照权益法进行调整。</w:t>
      </w:r>
      <w:r>
        <w:rPr>
          <w:spacing w:val="8"/>
        </w:rPr>
        <w:t> </w:t>
      </w:r>
      <w:r>
        <w:rPr/>
        <w:t>对被投资单位不具有共同</w:t>
      </w:r>
      <w:r>
        <w:rPr/>
        <w:t> 控制或重大影响，并且在活跃市场中没有报价、公允价值不能可靠计量的长期股权投资，采用成本法核算。</w:t>
      </w:r>
      <w:r>
        <w:rPr>
          <w:spacing w:val="8"/>
        </w:rPr>
        <w:t> </w:t>
      </w:r>
      <w:r>
        <w:rPr/>
        <w:t>对被投资单位</w:t>
      </w:r>
      <w:r>
        <w:rPr/>
        <w:t> 具有共同控制或重大影响的长期股权投资，采用权益法核算。按权益法核算长期股权投资时：</w:t>
      </w:r>
      <w:r>
        <w:rPr>
          <w:spacing w:val="8"/>
        </w:rPr>
        <w:t> </w:t>
      </w:r>
      <w:r>
        <w:rPr/>
        <w:t>①长期股权投资的初始投资</w:t>
      </w:r>
      <w:r>
        <w:rPr/>
        <w:t> </w:t>
      </w:r>
      <w:r>
        <w:rPr>
          <w:spacing w:val="-2"/>
        </w:rPr>
        <w:t>成本大于投资时应享有被投资单位可辨认净资产公允价值份额的，不调整长期股权投资的初始投资成本；长期股权投资的初</w:t>
      </w:r>
      <w:r>
        <w:rPr>
          <w:spacing w:val="-64"/>
        </w:rPr>
        <w:t> </w:t>
      </w:r>
      <w:r>
        <w:rPr>
          <w:spacing w:val="-64"/>
        </w:rPr>
      </w:r>
      <w:r>
        <w:rPr>
          <w:spacing w:val="-2"/>
        </w:rPr>
        <w:t>始投资成本小于投资时应享有被投资单位可辨认净资产公允价值份额的，其差额应当计入当期损益，同时调整长期股权投资</w:t>
      </w:r>
      <w:r>
        <w:rPr>
          <w:spacing w:val="-64"/>
        </w:rPr>
        <w:t> </w:t>
      </w:r>
      <w:r>
        <w:rPr>
          <w:spacing w:val="-64"/>
        </w:rPr>
      </w:r>
      <w:r>
        <w:rPr/>
        <w:t>的成本。</w:t>
      </w:r>
      <w:r>
        <w:rPr>
          <w:spacing w:val="8"/>
        </w:rPr>
        <w:t> </w:t>
      </w:r>
      <w:r>
        <w:rPr/>
        <w:t>②取得长期股权投资后，按照应享有或应分担的被投资单位实现的净损益的份额，确认投资损益并调整长期股权</w:t>
      </w:r>
      <w:r>
        <w:rPr/>
        <w:t> </w:t>
      </w:r>
      <w:r>
        <w:rPr>
          <w:spacing w:val="-2"/>
        </w:rPr>
        <w:t>投资的账面价值。在确认应享有或应分担的被投资单位实现的净损益的份额时，以取得投资时被投资单位各项可辨认资产的</w:t>
      </w:r>
      <w:r>
        <w:rPr>
          <w:spacing w:val="-64"/>
        </w:rPr>
        <w:t> </w:t>
      </w:r>
      <w:r>
        <w:rPr>
          <w:spacing w:val="-64"/>
        </w:rPr>
      </w:r>
      <w:r>
        <w:rPr>
          <w:spacing w:val="-2"/>
        </w:rPr>
        <w:t>公允价值为基础，按照本公司的会计政策及会计期间，并抵消与联营企业及合营企业之间发生的未实现内部交易损益按照持</w:t>
      </w:r>
      <w:r>
        <w:rPr>
          <w:spacing w:val="-64"/>
        </w:rPr>
        <w:t> </w:t>
      </w:r>
      <w:r>
        <w:rPr>
          <w:spacing w:val="-64"/>
        </w:rPr>
      </w:r>
      <w:r>
        <w:rPr>
          <w:spacing w:val="-2"/>
        </w:rPr>
        <w:t>股比例计算归属于本公司的部分（但未实现内部交易损失属于资产减值损失的，应全额确认），对被投资单位的净利润进行</w:t>
      </w:r>
      <w:r>
        <w:rPr>
          <w:spacing w:val="-72"/>
        </w:rPr>
        <w:t> </w:t>
      </w:r>
      <w:r>
        <w:rPr>
          <w:spacing w:val="-72"/>
        </w:rPr>
      </w:r>
      <w:r>
        <w:rPr/>
        <w:t>调整后确认。</w:t>
      </w:r>
      <w:r>
        <w:rPr>
          <w:spacing w:val="7"/>
        </w:rPr>
        <w:t> </w:t>
      </w:r>
      <w:r>
        <w:rPr/>
        <w:t>③确认被投资单位发生的净亏损，以长期股权投资的账面价值以及其他实质上构成对被投资单位净投资的长</w:t>
      </w:r>
      <w:r>
        <w:rPr/>
        <w:t> 期权益减记至零为限，但合同或协议约定负有承担额外损失义务的除外。</w:t>
      </w:r>
      <w:r>
        <w:rPr>
          <w:spacing w:val="7"/>
        </w:rPr>
        <w:t> </w:t>
      </w:r>
      <w:r>
        <w:rPr/>
        <w:t>④被投资单位宣告分派的利润或现金股利计算应</w:t>
      </w:r>
      <w:r>
        <w:rPr/>
        <w:t> 分得的部分，相应冲减长期股权投资的账面价值。</w:t>
      </w:r>
      <w:r>
        <w:rPr>
          <w:spacing w:val="8"/>
        </w:rPr>
        <w:t> </w:t>
      </w:r>
      <w:r>
        <w:rPr/>
        <w:t>对于被投资单位除净损益以外所有者权益的其他变动，在持股比例不变</w:t>
      </w:r>
      <w:r>
        <w:rPr/>
        <w:t> 的情况下，本公司按照持股比例计算应享有或承担的部分，调整长期股权投资的账面价值，同时增加或减少资本公积。</w:t>
      </w:r>
    </w:p>
    <w:p>
      <w:pPr>
        <w:spacing w:line="240" w:lineRule="auto" w:before="4"/>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t>共同控制的判断依据：</w:t>
      </w:r>
      <w:r>
        <w:rPr>
          <w:spacing w:val="6"/>
        </w:rPr>
        <w:t> </w:t>
      </w:r>
      <w:r>
        <w:rPr/>
        <w:t>共同控制是指，按照合同约定对某项经济活动共有的控制。一般在合营企业设立时，合营各方在投</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jc w:val="both"/>
      </w:pPr>
      <w:r>
        <w:rPr>
          <w:spacing w:val="-2"/>
        </w:rPr>
        <w:t>资合同或协议中约定在所设立合营企业的重要财务和生产经营决策制定过程中，必须由合营各方均同意才能通过。在确定是</w:t>
      </w:r>
      <w:r>
        <w:rPr>
          <w:spacing w:val="-64"/>
        </w:rPr>
        <w:t> </w:t>
      </w:r>
      <w:r>
        <w:rPr>
          <w:spacing w:val="-64"/>
        </w:rPr>
      </w:r>
      <w:r>
        <w:rPr/>
        <w:t>否构成共同控制时，一般以以下三种情况作为确定基础：</w:t>
      </w:r>
      <w:r>
        <w:rPr>
          <w:spacing w:val="47"/>
        </w:rPr>
        <w:t> </w:t>
      </w:r>
      <w:r>
        <w:rPr/>
        <w:t>①任何一个合营方均不能单独控制合营企业的生产经营活动。</w:t>
      </w:r>
    </w:p>
    <w:p>
      <w:pPr>
        <w:pStyle w:val="BodyText"/>
        <w:spacing w:line="319" w:lineRule="auto" w:before="19"/>
        <w:ind w:left="153" w:right="84"/>
        <w:jc w:val="left"/>
      </w:pPr>
      <w:r>
        <w:rPr/>
        <w:t>②涉及合营企业基本经营活动的决策需要各合营方一致同意。</w:t>
      </w:r>
      <w:r>
        <w:rPr>
          <w:spacing w:val="8"/>
        </w:rPr>
        <w:t> </w:t>
      </w:r>
      <w:r>
        <w:rPr/>
        <w:t>③各合营方可能通过合同或协议的形式任命其中的一个合营</w:t>
      </w:r>
      <w:r>
        <w:rPr/>
        <w:t> 方涉对合营企业的日常活动进行管理。但其必须在各合营方已经一致同意的财务和经营政策范围内形式管理权。</w:t>
      </w:r>
      <w:r>
        <w:rPr>
          <w:spacing w:val="16"/>
        </w:rPr>
        <w:t> </w:t>
      </w:r>
      <w:r>
        <w:rPr/>
        <w:t>重大影响</w:t>
      </w:r>
      <w:r>
        <w:rPr/>
        <w:t> 的判断依据：</w:t>
      </w:r>
      <w:r>
        <w:rPr>
          <w:spacing w:val="16"/>
        </w:rPr>
        <w:t> </w:t>
      </w:r>
      <w:r>
        <w:rPr/>
        <w:t>重大影响是指对一个企业的财务和经营决策有参与决策的权利，但并不能够控制或者与其他方一起共同控制</w:t>
      </w:r>
      <w:r>
        <w:rPr/>
        <w:t> 这些政策的制定。在确定是否构成重大影响时，一般以以下五种情况作为判断依据：</w:t>
      </w:r>
      <w:r>
        <w:rPr>
          <w:spacing w:val="19"/>
        </w:rPr>
        <w:t> </w:t>
      </w:r>
      <w:r>
        <w:rPr/>
        <w:t>①在被投资单位的董事会或类似权利</w:t>
      </w:r>
      <w:r>
        <w:rPr/>
        <w:t> 机构中派有代表。 ②参与被投资单位的政策制定过程，包括股利分配政策等的制定。</w:t>
      </w:r>
      <w:r>
        <w:rPr>
          <w:spacing w:val="7"/>
        </w:rPr>
        <w:t> </w:t>
      </w:r>
      <w:r>
        <w:rPr/>
        <w:t>③与被投资单位之间发生重要交易，</w:t>
      </w:r>
      <w:r>
        <w:rPr/>
        <w:t> 进而一定程度上可以影响到被投资单位的生产经营决策。 ④向被投资单位派出管理人员。</w:t>
      </w:r>
      <w:r>
        <w:rPr>
          <w:spacing w:val="5"/>
        </w:rPr>
        <w:t> </w:t>
      </w:r>
      <w:r>
        <w:rPr/>
        <w:t>⑤向被投资单位提供关键技术。</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1" w:firstLine="360"/>
        <w:jc w:val="both"/>
      </w:pPr>
      <w:r>
        <w:rPr>
          <w:spacing w:val="-2"/>
        </w:rPr>
        <w:t>①本公司于资产负债表日对子公司长期股权投资、对合营企业长期股权投资、对联营企业长期股权投资估计其可收回金</w:t>
      </w:r>
      <w:r>
        <w:rPr/>
        <w:t> </w:t>
      </w:r>
      <w:r>
        <w:rPr>
          <w:spacing w:val="-2"/>
        </w:rPr>
        <w:t>额，可收回金额低于账面价值的，确认减值损失。可收回金额按资产的公允价值减去处置费用后的净额与资产未来现金流量</w:t>
      </w:r>
      <w:r>
        <w:rPr>
          <w:spacing w:val="-66"/>
        </w:rPr>
        <w:t> </w:t>
      </w:r>
      <w:r>
        <w:rPr>
          <w:spacing w:val="-66"/>
        </w:rPr>
      </w:r>
      <w:r>
        <w:rPr>
          <w:spacing w:val="-2"/>
        </w:rPr>
        <w:t>现值之间的较高者确定。对被投资单位不具有共同控制或重大影响、在活跃市场中没有报价、公允价值不能可靠计量的长期</w:t>
      </w:r>
      <w:r>
        <w:rPr>
          <w:spacing w:val="-66"/>
        </w:rPr>
        <w:t> </w:t>
      </w:r>
      <w:r>
        <w:rPr>
          <w:spacing w:val="-66"/>
        </w:rPr>
      </w:r>
      <w:r>
        <w:rPr>
          <w:spacing w:val="-2"/>
        </w:rPr>
        <w:t>股权投资，发生减值时将其账面价值与按类似金融资产当时市场收益率对未来现金流量折现确定的现值之间的差额确认为减</w:t>
      </w:r>
      <w:r>
        <w:rPr>
          <w:spacing w:val="-64"/>
        </w:rPr>
        <w:t> </w:t>
      </w:r>
      <w:r>
        <w:rPr>
          <w:spacing w:val="-64"/>
        </w:rPr>
      </w:r>
      <w:r>
        <w:rPr/>
        <w:t>值损失。减值损失计入当期损益，同时计提长期股权投资减值准备。长期股权投资减值准备一经确认，不再转回。</w:t>
      </w:r>
    </w:p>
    <w:p>
      <w:pPr>
        <w:pStyle w:val="BodyText"/>
        <w:spacing w:line="338" w:lineRule="auto" w:before="56"/>
        <w:ind w:left="153" w:right="91" w:firstLine="360"/>
        <w:jc w:val="left"/>
      </w:pPr>
      <w:r>
        <w:rPr/>
        <w:t>②商誉减值准备 </w:t>
      </w:r>
      <w:r>
        <w:rPr>
          <w:spacing w:val="-2"/>
        </w:rPr>
        <w:t>因企业合并形成的商誉，本公司于每年年度终了进行减值测试，并根据测试情况确定是否计提减值准备。商誉减值准备一经</w:t>
      </w:r>
      <w:r>
        <w:rPr>
          <w:spacing w:val="-66"/>
        </w:rPr>
        <w:t> </w:t>
      </w:r>
      <w:r>
        <w:rPr>
          <w:spacing w:val="-66"/>
        </w:rPr>
      </w:r>
      <w:r>
        <w:rPr/>
        <w:t>确认，不再转回。</w:t>
      </w:r>
    </w:p>
    <w:p>
      <w:pPr>
        <w:spacing w:line="240" w:lineRule="auto" w:before="4"/>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531"/>
        <w:jc w:val="left"/>
      </w:pPr>
      <w:r>
        <w:rPr/>
        <w:t>（</w:t>
      </w:r>
      <w:r>
        <w:rPr>
          <w:rFonts w:ascii="Times New Roman" w:hAnsi="Times New Roman" w:cs="Times New Roman" w:eastAsia="Times New Roman" w:hint="default"/>
        </w:rPr>
        <w:t>1</w:t>
      </w:r>
      <w:r>
        <w:rPr/>
        <w:t>）投资性房地产的种类 投资性房地产分为：已出租的土地使用权、持有并准备增值后转让的土地使用权、已出租的建筑物。</w:t>
      </w:r>
    </w:p>
    <w:p>
      <w:pPr>
        <w:pStyle w:val="BodyText"/>
        <w:spacing w:line="338" w:lineRule="auto" w:before="42"/>
        <w:ind w:left="513" w:right="91"/>
        <w:jc w:val="left"/>
      </w:pPr>
      <w:r>
        <w:rPr/>
        <w:t>（</w:t>
      </w:r>
      <w:r>
        <w:rPr>
          <w:rFonts w:ascii="Times New Roman" w:hAnsi="Times New Roman" w:cs="Times New Roman" w:eastAsia="Times New Roman" w:hint="default"/>
        </w:rPr>
        <w:t>2</w:t>
      </w:r>
      <w:r>
        <w:rPr/>
        <w:t>）投资性房地产的计量模式 </w:t>
      </w:r>
      <w:r>
        <w:rPr>
          <w:spacing w:val="-2"/>
        </w:rPr>
        <w:t>本公司投资性房地产按照成本进行初始计量。外购投资性房地产的成本，包括购买价款、相关税费和可直接归属于该资</w:t>
      </w:r>
    </w:p>
    <w:p>
      <w:pPr>
        <w:pStyle w:val="BodyText"/>
        <w:spacing w:line="357" w:lineRule="auto" w:before="4"/>
        <w:ind w:left="513" w:right="91" w:hanging="360"/>
        <w:jc w:val="left"/>
      </w:pPr>
      <w:r>
        <w:rPr/>
        <w:t>产的其他支出。自行建造投资性房地产的成本，由建造该项资产达到预定可使用状态前所发生的必要支出构成。 </w:t>
      </w:r>
      <w:r>
        <w:rPr>
          <w:spacing w:val="-2"/>
        </w:rPr>
        <w:t>本公司在资产负债表日采用成本模式对投资性房地产进行后续计量，按照固定资产和无形资产的规定，对投资性房地产</w:t>
      </w:r>
    </w:p>
    <w:p>
      <w:pPr>
        <w:pStyle w:val="BodyText"/>
        <w:spacing w:line="224" w:lineRule="exact"/>
        <w:ind w:left="153" w:right="0"/>
        <w:jc w:val="both"/>
      </w:pPr>
      <w:r>
        <w:rPr/>
        <w:t>进行计量、计提折旧或摊销。存在减值迹象的，估计其可收回金额。投资性房地产的可收回金额低于其账面价值的，将投资</w:t>
      </w:r>
    </w:p>
    <w:p>
      <w:pPr>
        <w:pStyle w:val="BodyText"/>
        <w:spacing w:line="319" w:lineRule="auto" w:before="76"/>
        <w:ind w:left="153" w:right="191"/>
        <w:jc w:val="both"/>
      </w:pPr>
      <w:r>
        <w:rPr>
          <w:spacing w:val="-2"/>
        </w:rPr>
        <w:t>性房地产的账面价值减记至可收回金额，减记的金额确认为资产减值损失，计入当期损益，同时计提相应的投资性房地产减</w:t>
      </w:r>
      <w:r>
        <w:rPr>
          <w:spacing w:val="-66"/>
        </w:rPr>
        <w:t> </w:t>
      </w:r>
      <w:r>
        <w:rPr>
          <w:spacing w:val="-66"/>
        </w:rPr>
      </w:r>
      <w:r>
        <w:rPr>
          <w:spacing w:val="-2"/>
        </w:rPr>
        <w:t>值准备。投资性房地产减值损失确认后，减值投资性房地产的折旧或者摊销费用在未来期间作相应调整，以使该投资性房地</w:t>
      </w:r>
      <w:r>
        <w:rPr>
          <w:spacing w:val="-66"/>
        </w:rPr>
        <w:t> </w:t>
      </w:r>
      <w:r>
        <w:rPr>
          <w:spacing w:val="-66"/>
        </w:rPr>
      </w:r>
      <w:r>
        <w:rPr/>
        <w:t>产在剩余使用寿命内，系统地分摊调整后的投资性房地产账面价值（扣除预计净残值）。</w:t>
      </w:r>
    </w:p>
    <w:p>
      <w:pPr>
        <w:pStyle w:val="BodyText"/>
        <w:spacing w:line="240" w:lineRule="auto" w:before="56"/>
        <w:ind w:left="513" w:right="91"/>
        <w:jc w:val="left"/>
      </w:pPr>
      <w:r>
        <w:rPr/>
        <w:t>投资性房地产减值损失一经确认，在以后会计期间不能转回。</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89"/>
        <w:jc w:val="both"/>
      </w:pPr>
      <w:r>
        <w:rPr>
          <w:spacing w:val="-2"/>
        </w:rPr>
        <w:t>固定资产是指为生产商品、提供劳务、出租或经营管理，使用寿命超过一个会计年度而持有的有形资产。固定资产在满足下</w:t>
      </w:r>
      <w:r>
        <w:rPr>
          <w:spacing w:val="-66"/>
        </w:rPr>
        <w:t> </w:t>
      </w:r>
      <w:r>
        <w:rPr>
          <w:spacing w:val="-66"/>
        </w:rPr>
      </w:r>
      <w:r>
        <w:rPr/>
        <w:t>列条件时予以确认： ①与该固定资产有关的经济利益很可能流入本公司； ②该固定资产的成本能够可靠地计量。</w:t>
      </w:r>
      <w:r>
        <w:rPr>
          <w:spacing w:val="-30"/>
        </w:rPr>
        <w:t> </w:t>
      </w:r>
      <w:r>
        <w:rPr/>
        <w:t>固定</w:t>
      </w:r>
      <w:r>
        <w:rPr/>
        <w:t> </w:t>
      </w:r>
      <w:r>
        <w:rPr>
          <w:spacing w:val="-2"/>
        </w:rPr>
        <w:t>资产发生的修理费用，符合规定的固定资产确认条件的计入固定资产成本；不符合规定的固定资产确认条件的在发生时直接</w:t>
      </w:r>
      <w:r>
        <w:rPr>
          <w:spacing w:val="-64"/>
        </w:rPr>
        <w:t> </w:t>
      </w:r>
      <w:r>
        <w:rPr>
          <w:spacing w:val="-64"/>
        </w:rPr>
      </w:r>
      <w:r>
        <w:rPr/>
        <w:t>计入当期成本、费用。</w:t>
      </w:r>
    </w:p>
    <w:p>
      <w:pPr>
        <w:spacing w:after="0" w:line="319" w:lineRule="auto"/>
        <w:jc w:val="both"/>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91"/>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pStyle w:val="BodyText"/>
        <w:tabs>
          <w:tab w:pos="4524" w:val="left" w:leader="none"/>
        </w:tabs>
        <w:spacing w:line="316" w:lineRule="auto"/>
        <w:ind w:left="153" w:right="188"/>
        <w:jc w:val="right"/>
      </w:pPr>
      <w:r>
        <w:rPr/>
        <w:t>计价依据：符合下列一项或数项标准的，认定为融资租赁： ①在租赁期届满时，租赁资产的所有权转移给承租人。</w:t>
      </w:r>
      <w:r>
        <w:rPr>
          <w:spacing w:val="8"/>
        </w:rPr>
        <w:t> </w:t>
      </w:r>
      <w:r>
        <w:rPr/>
        <w:t>②承</w:t>
      </w:r>
      <w:r>
        <w:rPr/>
        <w:t> </w:t>
      </w:r>
      <w:r>
        <w:rPr>
          <w:spacing w:val="-2"/>
        </w:rPr>
        <w:t>租人有购买租赁资产的选择权，所订立的购买价款预计将远远低于行使选择权时租赁资产的公允价值，因而在租赁开始日就</w:t>
      </w:r>
      <w:r>
        <w:rPr>
          <w:spacing w:val="-75"/>
        </w:rPr>
        <w:t> </w:t>
      </w:r>
      <w:r>
        <w:rPr>
          <w:spacing w:val="-75"/>
        </w:rPr>
      </w:r>
      <w:r>
        <w:rPr/>
        <w:t>可以合理确定承租人将会行使这种选择权。 ③即使资产的所有权不转移，但租赁期占租赁资产使用寿命的大部分。</w:t>
      </w:r>
      <w:r>
        <w:rPr>
          <w:spacing w:val="6"/>
        </w:rPr>
        <w:t> </w:t>
      </w:r>
      <w:r>
        <w:rPr/>
        <w:t>④承</w:t>
      </w:r>
      <w:r>
        <w:rPr/>
        <w:t> </w:t>
      </w:r>
      <w:r>
        <w:rPr>
          <w:spacing w:val="-2"/>
        </w:rPr>
        <w:t>租人在租赁开始日的最低租赁付款额现值，几乎相当于租赁开始日租赁资产公允价值；出租人在租赁开始日的最低租赁收款</w:t>
      </w:r>
      <w:r>
        <w:rPr>
          <w:spacing w:val="-75"/>
        </w:rPr>
        <w:t> </w:t>
      </w:r>
      <w:r>
        <w:rPr>
          <w:spacing w:val="-75"/>
        </w:rPr>
      </w:r>
      <w:r>
        <w:rPr/>
        <w:t>额现值，几乎相当于租赁开始日租赁资产公允价值。</w:t>
        <w:tab/>
        <w:t>⑤租赁资产性质特殊，如果不作较大改造，只有承租人才能使用。 </w:t>
      </w:r>
      <w:r>
        <w:rPr>
          <w:spacing w:val="-1"/>
        </w:rPr>
        <w:t>计价方法：融资租赁方式租入的固定资产，能合理确定租赁期届满时将会取得租赁资产所有权的，在租赁资产尚可使用年</w:t>
      </w:r>
    </w:p>
    <w:p>
      <w:pPr>
        <w:pStyle w:val="BodyText"/>
        <w:spacing w:line="302" w:lineRule="auto" w:before="19"/>
        <w:ind w:right="260"/>
        <w:jc w:val="left"/>
      </w:pPr>
      <w:r>
        <w:rPr/>
        <w:t>限内按上项</w:t>
      </w:r>
      <w:r>
        <w:rPr>
          <w:rFonts w:ascii="Times New Roman" w:hAnsi="Times New Roman" w:cs="Times New Roman" w:eastAsia="Times New Roman" w:hint="default"/>
        </w:rPr>
        <w:t>“(3)</w:t>
      </w:r>
      <w:r>
        <w:rPr/>
        <w:t>各类固定资产的折旧方法</w:t>
      </w:r>
      <w:r>
        <w:rPr>
          <w:rFonts w:ascii="Times New Roman" w:hAnsi="Times New Roman" w:cs="Times New Roman" w:eastAsia="Times New Roman" w:hint="default"/>
        </w:rPr>
        <w:t>”</w:t>
      </w:r>
      <w:r>
        <w:rPr/>
        <w:t>计提折旧；无法合理确定租赁期届满时能够取得租赁资产所有权的，在租赁期与 租赁资产尚可使用年限两者中较短的期间内按上项</w:t>
      </w:r>
      <w:r>
        <w:rPr>
          <w:rFonts w:ascii="Times New Roman" w:hAnsi="Times New Roman" w:cs="Times New Roman" w:eastAsia="Times New Roman" w:hint="default"/>
        </w:rPr>
        <w:t>“(3)</w:t>
      </w:r>
      <w:r>
        <w:rPr/>
        <w:t>各类固定资产的折旧方法</w:t>
      </w:r>
      <w:r>
        <w:rPr>
          <w:rFonts w:ascii="Times New Roman" w:hAnsi="Times New Roman" w:cs="Times New Roman" w:eastAsia="Times New Roman" w:hint="default"/>
        </w:rPr>
        <w:t>”</w:t>
      </w:r>
      <w:r>
        <w:rPr/>
        <w:t>计提折旧。</w:t>
      </w:r>
    </w:p>
    <w:p>
      <w:pPr>
        <w:spacing w:line="240" w:lineRule="auto" w:before="10"/>
        <w:rPr>
          <w:rFonts w:ascii="宋体" w:hAnsi="宋体" w:cs="宋体" w:eastAsia="宋体" w:hint="default"/>
          <w:sz w:val="21"/>
          <w:szCs w:val="21"/>
        </w:rPr>
      </w:pPr>
    </w:p>
    <w:p>
      <w:pPr>
        <w:pStyle w:val="Heading4"/>
        <w:spacing w:line="240" w:lineRule="auto"/>
        <w:ind w:right="91"/>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0" w:firstLine="506"/>
        <w:jc w:val="both"/>
      </w:pPr>
      <w:r>
        <w:rPr>
          <w:spacing w:val="-1"/>
        </w:rPr>
        <w:t>固定资产折旧采用年限平均法分类计提，根据固定资产类别，预计使用年限和预计净残值率确定固定资产折旧率，在</w:t>
      </w:r>
      <w:r>
        <w:rPr/>
        <w:t> </w:t>
      </w:r>
      <w:r>
        <w:rPr>
          <w:spacing w:val="-2"/>
        </w:rPr>
        <w:t>取得固定资产的次月按月计提折旧（已提足折旧仍继续使用的固定支持和单独计价入账的土地除外）。各类固定资产折旧年</w:t>
      </w:r>
      <w:r>
        <w:rPr>
          <w:spacing w:val="-66"/>
        </w:rPr>
        <w:t> </w:t>
      </w:r>
      <w:r>
        <w:rPr>
          <w:spacing w:val="-66"/>
        </w:rPr>
      </w:r>
      <w:r>
        <w:rPr/>
        <w:t>限和年折旧率如下：</w:t>
      </w: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11"/>
        <w:rPr>
          <w:rFonts w:ascii="宋体" w:hAnsi="宋体" w:cs="宋体" w:eastAsia="宋体" w:hint="default"/>
          <w:sz w:val="19"/>
          <w:szCs w:val="19"/>
        </w:rPr>
      </w:pPr>
    </w:p>
    <w:p>
      <w:pPr>
        <w:pStyle w:val="Heading4"/>
        <w:spacing w:line="240" w:lineRule="auto" w:before="35"/>
        <w:ind w:right="91"/>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firstLine="360"/>
        <w:jc w:val="left"/>
      </w:pPr>
      <w:r>
        <w:rPr/>
        <w:t>本公司于资产负债表日对存在减值迹象的固定资产进行减值测试，估计其可收回金额，若可收回金额低于账面价值的， </w:t>
      </w:r>
      <w:r>
        <w:rPr>
          <w:spacing w:val="-2"/>
        </w:rPr>
        <w:t>将资产的账面价值减记至可收回金额，减记的金额计入当期损益，同时计提相应的资产减值准备。可收回金额按资产的公允</w:t>
      </w:r>
      <w:r>
        <w:rPr>
          <w:spacing w:val="-66"/>
        </w:rPr>
        <w:t> </w:t>
      </w:r>
      <w:r>
        <w:rPr>
          <w:spacing w:val="-66"/>
        </w:rPr>
      </w:r>
      <w:r>
        <w:rPr/>
        <w:t>价值减去处置费用后的净额与资产未来现金流量现值之间的较高者确定。本公司原则上按单项资产为基础估计可收回金额， 若难以对单项资产的可收回金额进行估计的，按该项资产所属的资产组为基础确定资产组可收回金额。减值准备一经计提， 在以后会计期间不予转回。</w:t>
      </w:r>
    </w:p>
    <w:p>
      <w:pPr>
        <w:spacing w:line="240" w:lineRule="auto" w:before="3"/>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1" w:firstLine="360"/>
        <w:jc w:val="left"/>
      </w:pPr>
      <w:r>
        <w:rPr>
          <w:spacing w:val="-2"/>
        </w:rPr>
        <w:t>符合资本化条件的固定资产装修费用：在两次装修期间与固定资产尚可使用年限两者中较短的期间内，采用年限平均法</w:t>
      </w:r>
      <w:r>
        <w:rPr/>
        <w:t> 单独计提折旧。</w:t>
      </w:r>
    </w:p>
    <w:p>
      <w:pPr>
        <w:spacing w:line="240" w:lineRule="auto" w:before="3"/>
        <w:rPr>
          <w:rFonts w:ascii="宋体" w:hAnsi="宋体" w:cs="宋体" w:eastAsia="宋体" w:hint="default"/>
          <w:sz w:val="22"/>
          <w:szCs w:val="22"/>
        </w:rPr>
      </w:pPr>
    </w:p>
    <w:p>
      <w:pPr>
        <w:pStyle w:val="Heading4"/>
        <w:spacing w:line="240" w:lineRule="auto"/>
        <w:ind w:right="91"/>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t>本公司在建工程按实际成本计量，按立项项目分类核算。</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91"/>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tabs>
          <w:tab w:pos="744" w:val="left" w:leader="none"/>
          <w:tab w:pos="2723" w:val="left" w:leader="none"/>
          <w:tab w:pos="3804" w:val="left" w:leader="none"/>
          <w:tab w:pos="7812" w:val="left" w:leader="none"/>
        </w:tabs>
        <w:spacing w:line="314" w:lineRule="auto"/>
        <w:ind w:left="153" w:right="190"/>
        <w:jc w:val="left"/>
      </w:pPr>
      <w:r>
        <w:rPr>
          <w:spacing w:val="-2"/>
        </w:rPr>
        <w:t>在建工程达到预定可使用状态时，按实际发生的全部支出转入固定资产核算。若在建工程已达到预定可使用状态，但尚未办</w:t>
      </w:r>
      <w:r>
        <w:rPr>
          <w:spacing w:val="-66"/>
        </w:rPr>
        <w:t> </w:t>
      </w:r>
      <w:r>
        <w:rPr>
          <w:spacing w:val="-66"/>
        </w:rPr>
      </w:r>
      <w:r>
        <w:rPr>
          <w:spacing w:val="-2"/>
        </w:rPr>
        <w:t>理竣工决算的，自达到预定可使用状态之日起，根据工程预算、造价或者工程实际成本等，按估计的价值转入固定资产，并</w:t>
      </w:r>
      <w:r>
        <w:rPr>
          <w:spacing w:val="-66"/>
        </w:rPr>
        <w:t> </w:t>
      </w:r>
      <w:r>
        <w:rPr>
          <w:spacing w:val="-66"/>
        </w:rPr>
      </w:r>
      <w:r>
        <w:rPr>
          <w:spacing w:val="-2"/>
        </w:rPr>
        <w:t>按本公司固定资产折旧政策计提固定资产折旧，待办理竣工决算后，再按实际成本调整原来的暂估价值，但不调整原已计提</w:t>
      </w:r>
      <w:r>
        <w:rPr>
          <w:spacing w:val="-66"/>
        </w:rPr>
        <w:t> </w:t>
      </w:r>
      <w:r>
        <w:rPr>
          <w:spacing w:val="-66"/>
        </w:rPr>
      </w:r>
      <w:r>
        <w:rPr/>
        <w:t>的折旧额。</w:t>
      </w:r>
      <w:r>
        <w:rPr>
          <w:spacing w:val="27"/>
        </w:rPr>
        <w:t> </w:t>
      </w:r>
      <w:r>
        <w:rPr/>
        <w:t>上述</w:t>
      </w:r>
      <w:r>
        <w:rPr>
          <w:rFonts w:ascii="Times New Roman" w:hAnsi="Times New Roman" w:cs="Times New Roman" w:eastAsia="Times New Roman" w:hint="default"/>
        </w:rPr>
        <w:t>“</w:t>
      </w:r>
      <w:r>
        <w:rPr/>
        <w:t>达到预定可使用状态</w:t>
      </w:r>
      <w:r>
        <w:rPr>
          <w:rFonts w:ascii="Times New Roman" w:hAnsi="Times New Roman" w:cs="Times New Roman" w:eastAsia="Times New Roman" w:hint="default"/>
        </w:rPr>
        <w:t>”</w:t>
      </w:r>
      <w:r>
        <w:rPr/>
        <w:t>，是指固定资产已达到本公司预定的可使用状态。当存在下列情况之一时，则认为 所购建的固定资产已达到预定可使用状态：</w:t>
        <w:tab/>
        <w:t>①固定资产的实体建造</w:t>
      </w:r>
      <w:r>
        <w:rPr>
          <w:rFonts w:ascii="Times New Roman" w:hAnsi="Times New Roman" w:cs="Times New Roman" w:eastAsia="Times New Roman" w:hint="default"/>
        </w:rPr>
        <w:t>(</w:t>
      </w:r>
      <w:r>
        <w:rPr/>
        <w:t>包括安装</w:t>
      </w:r>
      <w:r>
        <w:rPr>
          <w:rFonts w:ascii="Times New Roman" w:hAnsi="Times New Roman" w:cs="Times New Roman" w:eastAsia="Times New Roman" w:hint="default"/>
        </w:rPr>
        <w:t>)</w:t>
      </w:r>
      <w:r>
        <w:rPr/>
        <w:t>工作已经全部完成或者实质上已经全部完 成；</w:t>
        <w:tab/>
        <w:t>②已经过试生产或试运行，并且其结果表明资产能够正常运行或者能够稳定地生产出合格产品时，或者试运行结果 表明能够正常运转或营业时；</w:t>
        <w:tab/>
        <w:t>③该项建造的固定资产上的支出金额很少或者几乎不再发生；</w:t>
        <w:tab/>
        <w:t>④所购建的固定资产已经 </w:t>
      </w:r>
      <w:r>
        <w:rPr>
          <w:spacing w:val="-2"/>
        </w:rPr>
        <w:t>达到设计或合同要求，或与设计或合同要求相符或基本相符，即使有极个别地方与设计或合同要求不相符，也不足以影响其</w:t>
      </w:r>
      <w:r>
        <w:rPr>
          <w:spacing w:val="-66"/>
        </w:rPr>
        <w:t> </w:t>
      </w:r>
      <w:r>
        <w:rPr>
          <w:spacing w:val="-66"/>
        </w:rPr>
      </w:r>
      <w:r>
        <w:rPr/>
        <w:t>正常使用。</w:t>
      </w:r>
    </w:p>
    <w:p>
      <w:pPr>
        <w:spacing w:line="240" w:lineRule="auto" w:before="6"/>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89" w:firstLine="360"/>
        <w:jc w:val="both"/>
      </w:pPr>
      <w:r>
        <w:rPr>
          <w:spacing w:val="-2"/>
        </w:rPr>
        <w:t>本公司于资产负债表日对存在减值迹象的在建工程按单项工程进行减值测试，估计其可收回金额，若可收回金额低于账</w:t>
      </w:r>
      <w:r>
        <w:rPr/>
        <w:t> </w:t>
      </w:r>
      <w:r>
        <w:rPr>
          <w:spacing w:val="-2"/>
        </w:rPr>
        <w:t>面价值的，将资产的账面价值减记至可收回金额，减记的金额计入当期损益，同时计提相应的资产减值准备。可收回金额按</w:t>
      </w:r>
      <w:r>
        <w:rPr>
          <w:spacing w:val="-66"/>
        </w:rPr>
        <w:t> </w:t>
      </w:r>
      <w:r>
        <w:rPr>
          <w:spacing w:val="-66"/>
        </w:rPr>
      </w:r>
      <w:r>
        <w:rPr>
          <w:spacing w:val="-2"/>
        </w:rPr>
        <w:t>资产的公允价值减去处置费用后的净额与资产未来现金流量现值之间的较高者确定。减值准备一经计提，在以后会计期间不</w:t>
      </w:r>
      <w:r>
        <w:rPr>
          <w:spacing w:val="-64"/>
        </w:rPr>
        <w:t> </w:t>
      </w:r>
      <w:r>
        <w:rPr>
          <w:spacing w:val="-64"/>
        </w:rPr>
      </w:r>
      <w:r>
        <w:rPr/>
        <w:t>予转回。</w:t>
      </w:r>
    </w:p>
    <w:p>
      <w:pPr>
        <w:spacing w:line="240" w:lineRule="auto" w:before="3"/>
        <w:rPr>
          <w:rFonts w:ascii="宋体" w:hAnsi="宋体" w:cs="宋体" w:eastAsia="宋体" w:hint="default"/>
          <w:sz w:val="22"/>
          <w:szCs w:val="22"/>
        </w:rPr>
      </w:pPr>
    </w:p>
    <w:p>
      <w:pPr>
        <w:pStyle w:val="Heading4"/>
        <w:spacing w:line="240" w:lineRule="auto"/>
        <w:ind w:right="91"/>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70" w:firstLine="360"/>
        <w:jc w:val="left"/>
      </w:pPr>
      <w:r>
        <w:rPr/>
        <w:t>符合资本化条件的资产，是指需要经过相当长时间的购建或者生产活动才能达到预定可使用或者可销售状态的固定资 产、投资性房地产和存货等资产。</w:t>
      </w:r>
    </w:p>
    <w:p>
      <w:pPr>
        <w:pStyle w:val="BodyText"/>
        <w:spacing w:line="319" w:lineRule="auto" w:before="56"/>
        <w:ind w:left="153" w:right="91" w:firstLine="360"/>
        <w:jc w:val="left"/>
      </w:pPr>
      <w:r>
        <w:rPr>
          <w:spacing w:val="-4"/>
        </w:rPr>
        <w:t>借款费用包括借款利息、折价或者溢价的摊销、辅助费用以及因外币借款而发生的汇兑差额等。本公司发生的借款费用，</w:t>
      </w:r>
      <w:r>
        <w:rPr/>
        <w:t> </w:t>
      </w:r>
      <w:r>
        <w:rPr>
          <w:spacing w:val="-2"/>
        </w:rPr>
        <w:t>可直接归属于符合资本化条件的资产的购建或者生产的，予以资本化，计入相关资产成本；其他借款费用在发生时根据其发</w:t>
      </w:r>
      <w:r>
        <w:rPr>
          <w:spacing w:val="-66"/>
        </w:rPr>
        <w:t> </w:t>
      </w:r>
      <w:r>
        <w:rPr>
          <w:spacing w:val="-66"/>
        </w:rPr>
      </w:r>
      <w:r>
        <w:rPr/>
        <w:t>生额确认为费用，计入当期损益。</w:t>
      </w:r>
    </w:p>
    <w:p>
      <w:pPr>
        <w:pStyle w:val="BodyText"/>
        <w:spacing w:line="240" w:lineRule="auto" w:before="56"/>
        <w:ind w:left="513" w:right="91"/>
        <w:jc w:val="left"/>
      </w:pPr>
      <w:r>
        <w:rPr/>
        <w:t>借款费用同时满足下列条件时开始资本化：</w:t>
      </w:r>
    </w:p>
    <w:p>
      <w:pPr>
        <w:pStyle w:val="BodyText"/>
        <w:spacing w:line="240" w:lineRule="auto" w:before="116"/>
        <w:ind w:left="513" w:right="91"/>
        <w:jc w:val="left"/>
        <w:rPr>
          <w:rFonts w:ascii="MS Gothic" w:hAnsi="MS Gothic" w:cs="MS Gothic" w:eastAsia="MS Gothic" w:hint="default"/>
        </w:rPr>
      </w:pPr>
      <w:r>
        <w:rPr/>
        <w:t>①</w:t>
      </w:r>
      <w:r>
        <w:rPr>
          <w:rFonts w:ascii="MS Gothic" w:hAnsi="MS Gothic" w:cs="MS Gothic" w:eastAsia="MS Gothic" w:hint="default"/>
        </w:rPr>
        <w:t>ﾗｲﾖｳﾒｾｷﾉ｣ﾗｲﾖｳｰﾀﾎｹｽｻﾕﾉｲｷｺﾗｱｻﾌｼｵﾗｲｶﾒﾖｸﾏｽ｡ﾗﾒｷﾏｽﾗｲｻﾕｳｵｴﾏﾕﾎﾐﾊｷﾉｵﾖｳ｣</w:t>
      </w:r>
    </w:p>
    <w:p>
      <w:pPr>
        <w:pStyle w:val="BodyText"/>
        <w:spacing w:line="240" w:lineRule="auto" w:before="117"/>
        <w:ind w:left="513" w:right="91"/>
        <w:jc w:val="left"/>
        <w:rPr>
          <w:rFonts w:ascii="MS Gothic" w:hAnsi="MS Gothic" w:cs="MS Gothic" w:eastAsia="MS Gothic" w:hint="default"/>
        </w:rPr>
      </w:pPr>
      <w:r>
        <w:rPr/>
        <w:t>②</w:t>
      </w:r>
      <w:r>
        <w:rPr>
          <w:rFonts w:ascii="MS Gothic" w:hAnsi="MS Gothic" w:cs="MS Gothic" w:eastAsia="MS Gothic" w:hint="default"/>
        </w:rPr>
        <w:t>ｽｿｷﾓﾒｾｷﾉ｣</w:t>
      </w:r>
    </w:p>
    <w:p>
      <w:pPr>
        <w:pStyle w:val="BodyText"/>
        <w:spacing w:line="357" w:lineRule="auto" w:before="116"/>
        <w:ind w:left="513" w:right="84"/>
        <w:jc w:val="left"/>
      </w:pPr>
      <w:r>
        <w:rPr/>
        <w:t>③为使资产达到预定可使用或者可销售状态所必要的购建或者生产活动已经开始。 </w:t>
      </w:r>
      <w:r>
        <w:rPr>
          <w:spacing w:val="-2"/>
        </w:rPr>
        <w:t>当符合资本化条件的资产在购建或者生产过程中发生非正常中断、且中断时间连续超过</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34"/>
        </w:rPr>
        <w:t> </w:t>
      </w:r>
      <w:r>
        <w:rPr>
          <w:spacing w:val="-6"/>
        </w:rPr>
        <w:t>个月的，借款费用暂停资本化。</w:t>
      </w:r>
    </w:p>
    <w:p>
      <w:pPr>
        <w:pStyle w:val="BodyText"/>
        <w:spacing w:line="202" w:lineRule="exact"/>
        <w:ind w:left="153" w:right="91"/>
        <w:jc w:val="left"/>
      </w:pPr>
      <w:r>
        <w:rPr/>
        <w:t>当购建或者生产符合资本化条件的资产达到预定可使用或者可销售状态时，借款费用停止资本化。</w:t>
      </w:r>
    </w:p>
    <w:p>
      <w:pPr>
        <w:spacing w:line="240" w:lineRule="auto" w:before="11"/>
        <w:rPr>
          <w:rFonts w:ascii="宋体" w:hAnsi="宋体" w:cs="宋体" w:eastAsia="宋体" w:hint="default"/>
          <w:sz w:val="26"/>
          <w:szCs w:val="26"/>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firstLine="360"/>
        <w:jc w:val="left"/>
      </w:pPr>
      <w:r>
        <w:rPr>
          <w:spacing w:val="-2"/>
        </w:rPr>
        <w:t>为购建或者生产符合资本化条件的资产发生的借款费用，在该资产达到预定可使用或者可销售状态前发生的，计入该资</w:t>
      </w:r>
      <w:r>
        <w:rPr/>
        <w:t> 产的成本；在该资产达到预定可使用或者可销售状态后发生的，计入当期损益。</w:t>
      </w:r>
    </w:p>
    <w:p>
      <w:pPr>
        <w:spacing w:line="240" w:lineRule="auto" w:before="4"/>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81" w:firstLine="360"/>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个月的，借款费用暂停资本化。 当购建或者生产符合资本化条件的资产中部分项目分别完工且可单独使用时，该部分资产借款费用停止资本化。</w:t>
      </w:r>
    </w:p>
    <w:p>
      <w:pPr>
        <w:spacing w:after="0" w:line="302"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49"/>
        <w:jc w:val="left"/>
      </w:pPr>
      <w:r>
        <w:rPr/>
        <w:t>本公司按年度计算借款费用资本化金额。 </w:t>
      </w:r>
      <w:r>
        <w:rPr>
          <w:spacing w:val="-2"/>
        </w:rPr>
        <w:t>专门借款的利息费用（扣除尚未动用的借款资金存入银行取得的利息收入或者进行暂时性投资取得的投资收益）及其辅</w:t>
      </w:r>
    </w:p>
    <w:p>
      <w:pPr>
        <w:pStyle w:val="BodyText"/>
        <w:spacing w:line="357" w:lineRule="auto"/>
        <w:ind w:left="513" w:right="149"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57" w:lineRule="auto"/>
        <w:ind w:left="513" w:right="591" w:hanging="360"/>
        <w:jc w:val="left"/>
      </w:pPr>
      <w:r>
        <w:rPr/>
        <w:t>本化的利息金额。资本化率根据一般借款加权平均利率计算确定。 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1"/>
        <w:rPr>
          <w:rFonts w:ascii="宋体" w:hAnsi="宋体" w:cs="宋体" w:eastAsia="宋体" w:hint="default"/>
          <w:sz w:val="20"/>
          <w:szCs w:val="20"/>
        </w:rPr>
      </w:pPr>
    </w:p>
    <w:p>
      <w:pPr>
        <w:pStyle w:val="Heading4"/>
        <w:spacing w:line="240" w:lineRule="auto"/>
        <w:ind w:right="149"/>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49"/>
        <w:jc w:val="left"/>
      </w:pPr>
      <w:r>
        <w:rPr/>
        <w:t>本公司无形资产按照实际成本进行初始计量。 购买无形资产的价款超过正常信用条件延期支付，实质上具有融资性质的，无形资产的成本为购买价款的现值。 </w:t>
      </w:r>
      <w:r>
        <w:rPr>
          <w:spacing w:val="-2"/>
        </w:rPr>
        <w:t>通过债务重组取得债务人用以抵债的无形资产，以该无形资产的公允价值为基础确定其入账价值，并将重组债务的账面</w:t>
      </w:r>
    </w:p>
    <w:p>
      <w:pPr>
        <w:pStyle w:val="BodyText"/>
        <w:spacing w:line="224" w:lineRule="exact"/>
        <w:ind w:right="0"/>
        <w:jc w:val="left"/>
      </w:pPr>
      <w:r>
        <w:rPr/>
        <w:t>价值与该用以抵债的无形资产公允价值之间的差额，计入当期损益；在非货币性资产交换具备商业实质和换入资产或换出资</w:t>
      </w:r>
    </w:p>
    <w:p>
      <w:pPr>
        <w:pStyle w:val="BodyText"/>
        <w:spacing w:line="319" w:lineRule="auto" w:before="76"/>
        <w:ind w:right="149"/>
        <w:jc w:val="left"/>
      </w:pPr>
      <w:r>
        <w:rPr/>
        <w:t>产的公允价值能够可靠计量的前提下，非货币性资产交换换入的无形资产通常以换出资产的公允价值为基础确定其入账价 </w:t>
      </w:r>
      <w:r>
        <w:rPr>
          <w:spacing w:val="-2"/>
        </w:rPr>
        <w:t>值，除非有确凿证据表明换入资产的公允价值更加可靠；不满足上述前提的非货币性资产交换，以换出资产的账面价值和应</w:t>
      </w:r>
      <w:r>
        <w:rPr>
          <w:spacing w:val="-66"/>
        </w:rPr>
        <w:t> </w:t>
      </w:r>
      <w:r>
        <w:rPr>
          <w:spacing w:val="-66"/>
        </w:rPr>
      </w:r>
      <w:r>
        <w:rPr/>
        <w:t>支付的相关税费作为换入无形资产的成本，不确认损益。</w:t>
      </w:r>
    </w:p>
    <w:p>
      <w:pPr>
        <w:pStyle w:val="BodyText"/>
        <w:spacing w:line="319" w:lineRule="auto" w:before="56"/>
        <w:ind w:right="151" w:firstLine="360"/>
        <w:jc w:val="both"/>
      </w:pPr>
      <w:r>
        <w:rPr>
          <w:spacing w:val="-2"/>
        </w:rPr>
        <w:t>使用寿命有限的无形资产，自取得当月起在预计使用寿命内采用直线法摊销，使用寿命不确定的无形资产不予摊销，期</w:t>
      </w:r>
      <w:r>
        <w:rPr/>
        <w:t> 末进行减值测试。</w:t>
      </w:r>
    </w:p>
    <w:p>
      <w:pPr>
        <w:spacing w:line="240" w:lineRule="auto" w:before="3"/>
        <w:rPr>
          <w:rFonts w:ascii="宋体" w:hAnsi="宋体" w:cs="宋体" w:eastAsia="宋体" w:hint="default"/>
          <w:sz w:val="22"/>
          <w:szCs w:val="22"/>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49" w:firstLine="360"/>
        <w:jc w:val="both"/>
      </w:pPr>
      <w:r>
        <w:rPr>
          <w:spacing w:val="-2"/>
        </w:rPr>
        <w:t>估计无形资产使用寿命时，对使用寿命确定的无形资产，如果来源于合同性权利或其他法定权利，其使用寿命不应超过</w:t>
      </w:r>
      <w:r>
        <w:rPr/>
        <w:t> </w:t>
      </w:r>
      <w:r>
        <w:rPr>
          <w:spacing w:val="-2"/>
        </w:rPr>
        <w:t>合同性权利或其他法定权利的期限；如果合同性权利或其他法定权利能够在到期时因续约等延续，且有证据表明公司续约不</w:t>
      </w:r>
      <w:r>
        <w:rPr>
          <w:spacing w:val="-64"/>
        </w:rPr>
        <w:t> </w:t>
      </w:r>
      <w:r>
        <w:rPr>
          <w:spacing w:val="-64"/>
        </w:rPr>
      </w:r>
      <w:r>
        <w:rPr>
          <w:spacing w:val="-2"/>
        </w:rPr>
        <w:t>需要付出大额成本，续约期计入使用寿命。合同或法律没有规定使用寿命的，公司综合各方面情况判断，以确定无形资产能</w:t>
      </w:r>
      <w:r>
        <w:rPr>
          <w:spacing w:val="-66"/>
        </w:rPr>
        <w:t> </w:t>
      </w:r>
      <w:r>
        <w:rPr>
          <w:spacing w:val="-66"/>
        </w:rPr>
      </w:r>
      <w:r>
        <w:rPr/>
        <w:t>为企业带来未来经济利益的期限。</w:t>
      </w: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4" w:right="230"/>
        <w:jc w:val="left"/>
      </w:pPr>
      <w:r>
        <w:rPr/>
        <w:t>按照上述方法仍无法合理确定无形资产为企业带来经济利益期限的，该项无形资产作为使用寿命不确定的无形资产。 企业确定无形资产的使用寿命通常考虑的因素：</w:t>
      </w:r>
    </w:p>
    <w:p>
      <w:pPr>
        <w:pStyle w:val="BodyText"/>
        <w:spacing w:line="240" w:lineRule="auto" w:before="26"/>
        <w:ind w:left="514" w:right="149"/>
        <w:jc w:val="left"/>
      </w:pPr>
      <w:r>
        <w:rPr/>
        <w:t>①该资产通常的产品寿命周期、可获得的类似资产使用寿命的信息；</w:t>
      </w:r>
    </w:p>
    <w:p>
      <w:pPr>
        <w:pStyle w:val="BodyText"/>
        <w:spacing w:line="240" w:lineRule="auto" w:before="116"/>
        <w:ind w:left="514" w:right="149"/>
        <w:jc w:val="left"/>
      </w:pPr>
      <w:r>
        <w:rPr/>
        <w:t>②技术、工艺等方面的现阶段情况及对未来发展趋势的估计；</w:t>
      </w:r>
    </w:p>
    <w:p>
      <w:pPr>
        <w:pStyle w:val="BodyText"/>
        <w:spacing w:line="240" w:lineRule="auto" w:before="117"/>
        <w:ind w:left="514" w:right="149"/>
        <w:jc w:val="left"/>
      </w:pPr>
      <w:r>
        <w:rPr/>
        <w:t>③该资产生产的产品（或服务）的市场需求情况；</w:t>
      </w:r>
    </w:p>
    <w:p>
      <w:pPr>
        <w:pStyle w:val="BodyText"/>
        <w:spacing w:line="240" w:lineRule="auto" w:before="116"/>
        <w:ind w:left="514" w:right="149"/>
        <w:jc w:val="left"/>
      </w:pPr>
      <w:r>
        <w:rPr/>
        <w:t>④现在或潜在的竞争者预期采取的行动；</w:t>
      </w:r>
    </w:p>
    <w:p>
      <w:pPr>
        <w:pStyle w:val="BodyText"/>
        <w:spacing w:line="240" w:lineRule="auto" w:before="116"/>
        <w:ind w:left="514" w:right="149"/>
        <w:jc w:val="left"/>
      </w:pPr>
      <w:r>
        <w:rPr/>
        <w:t>⑤为维持该资产产生未来经济利益能力的预期维护支出，以及公司预计支付有关支出的能力；</w:t>
      </w:r>
    </w:p>
    <w:p>
      <w:pPr>
        <w:pStyle w:val="BodyText"/>
        <w:spacing w:line="240" w:lineRule="auto" w:before="117"/>
        <w:ind w:left="514" w:right="149"/>
        <w:jc w:val="left"/>
      </w:pPr>
      <w:r>
        <w:rPr/>
        <w:t>⑥对该资产的控制期限，使用的法律或类似限制，如特许使用期间、租赁期间等；</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13" w:right="1891"/>
        <w:jc w:val="left"/>
      </w:pPr>
      <w:r>
        <w:rPr/>
        <w:t>⑦与公司持有的其他资产使用寿命的关联性等。 本公司至少于每年年度终了时，对无形资产的使用寿命及摊销方法进行复核，必要时进行调整。</w:t>
      </w:r>
    </w:p>
    <w:p>
      <w:pPr>
        <w:spacing w:line="240" w:lineRule="auto" w:before="1"/>
        <w:rPr>
          <w:rFonts w:ascii="宋体" w:hAnsi="宋体" w:cs="宋体" w:eastAsia="宋体" w:hint="default"/>
          <w:sz w:val="20"/>
          <w:szCs w:val="20"/>
        </w:rPr>
      </w:pPr>
    </w:p>
    <w:p>
      <w:pPr>
        <w:pStyle w:val="Heading4"/>
        <w:spacing w:line="240" w:lineRule="auto"/>
        <w:ind w:right="91"/>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1" w:firstLine="360"/>
        <w:jc w:val="left"/>
      </w:pPr>
      <w:r>
        <w:rPr>
          <w:spacing w:val="-2"/>
        </w:rPr>
        <w:t>有确凿证据表明无形资产存在减值迹象的，本公司在资产负债表日进行减值测试，估计其可收回金额，若可收回金额低</w:t>
      </w:r>
      <w:r>
        <w:rPr/>
        <w:t> </w:t>
      </w:r>
      <w:r>
        <w:rPr>
          <w:spacing w:val="-4"/>
        </w:rPr>
        <w:t>于其账面价值的，将无形资产的账面价值减记至可收回金额，减记的金额计入当期损益，同时计提相应的无形资产减值准备。</w:t>
      </w:r>
      <w:r>
        <w:rPr>
          <w:spacing w:val="-44"/>
        </w:rPr>
        <w:t> </w:t>
      </w:r>
      <w:r>
        <w:rPr>
          <w:spacing w:val="-44"/>
        </w:rPr>
      </w:r>
      <w:r>
        <w:rPr/>
        <w:t>对于使用寿命不确定的无形资产，无论是否存在减值迹象，每年均进行减值测试。</w:t>
      </w:r>
    </w:p>
    <w:p>
      <w:pPr>
        <w:spacing w:line="240" w:lineRule="auto" w:before="4"/>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1" w:firstLine="360"/>
        <w:jc w:val="left"/>
      </w:pPr>
      <w:r>
        <w:rPr>
          <w:spacing w:val="-2"/>
        </w:rPr>
        <w:t>研究阶段支出是指为获取并理解新的科学或技术知识而进行的独创性的有计划调查所发生的支出，是为进一步开发活动</w:t>
      </w:r>
      <w:r>
        <w:rPr/>
        <w:t> </w:t>
      </w:r>
      <w:r>
        <w:rPr>
          <w:spacing w:val="-4"/>
        </w:rPr>
        <w:t>进行资料及相关方面的准备，已进行的研究活动将来是否会转入开发、开发后是否会形成无形资产等均具有较大的不确定性，</w:t>
      </w:r>
      <w:r>
        <w:rPr>
          <w:spacing w:val="-44"/>
        </w:rPr>
        <w:t> </w:t>
      </w:r>
      <w:r>
        <w:rPr>
          <w:spacing w:val="-44"/>
        </w:rPr>
      </w:r>
      <w:r>
        <w:rPr/>
        <w:t>因此，本公司对研究阶段的支出全部予以费用化，计入当期损益。</w:t>
      </w:r>
    </w:p>
    <w:p>
      <w:pPr>
        <w:pStyle w:val="BodyText"/>
        <w:spacing w:line="319" w:lineRule="auto" w:before="56"/>
        <w:ind w:left="153" w:right="91" w:firstLine="360"/>
        <w:jc w:val="left"/>
      </w:pPr>
      <w:r>
        <w:rPr>
          <w:spacing w:val="-2"/>
        </w:rPr>
        <w:t>开发阶段支出是指在进行商业性生产或使用前，将研究成果或其他知识应用于某项计划或设计，以生产出新的或具有实</w:t>
      </w:r>
      <w:r>
        <w:rPr/>
        <w:t> 质性改进的材料、装置、产品等所发生的支出。</w:t>
      </w:r>
    </w:p>
    <w:p>
      <w:pPr>
        <w:spacing w:line="240" w:lineRule="auto" w:before="3"/>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1"/>
        <w:jc w:val="left"/>
      </w:pPr>
      <w:r>
        <w:rPr/>
        <w:t>内部研究开发项目开发阶段的支出，同时满足下列条件的，才能确认为无形资产：</w:t>
      </w:r>
    </w:p>
    <w:p>
      <w:pPr>
        <w:pStyle w:val="BodyText"/>
        <w:spacing w:line="240" w:lineRule="auto" w:before="116"/>
        <w:ind w:left="513" w:right="91"/>
        <w:jc w:val="left"/>
      </w:pPr>
      <w:r>
        <w:rPr/>
        <w:t>①完成该无形资产以使其能够使用或出售在技术上具有可行性；</w:t>
      </w:r>
    </w:p>
    <w:p>
      <w:pPr>
        <w:pStyle w:val="BodyText"/>
        <w:spacing w:line="240" w:lineRule="auto" w:before="117"/>
        <w:ind w:left="513" w:right="91"/>
        <w:jc w:val="left"/>
      </w:pPr>
      <w:r>
        <w:rPr/>
        <w:t>②具有完成该无形资产并使用或出售的意图；</w:t>
      </w:r>
    </w:p>
    <w:p>
      <w:pPr>
        <w:pStyle w:val="BodyText"/>
        <w:spacing w:line="319" w:lineRule="auto" w:before="115"/>
        <w:ind w:left="153" w:right="91" w:firstLine="360"/>
        <w:jc w:val="left"/>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56"/>
        <w:ind w:left="513" w:right="91"/>
        <w:jc w:val="left"/>
      </w:pPr>
      <w:r>
        <w:rPr/>
        <w:t>④有足够的技术、财务资源和其他资源支持，以完成该无形资产的开发，并有能力使用或出售该无形资产；</w:t>
      </w:r>
    </w:p>
    <w:p>
      <w:pPr>
        <w:pStyle w:val="BodyText"/>
        <w:spacing w:line="357" w:lineRule="auto" w:before="117"/>
        <w:ind w:left="513" w:right="811"/>
        <w:jc w:val="left"/>
      </w:pPr>
      <w:r>
        <w:rPr/>
        <w:t>⑤归属于该无形资产开发阶段的支出能够可靠地计量。 公司取得的已作为无形资产确认的正在进行中的研究开发项目，在取得后发生的支出应当按照上述规定处理。</w:t>
      </w:r>
    </w:p>
    <w:p>
      <w:pPr>
        <w:spacing w:line="240" w:lineRule="auto" w:before="13"/>
        <w:rPr>
          <w:rFonts w:ascii="宋体" w:hAnsi="宋体" w:cs="宋体" w:eastAsia="宋体" w:hint="default"/>
          <w:sz w:val="19"/>
          <w:szCs w:val="19"/>
        </w:rPr>
      </w:pPr>
    </w:p>
    <w:p>
      <w:pPr>
        <w:pStyle w:val="Heading4"/>
        <w:spacing w:line="240" w:lineRule="auto"/>
        <w:ind w:right="91"/>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91" w:firstLine="360"/>
        <w:jc w:val="left"/>
      </w:pPr>
      <w:r>
        <w:rPr>
          <w:spacing w:val="-2"/>
        </w:rPr>
        <w:t>长期待摊费用是指本公司已经发生但应由本期和以后各期负担的期限在一年以上的各项费用。长期待摊费用在受益期内</w:t>
      </w:r>
      <w:r>
        <w:rPr/>
        <w:t> 平均摊销，其中：</w:t>
      </w:r>
    </w:p>
    <w:p>
      <w:pPr>
        <w:pStyle w:val="BodyText"/>
        <w:spacing w:line="357" w:lineRule="auto" w:before="56"/>
        <w:ind w:left="513" w:right="91"/>
        <w:jc w:val="left"/>
      </w:pPr>
      <w:r>
        <w:rPr/>
        <w:t>预付经营租入固定资产的租金，按租赁合同规定的期限平均摊销。 经营租赁方式租入的固定资产改良支出，按剩余租赁期与租赁资产尚可使用年限两者中较短的期限平均摊销。 </w:t>
      </w:r>
      <w:r>
        <w:rPr>
          <w:spacing w:val="-2"/>
        </w:rPr>
        <w:t>融资租赁方式租入的固定资产，其符合资本化条件的装修费用，在两次装修间隔期间、剩余租赁期和固定资产尚可使用</w:t>
      </w:r>
    </w:p>
    <w:p>
      <w:pPr>
        <w:pStyle w:val="BodyText"/>
        <w:spacing w:line="225" w:lineRule="exact"/>
        <w:ind w:left="153" w:right="91"/>
        <w:jc w:val="left"/>
      </w:pPr>
      <w:r>
        <w:rPr/>
        <w:t>年限三者中较短的期限平均摊销。</w:t>
      </w:r>
    </w:p>
    <w:p>
      <w:pPr>
        <w:spacing w:line="240" w:lineRule="auto" w:before="10"/>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91"/>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1"/>
        <w:jc w:val="left"/>
      </w:pPr>
      <w:r>
        <w:rPr/>
        <w:t>如果与或有事项相关的义务同时符合以下条件，本公司将其确认为预计负债：</w:t>
      </w:r>
    </w:p>
    <w:p>
      <w:pPr>
        <w:pStyle w:val="BodyText"/>
        <w:spacing w:line="240" w:lineRule="auto" w:before="116"/>
        <w:ind w:left="513" w:right="91"/>
        <w:jc w:val="left"/>
      </w:pPr>
      <w:r>
        <w:rPr/>
        <w:t>①该义务是企业承担的现时义务；</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149"/>
        <w:jc w:val="left"/>
      </w:pPr>
      <w:r>
        <w:rPr/>
        <w:t>②该义务的履行很可能导致经济利益流出企业；</w:t>
      </w:r>
    </w:p>
    <w:p>
      <w:pPr>
        <w:pStyle w:val="BodyText"/>
        <w:spacing w:line="240" w:lineRule="auto" w:before="116"/>
        <w:ind w:left="513" w:right="149"/>
        <w:jc w:val="left"/>
      </w:pPr>
      <w:r>
        <w:rPr/>
        <w:t>③该义务的金额能够可靠地计量。</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9" w:firstLine="360"/>
        <w:jc w:val="left"/>
      </w:pPr>
      <w:r>
        <w:rPr>
          <w:spacing w:val="-2"/>
        </w:rPr>
        <w:t>预计负债金额的确认方法：金额是清偿该预计负债所需支出的最佳估计数。如果所需支出存在一个金额范围，则最佳估</w:t>
      </w:r>
      <w:r>
        <w:rPr/>
        <w:t> 计数按该范围的上、下限金额的平均数确定；如果所需支出不存在一个金额范围，则最佳估计数按如下方法确定：</w:t>
      </w:r>
    </w:p>
    <w:p>
      <w:pPr>
        <w:pStyle w:val="BodyText"/>
        <w:spacing w:line="240" w:lineRule="auto" w:before="58"/>
        <w:ind w:left="513" w:right="149"/>
        <w:jc w:val="left"/>
      </w:pPr>
      <w:r>
        <w:rPr/>
        <w:t>①或有事项涉及单个项目时，最佳估计数按最可能发生金额确定；</w:t>
      </w:r>
    </w:p>
    <w:p>
      <w:pPr>
        <w:pStyle w:val="BodyText"/>
        <w:spacing w:line="357" w:lineRule="auto" w:before="116"/>
        <w:ind w:left="513" w:right="149"/>
        <w:jc w:val="left"/>
      </w:pPr>
      <w:r>
        <w:rPr/>
        <w:t>②或有事项涉及多个项目时，最佳估计数按各种可能发生额及其发生概率计算确定。 </w:t>
      </w:r>
      <w:r>
        <w:rPr>
          <w:spacing w:val="-2"/>
        </w:rPr>
        <w:t>如果清偿已确认预计负债所需支出全部或部分预期由第三方或其他方补偿，则补偿金额只能在基本确定能收到时，作为</w:t>
      </w:r>
    </w:p>
    <w:p>
      <w:pPr>
        <w:pStyle w:val="BodyText"/>
        <w:spacing w:line="225" w:lineRule="exact"/>
        <w:ind w:left="153" w:right="0"/>
        <w:jc w:val="both"/>
      </w:pPr>
      <w:r>
        <w:rPr/>
        <w:t>资产单独确认。确认的补偿金额不超过所确认负债账面价值。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20</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jc w:val="both"/>
      </w:pPr>
      <w:r>
        <w:rPr/>
        <w:t>销售商品收入同时满足下列条件的，予以确认： ①本公司己将商品所有权上的主要风险和报酬转移给购货方。</w:t>
      </w:r>
      <w:r>
        <w:rPr>
          <w:spacing w:val="6"/>
        </w:rPr>
        <w:t> </w:t>
      </w:r>
      <w:r>
        <w:rPr/>
        <w:t>②本公司</w:t>
      </w:r>
      <w:r>
        <w:rPr/>
        <w:t> 既没有保留通常与所有权相联系的继续管理权，也没有对己售出的商品实施有效控制。 ③收入的金额能够可靠计量。</w:t>
      </w:r>
      <w:r>
        <w:rPr>
          <w:spacing w:val="6"/>
        </w:rPr>
        <w:t> </w:t>
      </w:r>
      <w:r>
        <w:rPr/>
        <w:t>④</w:t>
      </w:r>
      <w:r>
        <w:rPr/>
        <w:t> 相关经济利益很可能流入本公司。</w:t>
      </w:r>
      <w:r>
        <w:rPr>
          <w:spacing w:val="50"/>
        </w:rPr>
        <w:t> </w:t>
      </w:r>
      <w:r>
        <w:rPr/>
        <w:t>⑤相关的、已发生的或将发生的成本能够可靠计量。</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230" w:firstLine="360"/>
        <w:jc w:val="left"/>
      </w:pPr>
      <w:r>
        <w:rPr/>
        <w:t>让渡资产使用权而产生的使用费收入按照有关合同或协议规定的收费时间和收费方法计算确定，并应同时满足以下条 件：</w:t>
      </w:r>
    </w:p>
    <w:p>
      <w:pPr>
        <w:pStyle w:val="BodyText"/>
        <w:spacing w:line="240" w:lineRule="auto" w:before="56"/>
        <w:ind w:left="514" w:right="149"/>
        <w:jc w:val="left"/>
      </w:pPr>
      <w:r>
        <w:rPr/>
        <w:t>①与交易相关的经济利益能够流入公司。</w:t>
      </w:r>
    </w:p>
    <w:p>
      <w:pPr>
        <w:pStyle w:val="BodyText"/>
        <w:spacing w:line="240" w:lineRule="auto" w:before="117"/>
        <w:ind w:left="513" w:right="149"/>
        <w:jc w:val="left"/>
      </w:pPr>
      <w:r>
        <w:rPr/>
        <w:t>②收入的金额能够可靠地计量。</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49"/>
        <w:jc w:val="left"/>
      </w:pPr>
      <w:r>
        <w:rPr/>
        <w:t>①在同一会计年度内开始并完成的劳务，在劳务完成时确认收入，确认的金额为合同或协议总金额。</w:t>
      </w:r>
    </w:p>
    <w:p>
      <w:pPr>
        <w:pStyle w:val="BodyText"/>
        <w:spacing w:line="319" w:lineRule="auto" w:before="115"/>
        <w:ind w:left="153" w:right="149" w:firstLine="360"/>
        <w:jc w:val="left"/>
      </w:pPr>
      <w:r>
        <w:rPr>
          <w:spacing w:val="-2"/>
        </w:rPr>
        <w:t>②如果劳务的开始和完成分属不同的会计年度，在提供劳务交易的结果能够可靠估计的情况下，本公司在资产负债表日</w:t>
      </w:r>
      <w:r>
        <w:rPr/>
        <w:t> 按完工百分比法确认收入。</w:t>
      </w:r>
    </w:p>
    <w:p>
      <w:pPr>
        <w:pStyle w:val="BodyText"/>
        <w:spacing w:line="300" w:lineRule="auto" w:before="55"/>
        <w:ind w:left="153" w:right="151" w:firstLine="360"/>
        <w:jc w:val="both"/>
      </w:pPr>
      <w:r>
        <w:rPr/>
        <w:t>③在提供劳务交易的结果不能可靠估计的情况下</w:t>
      </w:r>
      <w:r>
        <w:rPr>
          <w:rFonts w:ascii="Times New Roman" w:hAnsi="Times New Roman" w:cs="Times New Roman" w:eastAsia="Times New Roman" w:hint="default"/>
        </w:rPr>
        <w:t>,</w:t>
      </w:r>
      <w:r>
        <w:rPr/>
        <w:t>本公司在资产负债表日按已经发生并预计能够补偿的劳务成本金额确 认收入</w:t>
      </w:r>
      <w:r>
        <w:rPr>
          <w:rFonts w:ascii="Times New Roman" w:hAnsi="Times New Roman" w:cs="Times New Roman" w:eastAsia="Times New Roman" w:hint="default"/>
        </w:rPr>
        <w:t>,</w:t>
      </w:r>
      <w:r>
        <w:rPr/>
        <w:t>并按相同金额结转成本；如果已经发生的劳务成本预计只能部分地得到补偿</w:t>
      </w:r>
      <w:r>
        <w:rPr>
          <w:rFonts w:ascii="Times New Roman" w:hAnsi="Times New Roman" w:cs="Times New Roman" w:eastAsia="Times New Roman" w:hint="default"/>
        </w:rPr>
        <w:t>,</w:t>
      </w:r>
      <w:r>
        <w:rPr/>
        <w:t>应按能够得到补偿的劳务成本金额确认 </w:t>
      </w:r>
      <w:r>
        <w:rPr>
          <w:spacing w:val="-1"/>
        </w:rPr>
        <w:t>收入</w:t>
      </w:r>
      <w:r>
        <w:rPr>
          <w:rFonts w:ascii="Times New Roman" w:hAnsi="Times New Roman" w:cs="Times New Roman" w:eastAsia="Times New Roman" w:hint="default"/>
          <w:spacing w:val="-1"/>
        </w:rPr>
        <w:t>,</w:t>
      </w:r>
      <w:r>
        <w:rPr>
          <w:spacing w:val="-1"/>
        </w:rPr>
        <w:t>并按已经发生的劳务成本结转成本；如果已经发生的劳务成本预计不能得到补偿</w:t>
      </w:r>
      <w:r>
        <w:rPr>
          <w:rFonts w:ascii="Times New Roman" w:hAnsi="Times New Roman" w:cs="Times New Roman" w:eastAsia="Times New Roman" w:hint="default"/>
          <w:spacing w:val="-1"/>
        </w:rPr>
        <w:t>,</w:t>
      </w:r>
      <w:r>
        <w:rPr>
          <w:spacing w:val="-1"/>
        </w:rPr>
        <w:t>则不确认收入</w:t>
      </w:r>
      <w:r>
        <w:rPr>
          <w:rFonts w:ascii="Times New Roman" w:hAnsi="Times New Roman" w:cs="Times New Roman" w:eastAsia="Times New Roman" w:hint="default"/>
          <w:spacing w:val="-1"/>
        </w:rPr>
        <w:t>,</w:t>
      </w:r>
      <w:r>
        <w:rPr>
          <w:spacing w:val="-1"/>
        </w:rPr>
        <w:t>并将已经发生的劳务成</w:t>
      </w:r>
      <w:r>
        <w:rPr>
          <w:spacing w:val="-75"/>
        </w:rPr>
        <w:t> </w:t>
      </w:r>
      <w:r>
        <w:rPr>
          <w:spacing w:val="-75"/>
        </w:rPr>
      </w:r>
      <w:r>
        <w:rPr/>
        <w:t>本确认为当期费用。</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政府补助为货币性资产的，按照收到或应收的金额计量。政府补助为非货币性资产的，按照公允价值计量；公允价值不能可</w:t>
      </w:r>
      <w:r>
        <w:rPr>
          <w:spacing w:val="-66"/>
        </w:rPr>
        <w:t> </w:t>
      </w:r>
      <w:r>
        <w:rPr>
          <w:spacing w:val="-66"/>
        </w:rPr>
      </w:r>
      <w:r>
        <w:rPr/>
        <w:t>靠取得的，按照名义金额（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w:t>
      </w:r>
    </w:p>
    <w:p>
      <w:pPr>
        <w:spacing w:after="0" w:line="319"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9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89" w:firstLine="360"/>
        <w:jc w:val="both"/>
      </w:pPr>
      <w:r>
        <w:rPr>
          <w:spacing w:val="-2"/>
        </w:rPr>
        <w:t>与资产相关的政府补助，确认为递延收益，并在相关资产使用寿命内平均分配，计入当期损益。但是，按照名义金额计</w:t>
      </w:r>
      <w:r>
        <w:rPr/>
        <w:t> </w:t>
      </w:r>
      <w:r>
        <w:rPr>
          <w:spacing w:val="-2"/>
        </w:rPr>
        <w:t>量的政府补助，直接计入当期损益。与收益相关的政府补助，分别下列情况处理：用于补偿本公司以后期间的相关费用或损</w:t>
      </w:r>
      <w:r>
        <w:rPr>
          <w:spacing w:val="-66"/>
        </w:rPr>
        <w:t> </w:t>
      </w:r>
      <w:r>
        <w:rPr>
          <w:spacing w:val="-66"/>
        </w:rPr>
      </w:r>
      <w:r>
        <w:rPr>
          <w:spacing w:val="-2"/>
        </w:rPr>
        <w:t>失的，确认为递延收益，并在确认相关费用的期间，计入当期损益。用于补偿本公司已发生的相关费用或损失的，直接计入</w:t>
      </w:r>
      <w:r>
        <w:rPr>
          <w:spacing w:val="-66"/>
        </w:rPr>
        <w:t> </w:t>
      </w:r>
      <w:r>
        <w:rPr>
          <w:spacing w:val="-66"/>
        </w:rPr>
      </w:r>
      <w:r>
        <w:rPr/>
        <w:t>当期损益。</w:t>
      </w:r>
    </w:p>
    <w:p>
      <w:pPr>
        <w:pStyle w:val="BodyText"/>
        <w:spacing w:line="319" w:lineRule="auto" w:before="55"/>
        <w:ind w:right="189" w:firstLine="360"/>
        <w:jc w:val="both"/>
      </w:pPr>
      <w:r>
        <w:rPr>
          <w:spacing w:val="-2"/>
        </w:rPr>
        <w:t>已确认的政府补助需要返还的，分别下列情况处理：存在相关递延收益的，冲减相关递延收益账面余额，超出部分计入</w:t>
      </w:r>
      <w:r>
        <w:rPr/>
        <w:t> 当期损益。不存在相关递延收益的，直接计入当期损益。</w:t>
      </w:r>
    </w:p>
    <w:p>
      <w:pPr>
        <w:spacing w:line="240" w:lineRule="auto" w:before="4"/>
        <w:rPr>
          <w:rFonts w:ascii="宋体" w:hAnsi="宋体" w:cs="宋体" w:eastAsia="宋体" w:hint="default"/>
          <w:sz w:val="22"/>
          <w:szCs w:val="22"/>
        </w:rPr>
      </w:pPr>
    </w:p>
    <w:p>
      <w:pPr>
        <w:pStyle w:val="Heading4"/>
        <w:spacing w:line="240" w:lineRule="auto"/>
        <w:ind w:right="91"/>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left="153" w:right="91"/>
        <w:jc w:val="left"/>
      </w:pPr>
      <w:r>
        <w:rPr>
          <w:rFonts w:ascii="Times New Roman" w:hAnsi="Times New Roman" w:cs="Times New Roman" w:eastAsia="Times New Roman" w:hint="default"/>
        </w:rPr>
        <w:t>A</w:t>
      </w:r>
      <w:r>
        <w:rPr/>
        <w:t>、本公司以未来期间很可能取得用来抵扣可抵扣暂时性差异的应纳税所得额为限，确认由可抵扣暂时性差异产生的递延所 得税资产。但是同时具有下列特征的交易中因资产或负债的初始确认所产生的递延所得税资产不予确认：</w:t>
      </w:r>
      <w:r>
        <w:rPr>
          <w:spacing w:val="16"/>
        </w:rPr>
        <w:t> </w:t>
      </w:r>
      <w:r>
        <w:rPr/>
        <w:t>①该项交易或事</w:t>
      </w:r>
      <w:r>
        <w:rPr/>
        <w:t> 项不属于企业合并； ②交易发生时既不影响会计利润也不影响应纳税所得额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r>
        <w:rPr>
          <w:spacing w:val="70"/>
        </w:rPr>
        <w:t> </w:t>
      </w:r>
      <w:r>
        <w:rPr>
          <w:rFonts w:ascii="Times New Roman" w:hAnsi="Times New Roman" w:cs="Times New Roman" w:eastAsia="Times New Roman" w:hint="default"/>
          <w:spacing w:val="-3"/>
        </w:rPr>
        <w:t>B</w:t>
      </w:r>
      <w:r>
        <w:rPr>
          <w:spacing w:val="-3"/>
        </w:rPr>
        <w:t>、本公司对与子公司、联</w:t>
      </w:r>
      <w:r>
        <w:rPr/>
        <w:t> 营公司及合营企业投资相关的可抵扣暂时性差异，同时满足下列条件的，确认相应的递延所得税资产：</w:t>
      </w:r>
      <w:r>
        <w:rPr>
          <w:spacing w:val="19"/>
        </w:rPr>
        <w:t> </w:t>
      </w:r>
      <w:r>
        <w:rPr/>
        <w:t>①暂时性差异在可</w:t>
      </w:r>
      <w:r>
        <w:rPr/>
        <w:t> 预见的未来可能转回； ②未来很可能获得用来抵扣暂时性差异的应纳税所得额。</w:t>
      </w:r>
      <w:r>
        <w:rPr>
          <w:spacing w:val="9"/>
        </w:rPr>
        <w:t> </w:t>
      </w:r>
      <w:r>
        <w:rPr>
          <w:rFonts w:ascii="Times New Roman" w:hAnsi="Times New Roman" w:cs="Times New Roman" w:eastAsia="Times New Roman" w:hint="default"/>
        </w:rPr>
        <w:t>C</w:t>
      </w:r>
      <w:r>
        <w:rPr/>
        <w:t>、本公司对于能够结转以后年度的可 </w:t>
      </w:r>
      <w:r>
        <w:rPr>
          <w:spacing w:val="-4"/>
        </w:rPr>
        <w:t>抵扣亏损和税款抵减，以很可能获得用来抵扣可抵扣亏损和税款抵减的未来应纳税所得额为限，确认相应的递延所得税资产。</w:t>
      </w:r>
    </w:p>
    <w:p>
      <w:pPr>
        <w:spacing w:line="240" w:lineRule="auto" w:before="12"/>
        <w:rPr>
          <w:rFonts w:ascii="宋体" w:hAnsi="宋体" w:cs="宋体" w:eastAsia="宋体" w:hint="default"/>
          <w:sz w:val="22"/>
          <w:szCs w:val="22"/>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01"/>
        <w:jc w:val="center"/>
      </w:pPr>
      <w:r>
        <w:rPr/>
        <w:t>除下列情况产生的递延所得税负债以外，本公司确认所有应纳税暂时性差异产生的递延所得税负债：</w:t>
      </w:r>
      <w:r>
        <w:rPr>
          <w:spacing w:val="-4"/>
        </w:rPr>
        <w:t> </w:t>
      </w:r>
      <w:r>
        <w:rPr>
          <w:rFonts w:ascii="Times New Roman" w:hAnsi="Times New Roman" w:cs="Times New Roman" w:eastAsia="Times New Roman" w:hint="default"/>
          <w:spacing w:val="-3"/>
        </w:rPr>
        <w:t>A</w:t>
      </w:r>
      <w:r>
        <w:rPr>
          <w:spacing w:val="-3"/>
        </w:rPr>
        <w:t>、商誉的初始确认；</w:t>
      </w:r>
      <w:r>
        <w:rPr/>
        <w:t> </w:t>
      </w:r>
      <w:r>
        <w:rPr>
          <w:rFonts w:ascii="Times New Roman" w:hAnsi="Times New Roman" w:cs="Times New Roman" w:eastAsia="Times New Roman" w:hint="default"/>
        </w:rPr>
        <w:t>B</w:t>
      </w:r>
      <w:r>
        <w:rPr/>
        <w:t>、同时满足具有下列特征的交易中产生的资产或负债的初始确认： ①该项交易不是企业合并；</w:t>
      </w:r>
      <w:r>
        <w:rPr>
          <w:spacing w:val="25"/>
        </w:rPr>
        <w:t> </w:t>
      </w:r>
      <w:r>
        <w:rPr/>
        <w:t>②交易或事项发生时既</w:t>
      </w:r>
      <w:r>
        <w:rPr/>
        <w:t> </w:t>
      </w:r>
      <w:r>
        <w:rPr>
          <w:spacing w:val="-5"/>
        </w:rPr>
        <w:t>不影响会计利润也不影响应纳税所得额（或可抵扣亏损）。</w:t>
      </w:r>
      <w:r>
        <w:rPr>
          <w:spacing w:val="61"/>
        </w:rPr>
        <w:t> </w:t>
      </w:r>
      <w:r>
        <w:rPr>
          <w:rFonts w:ascii="Times New Roman" w:hAnsi="Times New Roman" w:cs="Times New Roman" w:eastAsia="Times New Roman" w:hint="default"/>
          <w:spacing w:val="-2"/>
        </w:rPr>
        <w:t>C</w:t>
      </w:r>
      <w:r>
        <w:rPr>
          <w:spacing w:val="-2"/>
        </w:rPr>
        <w:t>、本公司对与子公司、联营公司及合营企业投资产生相关的应</w:t>
      </w:r>
      <w:r>
        <w:rPr/>
        <w:t> 纳税暂时性差异，同时满足下列条件的：  ①投资企业能够控制暂时性差异的转回的时间；</w:t>
      </w:r>
      <w:r>
        <w:rPr>
          <w:spacing w:val="6"/>
        </w:rPr>
        <w:t> </w:t>
      </w:r>
      <w:r>
        <w:rPr/>
        <w:t>②该暂时性差异在可预见的未</w:t>
      </w:r>
    </w:p>
    <w:p>
      <w:pPr>
        <w:pStyle w:val="BodyText"/>
        <w:spacing w:line="240" w:lineRule="auto" w:before="32"/>
        <w:ind w:left="153" w:right="91"/>
        <w:jc w:val="left"/>
      </w:pPr>
      <w:r>
        <w:rPr/>
        <w:t>来很可能不会转回。</w:t>
      </w:r>
    </w:p>
    <w:p>
      <w:pPr>
        <w:spacing w:line="240" w:lineRule="auto" w:before="10"/>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23</w:t>
      </w:r>
      <w:r>
        <w:rPr/>
        <w:t>、主要会计政策、会计估计的变更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本报告期主要会计政策、会计估计是否变更</w:t>
      </w:r>
    </w:p>
    <w:p>
      <w:pPr>
        <w:pStyle w:val="BodyText"/>
        <w:spacing w:line="240" w:lineRule="auto" w:before="116"/>
        <w:ind w:left="153"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本报告期主要会计政策是否变更</w:t>
      </w:r>
    </w:p>
    <w:p>
      <w:pPr>
        <w:pStyle w:val="BodyText"/>
        <w:spacing w:line="240" w:lineRule="auto" w:before="116"/>
        <w:ind w:left="153"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91"/>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1"/>
        <w:jc w:val="left"/>
      </w:pPr>
      <w:r>
        <w:rPr/>
        <w:t>本报告期主要会计估计是否变更</w:t>
      </w:r>
    </w:p>
    <w:p>
      <w:pPr>
        <w:pStyle w:val="BodyText"/>
        <w:spacing w:line="240" w:lineRule="auto" w:before="116"/>
        <w:ind w:left="153"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rFonts w:ascii="Times New Roman" w:hAnsi="Times New Roman" w:cs="Times New Roman" w:eastAsia="Times New Roman" w:hint="default"/>
        </w:rPr>
        <w:t>24</w:t>
      </w:r>
      <w:r>
        <w:rPr/>
        <w:t>、前期会计差错更正</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本报告期是否发现前期会计差错</w:t>
      </w:r>
    </w:p>
    <w:p>
      <w:pPr>
        <w:pStyle w:val="BodyText"/>
        <w:spacing w:line="338" w:lineRule="auto" w:before="116"/>
        <w:ind w:right="88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line="240" w:lineRule="auto" w:before="4"/>
        <w:rPr>
          <w:rFonts w:ascii="宋体" w:hAnsi="宋体" w:cs="宋体" w:eastAsia="宋体" w:hint="default"/>
          <w:sz w:val="21"/>
          <w:szCs w:val="21"/>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本报告期是否发现采用追溯重述法的前期会计差错</w:t>
      </w:r>
    </w:p>
    <w:p>
      <w:pPr>
        <w:pStyle w:val="BodyText"/>
        <w:spacing w:line="240" w:lineRule="auto" w:before="116"/>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49"/>
        <w:jc w:val="left"/>
      </w:pPr>
      <w:r>
        <w:rPr/>
        <w:t>本报告期是否发现采用未来适用法的前期会计差错</w:t>
      </w:r>
    </w:p>
    <w:p>
      <w:pPr>
        <w:pStyle w:val="BodyText"/>
        <w:spacing w:line="240" w:lineRule="auto" w:before="117"/>
        <w:ind w:left="153" w:right="1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49"/>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3"/>
        <w:gridCol w:w="3026"/>
        <w:gridCol w:w="3026"/>
      </w:tblGrid>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473"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161"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149"/>
        <w:jc w:val="left"/>
      </w:pPr>
      <w:r>
        <w:rPr/>
        <w:t>各分公司、分厂执行的所得税税率</w:t>
      </w:r>
    </w:p>
    <w:p>
      <w:pPr>
        <w:pStyle w:val="Heading5"/>
        <w:spacing w:line="610" w:lineRule="atLeast" w:before="31"/>
        <w:ind w:left="574" w:right="145" w:hanging="421"/>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
          <w:w w:val="99"/>
        </w:rPr>
        <w:t> </w:t>
      </w:r>
      <w:r>
        <w:rPr/>
        <w:t>本公司为吉林省高新技术企业执行的所得税税率为</w:t>
      </w:r>
      <w:r>
        <w:rPr>
          <w:rFonts w:ascii="Times New Roman" w:hAnsi="Times New Roman" w:cs="Times New Roman" w:eastAsia="Times New Roman" w:hint="default"/>
        </w:rPr>
        <w:t>15%</w:t>
      </w:r>
      <w:r>
        <w:rPr/>
        <w:t>。子公司吉林草还丹药业有限公司坐落在吉林</w:t>
      </w:r>
    </w:p>
    <w:p>
      <w:pPr>
        <w:pStyle w:val="Heading5"/>
        <w:spacing w:line="256" w:lineRule="auto" w:before="21"/>
        <w:ind w:left="574" w:right="149" w:hanging="420"/>
        <w:jc w:val="left"/>
      </w:pPr>
      <w:r>
        <w:rPr/>
        <w:t>省延边朝鲜族自治州敦化市，根据国家有关规定享受国家西部大开发政策，执行的所得税税率为</w:t>
      </w:r>
      <w:r>
        <w:rPr>
          <w:rFonts w:ascii="Times New Roman" w:hAnsi="Times New Roman" w:cs="Times New Roman" w:eastAsia="Times New Roman" w:hint="default"/>
        </w:rPr>
        <w:t>15%</w:t>
      </w:r>
      <w:r>
        <w:rPr/>
        <w:t>。 根据国税函【</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850</w:t>
      </w:r>
      <w:r>
        <w:rPr/>
        <w:t>号《国家税务总局关于贯彻落实从事农、林、牧、渔业项目企业所得税优</w:t>
      </w:r>
    </w:p>
    <w:p>
      <w:pPr>
        <w:pStyle w:val="Heading5"/>
        <w:spacing w:line="273" w:lineRule="auto"/>
        <w:ind w:right="151"/>
        <w:jc w:val="both"/>
      </w:pPr>
      <w:r>
        <w:rPr>
          <w:spacing w:val="-1"/>
        </w:rPr>
        <w:t>惠政策有关事项的通知》及《中华人民共和国企业所得税法实施条例》第八十六条的规定，子公司吉林紫</w:t>
      </w:r>
      <w:r>
        <w:rPr>
          <w:spacing w:val="-82"/>
        </w:rPr>
        <w:t> </w:t>
      </w:r>
      <w:r>
        <w:rPr>
          <w:spacing w:val="-82"/>
        </w:rPr>
      </w:r>
      <w:r>
        <w:rPr>
          <w:spacing w:val="-1"/>
        </w:rPr>
        <w:t>鑫红石种养殖有限公司享受所得税免征政策。子公司吉林草还丹药业有限公司、吉林紫鑫般若药业有限公</w:t>
      </w:r>
      <w:r>
        <w:rPr>
          <w:spacing w:val="-81"/>
        </w:rPr>
        <w:t> </w:t>
      </w:r>
      <w:r>
        <w:rPr>
          <w:spacing w:val="-81"/>
        </w:rPr>
      </w:r>
      <w:r>
        <w:rPr/>
        <w:t>司人参初加工产品享受所得税免征政策。</w:t>
      </w:r>
    </w:p>
    <w:p>
      <w:pPr>
        <w:spacing w:after="0" w:line="273"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487" w:lineRule="auto" w:before="35"/>
        <w:ind w:left="154" w:right="66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3"/>
        <w:ind w:right="149"/>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零售中</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吉林紫 鑫敦化 医药药 材有限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吉林省 敦化经 济开发 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成药、 化学药 制剂、 保健食 品、药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990,000</w:t>
            </w:r>
          </w:p>
          <w:p>
            <w:pPr>
              <w:pStyle w:val="TableParagraph"/>
              <w:spacing w:line="240" w:lineRule="auto" w:before="105"/>
              <w:ind w:left="426"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材原料</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4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中药材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吉林紫</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种植销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10"/>
              <w:jc w:val="both"/>
              <w:rPr>
                <w:rFonts w:ascii="宋体" w:hAnsi="宋体" w:cs="宋体" w:eastAsia="宋体" w:hint="default"/>
                <w:sz w:val="18"/>
                <w:szCs w:val="18"/>
              </w:rPr>
            </w:pPr>
            <w:r>
              <w:rPr>
                <w:rFonts w:ascii="宋体" w:hAnsi="宋体" w:cs="宋体" w:eastAsia="宋体" w:hint="default"/>
                <w:sz w:val="18"/>
                <w:szCs w:val="18"/>
              </w:rPr>
              <w:t>鑫红石 种养殖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08"/>
              <w:jc w:val="left"/>
              <w:rPr>
                <w:rFonts w:ascii="宋体" w:hAnsi="宋体" w:cs="宋体" w:eastAsia="宋体" w:hint="default"/>
                <w:sz w:val="18"/>
                <w:szCs w:val="18"/>
              </w:rPr>
            </w:pPr>
            <w:r>
              <w:rPr>
                <w:rFonts w:ascii="宋体" w:hAnsi="宋体" w:cs="宋体" w:eastAsia="宋体" w:hint="default"/>
                <w:sz w:val="18"/>
                <w:szCs w:val="18"/>
              </w:rPr>
              <w:t>柳河县 柳河镇</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售、动 物养 殖、农</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2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副产品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2"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销售中</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化学药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吉林紫</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延边州</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鑫初元 药业有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新兴工 业集中</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（仅限 于筹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区</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90"/>
                <w:sz w:val="18"/>
                <w:szCs w:val="18"/>
              </w:rPr>
              <w:t>）</w:t>
            </w:r>
            <w:r>
              <w:rPr>
                <w:rFonts w:ascii="宋体" w:hAnsi="宋体" w:cs="宋体" w:eastAsia="宋体" w:hint="default"/>
                <w:spacing w:val="-3"/>
                <w:sz w:val="18"/>
                <w:szCs w:val="18"/>
              </w:rPr>
              <w:t>；人</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用于中</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成药制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造项目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吉林紫</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磐石经</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鑫般若 药业有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济开发 区西点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产活 </w:t>
            </w:r>
            <w:r>
              <w:rPr>
                <w:rFonts w:ascii="宋体" w:hAnsi="宋体" w:cs="宋体" w:eastAsia="宋体" w:hint="default"/>
                <w:spacing w:val="-24"/>
                <w:sz w:val="18"/>
                <w:szCs w:val="18"/>
              </w:rPr>
              <w:t>动）；农</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大街</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副土特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人参收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购及深</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新药、</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保健食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品、化</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学原料</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吉林紫</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药的研</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鑫药物 研究有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南关区 东头道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6"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人参及</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鑫人参 研发有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南关区 东头道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相关产 品的研</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发、保</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健食品</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医药生</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吉林紫 鑫禺拙 药业有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通化市 东昌区 环通乡 长流村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产项目 建设</w:t>
            </w:r>
          </w:p>
          <w:p>
            <w:pPr>
              <w:pStyle w:val="TableParagraph"/>
              <w:spacing w:line="316"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（不得 从事生 产经营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人参及</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鑫人参 销售有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南关区 东头道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相关产 品的销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153" w:right="5991"/>
        <w:jc w:val="left"/>
      </w:pPr>
      <w:r>
        <w:rPr/>
        <w:t>通过设立或投资等方式取得的子公司的其他说明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药、中</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化学药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品制剂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加工销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吉林草 还丹药 业有限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法人独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敦化市 经济开 发区工 业区九 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品加工 销售、 酒精、 白酒及 饮料酒</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46,247,</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641.41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针织品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153" w:right="5631"/>
        <w:jc w:val="left"/>
      </w:pPr>
      <w:r>
        <w:rPr/>
        <w:t>通过非同一控制下企业合并取得的子公司的其他说明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11"/>
        <w:jc w:val="left"/>
      </w:pPr>
      <w:r>
        <w:rPr/>
        <w:t>合并报表范围发生变更说明 无</w:t>
      </w:r>
    </w:p>
    <w:p>
      <w:pPr>
        <w:pStyle w:val="BodyText"/>
        <w:spacing w:line="240" w:lineRule="auto" w:before="29"/>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9"/>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7"/>
        <w:gridCol w:w="1310"/>
        <w:gridCol w:w="935"/>
        <w:gridCol w:w="1474"/>
        <w:gridCol w:w="1312"/>
        <w:gridCol w:w="934"/>
        <w:gridCol w:w="1605"/>
      </w:tblGrid>
      <w:tr>
        <w:trPr>
          <w:trHeight w:val="206" w:hRule="exact"/>
        </w:trPr>
        <w:tc>
          <w:tcPr>
            <w:tcW w:w="19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9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3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19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0"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1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52,693.40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368,468.56</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52,693.40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368,468.56</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175,274,735.34</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402,462,761.25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175,274,735.34</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402,462,761.25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690,000.00</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17"/>
        <w:gridCol w:w="1605"/>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175,327,428.74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403,521,229.81</w:t>
            </w:r>
          </w:p>
        </w:tc>
      </w:tr>
    </w:tbl>
    <w:p>
      <w:pPr>
        <w:pStyle w:val="BodyText"/>
        <w:spacing w:line="357" w:lineRule="auto" w:before="51"/>
        <w:ind w:left="153" w:right="2571"/>
        <w:jc w:val="left"/>
      </w:pPr>
      <w:r>
        <w:rPr/>
        <w:t>如有因抵押、质押或冻结等对使用有限制、存放在境外、有潜在回收风险的款项应单独说明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13,318,369.46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6,642,918.19</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139,531.03</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13,457,900.49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6,642,918.19</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53"/>
      </w:tblGrid>
      <w:tr>
        <w:trPr>
          <w:trHeight w:val="402" w:hRule="exact"/>
        </w:trPr>
        <w:tc>
          <w:tcPr>
            <w:tcW w:w="20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9" w:type="dxa"/>
            <w:tcBorders>
              <w:top w:val="single" w:sz="4" w:space="0" w:color="000000"/>
              <w:left w:val="single" w:sz="13" w:space="0" w:color="D3D3D3"/>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73,391,888.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4,505,491.7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419,637,4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67.30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25,178,856.9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172,749,32</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9.74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12,094,804.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166,144,7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25.61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11,144,839.8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6.71%</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246,141,21</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8.03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16,600,296.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585,782,1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92.91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36,323,696.7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246,141,21</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8.03</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16,600,296.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585,782,1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92.91</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36,323,696.7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149"/>
        <w:jc w:val="both"/>
      </w:pPr>
      <w:r>
        <w:rPr/>
        <w:t>应收账款种类的说明 单项金额重大的应收款项坏账准备的确认标准</w:t>
      </w:r>
      <w:r>
        <w:rPr>
          <w:rFonts w:ascii="Times New Roman" w:hAnsi="Times New Roman" w:cs="Times New Roman" w:eastAsia="Times New Roman" w:hint="default"/>
        </w:rPr>
        <w:t>:</w:t>
      </w:r>
      <w:r>
        <w:rPr/>
        <w:t>单项金额重大的应收款项为期末余额在</w:t>
      </w:r>
      <w:r>
        <w:rPr>
          <w:rFonts w:ascii="Times New Roman" w:hAnsi="Times New Roman" w:cs="Times New Roman" w:eastAsia="Times New Roman" w:hint="default"/>
        </w:rPr>
        <w:t>100</w:t>
      </w:r>
      <w:r>
        <w:rPr/>
        <w:t>万元以上的应收款项；</w:t>
      </w:r>
    </w:p>
    <w:p>
      <w:pPr>
        <w:pStyle w:val="BodyText"/>
        <w:spacing w:line="309" w:lineRule="auto" w:before="4"/>
        <w:ind w:right="149"/>
        <w:jc w:val="both"/>
      </w:pPr>
      <w:r>
        <w:rPr/>
        <w:t>单项金额重大的应收款项坏账准备的计提方法</w:t>
      </w:r>
      <w:r>
        <w:rPr>
          <w:rFonts w:ascii="Times New Roman" w:hAnsi="Times New Roman" w:cs="Times New Roman" w:eastAsia="Times New Roman" w:hint="default"/>
        </w:rPr>
        <w:t>:</w:t>
      </w:r>
      <w:r>
        <w:rPr/>
        <w:t>本公司对单项金额重大的应收款项单独进行减值测试，如有客观证据表明其 </w:t>
      </w:r>
      <w:r>
        <w:rPr>
          <w:spacing w:val="-2"/>
        </w:rPr>
        <w:t>已发生减值，确认减值损失，计提坏账准备；如无客观证据表明其已发生减值，则对单项金额重大的应收款项按账龄分析法</w:t>
      </w:r>
      <w:r>
        <w:rPr>
          <w:spacing w:val="-66"/>
        </w:rPr>
        <w:t> </w:t>
      </w:r>
      <w:r>
        <w:rPr>
          <w:spacing w:val="-66"/>
        </w:rPr>
      </w:r>
      <w:r>
        <w:rPr/>
        <w:t>计提坏账准备。</w:t>
      </w:r>
    </w:p>
    <w:p>
      <w:pPr>
        <w:pStyle w:val="BodyText"/>
        <w:spacing w:line="240" w:lineRule="auto" w:before="65"/>
        <w:ind w:right="0"/>
        <w:jc w:val="both"/>
      </w:pPr>
      <w:r>
        <w:rPr/>
        <w:t>期末单项金额重大并单项计提坏账准备的应收账款</w:t>
      </w:r>
    </w:p>
    <w:p>
      <w:pPr>
        <w:spacing w:after="0" w:line="240"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80" w:left="980" w:right="980"/>
          <w:cols w:num="2" w:equalWidth="0">
            <w:col w:w="3935" w:space="489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3D3D3"/>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171,299,590.80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10,277,975.46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543,189,612.26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32,591,376.74</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171,299,590.80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10,277,975.46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543,189,612.26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32,591,376.74</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68,776,952.71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5,502,156.22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37,494,893.60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2,999,591.50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4,307,427.97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430,742.79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3,195,428.39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319,542.84</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1,757,246.55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389,422.13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1,902,258.66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413,185.68</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1,398,686.36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279,737.27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1,585,045.58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317,009.12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347,976.19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104,392.86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312,149.92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93,644.98</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10,584.00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5,292.00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5,063.16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2,531.58</w:t>
            </w:r>
          </w:p>
        </w:tc>
      </w:tr>
      <w:tr>
        <w:trPr>
          <w:trHeight w:val="403"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246,141,218.03</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16,600,296.60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585,782,192.91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36,323,696.76</w:t>
            </w:r>
          </w:p>
        </w:tc>
      </w:tr>
    </w:tbl>
    <w:p>
      <w:pPr>
        <w:pStyle w:val="BodyText"/>
        <w:spacing w:line="240" w:lineRule="auto" w:before="51"/>
        <w:ind w:right="149"/>
        <w:jc w:val="left"/>
      </w:pPr>
      <w:r>
        <w:rPr/>
        <w:t>组合中，采用余额百分比法计提坏账准备的应收账款</w:t>
      </w:r>
    </w:p>
    <w:p>
      <w:pPr>
        <w:pStyle w:val="BodyText"/>
        <w:spacing w:line="340" w:lineRule="auto" w:before="116"/>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0"/>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3"/>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2"/>
        <w:gridCol w:w="1710"/>
        <w:gridCol w:w="1874"/>
        <w:gridCol w:w="1907"/>
        <w:gridCol w:w="1872"/>
      </w:tblGrid>
      <w:tr>
        <w:trPr>
          <w:trHeight w:val="160" w:hRule="exact"/>
        </w:trPr>
        <w:tc>
          <w:tcPr>
            <w:tcW w:w="218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12" w:right="52"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7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2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07" w:type="dxa"/>
            <w:vMerge/>
            <w:tcBorders>
              <w:left w:val="single" w:sz="4" w:space="0" w:color="000000"/>
              <w:right w:val="single" w:sz="4" w:space="0" w:color="000000"/>
            </w:tcBorders>
            <w:shd w:val="clear" w:color="auto" w:fill="D3D3D3"/>
          </w:tcPr>
          <w:p>
            <w:pPr/>
          </w:p>
        </w:tc>
        <w:tc>
          <w:tcPr>
            <w:tcW w:w="1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0" w:hRule="exact"/>
        </w:trPr>
        <w:tc>
          <w:tcPr>
            <w:tcW w:w="21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7" w:type="dxa"/>
            <w:vMerge/>
            <w:tcBorders>
              <w:left w:val="single" w:sz="4" w:space="0" w:color="000000"/>
              <w:bottom w:val="single" w:sz="4" w:space="0" w:color="000000"/>
              <w:right w:val="single" w:sz="4" w:space="0" w:color="000000"/>
            </w:tcBorders>
            <w:shd w:val="clear" w:color="auto" w:fill="D3D3D3"/>
          </w:tcPr>
          <w:p>
            <w:pPr/>
          </w:p>
        </w:tc>
        <w:tc>
          <w:tcPr>
            <w:tcW w:w="187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5"/>
        <w:gridCol w:w="1931"/>
        <w:gridCol w:w="1914"/>
        <w:gridCol w:w="1914"/>
        <w:gridCol w:w="1903"/>
      </w:tblGrid>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单项金额不重大但按信用风险特征组合后该组合的风险较大的应收账款的说明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606"/>
        <w:gridCol w:w="1571"/>
      </w:tblGrid>
      <w:tr>
        <w:trPr>
          <w:trHeight w:val="162"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91" w:right="59"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390"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71" w:type="dxa"/>
            <w:vMerge/>
            <w:tcBorders>
              <w:left w:val="single" w:sz="4" w:space="0" w:color="000000"/>
              <w:right w:val="single" w:sz="4" w:space="0" w:color="000000"/>
            </w:tcBorders>
            <w:shd w:val="clear" w:color="auto" w:fill="D3D3D3"/>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71" w:type="dxa"/>
            <w:vMerge/>
            <w:tcBorders>
              <w:left w:val="single" w:sz="4" w:space="0" w:color="000000"/>
              <w:bottom w:val="single" w:sz="4" w:space="0" w:color="000000"/>
              <w:right w:val="single" w:sz="4" w:space="0" w:color="000000"/>
            </w:tcBorders>
            <w:shd w:val="clear" w:color="auto" w:fill="D3D3D3"/>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应收账款核销说明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59"/>
        <w:gridCol w:w="1715"/>
        <w:gridCol w:w="1594"/>
        <w:gridCol w:w="1861"/>
        <w:gridCol w:w="1715"/>
      </w:tblGrid>
      <w:tr>
        <w:trPr>
          <w:trHeight w:val="207" w:hRule="exact"/>
        </w:trPr>
        <w:tc>
          <w:tcPr>
            <w:tcW w:w="265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26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10" w:type="dxa"/>
            <w:gridSpan w:val="2"/>
            <w:vMerge/>
            <w:tcBorders>
              <w:left w:val="single" w:sz="4" w:space="0" w:color="000000"/>
              <w:bottom w:val="single" w:sz="4" w:space="0" w:color="000000"/>
              <w:right w:val="single" w:sz="4" w:space="0" w:color="000000"/>
            </w:tcBorders>
            <w:shd w:val="clear" w:color="auto" w:fill="D3D3D3"/>
          </w:tcPr>
          <w:p>
            <w:pPr/>
          </w:p>
        </w:tc>
        <w:tc>
          <w:tcPr>
            <w:tcW w:w="3575"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59" w:type="dxa"/>
            <w:vMerge/>
            <w:tcBorders>
              <w:left w:val="single" w:sz="4" w:space="0" w:color="000000"/>
              <w:bottom w:val="nil" w:sz="6" w:space="0" w:color="auto"/>
              <w:right w:val="single" w:sz="4" w:space="0" w:color="000000"/>
            </w:tcBorders>
            <w:shd w:val="clear" w:color="auto" w:fill="D3D3D3"/>
          </w:tcPr>
          <w:p>
            <w:pPr/>
          </w:p>
        </w:tc>
        <w:tc>
          <w:tcPr>
            <w:tcW w:w="17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5" w:hRule="exact"/>
        </w:trPr>
        <w:tc>
          <w:tcPr>
            <w:tcW w:w="2659"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vMerge/>
            <w:tcBorders>
              <w:left w:val="single" w:sz="4" w:space="0" w:color="000000"/>
              <w:bottom w:val="single" w:sz="4" w:space="0" w:color="000000"/>
              <w:right w:val="single" w:sz="4" w:space="0" w:color="000000"/>
            </w:tcBorders>
            <w:shd w:val="clear" w:color="auto" w:fill="D3D3D3"/>
          </w:tcPr>
          <w:p>
            <w:pPr/>
          </w:p>
        </w:tc>
        <w:tc>
          <w:tcPr>
            <w:tcW w:w="17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44,176,131.73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5,216,793.69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4,829,026.96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2,649,037.29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58,497,009.67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23.77%</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30" w:type="dxa"/>
            <w:tcBorders>
              <w:top w:val="single" w:sz="4" w:space="0" w:color="000000"/>
              <w:left w:val="single" w:sz="4" w:space="0" w:color="000000"/>
              <w:bottom w:val="single" w:sz="4" w:space="0" w:color="000000"/>
              <w:right w:val="single" w:sz="4" w:space="0" w:color="000000"/>
            </w:tcBorders>
          </w:tcPr>
          <w:p>
            <w:pPr/>
          </w:p>
        </w:tc>
        <w:tc>
          <w:tcPr>
            <w:tcW w:w="2430" w:type="dxa"/>
            <w:tcBorders>
              <w:top w:val="single" w:sz="4" w:space="0" w:color="000000"/>
              <w:left w:val="single" w:sz="4" w:space="0" w:color="000000"/>
              <w:bottom w:val="single" w:sz="4" w:space="0" w:color="000000"/>
              <w:right w:val="single" w:sz="4" w:space="0" w:color="000000"/>
            </w:tcBorders>
          </w:tcPr>
          <w:p>
            <w:pP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90"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7"/>
        <w:gridCol w:w="3002"/>
        <w:gridCol w:w="3588"/>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7"/>
        <w:gridCol w:w="5708"/>
      </w:tblGrid>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5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7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2" w:hRule="exact"/>
        </w:trPr>
        <w:tc>
          <w:tcPr>
            <w:tcW w:w="3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7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1"/>
        <w:gridCol w:w="1058"/>
        <w:gridCol w:w="792"/>
        <w:gridCol w:w="1057"/>
        <w:gridCol w:w="794"/>
        <w:gridCol w:w="1058"/>
        <w:gridCol w:w="925"/>
        <w:gridCol w:w="1190"/>
        <w:gridCol w:w="779"/>
      </w:tblGrid>
      <w:tr>
        <w:trPr>
          <w:trHeight w:val="402" w:hRule="exact"/>
        </w:trPr>
        <w:tc>
          <w:tcPr>
            <w:tcW w:w="1891" w:type="dxa"/>
            <w:tcBorders>
              <w:top w:val="single" w:sz="4" w:space="0" w:color="000000"/>
              <w:left w:val="single" w:sz="4" w:space="0" w:color="000000"/>
              <w:bottom w:val="nil" w:sz="6" w:space="0" w:color="auto"/>
              <w:right w:val="single" w:sz="4" w:space="0" w:color="000000"/>
            </w:tcBorders>
            <w:shd w:val="clear" w:color="auto" w:fill="D3D3D3"/>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6"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4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单项金额重大的其他应 收款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22,667,603.5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2,918,856.21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12.88%</w:t>
            </w: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18,730,366.9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1,164,243.74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14,944,371.3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1,009,577.81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6.76%</w:t>
            </w: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29,910,366.9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3,952,243.74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37,611,974.9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3,928,434.02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10.44%</w:t>
            </w: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29,910,366.9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3,952,243.74</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37,611,974.9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3,928,434.02</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8" w:lineRule="auto" w:before="51"/>
        <w:ind w:left="153" w:right="0"/>
        <w:jc w:val="left"/>
      </w:pPr>
      <w:r>
        <w:rPr/>
        <w:t>其他应收款种类的说明 单项金额重大的其他应收款坏账准备的确认标准：单项金额重大的应收款项为期末余额在</w:t>
      </w:r>
      <w:r>
        <w:rPr>
          <w:rFonts w:ascii="Times New Roman" w:hAnsi="Times New Roman" w:cs="Times New Roman" w:eastAsia="Times New Roman" w:hint="default"/>
        </w:rPr>
        <w:t>100</w:t>
      </w:r>
      <w:r>
        <w:rPr/>
        <w:t>万元以上的应收款项 </w:t>
      </w:r>
      <w:r>
        <w:rPr>
          <w:spacing w:val="-2"/>
        </w:rPr>
        <w:t>单项金额重大的应收款项坏账准备的计提方法：本公司对单项金额重大的应收款项单独进行减值测试，如有客观证据表明其</w:t>
      </w:r>
    </w:p>
    <w:p>
      <w:pPr>
        <w:pStyle w:val="BodyText"/>
        <w:spacing w:line="316" w:lineRule="auto"/>
        <w:ind w:left="153" w:right="0"/>
        <w:jc w:val="left"/>
      </w:pPr>
      <w:r>
        <w:rPr>
          <w:spacing w:val="-2"/>
        </w:rPr>
        <w:t>已发生减值，确认减值损失，计提坏账准备；如无客观证据表明其已发生减值，则对单项金额重大的应收款项按账龄分析法</w:t>
      </w:r>
      <w:r>
        <w:rPr>
          <w:spacing w:val="-66"/>
        </w:rPr>
        <w:t> </w:t>
      </w:r>
      <w:r>
        <w:rPr>
          <w:spacing w:val="-66"/>
        </w:rPr>
      </w:r>
      <w:r>
        <w:rPr/>
        <w:t>计提坏账准备。</w:t>
      </w:r>
    </w:p>
    <w:p>
      <w:pPr>
        <w:pStyle w:val="BodyText"/>
        <w:spacing w:line="240" w:lineRule="auto" w:before="59"/>
        <w:ind w:left="153" w:right="149"/>
        <w:jc w:val="left"/>
      </w:pPr>
      <w:r>
        <w:rPr/>
        <w:t>期末单项金额重大并单项计提坏账准备的其他应收款</w:t>
      </w:r>
    </w:p>
    <w:p>
      <w:pPr>
        <w:pStyle w:val="BodyText"/>
        <w:spacing w:line="338" w:lineRule="auto" w:before="117"/>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spacing w:after="0" w:line="338"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1"/>
        <w:gridCol w:w="1846"/>
        <w:gridCol w:w="659"/>
        <w:gridCol w:w="1447"/>
        <w:gridCol w:w="1450"/>
        <w:gridCol w:w="656"/>
        <w:gridCol w:w="1668"/>
      </w:tblGrid>
      <w:tr>
        <w:trPr>
          <w:trHeight w:val="402" w:hRule="exact"/>
        </w:trPr>
        <w:tc>
          <w:tcPr>
            <w:tcW w:w="18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1" w:type="dxa"/>
            <w:vMerge/>
            <w:tcBorders>
              <w:left w:val="single" w:sz="4" w:space="0" w:color="000000"/>
              <w:right w:val="single" w:sz="4" w:space="0" w:color="000000"/>
            </w:tcBorders>
            <w:shd w:val="clear" w:color="auto" w:fill="D3D3D3"/>
          </w:tcPr>
          <w:p>
            <w:pPr/>
          </w:p>
        </w:tc>
        <w:tc>
          <w:tcPr>
            <w:tcW w:w="25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1" w:type="dxa"/>
            <w:vMerge/>
            <w:tcBorders>
              <w:left w:val="single" w:sz="4" w:space="0" w:color="000000"/>
              <w:bottom w:val="single" w:sz="4" w:space="0" w:color="000000"/>
              <w:right w:val="single" w:sz="4" w:space="0" w:color="000000"/>
            </w:tcBorders>
            <w:shd w:val="clear" w:color="auto" w:fill="D3D3D3"/>
          </w:tcPr>
          <w:p>
            <w:pP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17,726,240.13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1,063,574.41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21,996,786.55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1,319,807.19</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17,726,240.13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1,063,574.41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21,996,786.55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1,319,807.19</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868,219.37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69,457.55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4,040,820.94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323,265.67</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2,703,854.80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270,385.48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465,854.00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46,585.40</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8,612,052.60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2,548,826.30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11,108,513.46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2,238,775.76</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11,017,468.05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2,203,493.61</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2,446,800.00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51,202.80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15,360.84</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36,052.60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18,026.30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39,842.61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19,921.31</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29,910,366.90</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3,952,243.74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37,611,974.95</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3,928,434.02</w:t>
            </w:r>
          </w:p>
        </w:tc>
      </w:tr>
    </w:tbl>
    <w:p>
      <w:pPr>
        <w:pStyle w:val="BodyText"/>
        <w:spacing w:line="240" w:lineRule="auto" w:before="51"/>
        <w:ind w:right="149"/>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0" w:lineRule="auto" w:before="42"/>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0"/>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74"/>
        <w:gridCol w:w="1895"/>
        <w:gridCol w:w="1884"/>
      </w:tblGrid>
      <w:tr>
        <w:trPr>
          <w:trHeight w:val="161" w:hRule="exact"/>
        </w:trPr>
        <w:tc>
          <w:tcPr>
            <w:tcW w:w="21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189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2" w:right="40"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1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895" w:type="dxa"/>
            <w:vMerge/>
            <w:tcBorders>
              <w:left w:val="single" w:sz="4" w:space="0" w:color="000000"/>
              <w:right w:val="single" w:sz="4" w:space="0" w:color="000000"/>
            </w:tcBorders>
            <w:shd w:val="clear" w:color="auto" w:fill="D3D3D3"/>
          </w:tcPr>
          <w:p>
            <w:pPr/>
          </w:p>
        </w:tc>
        <w:tc>
          <w:tcPr>
            <w:tcW w:w="18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1" w:hRule="exact"/>
        </w:trPr>
        <w:tc>
          <w:tcPr>
            <w:tcW w:w="21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95" w:type="dxa"/>
            <w:vMerge/>
            <w:tcBorders>
              <w:left w:val="single" w:sz="4" w:space="0" w:color="000000"/>
              <w:bottom w:val="single" w:sz="4" w:space="0" w:color="000000"/>
              <w:right w:val="single" w:sz="4" w:space="0" w:color="000000"/>
            </w:tcBorders>
            <w:shd w:val="clear" w:color="auto" w:fill="D3D3D3"/>
          </w:tcPr>
          <w:p>
            <w:pPr/>
          </w:p>
        </w:tc>
        <w:tc>
          <w:tcPr>
            <w:tcW w:w="18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w:t>
            </w:r>
          </w:p>
        </w:tc>
        <w:tc>
          <w:tcPr>
            <w:tcW w:w="1895"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期末单项金额重大或虽不重大但单独进行减值测试的其他应收账款坏账准备计提</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40"/>
        <w:gridCol w:w="1954"/>
        <w:gridCol w:w="1965"/>
        <w:gridCol w:w="1943"/>
        <w:gridCol w:w="1843"/>
      </w:tblGrid>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65"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0.00</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单项金额不重大但按信用风险特征组合后该组合的风险较大的其他应收款的说明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5"/>
        <w:gridCol w:w="1593"/>
        <w:gridCol w:w="1462"/>
        <w:gridCol w:w="1519"/>
        <w:gridCol w:w="1790"/>
      </w:tblGrid>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8151"/>
        <w:jc w:val="left"/>
      </w:pPr>
      <w:r>
        <w:rPr/>
        <w:t>其他应收款核销说明 无</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2"/>
        <w:gridCol w:w="1715"/>
        <w:gridCol w:w="1594"/>
        <w:gridCol w:w="1860"/>
        <w:gridCol w:w="1583"/>
      </w:tblGrid>
      <w:tr>
        <w:trPr>
          <w:trHeight w:val="206" w:hRule="exact"/>
        </w:trPr>
        <w:tc>
          <w:tcPr>
            <w:tcW w:w="2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330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27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09" w:type="dxa"/>
            <w:gridSpan w:val="2"/>
            <w:vMerge/>
            <w:tcBorders>
              <w:left w:val="single" w:sz="4" w:space="0" w:color="000000"/>
              <w:bottom w:val="single" w:sz="4" w:space="0" w:color="000000"/>
              <w:right w:val="single" w:sz="4" w:space="0" w:color="000000"/>
            </w:tcBorders>
            <w:shd w:val="clear" w:color="auto" w:fill="D3D3D3"/>
          </w:tcPr>
          <w:p>
            <w:pPr/>
          </w:p>
        </w:tc>
        <w:tc>
          <w:tcPr>
            <w:tcW w:w="3443"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92" w:type="dxa"/>
            <w:vMerge/>
            <w:tcBorders>
              <w:left w:val="single" w:sz="4" w:space="0" w:color="000000"/>
              <w:bottom w:val="nil" w:sz="6" w:space="0" w:color="auto"/>
              <w:right w:val="single" w:sz="4" w:space="0" w:color="000000"/>
            </w:tcBorders>
            <w:shd w:val="clear" w:color="auto" w:fill="D3D3D3"/>
          </w:tcPr>
          <w:p>
            <w:pPr/>
          </w:p>
        </w:tc>
        <w:tc>
          <w:tcPr>
            <w:tcW w:w="17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6" w:hRule="exact"/>
        </w:trPr>
        <w:tc>
          <w:tcPr>
            <w:tcW w:w="2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0" w:type="dxa"/>
            <w:vMerge/>
            <w:tcBorders>
              <w:left w:val="single" w:sz="4" w:space="0" w:color="000000"/>
              <w:bottom w:val="single" w:sz="4" w:space="0" w:color="000000"/>
              <w:right w:val="single" w:sz="4" w:space="0" w:color="000000"/>
            </w:tcBorders>
            <w:shd w:val="clear" w:color="auto" w:fill="D3D3D3"/>
          </w:tcPr>
          <w:p>
            <w:pPr/>
          </w:p>
        </w:tc>
        <w:tc>
          <w:tcPr>
            <w:tcW w:w="158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合计</w:t>
            </w:r>
          </w:p>
        </w:tc>
        <w:tc>
          <w:tcPr>
            <w:tcW w:w="17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51"/>
        <w:ind w:right="149"/>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吉林汇鑫生物制药科技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委托研发单位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吉林长理新药研发有限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委托研发单位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二至五年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隋玉华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448,899.94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444,401.10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12,523,301.04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41.87%</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78"/>
        <w:gridCol w:w="2429"/>
        <w:gridCol w:w="2431"/>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66"/>
        <w:gridCol w:w="3002"/>
        <w:gridCol w:w="3588"/>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6"/>
              <w:jc w:val="right"/>
              <w:rPr>
                <w:rFonts w:ascii="宋体" w:hAnsi="宋体" w:cs="宋体" w:eastAsia="宋体" w:hint="default"/>
                <w:sz w:val="18"/>
                <w:szCs w:val="18"/>
              </w:rPr>
            </w:pPr>
            <w:r>
              <w:rPr>
                <w:rFonts w:ascii="宋体" w:hAnsi="宋体" w:cs="宋体" w:eastAsia="宋体" w:hint="default"/>
                <w:sz w:val="18"/>
                <w:szCs w:val="18"/>
              </w:rPr>
              <w:t>项目</w:t>
            </w:r>
          </w:p>
        </w:tc>
        <w:tc>
          <w:tcPr>
            <w:tcW w:w="3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6"/>
              <w:jc w:val="right"/>
              <w:rPr>
                <w:rFonts w:ascii="宋体" w:hAnsi="宋体" w:cs="宋体" w:eastAsia="宋体" w:hint="default"/>
                <w:sz w:val="18"/>
                <w:szCs w:val="18"/>
              </w:rPr>
            </w:pPr>
            <w:r>
              <w:rPr>
                <w:rFonts w:ascii="宋体" w:hAnsi="宋体" w:cs="宋体" w:eastAsia="宋体" w:hint="default"/>
                <w:sz w:val="18"/>
                <w:szCs w:val="18"/>
              </w:rPr>
              <w:t>合计</w:t>
            </w:r>
          </w:p>
        </w:tc>
        <w:tc>
          <w:tcPr>
            <w:tcW w:w="30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5842"/>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5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8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8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6"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86,355,427.24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50,571,932.19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85.57%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19,988,151.39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2,226,281.93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2,150,926.00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5,116,027.25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8.66%</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2,916,851.84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1,181,582.42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2"/>
                <w:sz w:val="18"/>
              </w:rPr>
              <w:t>111,411,356.47</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59,095,823.79</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预付款项账龄的说明</w:t>
      </w:r>
    </w:p>
    <w:p>
      <w:pPr>
        <w:spacing w:line="240" w:lineRule="auto" w:before="4"/>
        <w:rPr>
          <w:rFonts w:ascii="宋体" w:hAnsi="宋体" w:cs="宋体" w:eastAsia="宋体" w:hint="default"/>
          <w:sz w:val="10"/>
          <w:szCs w:val="10"/>
        </w:rPr>
      </w:pPr>
    </w:p>
    <w:p>
      <w:pPr>
        <w:pStyle w:val="Heading5"/>
        <w:spacing w:line="240" w:lineRule="auto" w:before="35"/>
        <w:ind w:left="658" w:right="149"/>
        <w:jc w:val="left"/>
      </w:pPr>
      <w:r>
        <w:rPr/>
        <w:t>账龄超过一年以上且金额重大的预付款项金额为</w:t>
      </w:r>
      <w:r>
        <w:rPr>
          <w:rFonts w:ascii="Times New Roman" w:hAnsi="Times New Roman" w:cs="Times New Roman" w:eastAsia="Times New Roman" w:hint="default"/>
        </w:rPr>
        <w:t>1,603</w:t>
      </w:r>
      <w:r>
        <w:rPr/>
        <w:t>万元，主要为预付的广告制作款、预付工程款</w:t>
      </w:r>
    </w:p>
    <w:p>
      <w:pPr>
        <w:pStyle w:val="Heading5"/>
        <w:spacing w:line="240" w:lineRule="auto" w:before="21"/>
        <w:ind w:left="153" w:right="149"/>
        <w:jc w:val="left"/>
      </w:pPr>
      <w:r>
        <w:rPr/>
        <w:t>等。</w:t>
      </w:r>
    </w:p>
    <w:p>
      <w:pPr>
        <w:spacing w:after="0" w:line="240" w:lineRule="auto"/>
        <w:jc w:val="left"/>
        <w:sectPr>
          <w:footerReference w:type="default" r:id="rId16"/>
          <w:pgSz w:w="11910" w:h="16840"/>
          <w:pgMar w:footer="982" w:header="747"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70,300,435.23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3,909,521.85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86,259,957.08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预付款项主要单位的说明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2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right="149" w:firstLine="420"/>
        <w:jc w:val="left"/>
      </w:pPr>
      <w:r>
        <w:rPr>
          <w:spacing w:val="-1"/>
        </w:rPr>
        <w:t>（</w:t>
      </w:r>
      <w:r>
        <w:rPr>
          <w:rFonts w:ascii="Times New Roman" w:hAnsi="Times New Roman" w:cs="Times New Roman" w:eastAsia="Times New Roman" w:hint="default"/>
          <w:spacing w:val="-1"/>
        </w:rPr>
        <w:t>1</w:t>
      </w:r>
      <w:r>
        <w:rPr>
          <w:spacing w:val="-1"/>
        </w:rPr>
        <w:t>）预付款项期末余额较期初余额增加</w:t>
      </w:r>
      <w:r>
        <w:rPr>
          <w:rFonts w:ascii="Times New Roman" w:hAnsi="Times New Roman" w:cs="Times New Roman" w:eastAsia="Times New Roman" w:hint="default"/>
          <w:spacing w:val="-1"/>
        </w:rPr>
        <w:t>5,231.55</w:t>
      </w:r>
      <w:r>
        <w:rPr>
          <w:spacing w:val="-1"/>
        </w:rPr>
        <w:t>万元，主要是公司期末预付公司</w:t>
      </w:r>
      <w:r>
        <w:rPr>
          <w:rFonts w:ascii="Times New Roman" w:hAnsi="Times New Roman" w:cs="Times New Roman" w:eastAsia="Times New Roman" w:hint="default"/>
          <w:spacing w:val="-1"/>
        </w:rPr>
        <w:t>A</w:t>
      </w:r>
      <w:r>
        <w:rPr>
          <w:spacing w:val="-1"/>
        </w:rPr>
        <w:t>人参采购款</w:t>
      </w:r>
      <w:r>
        <w:rPr>
          <w:rFonts w:ascii="Times New Roman" w:hAnsi="Times New Roman" w:cs="Times New Roman" w:eastAsia="Times New Roman" w:hint="default"/>
          <w:spacing w:val="-1"/>
        </w:rPr>
        <w:t>7,000</w:t>
      </w:r>
      <w:r>
        <w:rPr>
          <w:spacing w:val="-1"/>
        </w:rPr>
        <w:t>万</w:t>
      </w:r>
      <w:r>
        <w:rPr/>
        <w:t> 元所致。</w:t>
      </w:r>
    </w:p>
    <w:p>
      <w:pPr>
        <w:pStyle w:val="Heading5"/>
        <w:spacing w:line="240" w:lineRule="auto" w:before="22"/>
        <w:ind w:left="574" w:right="149"/>
        <w:jc w:val="left"/>
      </w:pPr>
      <w:r>
        <w:rPr/>
        <w:t>（</w:t>
      </w:r>
      <w:r>
        <w:rPr>
          <w:rFonts w:ascii="Times New Roman" w:hAnsi="Times New Roman" w:cs="Times New Roman" w:eastAsia="Times New Roman" w:hint="default"/>
        </w:rPr>
        <w:t>2</w:t>
      </w:r>
      <w:r>
        <w:rPr/>
        <w:t>）本期将三年以上不再具有预付款性质的单位转入其他应收款核算。</w:t>
      </w:r>
    </w:p>
    <w:p>
      <w:pPr>
        <w:pStyle w:val="Heading5"/>
        <w:spacing w:line="240" w:lineRule="auto" w:before="21"/>
        <w:ind w:left="574" w:right="149"/>
        <w:jc w:val="left"/>
      </w:pPr>
      <w:r>
        <w:rPr/>
        <w:t>（</w:t>
      </w:r>
      <w:r>
        <w:rPr>
          <w:rFonts w:ascii="Times New Roman" w:hAnsi="Times New Roman" w:cs="Times New Roman" w:eastAsia="Times New Roman" w:hint="default"/>
        </w:rPr>
        <w:t>3</w:t>
      </w:r>
      <w:r>
        <w:rPr/>
        <w:t>）预付款项期末余额中无持有本公司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5"/>
        <w:gridCol w:w="1472"/>
        <w:gridCol w:w="1194"/>
        <w:gridCol w:w="1330"/>
        <w:gridCol w:w="1327"/>
        <w:gridCol w:w="1330"/>
        <w:gridCol w:w="1328"/>
      </w:tblGrid>
      <w:tr>
        <w:trPr>
          <w:trHeight w:val="207" w:hRule="exact"/>
        </w:trPr>
        <w:tc>
          <w:tcPr>
            <w:tcW w:w="1575"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5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75" w:type="dxa"/>
            <w:vMerge/>
            <w:tcBorders>
              <w:left w:val="single" w:sz="4" w:space="0" w:color="000000"/>
              <w:bottom w:val="nil" w:sz="6" w:space="0" w:color="auto"/>
              <w:right w:val="single" w:sz="4" w:space="0" w:color="000000"/>
            </w:tcBorders>
            <w:shd w:val="clear" w:color="auto" w:fill="D3D3D3"/>
          </w:tcPr>
          <w:p>
            <w:pP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150,508,384.33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150,508,384.33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155,418,375.35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155,418,375.35</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6,897,324.87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6,897,324.87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67,727,653.07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67,727,653.07</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1,184,868,525.88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1,184,868,525.88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29,392,353.69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29,392,353.69</w:t>
            </w:r>
          </w:p>
        </w:tc>
      </w:tr>
      <w:tr>
        <w:trPr>
          <w:trHeight w:val="403"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2" w:type="dxa"/>
            <w:tcBorders>
              <w:top w:val="single" w:sz="4" w:space="0" w:color="000000"/>
              <w:left w:val="single" w:sz="13" w:space="0" w:color="D3D3D3"/>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82" w:header="747" w:top="1060" w:bottom="1180" w:left="980" w:right="98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51,129,458.12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51,129,458.12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88,294,752.23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88,294,752.23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16,127,097.10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16,127,097.10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421,620,438.89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421,620,438.89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5,790,803.37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5,790,803.37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4,650,279.06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4,650,279.06</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313,870.25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313,870.25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82,638,703.50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82,638,703.50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1,415,635,463.92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1,415,635,463.92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850,942,555.79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850,942,555.79</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15"/>
        <w:gridCol w:w="1627"/>
        <w:gridCol w:w="1615"/>
        <w:gridCol w:w="1414"/>
        <w:gridCol w:w="1430"/>
        <w:gridCol w:w="1756"/>
      </w:tblGrid>
      <w:tr>
        <w:trPr>
          <w:trHeight w:val="206" w:hRule="exact"/>
        </w:trPr>
        <w:tc>
          <w:tcPr>
            <w:tcW w:w="17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4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7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3D3D3"/>
          </w:tcPr>
          <w:p>
            <w:pPr/>
          </w:p>
        </w:tc>
        <w:tc>
          <w:tcPr>
            <w:tcW w:w="1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6" w:hRule="exact"/>
        </w:trPr>
        <w:tc>
          <w:tcPr>
            <w:tcW w:w="1715" w:type="dxa"/>
            <w:vMerge/>
            <w:tcBorders>
              <w:left w:val="single" w:sz="4" w:space="0" w:color="000000"/>
              <w:bottom w:val="nil" w:sz="6" w:space="0" w:color="auto"/>
              <w:right w:val="single" w:sz="4" w:space="0" w:color="000000"/>
            </w:tcBorders>
            <w:shd w:val="clear" w:color="auto" w:fill="D3D3D3"/>
          </w:tcPr>
          <w:p>
            <w:pPr/>
          </w:p>
        </w:tc>
        <w:tc>
          <w:tcPr>
            <w:tcW w:w="1627"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7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75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6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right="149"/>
        <w:jc w:val="left"/>
      </w:pPr>
      <w:r>
        <w:rPr/>
        <w:t>存货的说明</w:t>
      </w:r>
    </w:p>
    <w:p>
      <w:pPr>
        <w:spacing w:line="240" w:lineRule="auto" w:before="1"/>
        <w:rPr>
          <w:rFonts w:ascii="宋体" w:hAnsi="宋体" w:cs="宋体" w:eastAsia="宋体" w:hint="default"/>
          <w:sz w:val="13"/>
          <w:szCs w:val="13"/>
        </w:rPr>
      </w:pPr>
    </w:p>
    <w:p>
      <w:pPr>
        <w:pStyle w:val="Heading5"/>
        <w:spacing w:line="256" w:lineRule="auto" w:before="0"/>
        <w:ind w:right="148" w:firstLine="420"/>
        <w:jc w:val="both"/>
      </w:pPr>
      <w:r>
        <w:rPr/>
        <w:t>（</w:t>
      </w:r>
      <w:r>
        <w:rPr>
          <w:rFonts w:ascii="Times New Roman" w:hAnsi="Times New Roman" w:cs="Times New Roman" w:eastAsia="Times New Roman" w:hint="default"/>
        </w:rPr>
        <w:t>1</w:t>
      </w:r>
      <w:r>
        <w:rPr/>
        <w:t>）本公司期末余额较期初余额增加了</w:t>
      </w:r>
      <w:r>
        <w:rPr>
          <w:rFonts w:ascii="Times New Roman" w:hAnsi="Times New Roman" w:cs="Times New Roman" w:eastAsia="Times New Roman" w:hint="default"/>
        </w:rPr>
        <w:t>56,469.29</w:t>
      </w:r>
      <w:r>
        <w:rPr/>
        <w:t>万元，主要是因为本公司本期新增人参采购加工入 库所致。</w:t>
      </w:r>
    </w:p>
    <w:p>
      <w:pPr>
        <w:pStyle w:val="Heading5"/>
        <w:spacing w:line="240" w:lineRule="auto" w:before="22"/>
        <w:ind w:left="574" w:right="149"/>
        <w:jc w:val="left"/>
      </w:pPr>
      <w:r>
        <w:rPr/>
        <w:t>（</w:t>
      </w:r>
      <w:r>
        <w:rPr>
          <w:rFonts w:ascii="Times New Roman" w:hAnsi="Times New Roman" w:cs="Times New Roman" w:eastAsia="Times New Roman" w:hint="default"/>
        </w:rPr>
        <w:t>2</w:t>
      </w:r>
      <w:r>
        <w:rPr/>
        <w:t>）存货期末余额中无成本高于可变现净值情况，无需计提存货跌价准备。</w:t>
      </w:r>
    </w:p>
    <w:p>
      <w:pPr>
        <w:pStyle w:val="Heading5"/>
        <w:tabs>
          <w:tab w:pos="6752" w:val="left" w:leader="none"/>
        </w:tabs>
        <w:spacing w:line="256" w:lineRule="auto" w:before="21"/>
        <w:ind w:right="148" w:firstLine="420"/>
        <w:jc w:val="both"/>
      </w:pPr>
      <w:r>
        <w:rPr/>
        <w:t>（</w:t>
      </w:r>
      <w:r>
        <w:rPr>
          <w:rFonts w:ascii="Times New Roman" w:hAnsi="Times New Roman" w:cs="Times New Roman" w:eastAsia="Times New Roman" w:hint="default"/>
        </w:rPr>
        <w:t>3</w:t>
      </w:r>
      <w:r>
        <w:rPr/>
        <w:t>）存货期末余额中抵押和担保的情况。根据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日本公司与吉林银行股份有限公司长春瑞</w:t>
      </w:r>
      <w:r>
        <w:rPr>
          <w:spacing w:val="2"/>
        </w:rPr>
        <w:t> </w:t>
      </w:r>
      <w:r>
        <w:rPr>
          <w:spacing w:val="-1"/>
        </w:rPr>
        <w:t>祥支行签订的质押合同，同意以本公司存货</w:t>
        <w:tab/>
        <w:t>人参（干品）中的</w:t>
      </w:r>
      <w:r>
        <w:rPr>
          <w:rFonts w:ascii="Times New Roman" w:hAnsi="Times New Roman" w:cs="Times New Roman" w:eastAsia="Times New Roman" w:hint="default"/>
          <w:spacing w:val="-1"/>
        </w:rPr>
        <w:t>989</w:t>
      </w:r>
      <w:r>
        <w:rPr>
          <w:spacing w:val="-1"/>
        </w:rPr>
        <w:t>吨，估价为</w:t>
      </w:r>
      <w:r>
        <w:rPr>
          <w:spacing w:val="-98"/>
        </w:rPr>
        <w:t> </w:t>
      </w:r>
      <w:r>
        <w:rPr>
          <w:spacing w:val="-98"/>
        </w:rPr>
      </w:r>
      <w:r>
        <w:rPr>
          <w:rFonts w:ascii="Times New Roman" w:hAnsi="Times New Roman" w:cs="Times New Roman" w:eastAsia="Times New Roman" w:hint="default"/>
        </w:rPr>
        <w:t>41,169.00</w:t>
      </w:r>
      <w:r>
        <w:rPr/>
        <w:t>万元，作为质押物取得银行流动资金贷款</w:t>
      </w:r>
      <w:r>
        <w:rPr>
          <w:rFonts w:ascii="Times New Roman" w:hAnsi="Times New Roman" w:cs="Times New Roman" w:eastAsia="Times New Roman" w:hint="default"/>
        </w:rPr>
        <w:t>20,000</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2"/>
        <w:ind w:right="149"/>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亿利资源集团有限公司股权投资集合资金</w:t>
            </w:r>
          </w:p>
        </w:tc>
        <w:tc>
          <w:tcPr>
            <w:tcW w:w="2922"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内蒙古兴业集团股份有限公司贷款集合资</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36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922"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进项税待认证</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57,064,000.55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59,064,000.55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right="101"/>
        <w:jc w:val="left"/>
      </w:pPr>
      <w:r>
        <w:rPr/>
        <w:t>其他流动资产说明</w:t>
      </w:r>
    </w:p>
    <w:p>
      <w:pPr>
        <w:spacing w:line="240" w:lineRule="auto" w:before="1"/>
        <w:rPr>
          <w:rFonts w:ascii="宋体" w:hAnsi="宋体" w:cs="宋体" w:eastAsia="宋体" w:hint="default"/>
          <w:sz w:val="13"/>
          <w:szCs w:val="13"/>
        </w:rPr>
      </w:pPr>
    </w:p>
    <w:p>
      <w:pPr>
        <w:pStyle w:val="Heading5"/>
        <w:spacing w:line="256" w:lineRule="auto" w:before="0"/>
        <w:ind w:right="101" w:firstLine="420"/>
        <w:jc w:val="left"/>
      </w:pPr>
      <w:r>
        <w:rPr>
          <w:spacing w:val="-3"/>
        </w:rPr>
        <w:t>（</w:t>
      </w:r>
      <w:r>
        <w:rPr>
          <w:rFonts w:ascii="Times New Roman" w:hAnsi="Times New Roman" w:cs="Times New Roman" w:eastAsia="Times New Roman" w:hint="default"/>
          <w:spacing w:val="-3"/>
        </w:rPr>
        <w:t>1</w:t>
      </w:r>
      <w:r>
        <w:rPr>
          <w:spacing w:val="-3"/>
        </w:rPr>
        <w:t>）期末余额较期初余额增加了</w:t>
      </w:r>
      <w:r>
        <w:rPr>
          <w:rFonts w:ascii="Times New Roman" w:hAnsi="Times New Roman" w:cs="Times New Roman" w:eastAsia="Times New Roman" w:hint="default"/>
          <w:spacing w:val="-3"/>
        </w:rPr>
        <w:t>5,606.00</w:t>
      </w:r>
      <w:r>
        <w:rPr>
          <w:spacing w:val="-3"/>
        </w:rPr>
        <w:t>万元，主要是因为公司本期购买人参已进行预验收确认暂估，</w:t>
      </w:r>
      <w:r>
        <w:rPr/>
        <w:t> 尚未取得发票进行进项税认证所形成的的待抵扣进项税认证差异，该部分进项税已于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日前取</w:t>
      </w:r>
      <w:r>
        <w:rPr>
          <w:spacing w:val="-38"/>
        </w:rPr>
        <w:t> </w:t>
      </w:r>
      <w:r>
        <w:rPr>
          <w:spacing w:val="-38"/>
        </w:rPr>
      </w:r>
      <w:r>
        <w:rPr/>
        <w:t>得发票</w:t>
      </w:r>
      <w:r>
        <w:rPr>
          <w:rFonts w:ascii="Times New Roman" w:hAnsi="Times New Roman" w:cs="Times New Roman" w:eastAsia="Times New Roman" w:hint="default"/>
        </w:rPr>
        <w:t>,</w:t>
      </w:r>
      <w:r>
        <w:rPr/>
        <w:t>同时转到应交税费进项税借方科目。</w:t>
      </w:r>
    </w:p>
    <w:p>
      <w:pPr>
        <w:pStyle w:val="Heading5"/>
        <w:spacing w:line="240" w:lineRule="auto"/>
        <w:ind w:left="574" w:right="101"/>
        <w:jc w:val="left"/>
      </w:pPr>
      <w:r>
        <w:rPr/>
        <w:t>（</w:t>
      </w:r>
      <w:r>
        <w:rPr>
          <w:rFonts w:ascii="Times New Roman" w:hAnsi="Times New Roman" w:cs="Times New Roman" w:eastAsia="Times New Roman" w:hint="default"/>
        </w:rPr>
        <w:t>2</w:t>
      </w:r>
      <w:r>
        <w:rPr/>
        <w:t>）持有至到期投资系于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日参与投资的新华信托股份有限公司信托产品，其中</w:t>
      </w:r>
      <w:r>
        <w:rPr>
          <w:rFonts w:ascii="Times New Roman" w:hAnsi="Times New Roman" w:cs="Times New Roman" w:eastAsia="Times New Roman" w:hint="default"/>
        </w:rPr>
        <w:t>100</w:t>
      </w:r>
      <w:r>
        <w:rPr/>
        <w:t>万元于</w:t>
      </w:r>
    </w:p>
    <w:p>
      <w:pPr>
        <w:pStyle w:val="Heading5"/>
        <w:spacing w:line="240" w:lineRule="auto" w:before="21"/>
        <w:ind w:right="10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日到期收回，本期形成投资收益</w:t>
      </w:r>
      <w:r>
        <w:rPr>
          <w:rFonts w:ascii="Times New Roman" w:hAnsi="Times New Roman" w:cs="Times New Roman" w:eastAsia="Times New Roman" w:hint="default"/>
        </w:rPr>
        <w:t>26</w:t>
      </w:r>
      <w:r>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01"/>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1"/>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1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商业银行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吉林环境</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能源交易 所有限公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101"/>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1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51"/>
        <w:ind w:right="101"/>
        <w:jc w:val="left"/>
      </w:pPr>
      <w:r>
        <w:rPr/>
        <w:t>长期股权投资的说明</w:t>
      </w:r>
    </w:p>
    <w:p>
      <w:pPr>
        <w:spacing w:line="240" w:lineRule="auto" w:before="13"/>
        <w:rPr>
          <w:rFonts w:ascii="宋体" w:hAnsi="宋体" w:cs="宋体" w:eastAsia="宋体" w:hint="default"/>
          <w:sz w:val="12"/>
          <w:szCs w:val="12"/>
        </w:rPr>
      </w:pPr>
    </w:p>
    <w:p>
      <w:pPr>
        <w:pStyle w:val="Heading5"/>
        <w:spacing w:line="256" w:lineRule="auto" w:before="0"/>
        <w:ind w:left="153" w:right="207" w:firstLine="42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）根据长春农村商业银行股份有限公司</w:t>
      </w:r>
      <w:r>
        <w:rPr>
          <w:rFonts w:ascii="Times New Roman" w:hAnsi="Times New Roman" w:cs="Times New Roman" w:eastAsia="Times New Roman" w:hint="default"/>
        </w:rPr>
        <w:t>2011</w:t>
      </w:r>
      <w:r>
        <w:rPr/>
        <w:t>年度股东大会决议，决议按</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日股本，以</w:t>
      </w:r>
      <w:r>
        <w:rPr>
          <w:spacing w:val="2"/>
        </w:rPr>
        <w:t> </w:t>
      </w:r>
      <w:r>
        <w:rPr/>
        <w:t>未分配利润分红送股，每</w:t>
      </w:r>
      <w:r>
        <w:rPr>
          <w:rFonts w:ascii="Times New Roman" w:hAnsi="Times New Roman" w:cs="Times New Roman" w:eastAsia="Times New Roman" w:hint="default"/>
        </w:rPr>
        <w:t>10</w:t>
      </w:r>
      <w:r>
        <w:rPr/>
        <w:t>股送股</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股；同时以资本公积转增股本，每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4.4</w:t>
      </w:r>
      <w:r>
        <w:rPr/>
        <w:t>股，同时按</w:t>
      </w:r>
      <w:r>
        <w:rPr>
          <w:rFonts w:ascii="Times New Roman" w:hAnsi="Times New Roman" w:cs="Times New Roman" w:eastAsia="Times New Roman" w:hint="default"/>
        </w:rPr>
        <w:t>0.0775</w:t>
      </w:r>
      <w:r>
        <w:rPr/>
        <w:t>元</w:t>
      </w:r>
      <w:r>
        <w:rPr>
          <w:rFonts w:ascii="Times New Roman" w:hAnsi="Times New Roman" w:cs="Times New Roman" w:eastAsia="Times New Roman" w:hint="default"/>
        </w:rPr>
        <w:t>/</w:t>
      </w:r>
    </w:p>
    <w:p>
      <w:pPr>
        <w:spacing w:after="0" w:line="256" w:lineRule="auto"/>
        <w:jc w:val="left"/>
        <w:rPr>
          <w:rFonts w:ascii="Times New Roman" w:hAnsi="Times New Roman" w:cs="Times New Roman" w:eastAsia="Times New Roman" w:hint="default"/>
        </w:rPr>
        <w:sectPr>
          <w:pgSz w:w="11910" w:h="16840"/>
          <w:pgMar w:header="747" w:footer="982" w:top="1060" w:bottom="1180" w:left="980" w:right="920"/>
        </w:sectPr>
      </w:pPr>
    </w:p>
    <w:p>
      <w:pPr>
        <w:spacing w:line="240" w:lineRule="auto" w:before="1"/>
        <w:rPr>
          <w:rFonts w:ascii="Times New Roman" w:hAnsi="Times New Roman" w:cs="Times New Roman" w:eastAsia="Times New Roman" w:hint="default"/>
          <w:sz w:val="28"/>
          <w:szCs w:val="28"/>
        </w:rPr>
      </w:pPr>
    </w:p>
    <w:p>
      <w:pPr>
        <w:pStyle w:val="Heading5"/>
        <w:spacing w:line="256" w:lineRule="auto" w:before="35"/>
        <w:ind w:left="153" w:right="149"/>
        <w:jc w:val="left"/>
      </w:pPr>
      <w:r>
        <w:rPr/>
        <w:t>股（含税）向全体股东派发现金红利。本公司</w:t>
      </w:r>
      <w:r>
        <w:rPr>
          <w:rFonts w:ascii="Times New Roman" w:hAnsi="Times New Roman" w:cs="Times New Roman" w:eastAsia="Times New Roman" w:hint="default"/>
        </w:rPr>
        <w:t>2011</w:t>
      </w:r>
      <w:r>
        <w:rPr/>
        <w:t>年年末持有其</w:t>
      </w:r>
      <w:r>
        <w:rPr>
          <w:rFonts w:ascii="Times New Roman" w:hAnsi="Times New Roman" w:cs="Times New Roman" w:eastAsia="Times New Roman" w:hint="default"/>
        </w:rPr>
        <w:t>2,800</w:t>
      </w:r>
      <w:r>
        <w:rPr/>
        <w:t>万股，本期取得投资收益</w:t>
      </w:r>
      <w:r>
        <w:rPr>
          <w:rFonts w:ascii="Times New Roman" w:hAnsi="Times New Roman" w:cs="Times New Roman" w:eastAsia="Times New Roman" w:hint="default"/>
        </w:rPr>
        <w:t>217</w:t>
      </w:r>
      <w:r>
        <w:rPr/>
        <w:t>万元。</w:t>
      </w:r>
      <w:r>
        <w:rPr>
          <w:spacing w:val="-87"/>
        </w:rPr>
        <w:t> </w:t>
      </w:r>
      <w:r>
        <w:rPr>
          <w:spacing w:val="-87"/>
        </w:rPr>
      </w:r>
      <w:r>
        <w:rPr/>
        <w:t>同时本次送股及转增后本公司共计持有其</w:t>
      </w:r>
      <w:r>
        <w:rPr>
          <w:rFonts w:ascii="Times New Roman" w:hAnsi="Times New Roman" w:cs="Times New Roman" w:eastAsia="Times New Roman" w:hint="default"/>
        </w:rPr>
        <w:t>4,900</w:t>
      </w:r>
      <w:r>
        <w:rPr/>
        <w:t>万股股份，持股比例不变。</w:t>
      </w:r>
    </w:p>
    <w:p>
      <w:pPr>
        <w:pStyle w:val="Heading5"/>
        <w:spacing w:line="256" w:lineRule="auto"/>
        <w:ind w:left="153" w:right="149" w:firstLine="420"/>
        <w:jc w:val="left"/>
      </w:pPr>
      <w:r>
        <w:rPr>
          <w:spacing w:val="-3"/>
        </w:rPr>
        <w:t>（</w:t>
      </w:r>
      <w:r>
        <w:rPr>
          <w:rFonts w:ascii="Times New Roman" w:hAnsi="Times New Roman" w:cs="Times New Roman" w:eastAsia="Times New Roman" w:hint="default"/>
          <w:spacing w:val="-3"/>
        </w:rPr>
        <w:t>2</w:t>
      </w: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日止，本公司长期股权投资期末余额无账面价值高于可收回金额的情况，未</w:t>
      </w:r>
      <w:r>
        <w:rPr/>
        <w:t> 计提长期股权投资减值准备。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49"/>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77"/>
        <w:gridCol w:w="1478"/>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362,380,349.75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9" w:right="0"/>
              <w:jc w:val="left"/>
              <w:rPr>
                <w:rFonts w:ascii="Times New Roman" w:hAnsi="Times New Roman" w:cs="Times New Roman" w:eastAsia="Times New Roman" w:hint="default"/>
                <w:sz w:val="18"/>
                <w:szCs w:val="18"/>
              </w:rPr>
            </w:pPr>
            <w:r>
              <w:rPr>
                <w:rFonts w:ascii="Times New Roman"/>
                <w:sz w:val="18"/>
              </w:rPr>
              <w:t>19,662,112.94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9,092,883.41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372,949,579.28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193,191,833.24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392,838.46</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193,584,671.70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138,090,022.75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3" w:right="0"/>
              <w:jc w:val="left"/>
              <w:rPr>
                <w:rFonts w:ascii="Times New Roman" w:hAnsi="Times New Roman" w:cs="Times New Roman" w:eastAsia="Times New Roman" w:hint="default"/>
                <w:sz w:val="18"/>
                <w:szCs w:val="18"/>
              </w:rPr>
            </w:pPr>
            <w:r>
              <w:rPr>
                <w:rFonts w:ascii="Times New Roman"/>
                <w:sz w:val="18"/>
              </w:rPr>
              <w:t>17,556,350.58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3,964,678.00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151,684,275.33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22,816,080.26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319,174.29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4,705,605.00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18,429,649.55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8,282,413.50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1,393,749.61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z w:val="18"/>
              </w:rPr>
              <w:t>422,600.41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9,250,982.70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91,962,448.60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27,470,248.09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8,638,239.23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110,794,457.46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32,475,411.02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8,649,203.87</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41,124,614.89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49,129,973.61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13,302,920.72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3,766,444.10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58,666,450.23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7,453,671.87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3,992,792.01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4,470,324.75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6,976,139.13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2,903,392.10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1,525,331.49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z w:val="18"/>
              </w:rPr>
              <w:t>401,470.38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4,027,253.21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270,417,901.15</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262,155,121.82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160,716,422.22</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152,460,056.81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88,960,049.14</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93,017,825.10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15,362,408.39</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11,453,510.42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5,379,021.40</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5,223,729.49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0.00</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0.00</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0.00</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0.00</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0.00</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270,417,901.15</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262,155,121.82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160,716,422.22</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152,460,056.81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88,960,049.14</w:t>
            </w:r>
          </w:p>
        </w:tc>
        <w:tc>
          <w:tcPr>
            <w:tcW w:w="4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93,017,825.10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4516"/>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15,362,408.39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11,453,510.42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5,379,021.40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5,223,729.49</w:t>
            </w:r>
          </w:p>
        </w:tc>
      </w:tr>
    </w:tbl>
    <w:p>
      <w:pPr>
        <w:pStyle w:val="BodyText"/>
        <w:spacing w:line="240" w:lineRule="auto" w:before="51"/>
        <w:ind w:right="149"/>
        <w:jc w:val="left"/>
      </w:pPr>
      <w:r>
        <w:rPr/>
        <w:t>本期折旧额</w:t>
      </w:r>
      <w:r>
        <w:rPr>
          <w:spacing w:val="-47"/>
        </w:rPr>
        <w:t> </w:t>
      </w:r>
      <w:r>
        <w:rPr>
          <w:rFonts w:ascii="Times New Roman" w:hAnsi="Times New Roman" w:cs="Times New Roman" w:eastAsia="Times New Roman" w:hint="default"/>
        </w:rPr>
        <w:t>27,470,248.09</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16,691,149.66</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8;top:14;width:2;height:393" coordorigin="4778,14" coordsize="2,393">
              <v:shape style="position:absolute;left:4778;top:14;width:2;height:393" coordorigin="4778,14" coordsize="0,393" path="m4778,14l4778,407e" filled="false" stroked="true" strokeweight="1.140pt" strokecolor="#d3d3d3">
                <v:path arrowok="t"/>
              </v:shape>
            </v:group>
            <v:group style="position:absolute;left:37;top:14;width:4730;height:393" coordorigin="37,14" coordsize="4730,393">
              <v:shape style="position:absolute;left:37;top:14;width:4730;height:393" coordorigin="37,14" coordsize="4730,393" path="m37,407l4766,407,4766,14,37,14,37,407xe" filled="true" fillcolor="#d3d3d3" stroked="false">
                <v:path arrowok="t"/>
                <v:fill type="solid"/>
              </v:shape>
            </v:group>
            <v:group style="position:absolute;left:4811;top:14;width:2;height:393" coordorigin="4811,14" coordsize="2,393">
              <v:shape style="position:absolute;left:4811;top:14;width:2;height:393" coordorigin="4811,14" coordsize="0,393" path="m4811,14l4811,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3;top:14;width:4727;height:393" coordorigin="4823,14" coordsize="4727,393">
              <v:shape style="position:absolute;left:4823;top:14;width:4727;height:393" coordorigin="4823,14" coordsize="4727,393" path="m4823,407l9550,407,9550,14,4823,14,4823,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001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64"/>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51"/>
        <w:ind w:right="149"/>
        <w:jc w:val="left"/>
      </w:pPr>
      <w:r>
        <w:rPr/>
        <w:t>固定资产说明</w:t>
      </w:r>
    </w:p>
    <w:p>
      <w:pPr>
        <w:spacing w:line="240" w:lineRule="auto" w:before="1"/>
        <w:rPr>
          <w:rFonts w:ascii="宋体" w:hAnsi="宋体" w:cs="宋体" w:eastAsia="宋体" w:hint="default"/>
          <w:sz w:val="13"/>
          <w:szCs w:val="13"/>
        </w:rPr>
      </w:pPr>
    </w:p>
    <w:p>
      <w:pPr>
        <w:pStyle w:val="Heading5"/>
        <w:spacing w:line="256" w:lineRule="auto" w:before="0"/>
        <w:ind w:right="149" w:firstLine="419"/>
        <w:jc w:val="left"/>
      </w:pPr>
      <w:r>
        <w:rPr>
          <w:spacing w:val="-3"/>
        </w:rPr>
        <w:t>（</w:t>
      </w:r>
      <w:r>
        <w:rPr>
          <w:rFonts w:ascii="Times New Roman" w:hAnsi="Times New Roman" w:cs="Times New Roman" w:eastAsia="Times New Roman" w:hint="default"/>
          <w:spacing w:val="-3"/>
        </w:rPr>
        <w:t>1</w:t>
      </w:r>
      <w:r>
        <w:rPr>
          <w:spacing w:val="-3"/>
        </w:rPr>
        <w:t>）本期折旧额为</w:t>
      </w:r>
      <w:r>
        <w:rPr>
          <w:rFonts w:ascii="Times New Roman" w:hAnsi="Times New Roman" w:cs="Times New Roman" w:eastAsia="Times New Roman" w:hint="default"/>
          <w:spacing w:val="-3"/>
        </w:rPr>
        <w:t>2,747.02</w:t>
      </w:r>
      <w:r>
        <w:rPr>
          <w:spacing w:val="-3"/>
        </w:rPr>
        <w:t>万元，本期由在建工程转入固定资产的金额为</w:t>
      </w:r>
      <w:r>
        <w:rPr>
          <w:rFonts w:ascii="Times New Roman" w:hAnsi="Times New Roman" w:cs="Times New Roman" w:eastAsia="Times New Roman" w:hint="default"/>
          <w:spacing w:val="-3"/>
        </w:rPr>
        <w:t>1,669.11</w:t>
      </w:r>
      <w:r>
        <w:rPr>
          <w:spacing w:val="-3"/>
        </w:rPr>
        <w:t>万元。期末用于抵</w:t>
      </w:r>
      <w:r>
        <w:rPr/>
        <w:t> 押或担保的固定资产原值为</w:t>
      </w:r>
      <w:r>
        <w:rPr>
          <w:rFonts w:ascii="Times New Roman" w:hAnsi="Times New Roman" w:cs="Times New Roman" w:eastAsia="Times New Roman" w:hint="default"/>
        </w:rPr>
        <w:t>11,271.57</w:t>
      </w:r>
      <w:r>
        <w:rPr/>
        <w:t>万元，净值为</w:t>
      </w:r>
      <w:r>
        <w:rPr>
          <w:rFonts w:ascii="Times New Roman" w:hAnsi="Times New Roman" w:cs="Times New Roman" w:eastAsia="Times New Roman" w:hint="default"/>
        </w:rPr>
        <w:t>9,021.46</w:t>
      </w:r>
      <w:r>
        <w:rPr/>
        <w:t>万元。</w:t>
      </w:r>
    </w:p>
    <w:p>
      <w:pPr>
        <w:pStyle w:val="Heading5"/>
        <w:spacing w:line="240" w:lineRule="auto"/>
        <w:ind w:left="574" w:right="149"/>
        <w:jc w:val="left"/>
      </w:pPr>
      <w:r>
        <w:rPr/>
        <w:t>（</w:t>
      </w:r>
      <w:r>
        <w:rPr>
          <w:rFonts w:ascii="Times New Roman" w:hAnsi="Times New Roman" w:cs="Times New Roman" w:eastAsia="Times New Roman" w:hint="default"/>
        </w:rPr>
        <w:t>2</w:t>
      </w:r>
      <w:r>
        <w:rPr/>
        <w:t>）期末无暂时闲置的固定资产。</w:t>
      </w:r>
    </w:p>
    <w:p>
      <w:pPr>
        <w:pStyle w:val="Heading5"/>
        <w:spacing w:line="240" w:lineRule="auto" w:before="21"/>
        <w:ind w:left="574" w:right="149"/>
        <w:jc w:val="left"/>
      </w:pPr>
      <w:r>
        <w:rPr/>
        <w:t>（</w:t>
      </w:r>
      <w:r>
        <w:rPr>
          <w:rFonts w:ascii="Times New Roman" w:hAnsi="Times New Roman" w:cs="Times New Roman" w:eastAsia="Times New Roman" w:hint="default"/>
        </w:rPr>
        <w:t>3</w:t>
      </w:r>
      <w:r>
        <w:rPr/>
        <w:t>）固定资产期末余额中无经营租出、融资租赁租入、持有待售的固定资产。</w:t>
      </w:r>
    </w:p>
    <w:p>
      <w:pPr>
        <w:pStyle w:val="Heading5"/>
        <w:spacing w:line="240" w:lineRule="auto" w:before="21"/>
        <w:ind w:left="574" w:right="149"/>
        <w:jc w:val="left"/>
      </w:pPr>
      <w:r>
        <w:rPr/>
        <w:t>（</w:t>
      </w:r>
      <w:r>
        <w:rPr>
          <w:rFonts w:ascii="Times New Roman" w:hAnsi="Times New Roman" w:cs="Times New Roman" w:eastAsia="Times New Roman" w:hint="default"/>
        </w:rPr>
        <w:t>4</w:t>
      </w:r>
      <w:r>
        <w:rPr/>
        <w:t>）固定资产期末余额中无账面价值高于可收回金额的情况，故本期未计提固定资产减值准备。</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3584"/>
        <w:gridCol w:w="3718"/>
      </w:tblGrid>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人参产品系列化项目（延吉 厂区）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169,734,153.05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169,734,153.05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193,416,783.12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193,416,783.12</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人参产品系列化项目（敦化 厂区）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176,050,632.76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176,050,632.76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127,263,820.40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127,263,820.40</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人参产品系列化项目（磐石 厂区）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130,014,794.60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130,014,794.60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121,819,971.89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121,819,971.89</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人参产品系列化项目（通化 厂区）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70,535,290.00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70,535,290.00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546,334,870.41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546,334,870.41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442,500,575.41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442,500,575.41</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（延吉 厂区）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249,939,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193,416,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783.12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16,603,8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13,936,4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26,350,0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募投资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169,734,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153.05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（敦化 厂区）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218,292,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127,263,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820.40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48,786,8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募投资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176,050,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632.76</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（磐石 厂区）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129,893,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121,819,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971.89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10,949,4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2,754,66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募投资 金及自 筹资金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130,014,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794.60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（通化 厂区）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249,542,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70,535,2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募投资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70,535,2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847,667,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442,500,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575.41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146,875,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444.66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16,691,1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26,350,0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546,334,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870.41</w:t>
            </w:r>
          </w:p>
        </w:tc>
      </w:tr>
    </w:tbl>
    <w:p>
      <w:pPr>
        <w:pStyle w:val="BodyText"/>
        <w:spacing w:line="240" w:lineRule="auto" w:before="51"/>
        <w:ind w:right="149"/>
        <w:jc w:val="left"/>
      </w:pPr>
      <w:r>
        <w:rPr/>
        <w:t>在建工程项目变动情况的说明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56" w:lineRule="auto" w:before="35"/>
        <w:ind w:left="153" w:right="225" w:firstLine="420"/>
        <w:jc w:val="right"/>
      </w:pPr>
      <w:r>
        <w:rPr>
          <w:rFonts w:ascii="Times New Roman" w:hAnsi="Times New Roman" w:cs="Times New Roman" w:eastAsia="Times New Roman" w:hint="default"/>
          <w:spacing w:val="-1"/>
        </w:rPr>
        <w:t>“</w:t>
      </w:r>
      <w:r>
        <w:rPr>
          <w:spacing w:val="-1"/>
        </w:rPr>
        <w:t>人参产品系列化项目（延吉厂区）</w:t>
      </w:r>
      <w:r>
        <w:rPr>
          <w:rFonts w:ascii="Times New Roman" w:hAnsi="Times New Roman" w:cs="Times New Roman" w:eastAsia="Times New Roman" w:hint="default"/>
          <w:spacing w:val="-1"/>
        </w:rPr>
        <w:t>”-</w:t>
      </w:r>
      <w:r>
        <w:rPr>
          <w:spacing w:val="-1"/>
        </w:rPr>
        <w:t>其他减少原因为</w:t>
      </w:r>
      <w:r>
        <w:rPr>
          <w:rFonts w:ascii="Times New Roman" w:hAnsi="Times New Roman" w:cs="Times New Roman" w:eastAsia="Times New Roman" w:hint="default"/>
          <w:spacing w:val="-1"/>
        </w:rPr>
        <w:t>2011</w:t>
      </w:r>
      <w:r>
        <w:rPr>
          <w:spacing w:val="-1"/>
        </w:rPr>
        <w:t>年公司以自有资金建设宿舍楼的预付款，</w:t>
      </w:r>
      <w:r>
        <w:rPr/>
        <w:t> </w:t>
      </w:r>
      <w:r>
        <w:rPr>
          <w:spacing w:val="-2"/>
        </w:rPr>
        <w:t>支付时计入</w:t>
      </w:r>
      <w:r>
        <w:rPr>
          <w:rFonts w:ascii="Times New Roman" w:hAnsi="Times New Roman" w:cs="Times New Roman" w:eastAsia="Times New Roman" w:hint="default"/>
          <w:spacing w:val="-2"/>
        </w:rPr>
        <w:t>“</w:t>
      </w:r>
      <w:r>
        <w:rPr>
          <w:spacing w:val="-2"/>
        </w:rPr>
        <w:t>在建工程</w:t>
      </w:r>
      <w:r>
        <w:rPr>
          <w:rFonts w:ascii="Times New Roman" w:hAnsi="Times New Roman" w:cs="Times New Roman" w:eastAsia="Times New Roman" w:hint="default"/>
          <w:spacing w:val="-2"/>
        </w:rPr>
        <w:t>”</w:t>
      </w:r>
      <w:r>
        <w:rPr>
          <w:spacing w:val="-2"/>
        </w:rPr>
        <w:t>科目，但由于规划审批未通过，本期公司将上述款项收回，冲减</w:t>
      </w:r>
      <w:r>
        <w:rPr>
          <w:rFonts w:ascii="Times New Roman" w:hAnsi="Times New Roman" w:cs="Times New Roman" w:eastAsia="Times New Roman" w:hint="default"/>
          <w:spacing w:val="-2"/>
        </w:rPr>
        <w:t>“</w:t>
      </w:r>
      <w:r>
        <w:rPr>
          <w:spacing w:val="-2"/>
        </w:rPr>
        <w:t>在建工程</w:t>
      </w:r>
      <w:r>
        <w:rPr>
          <w:rFonts w:ascii="Times New Roman" w:hAnsi="Times New Roman" w:cs="Times New Roman" w:eastAsia="Times New Roman" w:hint="default"/>
          <w:spacing w:val="-2"/>
        </w:rPr>
        <w:t>”</w:t>
      </w:r>
      <w:r>
        <w:rPr>
          <w:spacing w:val="-2"/>
        </w:rPr>
        <w:t>科目。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67"/>
        <w:gridCol w:w="1612"/>
        <w:gridCol w:w="1595"/>
        <w:gridCol w:w="1593"/>
        <w:gridCol w:w="1595"/>
        <w:gridCol w:w="1580"/>
      </w:tblGrid>
      <w:tr>
        <w:trPr>
          <w:trHeight w:val="402" w:hRule="exact"/>
        </w:trPr>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2" w:type="dxa"/>
            <w:tcBorders>
              <w:top w:val="single" w:sz="4" w:space="0" w:color="000000"/>
              <w:left w:val="single" w:sz="13" w:space="0" w:color="D3D3D3"/>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9" w:space="0" w:color="D3D3D3"/>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b/>
          <w:bCs/>
          <w:sz w:val="19"/>
          <w:szCs w:val="19"/>
        </w:rPr>
      </w:pPr>
    </w:p>
    <w:p>
      <w:pPr>
        <w:spacing w:line="506" w:lineRule="auto" w:before="35"/>
        <w:ind w:left="574" w:right="158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b/>
          <w:bCs/>
          <w:spacing w:val="1"/>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日止，在建工程未来可变现净值大于账面价值，不存在减值情况。</w:t>
      </w:r>
    </w:p>
    <w:p>
      <w:pPr>
        <w:spacing w:line="240" w:lineRule="auto" w:before="10"/>
        <w:rPr>
          <w:rFonts w:ascii="宋体" w:hAnsi="宋体" w:cs="宋体" w:eastAsia="宋体" w:hint="default"/>
          <w:sz w:val="28"/>
          <w:szCs w:val="28"/>
        </w:rPr>
      </w:pPr>
    </w:p>
    <w:p>
      <w:pPr>
        <w:pStyle w:val="Heading4"/>
        <w:spacing w:line="240" w:lineRule="auto"/>
        <w:ind w:right="149"/>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155,803,966.77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40,098,898.14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195,902,864.91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延吉厂区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48,718,700.81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48,718,700.81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敦化厂区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30,991,875.23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30,991,875.23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磐石厂区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17,230,062.07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17,230,062.07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通化厂区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40,085,710.14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40,085,710.14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10,575,100.00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10,575,100.00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草还丹药业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9,967,072.07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9,967,072.07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11,367,271.59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11,367,271.59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9,133,890.00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9,133,890.00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红石种养殖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紫鑫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民主街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2,874,900.97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2,874,900.97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胜利街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2,285,094.03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2,285,094.03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般若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13,188.00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35,588.00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19,289,402.04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5,135,066.43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24,424,468.47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延吉厂区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1,380,363.13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974,373.96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2,354,737.09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敦化厂区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671,490.63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619,837.50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1,291,328.13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磐石厂区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304,088.52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344,601.24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648,689.76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通化厂区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400,857.12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400,857.12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3,558,095.74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1,095,985.00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4,654,080.74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草还丹药业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3,322,357.25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996,707.22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4,319,064.47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795,708.93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227,345.44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1,023,054.37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2,188,328.12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190,289.38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2,378,617.50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红石种养殖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444,036.91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140,222.16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584,259.07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紫鑫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民主街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253,949.50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57,498.02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311,447.52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胜利街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243,743.36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45,701.88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289,445.24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般若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5,599.95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6,127.51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11,727.46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136,514,564.73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34,963,831.71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171,478,396.44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延吉厂区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47,338,337.68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46,363,963.72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敦化厂区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30,320,384.60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29,700,547.10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磐石厂区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16,925,973.55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16,581,372.31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通化厂区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39,684,853.02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7,017,004.26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5,921,019.26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草还丹药业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6,644,714.82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5,648,007.60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10,571,562.66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10,344,217.22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6,945,561.88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6,755,272.50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红石种养殖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5,865,963.09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5,725,740.93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紫鑫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民主街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2,620,951.47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2,563,453.45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胜利街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2,041,350.67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1,995,648.79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般若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23,860.54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延吉厂区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敦化厂区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磐石厂区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通化厂区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草还丹药业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红石种养殖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紫鑫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民主街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胜利街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般若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136,514,564.73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34,963,831.71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171,478,396.44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延吉厂区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47,338,337.68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46,363,963.72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敦化厂区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30,320,384.60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29,700,547.10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磐石厂区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16,925,973.55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16,581,372.31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通化厂区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39,684,853.02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7,017,004.26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5,921,019.26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草还丹药业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6,644,714.82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5,648,007.60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10,571,562.66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10,344,217.22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6,945,561.88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6,755,272.50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红石种养殖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5,865,963.09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5,725,740.93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w:t>
            </w:r>
            <w:r>
              <w:rPr>
                <w:rFonts w:ascii="宋体" w:hAnsi="宋体" w:cs="宋体" w:eastAsia="宋体" w:hint="default"/>
                <w:sz w:val="18"/>
                <w:szCs w:val="18"/>
              </w:rPr>
              <w:t>紫鑫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民主街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2,620,951.47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2,563,453.45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胜利街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2,041,350.67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1,995,648.79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草还丹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般若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23,860.54</w:t>
            </w:r>
          </w:p>
        </w:tc>
      </w:tr>
    </w:tbl>
    <w:p>
      <w:pPr>
        <w:pStyle w:val="BodyText"/>
        <w:spacing w:line="240" w:lineRule="auto" w:before="51"/>
        <w:ind w:right="149"/>
        <w:jc w:val="left"/>
      </w:pPr>
      <w:r>
        <w:rPr/>
        <w:t>本期摊销额</w:t>
      </w:r>
      <w:r>
        <w:rPr>
          <w:spacing w:val="-46"/>
        </w:rPr>
        <w:t> </w:t>
      </w:r>
      <w:r>
        <w:rPr>
          <w:rFonts w:ascii="Times New Roman" w:hAnsi="Times New Roman" w:cs="Times New Roman" w:eastAsia="Times New Roman" w:hint="default"/>
        </w:rPr>
        <w:t>5,135,066.43</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3"/>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3"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2"/>
        <w:ind w:left="153" w:right="4371"/>
        <w:jc w:val="left"/>
      </w:pPr>
      <w:r>
        <w:rPr/>
        <w:t>本期开发支出占本期研究开发项目支出总额的比例。 通过公司内部研发形成的无形资产占无形资产期末账面价值的比例。</w:t>
      </w:r>
    </w:p>
    <w:p>
      <w:pPr>
        <w:pStyle w:val="BodyText"/>
        <w:spacing w:line="240" w:lineRule="auto" w:before="29"/>
        <w:ind w:left="153" w:right="0"/>
        <w:jc w:val="left"/>
      </w:pPr>
      <w:r>
        <w:rPr>
          <w:spacing w:val="-2"/>
        </w:rPr>
        <w:t>公司开发项目的说明，包括本期发生的单项价值在</w:t>
      </w:r>
      <w:r>
        <w:rPr/>
        <w:t> </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spacing w:val="-2"/>
        </w:rPr>
        <w:t>万元以上且以评估值为入账依据的，应披露评估机构名称、评估方法</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租入固定资产改 良支出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1,444,444.40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577,777.80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866,666.60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1,444,444.40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577,777.80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866,666.60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41" w:hanging="360"/>
        <w:jc w:val="left"/>
      </w:pPr>
      <w:r>
        <w:rPr/>
        <w:t>长期待摊费用的说明 根据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日本公司与吉林乾嘉投资股份有限公司签定的房屋租赁协议，本公司承租吉林乾嘉投资股份有限公司</w:t>
      </w:r>
    </w:p>
    <w:p>
      <w:pPr>
        <w:pStyle w:val="BodyText"/>
        <w:spacing w:line="214" w:lineRule="exact"/>
        <w:ind w:left="153" w:right="0"/>
        <w:jc w:val="left"/>
        <w:rPr>
          <w:rFonts w:ascii="Times New Roman" w:hAnsi="Times New Roman" w:cs="Times New Roman" w:eastAsia="Times New Roman" w:hint="default"/>
        </w:rPr>
      </w:pPr>
      <w:r>
        <w:rPr/>
        <w:t>的办公楼一套，年租金</w:t>
      </w:r>
      <w:r>
        <w:rPr>
          <w:rFonts w:ascii="Times New Roman" w:hAnsi="Times New Roman" w:cs="Times New Roman" w:eastAsia="Times New Roman" w:hint="default"/>
        </w:rPr>
        <w:t>12</w:t>
      </w:r>
      <w:r>
        <w:rPr/>
        <w:t>万元、租赁期为</w:t>
      </w:r>
      <w:r>
        <w:rPr>
          <w:rFonts w:ascii="Times New Roman" w:hAnsi="Times New Roman" w:cs="Times New Roman" w:eastAsia="Times New Roman" w:hint="default"/>
        </w:rPr>
        <w:t>5</w:t>
      </w:r>
      <w:r>
        <w:rPr/>
        <w:t>年。本公司</w:t>
      </w:r>
      <w:r>
        <w:rPr>
          <w:rFonts w:ascii="Times New Roman" w:hAnsi="Times New Roman" w:cs="Times New Roman" w:eastAsia="Times New Roman" w:hint="default"/>
        </w:rPr>
        <w:t>2009</w:t>
      </w:r>
      <w:r>
        <w:rPr/>
        <w:t>年对该办公楼进行了装修，金额为</w:t>
      </w:r>
      <w:r>
        <w:rPr>
          <w:rFonts w:ascii="Times New Roman" w:hAnsi="Times New Roman" w:cs="Times New Roman" w:eastAsia="Times New Roman" w:hint="default"/>
        </w:rPr>
        <w:t>260</w:t>
      </w:r>
      <w:r>
        <w:rPr/>
        <w:t>万元，在房屋剩余租赁期</w:t>
      </w:r>
      <w:r>
        <w:rPr>
          <w:rFonts w:ascii="Times New Roman" w:hAnsi="Times New Roman" w:cs="Times New Roman" w:eastAsia="Times New Roman" w:hint="default"/>
        </w:rPr>
        <w:t>54</w:t>
      </w:r>
    </w:p>
    <w:p>
      <w:pPr>
        <w:pStyle w:val="BodyText"/>
        <w:spacing w:line="240" w:lineRule="auto" w:before="63"/>
        <w:ind w:right="149"/>
        <w:jc w:val="left"/>
      </w:pPr>
      <w:r>
        <w:rPr/>
        <w:t>个月内进行摊销。</w:t>
      </w:r>
    </w:p>
    <w:p>
      <w:pPr>
        <w:spacing w:line="240" w:lineRule="auto" w:before="12"/>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13</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已确认的递延所得税资产和递延所得税负债</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7"/>
        <w:gridCol w:w="2927"/>
        <w:gridCol w:w="2910"/>
      </w:tblGrid>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3,561,959.53</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3,341,988.05</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3,561,959.53</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3,341,988.05</w:t>
            </w:r>
          </w:p>
        </w:tc>
      </w:tr>
      <w:tr>
        <w:trPr>
          <w:trHeight w:val="402" w:hRule="exact"/>
        </w:trPr>
        <w:tc>
          <w:tcPr>
            <w:tcW w:w="95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直接计入所有者权益的资本公积</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657,800.00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691,533.33</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657,800.00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691,533.33</w:t>
            </w:r>
          </w:p>
        </w:tc>
      </w:tr>
    </w:tbl>
    <w:p>
      <w:pPr>
        <w:pStyle w:val="BodyText"/>
        <w:spacing w:line="240" w:lineRule="auto" w:before="51"/>
        <w:ind w:right="149"/>
        <w:jc w:val="left"/>
      </w:pPr>
      <w:r>
        <w:rPr/>
        <w:t>未确认递延所得税资产明细</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2"/>
        <w:ind w:right="149"/>
        <w:jc w:val="left"/>
      </w:pPr>
      <w:r>
        <w:rPr/>
        <w:t>未确认递延所得税资产的可抵扣亏损将于以下年度到期</w:t>
      </w:r>
    </w:p>
    <w:p>
      <w:pPr>
        <w:pStyle w:val="BodyText"/>
        <w:spacing w:line="240" w:lineRule="auto" w:before="116"/>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149"/>
        <w:jc w:val="left"/>
      </w:pPr>
      <w:r>
        <w:rPr/>
        <w:t>应纳税差异和可抵扣差异项目明细</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60"/>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互抵后的递延所得税资产及负债的组成项目</w:t>
      </w:r>
    </w:p>
    <w:p>
      <w:pPr>
        <w:pStyle w:val="BodyText"/>
        <w:spacing w:line="240" w:lineRule="auto" w:before="116"/>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7"/>
        <w:gridCol w:w="1616"/>
      </w:tblGrid>
      <w:tr>
        <w:trPr>
          <w:trHeight w:val="318"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16"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3,561,959.53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3,341,988.05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657,800.00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691,533.33</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9"/>
        <w:jc w:val="left"/>
      </w:pPr>
      <w:r>
        <w:rPr/>
        <w:t>递延所得税资产和递延所得税负债互抵明细</w:t>
      </w:r>
    </w:p>
    <w:p>
      <w:pPr>
        <w:pStyle w:val="BodyText"/>
        <w:spacing w:line="240" w:lineRule="auto" w:before="116"/>
        <w:ind w:left="0" w:right="151"/>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3;top:14;width:2;height:393" coordorigin="3883,14" coordsize="2,393">
              <v:shape style="position:absolute;left:3883;top:14;width:2;height:393" coordorigin="3883,14" coordsize="0,393" path="m3883,14l3883,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8001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49"/>
        <w:jc w:val="left"/>
      </w:pPr>
      <w:r>
        <w:rPr/>
        <w:t>递延所得税资产和递延所得税负债的说明</w:t>
      </w:r>
    </w:p>
    <w:p>
      <w:pPr>
        <w:spacing w:line="240" w:lineRule="auto" w:before="0"/>
        <w:rPr>
          <w:rFonts w:ascii="宋体" w:hAnsi="宋体" w:cs="宋体" w:eastAsia="宋体" w:hint="default"/>
          <w:sz w:val="15"/>
          <w:szCs w:val="15"/>
        </w:rPr>
      </w:pPr>
    </w:p>
    <w:p>
      <w:pPr>
        <w:pStyle w:val="BodyText"/>
        <w:spacing w:line="304" w:lineRule="auto"/>
        <w:ind w:left="153" w:right="148" w:firstLine="360"/>
        <w:jc w:val="both"/>
      </w:pPr>
      <w:r>
        <w:rPr>
          <w:spacing w:val="-2"/>
        </w:rPr>
        <w:t>子公司吉林草还丹药业有限公司</w:t>
      </w:r>
      <w:r>
        <w:rPr>
          <w:rFonts w:ascii="Times New Roman" w:hAnsi="Times New Roman" w:cs="Times New Roman" w:eastAsia="Times New Roman" w:hint="default"/>
          <w:spacing w:val="-2"/>
        </w:rPr>
        <w:t>“</w:t>
      </w:r>
      <w:r>
        <w:rPr>
          <w:spacing w:val="-2"/>
        </w:rPr>
        <w:t>年产</w:t>
      </w:r>
      <w:r>
        <w:rPr>
          <w:rFonts w:ascii="Times New Roman" w:hAnsi="Times New Roman" w:cs="Times New Roman" w:eastAsia="Times New Roman" w:hint="default"/>
          <w:spacing w:val="-2"/>
        </w:rPr>
        <w:t>2</w:t>
      </w:r>
      <w:r>
        <w:rPr>
          <w:spacing w:val="-2"/>
        </w:rPr>
        <w:t>亿粒藿香祛暑软胶囊</w:t>
      </w:r>
      <w:r>
        <w:rPr>
          <w:rFonts w:ascii="Times New Roman" w:hAnsi="Times New Roman" w:cs="Times New Roman" w:eastAsia="Times New Roman" w:hint="default"/>
          <w:spacing w:val="-2"/>
        </w:rPr>
        <w:t>”</w:t>
      </w:r>
      <w:r>
        <w:rPr>
          <w:spacing w:val="-2"/>
        </w:rPr>
        <w:t>项目政府补助</w:t>
      </w:r>
      <w:r>
        <w:rPr>
          <w:rFonts w:ascii="Times New Roman" w:hAnsi="Times New Roman" w:cs="Times New Roman" w:eastAsia="Times New Roman" w:hint="default"/>
          <w:spacing w:val="-2"/>
        </w:rPr>
        <w:t>506</w:t>
      </w:r>
      <w:r>
        <w:rPr>
          <w:spacing w:val="-2"/>
        </w:rPr>
        <w:t>万元，该项目在</w:t>
      </w:r>
      <w:r>
        <w:rPr>
          <w:rFonts w:ascii="Times New Roman" w:hAnsi="Times New Roman" w:cs="Times New Roman" w:eastAsia="Times New Roman" w:hint="default"/>
          <w:spacing w:val="-2"/>
        </w:rPr>
        <w:t>2010</w:t>
      </w:r>
      <w:r>
        <w:rPr>
          <w:spacing w:val="-2"/>
        </w:rPr>
        <w:t>年已经吉林省发改委</w:t>
      </w:r>
      <w:r>
        <w:rPr/>
        <w:t> </w:t>
      </w:r>
      <w:r>
        <w:rPr>
          <w:spacing w:val="-2"/>
        </w:rPr>
        <w:t>验收通过，根据文件规定项目验收合格后转为资本公积处理。根据吉林草还丹药业有限公司主管税务机关认定，该项目补助</w:t>
      </w:r>
      <w:r>
        <w:rPr>
          <w:spacing w:val="-66"/>
        </w:rPr>
        <w:t> </w:t>
      </w:r>
      <w:r>
        <w:rPr>
          <w:spacing w:val="-66"/>
        </w:rPr>
      </w:r>
      <w:r>
        <w:rPr>
          <w:spacing w:val="12"/>
        </w:rPr>
        <w:t>形成固定资产金额</w:t>
      </w:r>
      <w:r>
        <w:rPr>
          <w:rFonts w:ascii="Times New Roman" w:hAnsi="Times New Roman" w:cs="Times New Roman" w:eastAsia="Times New Roman" w:hint="default"/>
          <w:spacing w:val="12"/>
        </w:rPr>
        <w:t>506</w:t>
      </w:r>
      <w:r>
        <w:rPr>
          <w:spacing w:val="12"/>
        </w:rPr>
        <w:t>万元，每年在计算所得税时其当期计提的折旧不予抵扣</w:t>
      </w:r>
      <w:r>
        <w:rPr>
          <w:rFonts w:ascii="Times New Roman" w:hAnsi="Times New Roman" w:cs="Times New Roman" w:eastAsia="Times New Roman" w:hint="default"/>
          <w:spacing w:val="12"/>
        </w:rPr>
        <w:t>,2011</w:t>
      </w:r>
      <w:r>
        <w:rPr>
          <w:spacing w:val="12"/>
        </w:rPr>
        <w:t>年该固定资产当期计提折旧额为</w:t>
      </w:r>
      <w:r>
        <w:rPr>
          <w:spacing w:val="-75"/>
        </w:rPr>
        <w:t> </w:t>
      </w:r>
      <w:r>
        <w:rPr>
          <w:spacing w:val="-75"/>
        </w:rPr>
      </w:r>
      <w:r>
        <w:rPr>
          <w:rFonts w:ascii="Times New Roman" w:hAnsi="Times New Roman" w:cs="Times New Roman" w:eastAsia="Times New Roman" w:hint="default"/>
          <w:spacing w:val="-1"/>
        </w:rPr>
        <w:t>224,888.91</w:t>
      </w:r>
      <w:r>
        <w:rPr>
          <w:spacing w:val="-1"/>
        </w:rPr>
        <w:t>元不予抵扣，以后年度应纳税所得额为</w:t>
      </w:r>
      <w:r>
        <w:rPr>
          <w:rFonts w:ascii="Times New Roman" w:hAnsi="Times New Roman" w:cs="Times New Roman" w:eastAsia="Times New Roman" w:hint="default"/>
          <w:spacing w:val="-1"/>
        </w:rPr>
        <w:t>4,610,222.20</w:t>
      </w:r>
      <w:r>
        <w:rPr>
          <w:spacing w:val="-1"/>
        </w:rPr>
        <w:t>元，按照其所执行的所得税税率为</w:t>
      </w:r>
      <w:r>
        <w:rPr>
          <w:rFonts w:ascii="Times New Roman" w:hAnsi="Times New Roman" w:cs="Times New Roman" w:eastAsia="Times New Roman" w:hint="default"/>
          <w:spacing w:val="-1"/>
        </w:rPr>
        <w:t>15%</w:t>
      </w:r>
      <w:r>
        <w:rPr>
          <w:spacing w:val="-1"/>
        </w:rPr>
        <w:t>，计算的递延所得税负</w:t>
      </w:r>
      <w:r>
        <w:rPr>
          <w:spacing w:val="-36"/>
        </w:rPr>
        <w:t> </w:t>
      </w:r>
      <w:r>
        <w:rPr>
          <w:spacing w:val="-36"/>
        </w:rPr>
      </w:r>
      <w:r>
        <w:rPr/>
        <w:t>债为</w:t>
      </w:r>
      <w:r>
        <w:rPr>
          <w:rFonts w:ascii="Times New Roman" w:hAnsi="Times New Roman" w:cs="Times New Roman" w:eastAsia="Times New Roman" w:hint="default"/>
        </w:rPr>
        <w:t>691,533.33</w:t>
      </w:r>
      <w:r>
        <w:rPr/>
        <w:t>元。</w:t>
      </w:r>
    </w:p>
    <w:p>
      <w:pPr>
        <w:spacing w:line="240" w:lineRule="auto" w:before="10"/>
        <w:rPr>
          <w:rFonts w:ascii="宋体" w:hAnsi="宋体" w:cs="宋体" w:eastAsia="宋体" w:hint="default"/>
          <w:sz w:val="21"/>
          <w:szCs w:val="21"/>
        </w:rPr>
      </w:pPr>
    </w:p>
    <w:p>
      <w:pPr>
        <w:pStyle w:val="Heading4"/>
        <w:spacing w:line="240" w:lineRule="auto"/>
        <w:ind w:right="149"/>
        <w:jc w:val="left"/>
        <w:rPr>
          <w:b w:val="0"/>
          <w:bCs w:val="0"/>
        </w:rPr>
      </w:pPr>
      <w:r>
        <w:rPr>
          <w:rFonts w:ascii="Times New Roman" w:hAnsi="Times New Roman" w:cs="Times New Roman" w:eastAsia="Times New Roman" w:hint="default"/>
        </w:rPr>
        <w:t>14</w:t>
      </w:r>
      <w:r>
        <w:rPr/>
        <w:t>、资产减值准备明细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6" w:hRule="exact"/>
        </w:trPr>
        <w:tc>
          <w:tcPr>
            <w:tcW w:w="2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1" w:hRule="exact"/>
        </w:trPr>
        <w:tc>
          <w:tcPr>
            <w:tcW w:w="2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1" w:hRule="exact"/>
        </w:trPr>
        <w:tc>
          <w:tcPr>
            <w:tcW w:w="2242" w:type="dxa"/>
            <w:vMerge/>
            <w:tcBorders>
              <w:left w:val="single" w:sz="4" w:space="0" w:color="000000"/>
              <w:bottom w:val="nil" w:sz="6" w:space="0" w:color="auto"/>
              <w:right w:val="single" w:sz="4" w:space="0" w:color="000000"/>
            </w:tcBorders>
            <w:shd w:val="clear" w:color="auto" w:fill="D3D3D3"/>
          </w:tcPr>
          <w:p>
            <w:pPr/>
          </w:p>
        </w:tc>
        <w:tc>
          <w:tcPr>
            <w:tcW w:w="1540"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2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40,252,130.78</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19,699,590.44</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20,552,540.34</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40,252,130.78</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19,699,590.44</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20,552,540.34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t>资产减值明细情况的说明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927,000,000.00</w:t>
            </w:r>
          </w:p>
        </w:tc>
      </w:tr>
    </w:tbl>
    <w:p>
      <w:pPr>
        <w:pStyle w:val="BodyText"/>
        <w:spacing w:line="357" w:lineRule="auto" w:before="51"/>
        <w:ind w:left="153" w:right="5631"/>
        <w:jc w:val="left"/>
      </w:pPr>
      <w:r>
        <w:rPr/>
        <w:t>短期借款分类的说明 本公司短期借款按取得借款时的担保方式进行分类。</w:t>
      </w:r>
    </w:p>
    <w:p>
      <w:pPr>
        <w:spacing w:line="240" w:lineRule="auto" w:before="2"/>
        <w:rPr>
          <w:rFonts w:ascii="宋体" w:hAnsi="宋体" w:cs="宋体" w:eastAsia="宋体" w:hint="default"/>
          <w:sz w:val="20"/>
          <w:szCs w:val="20"/>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40" w:lineRule="auto" w:before="51"/>
        <w:ind w:left="153" w:right="3651"/>
        <w:jc w:val="left"/>
      </w:pPr>
      <w:r>
        <w:rPr/>
        <w:t>资产负债表日后已偿还金额</w:t>
      </w:r>
      <w:r>
        <w:rPr>
          <w:spacing w:val="-47"/>
        </w:rPr>
        <w:t> </w:t>
      </w:r>
      <w:r>
        <w:rPr>
          <w:rFonts w:ascii="Times New Roman" w:hAnsi="Times New Roman" w:cs="Times New Roman" w:eastAsia="Times New Roman" w:hint="default"/>
        </w:rPr>
        <w:t>7,000,000.00</w:t>
      </w:r>
      <w:r>
        <w:rPr>
          <w:rFonts w:ascii="Times New Roman" w:hAnsi="Times New Roman" w:cs="Times New Roman" w:eastAsia="Times New Roman" w:hint="default"/>
          <w:spacing w:val="-2"/>
        </w:rPr>
        <w:t> </w:t>
      </w:r>
      <w:r>
        <w:rPr/>
        <w:t>元。 短期借款的说明，包括已到期短期借款获展期的，说明展期条件、新的到期日</w:t>
      </w:r>
    </w:p>
    <w:p>
      <w:pPr>
        <w:pStyle w:val="Heading5"/>
        <w:spacing w:line="256" w:lineRule="auto" w:before="94"/>
        <w:ind w:left="153" w:right="149" w:firstLine="411"/>
        <w:jc w:val="left"/>
      </w:pPr>
      <w:r>
        <w:rPr/>
        <w:t>（</w:t>
      </w:r>
      <w:r>
        <w:rPr>
          <w:rFonts w:ascii="Times New Roman" w:hAnsi="Times New Roman" w:cs="Times New Roman" w:eastAsia="Times New Roman" w:hint="default"/>
        </w:rPr>
        <w:t>1</w:t>
      </w:r>
      <w:r>
        <w:rPr/>
        <w:t>）上述质押借款</w:t>
      </w:r>
      <w:r>
        <w:rPr>
          <w:rFonts w:ascii="Times New Roman" w:hAnsi="Times New Roman" w:cs="Times New Roman" w:eastAsia="Times New Roman" w:hint="default"/>
        </w:rPr>
        <w:t>9.2</w:t>
      </w:r>
      <w:r>
        <w:rPr/>
        <w:t>亿元由本公司第一大股东敦化市康平投资有限责任公司、仲维光以持有本公司</w:t>
      </w:r>
      <w:r>
        <w:rPr>
          <w:spacing w:val="1"/>
        </w:rPr>
        <w:t> </w:t>
      </w:r>
      <w:r>
        <w:rPr/>
        <w:t>的股权</w:t>
      </w:r>
      <w:r>
        <w:rPr>
          <w:rFonts w:ascii="Times New Roman" w:hAnsi="Times New Roman" w:cs="Times New Roman" w:eastAsia="Times New Roman" w:hint="default"/>
        </w:rPr>
        <w:t>7,948</w:t>
      </w:r>
      <w:r>
        <w:rPr/>
        <w:t>万股、</w:t>
      </w:r>
      <w:r>
        <w:rPr>
          <w:rFonts w:ascii="Times New Roman" w:hAnsi="Times New Roman" w:cs="Times New Roman" w:eastAsia="Times New Roman" w:hint="default"/>
        </w:rPr>
        <w:t>3,000</w:t>
      </w:r>
      <w:r>
        <w:rPr/>
        <w:t>万股以及本公司存货人参（干品）</w:t>
      </w:r>
      <w:r>
        <w:rPr>
          <w:rFonts w:ascii="Times New Roman" w:hAnsi="Times New Roman" w:cs="Times New Roman" w:eastAsia="Times New Roman" w:hint="default"/>
        </w:rPr>
        <w:t>989</w:t>
      </w:r>
      <w:r>
        <w:rPr/>
        <w:t>吨提供质押。</w:t>
      </w:r>
    </w:p>
    <w:p>
      <w:pPr>
        <w:pStyle w:val="Heading5"/>
        <w:spacing w:line="256" w:lineRule="auto"/>
        <w:ind w:right="149" w:firstLine="411"/>
        <w:jc w:val="left"/>
      </w:pPr>
      <w:r>
        <w:rPr>
          <w:spacing w:val="-2"/>
        </w:rPr>
        <w:t>（</w:t>
      </w:r>
      <w:r>
        <w:rPr>
          <w:rFonts w:ascii="Times New Roman" w:hAnsi="Times New Roman" w:cs="Times New Roman" w:eastAsia="Times New Roman" w:hint="default"/>
          <w:spacing w:val="-2"/>
        </w:rPr>
        <w:t>2</w:t>
      </w:r>
      <w:r>
        <w:rPr>
          <w:spacing w:val="-2"/>
        </w:rPr>
        <w:t>）上述抵押借款</w:t>
      </w:r>
      <w:r>
        <w:rPr>
          <w:rFonts w:ascii="Times New Roman" w:hAnsi="Times New Roman" w:cs="Times New Roman" w:eastAsia="Times New Roman" w:hint="default"/>
          <w:spacing w:val="-2"/>
        </w:rPr>
        <w:t>1.85</w:t>
      </w:r>
      <w:r>
        <w:rPr>
          <w:spacing w:val="-2"/>
        </w:rPr>
        <w:t>亿元由本公司及子公司吉林紫鑫红石种养殖有限公司、吉林紫鑫般若药业有限</w:t>
      </w:r>
      <w:r>
        <w:rPr/>
        <w:t> 公司、吉林草还丹药业有限公司以房屋产权及土地使用权提供抵押。</w:t>
      </w:r>
    </w:p>
    <w:p>
      <w:pPr>
        <w:pStyle w:val="Heading5"/>
        <w:spacing w:line="240" w:lineRule="auto" w:before="22"/>
        <w:ind w:left="565" w:right="149"/>
        <w:jc w:val="left"/>
      </w:pPr>
      <w:r>
        <w:rPr/>
        <w:t>（</w:t>
      </w:r>
      <w:r>
        <w:rPr>
          <w:rFonts w:ascii="Times New Roman" w:hAnsi="Times New Roman" w:cs="Times New Roman" w:eastAsia="Times New Roman" w:hint="default"/>
        </w:rPr>
        <w:t>3</w:t>
      </w:r>
      <w:r>
        <w:rPr/>
        <w:t>）资产负债表日后已偿还的金额为</w:t>
      </w:r>
      <w:r>
        <w:rPr>
          <w:rFonts w:ascii="Times New Roman" w:hAnsi="Times New Roman" w:cs="Times New Roman" w:eastAsia="Times New Roman" w:hint="default"/>
        </w:rPr>
        <w:t>700</w:t>
      </w:r>
      <w:r>
        <w:rPr/>
        <w:t>万元。</w:t>
      </w:r>
    </w:p>
    <w:p>
      <w:pPr>
        <w:pStyle w:val="Heading5"/>
        <w:spacing w:line="240" w:lineRule="auto" w:before="21"/>
        <w:ind w:left="565" w:right="149"/>
        <w:jc w:val="left"/>
      </w:pPr>
      <w:r>
        <w:rPr/>
        <w:t>（</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日止，上述短期借款中无逾期的借款。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33,142,408.52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31,050,998.36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11,733,406.67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13,802,934.94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6,371,260.33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1,691,738.54</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2,114,746.02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5,366,267.70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53,361,821.54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51,911,939.54</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spacing w:line="520" w:lineRule="auto" w:before="35"/>
        <w:ind w:left="154" w:right="47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99"/>
          <w:sz w:val="21"/>
          <w:szCs w:val="21"/>
        </w:rPr>
        <w:t> </w:t>
      </w:r>
      <w:r>
        <w:rPr>
          <w:rFonts w:ascii="宋体" w:hAnsi="宋体" w:cs="宋体" w:eastAsia="宋体" w:hint="default"/>
          <w:sz w:val="21"/>
          <w:szCs w:val="21"/>
        </w:rPr>
        <w:t>应付账款期末余额中无账龄超过一年的大额应付款项。 </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、预收账款</w:t>
      </w:r>
      <w:r>
        <w:rPr>
          <w:rFonts w:ascii="宋体" w:hAnsi="宋体" w:cs="宋体" w:eastAsia="宋体" w:hint="default"/>
          <w:sz w:val="21"/>
          <w:szCs w:val="21"/>
        </w:rPr>
      </w:r>
    </w:p>
    <w:p>
      <w:pPr>
        <w:pStyle w:val="Heading4"/>
        <w:spacing w:line="240" w:lineRule="auto" w:before="50"/>
        <w:ind w:left="153" w:right="149"/>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88,719.30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1,154,183.13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88,719.30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1,154,183.13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10"/>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本公司期末无账龄超过一年的大额预收账款。</w:t>
      </w:r>
    </w:p>
    <w:p>
      <w:pPr>
        <w:spacing w:line="240" w:lineRule="auto" w:before="12"/>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873"/>
        <w:gridCol w:w="1993"/>
        <w:gridCol w:w="2257"/>
        <w:gridCol w:w="1860"/>
      </w:tblGrid>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28,457,612.39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28,481,612.39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967,612.64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967,612.64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4,139.06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2,713,701.08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2,598,735.31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119,104.83</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）养老保险费</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3,909.86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1,913,702.32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1,811,692.45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105,919.73</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）医疗保险费</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561,638.60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561,687.80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186,830.12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173,825.02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13,185.10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37,712.66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37,712.66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13,817.38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13,817.38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4,118.30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452,902.10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457,020.40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580,173.05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586,276.35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524,042.48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642,406.92</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工会及职工教育经 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580,173.05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586,276.35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524,042.48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642,406.92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612,430.41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33,178,104.56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33,029,023.22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761,511.75</w:t>
            </w:r>
          </w:p>
        </w:tc>
      </w:tr>
    </w:tbl>
    <w:p>
      <w:pPr>
        <w:pStyle w:val="BodyText"/>
        <w:spacing w:line="240" w:lineRule="auto" w:before="51"/>
        <w:ind w:right="149"/>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right="1226"/>
        <w:jc w:val="left"/>
      </w:pPr>
      <w:r>
        <w:rPr/>
        <w:t>工会经费和职工教育经费金额</w:t>
      </w:r>
      <w:r>
        <w:rPr>
          <w:spacing w:val="-46"/>
        </w:rPr>
        <w:t> </w:t>
      </w:r>
      <w:r>
        <w:rPr>
          <w:rFonts w:ascii="Times New Roman" w:hAnsi="Times New Roman" w:cs="Times New Roman" w:eastAsia="Times New Roman" w:hint="default"/>
        </w:rPr>
        <w:t>642,406.92</w:t>
      </w:r>
      <w:r>
        <w:rPr>
          <w:rFonts w:ascii="Times New Roman" w:hAnsi="Times New Roman" w:cs="Times New Roman" w:eastAsia="Times New Roman" w:hint="default"/>
          <w:spacing w:val="-1"/>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spacing w:line="240" w:lineRule="auto" w:before="2"/>
        <w:rPr>
          <w:rFonts w:ascii="宋体" w:hAnsi="宋体" w:cs="宋体" w:eastAsia="宋体" w:hint="default"/>
          <w:sz w:val="21"/>
          <w:szCs w:val="21"/>
        </w:rPr>
      </w:pPr>
    </w:p>
    <w:p>
      <w:pPr>
        <w:pStyle w:val="Heading4"/>
        <w:spacing w:line="240" w:lineRule="auto"/>
        <w:ind w:right="149"/>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-76,177,391.00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-52,704,980.23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13"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-369,863.12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2,079,368.32</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50,500.76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92,212.70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22,152.65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9,587.29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32,320.98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285,150.69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6,848.07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91,493.01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287,239.59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-75,524.20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495,639.83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-76,410,487.59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-49,448,933.74</w:t>
            </w:r>
          </w:p>
        </w:tc>
      </w:tr>
    </w:tbl>
    <w:p>
      <w:pPr>
        <w:pStyle w:val="BodyText"/>
        <w:spacing w:line="240" w:lineRule="auto" w:before="51"/>
        <w:ind w:right="149"/>
        <w:jc w:val="left"/>
      </w:pPr>
      <w:r>
        <w:rPr/>
        <w:t>应交税费说明，所在地税务机关同意各分公司、分厂之间应纳税所得额相互调剂的，应说明税款计算过程</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997,732.94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1,710,781.04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49,866.00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172,549.75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174,025.00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1,646,374.00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117,691.80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117,169.14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1,339,315.74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3,646,873.93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21</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调整改造项目转贷资金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化学药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类米格列奈钙临床 研究资金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专项应付款说明</w:t>
      </w:r>
    </w:p>
    <w:p>
      <w:pPr>
        <w:spacing w:line="240" w:lineRule="auto" w:before="1"/>
        <w:rPr>
          <w:rFonts w:ascii="宋体" w:hAnsi="宋体" w:cs="宋体" w:eastAsia="宋体" w:hint="default"/>
          <w:sz w:val="13"/>
          <w:szCs w:val="13"/>
        </w:rPr>
      </w:pPr>
    </w:p>
    <w:p>
      <w:pPr>
        <w:pStyle w:val="Heading5"/>
        <w:spacing w:line="256" w:lineRule="auto" w:before="0"/>
        <w:ind w:left="153" w:right="150" w:firstLine="420"/>
        <w:jc w:val="both"/>
      </w:pPr>
      <w:r>
        <w:rPr/>
        <w:t>根据通化市财政局文件通市财建</w:t>
      </w:r>
      <w:r>
        <w:rPr>
          <w:rFonts w:ascii="Times New Roman" w:hAnsi="Times New Roman" w:cs="Times New Roman" w:eastAsia="Times New Roman" w:hint="default"/>
        </w:rPr>
        <w:t>[2004]61</w:t>
      </w:r>
      <w:r>
        <w:rPr/>
        <w:t>号《关于下达</w:t>
      </w:r>
      <w:r>
        <w:rPr>
          <w:rFonts w:ascii="Times New Roman" w:hAnsi="Times New Roman" w:cs="Times New Roman" w:eastAsia="Times New Roman" w:hint="default"/>
        </w:rPr>
        <w:t>2004</w:t>
      </w:r>
      <w:r>
        <w:rPr/>
        <w:t>年东北老工业基地调整改造国债转贷支出 计划的通知》，</w:t>
      </w:r>
      <w:r>
        <w:rPr>
          <w:rFonts w:ascii="Times New Roman" w:hAnsi="Times New Roman" w:cs="Times New Roman" w:eastAsia="Times New Roman" w:hint="default"/>
        </w:rPr>
        <w:t>2005</w:t>
      </w:r>
      <w:r>
        <w:rPr/>
        <w:t>年柳河县财政局拨入本公司</w:t>
      </w:r>
      <w:r>
        <w:rPr>
          <w:rFonts w:ascii="Times New Roman" w:hAnsi="Times New Roman" w:cs="Times New Roman" w:eastAsia="Times New Roman" w:hint="default"/>
        </w:rPr>
        <w:t>160</w:t>
      </w:r>
      <w:r>
        <w:rPr/>
        <w:t>万元中央国债地方转贷资金，专项用于东北地区等老</w:t>
      </w:r>
      <w:r>
        <w:rPr>
          <w:spacing w:val="-40"/>
        </w:rPr>
        <w:t> </w:t>
      </w:r>
      <w:r>
        <w:rPr>
          <w:spacing w:val="-40"/>
        </w:rPr>
      </w:r>
      <w:r>
        <w:rPr/>
        <w:t>工业基地调整改造项目建设，本期偿还上述转贷资金</w:t>
      </w:r>
      <w:r>
        <w:rPr>
          <w:rFonts w:ascii="Times New Roman" w:hAnsi="Times New Roman" w:cs="Times New Roman" w:eastAsia="Times New Roman" w:hint="default"/>
        </w:rPr>
        <w:t>14</w:t>
      </w:r>
      <w:r>
        <w:rPr/>
        <w:t>万元。</w:t>
      </w:r>
    </w:p>
    <w:p>
      <w:pPr>
        <w:pStyle w:val="Heading5"/>
        <w:spacing w:line="256" w:lineRule="auto"/>
        <w:ind w:left="153" w:right="148" w:firstLine="411"/>
        <w:jc w:val="both"/>
      </w:pP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月子公司吉林紫鑫药物研究有限公司和吉林省科技厅签订的《吉林省科技型中小企业技</w:t>
      </w:r>
      <w:r>
        <w:rPr>
          <w:spacing w:val="2"/>
        </w:rPr>
        <w:t> </w:t>
      </w:r>
      <w:r>
        <w:rPr>
          <w:spacing w:val="-2"/>
        </w:rPr>
        <w:t>术创新资金项目合同》，本期收到</w:t>
      </w:r>
      <w:r>
        <w:rPr>
          <w:rFonts w:ascii="Times New Roman" w:hAnsi="Times New Roman" w:cs="Times New Roman" w:eastAsia="Times New Roman" w:hint="default"/>
          <w:spacing w:val="-2"/>
        </w:rPr>
        <w:t>“</w:t>
      </w:r>
      <w:r>
        <w:rPr>
          <w:spacing w:val="-2"/>
        </w:rPr>
        <w:t>化学类</w:t>
      </w:r>
      <w:r>
        <w:rPr>
          <w:rFonts w:ascii="Times New Roman" w:hAnsi="Times New Roman" w:cs="Times New Roman" w:eastAsia="Times New Roman" w:hint="default"/>
          <w:spacing w:val="-2"/>
        </w:rPr>
        <w:t>3.1</w:t>
      </w:r>
      <w:r>
        <w:rPr>
          <w:spacing w:val="-2"/>
        </w:rPr>
        <w:t>类米格列奈钙临床研究</w:t>
      </w:r>
      <w:r>
        <w:rPr>
          <w:rFonts w:ascii="Times New Roman" w:hAnsi="Times New Roman" w:cs="Times New Roman" w:eastAsia="Times New Roman" w:hint="default"/>
          <w:spacing w:val="-2"/>
        </w:rPr>
        <w:t>”</w:t>
      </w:r>
      <w:r>
        <w:rPr>
          <w:spacing w:val="-2"/>
        </w:rPr>
        <w:t>项目专项补助资金</w:t>
      </w:r>
      <w:r>
        <w:rPr>
          <w:rFonts w:ascii="Times New Roman" w:hAnsi="Times New Roman" w:cs="Times New Roman" w:eastAsia="Times New Roman" w:hint="default"/>
          <w:spacing w:val="-2"/>
        </w:rPr>
        <w:t>10</w:t>
      </w:r>
      <w:r>
        <w:rPr>
          <w:spacing w:val="-2"/>
        </w:rPr>
        <w:t>万元，按照合同</w:t>
      </w:r>
      <w:r>
        <w:rPr>
          <w:spacing w:val="-59"/>
        </w:rPr>
        <w:t> </w:t>
      </w:r>
      <w:r>
        <w:rPr>
          <w:spacing w:val="-59"/>
        </w:rPr>
      </w:r>
      <w:r>
        <w:rPr/>
        <w:t>规定于收到时作为专项应付款处理。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49"/>
        <w:jc w:val="left"/>
        <w:rPr>
          <w:b w:val="0"/>
          <w:bCs w:val="0"/>
        </w:rPr>
      </w:pPr>
      <w:r>
        <w:rPr>
          <w:rFonts w:ascii="Times New Roman" w:hAnsi="Times New Roman" w:cs="Times New Roman" w:eastAsia="Times New Roman" w:hint="default"/>
        </w:rPr>
        <w:t>22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基地设施建设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26,350,000.00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万益心丸等微丸、</w:t>
            </w:r>
            <w:r>
              <w:rPr>
                <w:rFonts w:ascii="Times New Roman" w:hAnsi="Times New Roman" w:cs="Times New Roman" w:eastAsia="Times New Roman" w:hint="default"/>
                <w:spacing w:val="-6"/>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万更年宁等水 丸和水蜜丸等大小蜜丸能力</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口服液制剂车间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改造</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5,011,200.00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万瓶人参酵素饮料产业化</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、基地设施建设（通化禺拙）</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4,906,218.00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、环境保护专项治理资金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、技术改造专项资金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49,017,418.00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8" w:right="0"/>
              <w:jc w:val="left"/>
              <w:rPr>
                <w:rFonts w:ascii="Times New Roman" w:hAnsi="Times New Roman" w:cs="Times New Roman" w:eastAsia="Times New Roman" w:hint="default"/>
                <w:sz w:val="18"/>
                <w:szCs w:val="18"/>
              </w:rPr>
            </w:pPr>
            <w:r>
              <w:rPr>
                <w:rFonts w:ascii="Times New Roman"/>
                <w:sz w:val="18"/>
              </w:rPr>
              <w:t>43,220,000.00</w:t>
            </w:r>
          </w:p>
        </w:tc>
      </w:tr>
    </w:tbl>
    <w:p>
      <w:pPr>
        <w:pStyle w:val="BodyText"/>
        <w:spacing w:line="240" w:lineRule="auto" w:before="51"/>
        <w:ind w:right="149"/>
        <w:jc w:val="left"/>
      </w:pPr>
      <w:r>
        <w:rPr/>
        <w:t>其他非流动负债说明，包括本报告期取得的各类与资产相关、与收益相关的政府补助及其期末金额</w:t>
      </w:r>
    </w:p>
    <w:p>
      <w:pPr>
        <w:spacing w:line="240" w:lineRule="auto" w:before="1"/>
        <w:rPr>
          <w:rFonts w:ascii="宋体" w:hAnsi="宋体" w:cs="宋体" w:eastAsia="宋体" w:hint="default"/>
          <w:sz w:val="13"/>
          <w:szCs w:val="13"/>
        </w:rPr>
      </w:pPr>
    </w:p>
    <w:p>
      <w:pPr>
        <w:pStyle w:val="Heading5"/>
        <w:spacing w:line="256" w:lineRule="auto" w:before="0"/>
        <w:ind w:right="151" w:firstLine="419"/>
        <w:jc w:val="both"/>
      </w:pPr>
      <w:r>
        <w:rPr>
          <w:spacing w:val="-1"/>
        </w:rPr>
        <w:t>（</w:t>
      </w:r>
      <w:r>
        <w:rPr>
          <w:rFonts w:ascii="Times New Roman" w:hAnsi="Times New Roman" w:cs="Times New Roman" w:eastAsia="Times New Roman" w:hint="default"/>
          <w:spacing w:val="-1"/>
        </w:rPr>
        <w:t>1</w:t>
      </w:r>
      <w:r>
        <w:rPr>
          <w:spacing w:val="-1"/>
        </w:rPr>
        <w:t>）子公司吉林紫鑫初元药业有限公司分别于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7</w:t>
      </w:r>
      <w:r>
        <w:rPr>
          <w:spacing w:val="-1"/>
        </w:rPr>
        <w:t>月收到延边州新兴工业集中区管理</w:t>
      </w:r>
      <w:r>
        <w:rPr/>
        <w:t> 委员会拨付的合计</w:t>
      </w:r>
      <w:r>
        <w:rPr>
          <w:rFonts w:ascii="Times New Roman" w:hAnsi="Times New Roman" w:cs="Times New Roman" w:eastAsia="Times New Roman" w:hint="default"/>
        </w:rPr>
        <w:t>2,635</w:t>
      </w:r>
      <w:r>
        <w:rPr/>
        <w:t>万元的基础设施款专项资金，专项用于人参产品系列化项目的基础设施建设。</w:t>
      </w:r>
    </w:p>
    <w:p>
      <w:pPr>
        <w:pStyle w:val="Heading5"/>
        <w:spacing w:line="256" w:lineRule="auto"/>
        <w:ind w:right="146" w:firstLine="420"/>
        <w:jc w:val="both"/>
      </w:pPr>
      <w:r>
        <w:rPr>
          <w:spacing w:val="-2"/>
        </w:rPr>
        <w:t>（</w:t>
      </w: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日吉林省发展和改革委员会文件吉发改投资</w:t>
      </w:r>
      <w:r>
        <w:rPr>
          <w:rFonts w:ascii="Times New Roman" w:hAnsi="Times New Roman" w:cs="Times New Roman" w:eastAsia="Times New Roman" w:hint="default"/>
          <w:spacing w:val="-2"/>
        </w:rPr>
        <w:t>[2011]1269</w:t>
      </w:r>
      <w:r>
        <w:rPr>
          <w:spacing w:val="-2"/>
        </w:rPr>
        <w:t>号《关于下达</w:t>
      </w:r>
      <w:r>
        <w:rPr>
          <w:rFonts w:ascii="Times New Roman" w:hAnsi="Times New Roman" w:cs="Times New Roman" w:eastAsia="Times New Roman" w:hint="default"/>
          <w:spacing w:val="-2"/>
        </w:rPr>
        <w:t>2011</w:t>
      </w:r>
      <w:r>
        <w:rPr>
          <w:spacing w:val="-2"/>
        </w:rPr>
        <w:t>年全</w:t>
      </w:r>
      <w:r>
        <w:rPr/>
        <w:t> 省东北等老工业基地调整改造项目（第二批）中央预算内投资计划的通知》，同时根据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日吉</w:t>
      </w:r>
      <w:r>
        <w:rPr>
          <w:spacing w:val="-36"/>
        </w:rPr>
        <w:t> </w:t>
      </w:r>
      <w:r>
        <w:rPr/>
        <w:t>林省财政厅文件吉财建指</w:t>
      </w:r>
      <w:r>
        <w:rPr>
          <w:rFonts w:ascii="Times New Roman" w:hAnsi="Times New Roman" w:cs="Times New Roman" w:eastAsia="Times New Roman" w:hint="default"/>
        </w:rPr>
        <w:t>[2011]1304</w:t>
      </w:r>
      <w:r>
        <w:rPr/>
        <w:t>号《关于下达</w:t>
      </w:r>
      <w:r>
        <w:rPr>
          <w:rFonts w:ascii="Times New Roman" w:hAnsi="Times New Roman" w:cs="Times New Roman" w:eastAsia="Times New Roman" w:hint="default"/>
        </w:rPr>
        <w:t>2011</w:t>
      </w:r>
      <w:r>
        <w:rPr/>
        <w:t>年中央预算内基建支出（东北老工业基地调整改造</w:t>
      </w:r>
      <w:r>
        <w:rPr>
          <w:spacing w:val="-71"/>
        </w:rPr>
        <w:t> </w:t>
      </w:r>
      <w:r>
        <w:rPr>
          <w:spacing w:val="-71"/>
        </w:rPr>
      </w:r>
      <w:r>
        <w:rPr>
          <w:spacing w:val="-1"/>
        </w:rPr>
        <w:t>第二批）预算的通知》规定，子公司吉林紫鑫般若药业有限公司于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日收到磐石市财政局拨付</w:t>
      </w:r>
      <w:r>
        <w:rPr>
          <w:spacing w:val="-85"/>
        </w:rPr>
        <w:t> </w:t>
      </w:r>
      <w:r>
        <w:rPr>
          <w:spacing w:val="-85"/>
        </w:rPr>
      </w:r>
      <w:r>
        <w:rPr/>
        <w:t>的</w:t>
      </w:r>
      <w:r>
        <w:rPr>
          <w:rFonts w:ascii="Times New Roman" w:hAnsi="Times New Roman" w:cs="Times New Roman" w:eastAsia="Times New Roman" w:hint="default"/>
        </w:rPr>
        <w:t>“</w:t>
      </w:r>
      <w:r>
        <w:rPr/>
        <w:t>年产</w:t>
      </w:r>
      <w:r>
        <w:rPr>
          <w:rFonts w:ascii="Times New Roman" w:hAnsi="Times New Roman" w:cs="Times New Roman" w:eastAsia="Times New Roman" w:hint="default"/>
        </w:rPr>
        <w:t>1000</w:t>
      </w:r>
      <w:r>
        <w:rPr/>
        <w:t>万益心丸等微丸、</w:t>
      </w:r>
      <w:r>
        <w:rPr>
          <w:rFonts w:ascii="Times New Roman" w:hAnsi="Times New Roman" w:cs="Times New Roman" w:eastAsia="Times New Roman" w:hint="default"/>
        </w:rPr>
        <w:t>4000</w:t>
      </w:r>
      <w:r>
        <w:rPr/>
        <w:t>万更年宁等水丸和水蜜丸等大小蜜丸能力项目</w:t>
      </w:r>
      <w:r>
        <w:rPr>
          <w:rFonts w:ascii="Times New Roman" w:hAnsi="Times New Roman" w:cs="Times New Roman" w:eastAsia="Times New Roman" w:hint="default"/>
        </w:rPr>
        <w:t>”</w:t>
      </w:r>
      <w:r>
        <w:rPr/>
        <w:t>设备采购安装资金</w:t>
      </w:r>
      <w:r>
        <w:rPr>
          <w:rFonts w:ascii="Times New Roman" w:hAnsi="Times New Roman" w:cs="Times New Roman" w:eastAsia="Times New Roman" w:hint="default"/>
        </w:rPr>
        <w:t>665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万元。</w:t>
      </w:r>
    </w:p>
    <w:p>
      <w:pPr>
        <w:pStyle w:val="Heading5"/>
        <w:spacing w:line="256" w:lineRule="auto" w:before="22"/>
        <w:ind w:right="149" w:firstLine="420"/>
        <w:jc w:val="both"/>
      </w:pPr>
      <w:r>
        <w:rPr>
          <w:spacing w:val="-2"/>
        </w:rPr>
        <w:t>（</w:t>
      </w:r>
      <w:r>
        <w:rPr>
          <w:rFonts w:ascii="Times New Roman" w:hAnsi="Times New Roman" w:cs="Times New Roman" w:eastAsia="Times New Roman" w:hint="default"/>
          <w:spacing w:val="-2"/>
        </w:rPr>
        <w:t>3</w:t>
      </w: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日敦化经济开发区管理委员会文件敦开管发</w:t>
      </w:r>
      <w:r>
        <w:rPr>
          <w:rFonts w:ascii="Times New Roman" w:hAnsi="Times New Roman" w:cs="Times New Roman" w:eastAsia="Times New Roman" w:hint="default"/>
          <w:spacing w:val="-2"/>
        </w:rPr>
        <w:t>[2011]14</w:t>
      </w:r>
      <w:r>
        <w:rPr>
          <w:spacing w:val="-2"/>
        </w:rPr>
        <w:t>号的规定，子公司吉林草还</w:t>
      </w:r>
      <w:r>
        <w:rPr/>
        <w:t> 丹药业有限公司于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日收到吉林省敦化经济开发实业总公司拨付的</w:t>
      </w:r>
      <w:r>
        <w:rPr>
          <w:rFonts w:ascii="Times New Roman" w:hAnsi="Times New Roman" w:cs="Times New Roman" w:eastAsia="Times New Roman" w:hint="default"/>
        </w:rPr>
        <w:t>“</w:t>
      </w:r>
      <w:r>
        <w:rPr/>
        <w:t>口服液制剂车间</w:t>
      </w:r>
      <w:r>
        <w:rPr>
          <w:rFonts w:ascii="Times New Roman" w:hAnsi="Times New Roman" w:cs="Times New Roman" w:eastAsia="Times New Roman" w:hint="default"/>
        </w:rPr>
        <w:t>GMP</w:t>
      </w:r>
      <w:r>
        <w:rPr/>
        <w:t>改造</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项目资金</w:t>
      </w:r>
      <w:r>
        <w:rPr>
          <w:rFonts w:ascii="Times New Roman" w:hAnsi="Times New Roman" w:cs="Times New Roman" w:eastAsia="Times New Roman" w:hint="default"/>
        </w:rPr>
        <w:t>522</w:t>
      </w:r>
      <w:r>
        <w:rPr/>
        <w:t>万元。</w:t>
      </w:r>
    </w:p>
    <w:p>
      <w:pPr>
        <w:pStyle w:val="Heading5"/>
        <w:spacing w:line="256" w:lineRule="auto"/>
        <w:ind w:right="150" w:firstLine="420"/>
        <w:jc w:val="both"/>
      </w:pPr>
      <w:r>
        <w:rPr/>
        <w:t>（</w:t>
      </w:r>
      <w:r>
        <w:rPr>
          <w:rFonts w:ascii="Times New Roman" w:hAnsi="Times New Roman" w:cs="Times New Roman" w:eastAsia="Times New Roman" w:hint="default"/>
        </w:rPr>
        <w:t>4</w:t>
      </w: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日延边朝鲜族自治州财政局文件</w:t>
      </w:r>
      <w:r>
        <w:rPr>
          <w:rFonts w:ascii="Times New Roman" w:hAnsi="Times New Roman" w:cs="Times New Roman" w:eastAsia="Times New Roman" w:hint="default"/>
        </w:rPr>
        <w:t>“</w:t>
      </w:r>
      <w:r>
        <w:rPr/>
        <w:t>延州财建</w:t>
      </w:r>
      <w:r>
        <w:rPr>
          <w:rFonts w:ascii="Times New Roman" w:hAnsi="Times New Roman" w:cs="Times New Roman" w:eastAsia="Times New Roman" w:hint="default"/>
        </w:rPr>
        <w:t>[2011]194</w:t>
      </w:r>
      <w:r>
        <w:rPr/>
        <w:t>号</w:t>
      </w:r>
      <w:r>
        <w:rPr>
          <w:rFonts w:ascii="Times New Roman" w:hAnsi="Times New Roman" w:cs="Times New Roman" w:eastAsia="Times New Roman" w:hint="default"/>
        </w:rPr>
        <w:t>”</w:t>
      </w:r>
      <w:r>
        <w:rPr/>
        <w:t>的规定，子公司吉林 紫鑫初元药业有限公司于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日收到延吉市财政局拨付的</w:t>
      </w:r>
      <w:r>
        <w:rPr>
          <w:rFonts w:ascii="Times New Roman" w:hAnsi="Times New Roman" w:cs="Times New Roman" w:eastAsia="Times New Roman" w:hint="default"/>
        </w:rPr>
        <w:t>“</w:t>
      </w:r>
      <w:r>
        <w:rPr/>
        <w:t>年产</w:t>
      </w:r>
      <w:r>
        <w:rPr>
          <w:rFonts w:ascii="Times New Roman" w:hAnsi="Times New Roman" w:cs="Times New Roman" w:eastAsia="Times New Roman" w:hint="default"/>
        </w:rPr>
        <w:t>200</w:t>
      </w:r>
      <w:r>
        <w:rPr/>
        <w:t>万瓶人参酵素饮料产业化项目</w:t>
      </w:r>
      <w:r>
        <w:rPr>
          <w:rFonts w:ascii="Times New Roman" w:hAnsi="Times New Roman" w:cs="Times New Roman" w:eastAsia="Times New Roman" w:hint="default"/>
        </w:rPr>
        <w:t>” </w:t>
      </w:r>
      <w:r>
        <w:rPr/>
        <w:t>建设资金</w:t>
      </w:r>
      <w:r>
        <w:rPr>
          <w:rFonts w:ascii="Times New Roman" w:hAnsi="Times New Roman" w:cs="Times New Roman" w:eastAsia="Times New Roman" w:hint="default"/>
        </w:rPr>
        <w:t>500</w:t>
      </w:r>
      <w:r>
        <w:rPr/>
        <w:t>万元。</w:t>
      </w:r>
    </w:p>
    <w:p>
      <w:pPr>
        <w:pStyle w:val="Heading5"/>
        <w:spacing w:line="256" w:lineRule="auto"/>
        <w:ind w:right="149" w:firstLine="411"/>
        <w:jc w:val="both"/>
      </w:pPr>
      <w:r>
        <w:rPr>
          <w:spacing w:val="-1"/>
        </w:rPr>
        <w:t>（</w:t>
      </w:r>
      <w:r>
        <w:rPr>
          <w:rFonts w:ascii="Times New Roman" w:hAnsi="Times New Roman" w:cs="Times New Roman" w:eastAsia="Times New Roman" w:hint="default"/>
          <w:spacing w:val="-1"/>
        </w:rPr>
        <w:t>5</w:t>
      </w:r>
      <w:r>
        <w:rPr>
          <w:spacing w:val="-1"/>
        </w:rPr>
        <w:t>）根据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日通化市东昌区财政局文件通昌财字（</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140</w:t>
      </w:r>
      <w:r>
        <w:rPr>
          <w:spacing w:val="-1"/>
        </w:rPr>
        <w:t>号的规定，子公司吉林紫鑫</w:t>
      </w:r>
      <w:r>
        <w:rPr/>
        <w:t> 禺拙药业有限公司于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日收到通化市东昌区财政局拨付的企业用地建设资金</w:t>
      </w:r>
      <w:r>
        <w:rPr>
          <w:rFonts w:ascii="Times New Roman" w:hAnsi="Times New Roman" w:cs="Times New Roman" w:eastAsia="Times New Roman" w:hint="default"/>
        </w:rPr>
        <w:t>490.62</w:t>
      </w:r>
      <w:r>
        <w:rPr/>
        <w:t>万元。</w:t>
      </w:r>
    </w:p>
    <w:p>
      <w:pPr>
        <w:pStyle w:val="Heading5"/>
        <w:spacing w:line="256" w:lineRule="auto"/>
        <w:ind w:right="151" w:firstLine="411"/>
        <w:jc w:val="both"/>
      </w:pPr>
      <w:r>
        <w:rPr/>
        <w:t>（</w:t>
      </w:r>
      <w:r>
        <w:rPr>
          <w:rFonts w:ascii="Times New Roman" w:hAnsi="Times New Roman" w:cs="Times New Roman" w:eastAsia="Times New Roman" w:hint="default"/>
        </w:rPr>
        <w:t>6</w:t>
      </w: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日延边朝鲜族自治州财政局文件延州财建</w:t>
      </w:r>
      <w:r>
        <w:rPr>
          <w:rFonts w:ascii="Times New Roman" w:hAnsi="Times New Roman" w:cs="Times New Roman" w:eastAsia="Times New Roman" w:hint="default"/>
        </w:rPr>
        <w:t>[2011]294</w:t>
      </w:r>
      <w:r>
        <w:rPr/>
        <w:t>号的规定，子公司吉林草 还丹药业有限公司于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日收到敦化市财政局拨付的环保专项治理费用</w:t>
      </w:r>
      <w:r>
        <w:rPr>
          <w:rFonts w:ascii="Times New Roman" w:hAnsi="Times New Roman" w:cs="Times New Roman" w:eastAsia="Times New Roman" w:hint="default"/>
        </w:rPr>
        <w:t>30</w:t>
      </w:r>
      <w:r>
        <w:rPr/>
        <w:t>万元。</w:t>
      </w:r>
    </w:p>
    <w:p>
      <w:pPr>
        <w:pStyle w:val="Heading5"/>
        <w:spacing w:line="256" w:lineRule="auto"/>
        <w:ind w:right="149" w:firstLine="411"/>
        <w:jc w:val="both"/>
      </w:pPr>
      <w:r>
        <w:rPr>
          <w:spacing w:val="-2"/>
        </w:rPr>
        <w:t>（</w:t>
      </w:r>
      <w:r>
        <w:rPr>
          <w:rFonts w:ascii="Times New Roman" w:hAnsi="Times New Roman" w:cs="Times New Roman" w:eastAsia="Times New Roman" w:hint="default"/>
          <w:spacing w:val="-2"/>
        </w:rPr>
        <w:t>7</w:t>
      </w:r>
      <w:r>
        <w:rPr>
          <w:spacing w:val="-2"/>
        </w:rPr>
        <w:t>）根据</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日延边朝鲜族自治州财政局文件延州财企指</w:t>
      </w:r>
      <w:r>
        <w:rPr>
          <w:rFonts w:ascii="Times New Roman" w:hAnsi="Times New Roman" w:cs="Times New Roman" w:eastAsia="Times New Roman" w:hint="default"/>
          <w:spacing w:val="-2"/>
        </w:rPr>
        <w:t>[2012]37</w:t>
      </w:r>
      <w:r>
        <w:rPr>
          <w:spacing w:val="-2"/>
        </w:rPr>
        <w:t>号的规定，子公司吉林紫鑫</w:t>
      </w:r>
      <w:r>
        <w:rPr/>
        <w:t> 初元药业有限公司于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日收到延吉市财政局拨付的技术改造专项资金</w:t>
      </w:r>
      <w:r>
        <w:rPr>
          <w:rFonts w:ascii="Times New Roman" w:hAnsi="Times New Roman" w:cs="Times New Roman" w:eastAsia="Times New Roman" w:hint="default"/>
        </w:rPr>
        <w:t>80</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2"/>
        <w:ind w:right="149"/>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5"/>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512,991,382.00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512,991,382.00</w:t>
            </w:r>
          </w:p>
        </w:tc>
      </w:tr>
    </w:tbl>
    <w:p>
      <w:pPr>
        <w:pStyle w:val="BodyText"/>
        <w:spacing w:line="240" w:lineRule="auto" w:before="51"/>
        <w:ind w:right="149"/>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4"/>
        <w:ind w:right="149"/>
        <w:jc w:val="left"/>
      </w:pPr>
      <w:r>
        <w:rPr/>
        <w:t>年的股份有限公司，设立前的年份只需说明净资产情况；有限责任公司整体变更为股份公司应说明公司设立时的验资情况</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8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3"/>
        <w:gridCol w:w="1871"/>
        <w:gridCol w:w="1994"/>
        <w:gridCol w:w="1726"/>
        <w:gridCol w:w="1594"/>
      </w:tblGrid>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719,482,283.90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4,368,466.67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33,733.33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4,402,200.00</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723,850,750.57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33,733.33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723,884,483.90</w:t>
            </w:r>
          </w:p>
        </w:tc>
      </w:tr>
    </w:tbl>
    <w:p>
      <w:pPr>
        <w:pStyle w:val="BodyText"/>
        <w:spacing w:line="240" w:lineRule="auto" w:before="51"/>
        <w:ind w:right="149"/>
        <w:jc w:val="left"/>
      </w:pPr>
      <w:r>
        <w:rPr/>
        <w:t>资本公积说明</w:t>
      </w:r>
    </w:p>
    <w:p>
      <w:pPr>
        <w:spacing w:line="240" w:lineRule="auto" w:before="1"/>
        <w:rPr>
          <w:rFonts w:ascii="宋体" w:hAnsi="宋体" w:cs="宋体" w:eastAsia="宋体" w:hint="default"/>
          <w:sz w:val="13"/>
          <w:szCs w:val="13"/>
        </w:rPr>
      </w:pPr>
    </w:p>
    <w:p>
      <w:pPr>
        <w:pStyle w:val="Heading5"/>
        <w:spacing w:line="256" w:lineRule="auto" w:before="0"/>
        <w:ind w:right="140" w:firstLine="411"/>
        <w:jc w:val="left"/>
      </w:pPr>
      <w:r>
        <w:rPr>
          <w:spacing w:val="-2"/>
        </w:rPr>
        <w:t>资本公积本期增加</w:t>
      </w:r>
      <w:r>
        <w:rPr>
          <w:rFonts w:ascii="Times New Roman" w:hAnsi="Times New Roman" w:cs="Times New Roman" w:eastAsia="Times New Roman" w:hint="default"/>
          <w:spacing w:val="-2"/>
        </w:rPr>
        <w:t>33,733.33</w:t>
      </w:r>
      <w:r>
        <w:rPr>
          <w:spacing w:val="-2"/>
        </w:rPr>
        <w:t>元，系子公司吉林草还丹药业有限公司</w:t>
      </w:r>
      <w:r>
        <w:rPr>
          <w:rFonts w:ascii="Times New Roman" w:hAnsi="Times New Roman" w:cs="Times New Roman" w:eastAsia="Times New Roman" w:hint="default"/>
          <w:spacing w:val="-2"/>
        </w:rPr>
        <w:t>“</w:t>
      </w:r>
      <w:r>
        <w:rPr>
          <w:spacing w:val="-2"/>
        </w:rPr>
        <w:t>年产</w:t>
      </w:r>
      <w:r>
        <w:rPr>
          <w:rFonts w:ascii="Times New Roman" w:hAnsi="Times New Roman" w:cs="Times New Roman" w:eastAsia="Times New Roman" w:hint="default"/>
          <w:spacing w:val="-2"/>
        </w:rPr>
        <w:t>2</w:t>
      </w:r>
      <w:r>
        <w:rPr>
          <w:spacing w:val="-2"/>
        </w:rPr>
        <w:t>亿粒藿香祛暑软胶囊</w:t>
      </w:r>
      <w:r>
        <w:rPr>
          <w:rFonts w:ascii="Times New Roman" w:hAnsi="Times New Roman" w:cs="Times New Roman" w:eastAsia="Times New Roman" w:hint="default"/>
          <w:spacing w:val="-2"/>
        </w:rPr>
        <w:t>”</w:t>
      </w:r>
      <w:r>
        <w:rPr>
          <w:spacing w:val="-2"/>
        </w:rPr>
        <w:t>项目本</w:t>
      </w:r>
      <w:r>
        <w:rPr/>
        <w:t> 期因调整递延所得税负债而增加的资本公积。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49"/>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366"/>
        <w:gridCol w:w="1871"/>
        <w:gridCol w:w="1994"/>
        <w:gridCol w:w="1726"/>
        <w:gridCol w:w="1594"/>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51,044,585.97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4,618,516.65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55,663,102.62</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51,044,585.97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4,618,516.65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55,663,102.62</w:t>
            </w:r>
          </w:p>
        </w:tc>
      </w:tr>
    </w:tbl>
    <w:p>
      <w:pPr>
        <w:pStyle w:val="BodyText"/>
        <w:spacing w:line="240" w:lineRule="auto" w:before="51"/>
        <w:ind w:right="149"/>
        <w:jc w:val="left"/>
      </w:pPr>
      <w:r>
        <w:rPr/>
        <w:t>盈余公积说明，用盈余公积转增股本、弥补亏损、分派股利的，应说明有关决议</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521,202,000.67</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521,202,000.67</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2"/>
                <w:sz w:val="18"/>
              </w:rPr>
              <w:t>86,311,393.11</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4,618,516.65</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602,894,877.13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调整年初未分配利润明细：</w:t>
      </w:r>
    </w:p>
    <w:p>
      <w:pPr>
        <w:pStyle w:val="BodyText"/>
        <w:spacing w:line="240" w:lineRule="auto" w:before="117"/>
        <w:ind w:left="153" w:right="149"/>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149"/>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9"/>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49"/>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2"/>
        <w:ind w:right="149"/>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spacing w:after="0" w:line="32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rFonts w:ascii="Times New Roman" w:hAnsi="Times New Roman" w:cs="Times New Roman" w:eastAsia="Times New Roman" w:hint="default"/>
        </w:rPr>
        <w:t>27</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418,500,365.23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927,619,550.21</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152,412,497.95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424,919,739.43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15"/>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418,500,365.23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152,412,497.95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927,619,550.21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424,919,739.43</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8" w:right="0"/>
              <w:jc w:val="left"/>
              <w:rPr>
                <w:rFonts w:ascii="Times New Roman" w:hAnsi="Times New Roman" w:cs="Times New Roman" w:eastAsia="Times New Roman" w:hint="default"/>
                <w:sz w:val="18"/>
                <w:szCs w:val="18"/>
              </w:rPr>
            </w:pPr>
            <w:r>
              <w:rPr>
                <w:rFonts w:ascii="Times New Roman"/>
                <w:sz w:val="18"/>
              </w:rPr>
              <w:t>418,500,365.23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152,412,497.95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927,619,550.21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424,919,739.43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85,906,160.38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11,611,078.38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58,931,867.44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8,421,785.53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22,543,314.32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10,222,374.10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35,726,379.33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17,971,676.94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22,650,476.03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3,439,555.44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22,333,853.76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4,176,261.90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14,778,858.93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2,930,814.38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16,621,036.99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4,133,153.29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15,755,547.60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1,659,081.52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13,485,549.65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2,082,415.81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7,843,659.13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1,502,664.56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9,259,139.25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2,097,839.63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37,059,265.40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3,495,672.56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18,514,696.58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2,961,456.79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小儿白贝止咳糖浆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14,979,683.28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3,265,156.58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8,239,546.74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2,193,292.84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111,828,010.98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82,647,443.22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624,408,541.22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339,853,840.84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85,155,389.18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31,638,657.21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120,098,939.25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41,028,015.86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418,500,365.23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152,412,497.95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927,619,550.21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424,919,739.43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3587"/>
        <w:gridCol w:w="3442"/>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108,770,918.34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36,066,280.24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300,893,397.87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107,004,368.51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190,230,556.71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126,490,583.19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229,809,932.33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141,084,727.90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102,194,996.02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44,192,898.19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132,324,756.12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66,934,975.20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60,936,640.45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18,594,546.51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260,747,630.78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139,498,715.73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17,387,049.09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4,412,349.51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13,815,697.75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4,253,554.04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25,734,479.24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9,624,680.53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62,698,239.76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39,573,885.35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内部抵消金额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-86,754,274.62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-86,968,840.22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-72,670,104.40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-73,430,487.30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418,500,365.23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152,412,497.95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927,619,550.21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424,919,739.43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111,555,042.63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26.66%</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50,947,703.19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13,863,623.97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7,397,562.19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5,181,281.34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188,945,213.32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45.15%</w:t>
            </w:r>
          </w:p>
        </w:tc>
      </w:tr>
    </w:tbl>
    <w:p>
      <w:pPr>
        <w:pStyle w:val="BodyText"/>
        <w:spacing w:line="240" w:lineRule="auto" w:before="51"/>
        <w:ind w:right="149"/>
        <w:jc w:val="left"/>
      </w:pPr>
      <w:r>
        <w:rPr/>
        <w:t>营业收入的说明</w:t>
      </w:r>
    </w:p>
    <w:p>
      <w:pPr>
        <w:spacing w:line="240" w:lineRule="auto" w:before="1"/>
        <w:rPr>
          <w:rFonts w:ascii="宋体" w:hAnsi="宋体" w:cs="宋体" w:eastAsia="宋体" w:hint="default"/>
          <w:sz w:val="13"/>
          <w:szCs w:val="13"/>
        </w:rPr>
      </w:pPr>
    </w:p>
    <w:p>
      <w:pPr>
        <w:pStyle w:val="Heading5"/>
        <w:spacing w:line="256" w:lineRule="auto" w:before="0"/>
        <w:ind w:left="153" w:right="85" w:firstLine="411"/>
        <w:jc w:val="left"/>
      </w:pPr>
      <w:r>
        <w:rPr/>
        <w:t>本公司主营业务收入本期发生额较上期发生额下降</w:t>
      </w:r>
      <w:r>
        <w:rPr>
          <w:rFonts w:ascii="Times New Roman" w:hAnsi="Times New Roman" w:cs="Times New Roman" w:eastAsia="Times New Roman" w:hint="default"/>
        </w:rPr>
        <w:t>54.88%</w:t>
      </w:r>
      <w:r>
        <w:rPr/>
        <w:t>。主营业务成本叫上期发生额下降</w:t>
      </w:r>
      <w:r>
        <w:rPr>
          <w:rFonts w:ascii="Times New Roman" w:hAnsi="Times New Roman" w:cs="Times New Roman" w:eastAsia="Times New Roman" w:hint="default"/>
        </w:rPr>
        <w:t>69.68%</w:t>
      </w:r>
      <w:r>
        <w:rPr/>
        <w:t>， 主要是因为本公司人参销售业务下降，造成了收入和成本下降较大所致。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49"/>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2765"/>
        <w:gridCol w:w="2004"/>
        <w:gridCol w:w="1861"/>
        <w:gridCol w:w="2921"/>
      </w:tblGrid>
      <w:tr>
        <w:trPr>
          <w:trHeight w:val="402" w:hRule="exact"/>
        </w:trPr>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1,539,614.69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4,534,573.34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1,514,687.63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3,644,379.64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3,054,302.32</w:t>
            </w:r>
          </w:p>
        </w:tc>
        <w:tc>
          <w:tcPr>
            <w:tcW w:w="186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8,178,952.98</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营业税金及附加的说明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72,954,100.22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144,688,287.20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72,954,100.22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144,688,287.20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78,446,138.03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78,912,837.52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78,446,138.03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78,912,837.52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70,202,450.56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60,901,038.99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-2,455,690.17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-7,365,722.99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479,877.36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226,899.58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68,226,637.75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53,762,215.58</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714"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2"/>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260,000.00</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5,860,000.00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2"/>
        <w:ind w:right="149"/>
        <w:jc w:val="left"/>
      </w:pPr>
      <w:r>
        <w:rPr/>
        <w:t>投资收益的说明，若投资收益汇回有重大限制的，应予以说明。若不存在此类重大限制，也应做出说明</w:t>
      </w:r>
    </w:p>
    <w:p>
      <w:pPr>
        <w:spacing w:line="240" w:lineRule="auto" w:before="13"/>
        <w:rPr>
          <w:rFonts w:ascii="宋体" w:hAnsi="宋体" w:cs="宋体" w:eastAsia="宋体" w:hint="default"/>
          <w:sz w:val="12"/>
          <w:szCs w:val="12"/>
        </w:rPr>
      </w:pPr>
    </w:p>
    <w:p>
      <w:pPr>
        <w:pStyle w:val="Heading5"/>
        <w:spacing w:line="256" w:lineRule="auto" w:before="0"/>
        <w:ind w:left="153" w:right="148" w:firstLine="420"/>
        <w:jc w:val="both"/>
      </w:pPr>
      <w:r>
        <w:rPr/>
        <w:t>（</w:t>
      </w:r>
      <w:r>
        <w:rPr>
          <w:rFonts w:ascii="Times New Roman" w:hAnsi="Times New Roman" w:cs="Times New Roman" w:eastAsia="Times New Roman" w:hint="default"/>
        </w:rPr>
        <w:t>1</w:t>
      </w:r>
      <w:r>
        <w:rPr/>
        <w:t>）根据长春农村商业银行股份有限公司</w:t>
      </w:r>
      <w:r>
        <w:rPr>
          <w:rFonts w:ascii="Times New Roman" w:hAnsi="Times New Roman" w:cs="Times New Roman" w:eastAsia="Times New Roman" w:hint="default"/>
        </w:rPr>
        <w:t>2011</w:t>
      </w:r>
      <w:r>
        <w:rPr/>
        <w:t>年度股东大会决议，决议按</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日股本，以</w:t>
      </w:r>
      <w:r>
        <w:rPr>
          <w:spacing w:val="2"/>
        </w:rPr>
        <w:t> </w:t>
      </w:r>
      <w:r>
        <w:rPr/>
        <w:t>未分配利润分红送股，每</w:t>
      </w:r>
      <w:r>
        <w:rPr>
          <w:rFonts w:ascii="Times New Roman" w:hAnsi="Times New Roman" w:cs="Times New Roman" w:eastAsia="Times New Roman" w:hint="default"/>
        </w:rPr>
        <w:t>10</w:t>
      </w:r>
      <w:r>
        <w:rPr/>
        <w:t>股送股</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股；同时以资本公积转增股本，每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4.4</w:t>
      </w:r>
      <w:r>
        <w:rPr/>
        <w:t>股，同时按</w:t>
      </w:r>
      <w:r>
        <w:rPr>
          <w:rFonts w:ascii="Times New Roman" w:hAnsi="Times New Roman" w:cs="Times New Roman" w:eastAsia="Times New Roman" w:hint="default"/>
        </w:rPr>
        <w:t>0.0775</w:t>
      </w:r>
      <w:r>
        <w:rPr/>
        <w:t>元</w:t>
      </w:r>
      <w:r>
        <w:rPr>
          <w:rFonts w:ascii="Times New Roman" w:hAnsi="Times New Roman" w:cs="Times New Roman" w:eastAsia="Times New Roman" w:hint="default"/>
        </w:rPr>
        <w:t>/ </w:t>
      </w:r>
      <w:r>
        <w:rPr/>
        <w:t>股（含税）向全体股东派发现金红利。本公司</w:t>
      </w:r>
      <w:r>
        <w:rPr>
          <w:rFonts w:ascii="Times New Roman" w:hAnsi="Times New Roman" w:cs="Times New Roman" w:eastAsia="Times New Roman" w:hint="default"/>
        </w:rPr>
        <w:t>2011</w:t>
      </w:r>
      <w:r>
        <w:rPr/>
        <w:t>年年末持有其</w:t>
      </w:r>
      <w:r>
        <w:rPr>
          <w:rFonts w:ascii="Times New Roman" w:hAnsi="Times New Roman" w:cs="Times New Roman" w:eastAsia="Times New Roman" w:hint="default"/>
        </w:rPr>
        <w:t>2,800</w:t>
      </w:r>
      <w:r>
        <w:rPr/>
        <w:t>万股，本期取得投资收益</w:t>
      </w:r>
      <w:r>
        <w:rPr>
          <w:rFonts w:ascii="Times New Roman" w:hAnsi="Times New Roman" w:cs="Times New Roman" w:eastAsia="Times New Roman" w:hint="default"/>
        </w:rPr>
        <w:t>217</w:t>
      </w:r>
      <w:r>
        <w:rPr/>
        <w:t>万元。</w:t>
      </w:r>
      <w:r>
        <w:rPr>
          <w:spacing w:val="-87"/>
        </w:rPr>
        <w:t> </w:t>
      </w:r>
      <w:r>
        <w:rPr>
          <w:spacing w:val="-87"/>
        </w:rPr>
      </w:r>
      <w:r>
        <w:rPr/>
        <w:t>同时本次送股及转增后本公司共计持有其</w:t>
      </w:r>
      <w:r>
        <w:rPr>
          <w:rFonts w:ascii="Times New Roman" w:hAnsi="Times New Roman" w:cs="Times New Roman" w:eastAsia="Times New Roman" w:hint="default"/>
        </w:rPr>
        <w:t>4,900</w:t>
      </w:r>
      <w:r>
        <w:rPr/>
        <w:t>万股股份，持股比例不变。</w:t>
      </w:r>
    </w:p>
    <w:p>
      <w:pPr>
        <w:pStyle w:val="Heading5"/>
        <w:spacing w:line="256" w:lineRule="auto"/>
        <w:ind w:right="149" w:firstLine="419"/>
        <w:jc w:val="both"/>
      </w:pPr>
      <w:r>
        <w:rPr>
          <w:spacing w:val="-1"/>
        </w:rPr>
        <w:t>（</w:t>
      </w:r>
      <w:r>
        <w:rPr>
          <w:rFonts w:ascii="Times New Roman" w:hAnsi="Times New Roman" w:cs="Times New Roman" w:eastAsia="Times New Roman" w:hint="default"/>
          <w:spacing w:val="-1"/>
        </w:rPr>
        <w:t>2</w:t>
      </w:r>
      <w:r>
        <w:rPr>
          <w:spacing w:val="-1"/>
        </w:rPr>
        <w:t>）持有至到期投资收益系于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5</w:t>
      </w:r>
      <w:r>
        <w:rPr>
          <w:spacing w:val="-1"/>
        </w:rPr>
        <w:t>日参与投资的新华信托股份有限公司信托产品，其中</w:t>
      </w:r>
      <w:r>
        <w:rPr>
          <w:rFonts w:ascii="Times New Roman" w:hAnsi="Times New Roman" w:cs="Times New Roman" w:eastAsia="Times New Roman" w:hint="default"/>
          <w:spacing w:val="-1"/>
        </w:rPr>
        <w:t>100</w:t>
      </w:r>
      <w:r>
        <w:rPr>
          <w:spacing w:val="-1"/>
        </w:rPr>
        <w:t>万</w:t>
      </w:r>
      <w:r>
        <w:rPr/>
        <w:t> 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日到期收回，本期形成投资收益</w:t>
      </w:r>
      <w:r>
        <w:rPr>
          <w:rFonts w:ascii="Times New Roman" w:hAnsi="Times New Roman" w:cs="Times New Roman" w:eastAsia="Times New Roman" w:hint="default"/>
        </w:rPr>
        <w:t>26</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149"/>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-19,699,590.44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29,550,322.19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-19,699,590.44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29,550,322.19</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0"/>
        <w:gridCol w:w="1966"/>
        <w:gridCol w:w="2160"/>
        <w:gridCol w:w="2160"/>
      </w:tblGrid>
      <w:tr>
        <w:trPr>
          <w:trHeight w:val="162" w:hRule="exact"/>
        </w:trPr>
        <w:tc>
          <w:tcPr>
            <w:tcW w:w="32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0" w:hRule="exact"/>
        </w:trPr>
        <w:tc>
          <w:tcPr>
            <w:tcW w:w="32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6" w:type="dxa"/>
            <w:tcBorders>
              <w:top w:val="single" w:sz="4" w:space="0" w:color="000000"/>
              <w:left w:val="single" w:sz="9"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1,094,400.00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6" w:type="dxa"/>
            <w:tcBorders>
              <w:top w:val="single" w:sz="4" w:space="0" w:color="000000"/>
              <w:left w:val="single" w:sz="9"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1,094,400.00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28,834,800.00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43,171,109.53</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37,021.61</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28,871,821.61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44,265,509.53</w:t>
            </w: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48"/>
        <w:gridCol w:w="1994"/>
        <w:gridCol w:w="1993"/>
        <w:gridCol w:w="2909"/>
      </w:tblGrid>
      <w:tr>
        <w:trPr>
          <w:trHeight w:val="402" w:hRule="exact"/>
        </w:trPr>
        <w:tc>
          <w:tcPr>
            <w:tcW w:w="2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28,834,800.00</w:t>
            </w:r>
          </w:p>
        </w:tc>
        <w:tc>
          <w:tcPr>
            <w:tcW w:w="199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43,171,109.53</w:t>
            </w:r>
          </w:p>
        </w:tc>
        <w:tc>
          <w:tcPr>
            <w:tcW w:w="2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49"/>
        <w:jc w:val="left"/>
      </w:pPr>
      <w:r>
        <w:rPr/>
        <w:t>营业外收入说明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left="574" w:right="149"/>
        <w:jc w:val="left"/>
      </w:pPr>
      <w:r>
        <w:rPr/>
        <w:t>（</w:t>
      </w:r>
      <w:r>
        <w:rPr>
          <w:rFonts w:ascii="Times New Roman" w:hAnsi="Times New Roman" w:cs="Times New Roman" w:eastAsia="Times New Roman" w:hint="default"/>
        </w:rPr>
        <w:t>1</w:t>
      </w:r>
      <w:r>
        <w:rPr/>
        <w:t>）本公司本期共计收到柳河县财政局拨付的产业技术研究与开发补助资金</w:t>
      </w:r>
      <w:r>
        <w:rPr>
          <w:rFonts w:ascii="Times New Roman" w:hAnsi="Times New Roman" w:cs="Times New Roman" w:eastAsia="Times New Roman" w:hint="default"/>
        </w:rPr>
        <w:t>2,451.45</w:t>
      </w:r>
      <w:r>
        <w:rPr/>
        <w:t>万元。</w:t>
      </w:r>
    </w:p>
    <w:p>
      <w:pPr>
        <w:pStyle w:val="Heading5"/>
        <w:spacing w:line="256" w:lineRule="auto" w:before="21"/>
        <w:ind w:right="150" w:firstLine="419"/>
        <w:jc w:val="both"/>
      </w:pPr>
      <w:r>
        <w:rPr>
          <w:spacing w:val="-6"/>
        </w:rPr>
        <w:t>（</w:t>
      </w:r>
      <w:r>
        <w:rPr>
          <w:rFonts w:ascii="Times New Roman" w:hAnsi="Times New Roman" w:cs="Times New Roman" w:eastAsia="Times New Roman" w:hint="default"/>
          <w:spacing w:val="-6"/>
        </w:rPr>
        <w:t>2</w:t>
      </w:r>
      <w:r>
        <w:rPr>
          <w:spacing w:val="-6"/>
        </w:rPr>
        <w:t>）根据吉林省工业和信息化厅、吉林省财政厅（吉工信办联</w:t>
      </w:r>
      <w:r>
        <w:rPr>
          <w:rFonts w:ascii="Times New Roman" w:hAnsi="Times New Roman" w:cs="Times New Roman" w:eastAsia="Times New Roman" w:hint="default"/>
          <w:spacing w:val="-6"/>
        </w:rPr>
        <w:t>[2012]42</w:t>
      </w:r>
      <w:r>
        <w:rPr>
          <w:spacing w:val="-6"/>
        </w:rPr>
        <w:t>号）文件的规定，本公司于</w:t>
      </w:r>
      <w:r>
        <w:rPr>
          <w:rFonts w:ascii="Times New Roman" w:hAnsi="Times New Roman" w:cs="Times New Roman" w:eastAsia="Times New Roman" w:hint="default"/>
          <w:spacing w:val="-6"/>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收到吉林省财政厅贴息</w:t>
      </w:r>
      <w:r>
        <w:rPr>
          <w:rFonts w:ascii="Times New Roman" w:hAnsi="Times New Roman" w:cs="Times New Roman" w:eastAsia="Times New Roman" w:hint="default"/>
        </w:rPr>
        <w:t>19</w:t>
      </w:r>
      <w:r>
        <w:rPr/>
        <w:t>万元。</w:t>
      </w:r>
    </w:p>
    <w:p>
      <w:pPr>
        <w:pStyle w:val="Heading5"/>
        <w:spacing w:line="256" w:lineRule="auto"/>
        <w:ind w:right="149" w:firstLine="420"/>
        <w:jc w:val="both"/>
      </w:pPr>
      <w:r>
        <w:rPr>
          <w:spacing w:val="-4"/>
        </w:rPr>
        <w:t>（</w:t>
      </w:r>
      <w:r>
        <w:rPr>
          <w:rFonts w:ascii="Times New Roman" w:hAnsi="Times New Roman" w:cs="Times New Roman" w:eastAsia="Times New Roman" w:hint="default"/>
          <w:spacing w:val="-4"/>
        </w:rPr>
        <w:t>3</w:t>
      </w:r>
      <w:r>
        <w:rPr>
          <w:spacing w:val="-4"/>
        </w:rPr>
        <w:t>）根据吉林省农业委员会、吉林省财政厅文件（吉农园字</w:t>
      </w:r>
      <w:r>
        <w:rPr>
          <w:rFonts w:ascii="Times New Roman" w:hAnsi="Times New Roman" w:cs="Times New Roman" w:eastAsia="Times New Roman" w:hint="default"/>
          <w:spacing w:val="-4"/>
        </w:rPr>
        <w:t>[2011]162</w:t>
      </w:r>
      <w:r>
        <w:rPr>
          <w:spacing w:val="-4"/>
        </w:rPr>
        <w:t>号）文件的规定，本公司于</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日收到吉林省卫生厅拨付的人参产业扶持资金</w:t>
      </w:r>
      <w:r>
        <w:rPr>
          <w:rFonts w:ascii="Times New Roman" w:hAnsi="Times New Roman" w:cs="Times New Roman" w:eastAsia="Times New Roman" w:hint="default"/>
        </w:rPr>
        <w:t>20</w:t>
      </w:r>
      <w:r>
        <w:rPr/>
        <w:t>万元。</w:t>
      </w:r>
    </w:p>
    <w:p>
      <w:pPr>
        <w:pStyle w:val="Heading5"/>
        <w:spacing w:line="256" w:lineRule="auto"/>
        <w:ind w:right="148" w:firstLine="420"/>
        <w:jc w:val="both"/>
      </w:pPr>
      <w:r>
        <w:rPr>
          <w:spacing w:val="-1"/>
        </w:rPr>
        <w:t>（</w:t>
      </w:r>
      <w:r>
        <w:rPr>
          <w:rFonts w:ascii="Times New Roman" w:hAnsi="Times New Roman" w:cs="Times New Roman" w:eastAsia="Times New Roman" w:hint="default"/>
          <w:spacing w:val="-1"/>
        </w:rPr>
        <w:t>4</w:t>
      </w:r>
      <w:r>
        <w:rPr>
          <w:spacing w:val="-1"/>
        </w:rPr>
        <w:t>）根据通化市工信局</w:t>
      </w:r>
      <w:r>
        <w:rPr>
          <w:rFonts w:ascii="Times New Roman" w:hAnsi="Times New Roman" w:cs="Times New Roman" w:eastAsia="Times New Roman" w:hint="default"/>
          <w:spacing w:val="-1"/>
        </w:rPr>
        <w:t>“</w:t>
      </w:r>
      <w:r>
        <w:rPr>
          <w:spacing w:val="-1"/>
        </w:rPr>
        <w:t>关于组织上报</w:t>
      </w:r>
      <w:r>
        <w:rPr>
          <w:rFonts w:ascii="Times New Roman" w:hAnsi="Times New Roman" w:cs="Times New Roman" w:eastAsia="Times New Roman" w:hint="default"/>
          <w:spacing w:val="-1"/>
        </w:rPr>
        <w:t>2011</w:t>
      </w:r>
      <w:r>
        <w:rPr>
          <w:spacing w:val="-1"/>
        </w:rPr>
        <w:t>年全市重点信息化项目和开展重点信息化项目谋划工作的</w:t>
      </w:r>
      <w:r>
        <w:rPr/>
        <w:t> 通知</w:t>
      </w:r>
      <w:r>
        <w:rPr>
          <w:rFonts w:ascii="Times New Roman" w:hAnsi="Times New Roman" w:cs="Times New Roman" w:eastAsia="Times New Roman" w:hint="default"/>
        </w:rPr>
        <w:t>”</w:t>
      </w:r>
      <w:r>
        <w:rPr/>
        <w:t>相关规定，本公司于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日收到中华人民共和国财政部关于新药</w:t>
      </w:r>
      <w:r>
        <w:rPr>
          <w:rFonts w:ascii="Times New Roman" w:hAnsi="Times New Roman" w:cs="Times New Roman" w:eastAsia="Times New Roman" w:hint="default"/>
        </w:rPr>
        <w:t>2010zx09102-205</w:t>
      </w:r>
      <w:r>
        <w:rPr/>
        <w:t>补贴款</w:t>
      </w:r>
      <w:r>
        <w:rPr>
          <w:rFonts w:ascii="Times New Roman" w:hAnsi="Times New Roman" w:cs="Times New Roman" w:eastAsia="Times New Roman" w:hint="default"/>
        </w:rPr>
        <w:t>50</w:t>
      </w:r>
      <w:r>
        <w:rPr>
          <w:rFonts w:ascii="Times New Roman" w:hAnsi="Times New Roman" w:cs="Times New Roman" w:eastAsia="Times New Roman" w:hint="default"/>
          <w:spacing w:val="6"/>
        </w:rPr>
        <w:t> </w:t>
      </w:r>
      <w:r>
        <w:rPr/>
        <w:t>万元。</w:t>
      </w:r>
    </w:p>
    <w:p>
      <w:pPr>
        <w:pStyle w:val="Heading5"/>
        <w:spacing w:line="256" w:lineRule="auto" w:before="22"/>
        <w:ind w:right="146" w:firstLine="420"/>
        <w:jc w:val="both"/>
      </w:pPr>
      <w:r>
        <w:rPr/>
        <w:t>（</w:t>
      </w:r>
      <w:r>
        <w:rPr>
          <w:rFonts w:ascii="Times New Roman" w:hAnsi="Times New Roman" w:cs="Times New Roman" w:eastAsia="Times New Roman" w:hint="default"/>
        </w:rPr>
        <w:t>5</w:t>
      </w:r>
      <w:r>
        <w:rPr/>
        <w:t>）根据吉林省科技发展计划项目申报书中申报化药</w:t>
      </w:r>
      <w:r>
        <w:rPr>
          <w:rFonts w:ascii="Times New Roman" w:hAnsi="Times New Roman" w:cs="Times New Roman" w:eastAsia="Times New Roman" w:hint="default"/>
        </w:rPr>
        <w:t>3.1</w:t>
      </w:r>
      <w:r>
        <w:rPr/>
        <w:t>类新药醋酸亮丙瑞林注射液的临床研究项目</w:t>
      </w:r>
      <w:r>
        <w:rPr>
          <w:spacing w:val="1"/>
        </w:rPr>
        <w:t> </w:t>
      </w:r>
      <w:r>
        <w:rPr/>
        <w:t>申请的补助资金，本公司于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日收到吉林省现代中药及生物制药基地建设办公室拨付的补助资</w:t>
      </w:r>
      <w:r>
        <w:rPr>
          <w:spacing w:val="-36"/>
        </w:rPr>
        <w:t> </w:t>
      </w:r>
      <w:r>
        <w:rPr>
          <w:spacing w:val="-36"/>
        </w:rPr>
      </w:r>
      <w:r>
        <w:rPr/>
        <w:t>金</w:t>
      </w:r>
      <w:r>
        <w:rPr>
          <w:rFonts w:ascii="Times New Roman" w:hAnsi="Times New Roman" w:cs="Times New Roman" w:eastAsia="Times New Roman" w:hint="default"/>
        </w:rPr>
        <w:t>26</w:t>
      </w:r>
      <w:r>
        <w:rPr/>
        <w:t>万元。</w:t>
      </w:r>
    </w:p>
    <w:p>
      <w:pPr>
        <w:pStyle w:val="Heading5"/>
        <w:spacing w:line="240" w:lineRule="auto"/>
        <w:ind w:left="574" w:right="149"/>
        <w:jc w:val="left"/>
      </w:pPr>
      <w:r>
        <w:rPr/>
        <w:t>（</w:t>
      </w:r>
      <w:r>
        <w:rPr>
          <w:rFonts w:ascii="Times New Roman" w:hAnsi="Times New Roman" w:cs="Times New Roman" w:eastAsia="Times New Roman" w:hint="default"/>
        </w:rPr>
        <w:t>6</w:t>
      </w:r>
      <w:r>
        <w:rPr/>
        <w:t>）根据敦化市财政局文件（敦财预</w:t>
      </w:r>
      <w:r>
        <w:rPr>
          <w:rFonts w:ascii="Times New Roman" w:hAnsi="Times New Roman" w:cs="Times New Roman" w:eastAsia="Times New Roman" w:hint="default"/>
        </w:rPr>
        <w:t>[2012]102</w:t>
      </w:r>
      <w:r>
        <w:rPr/>
        <w:t>号）文件的规定，子公司吉林草还丹药业有限公司于</w:t>
      </w:r>
    </w:p>
    <w:p>
      <w:pPr>
        <w:pStyle w:val="Heading5"/>
        <w:spacing w:line="240" w:lineRule="auto" w:before="21"/>
        <w:ind w:right="14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日收到敦化市财政局拨付的技术改造项目补贴资金</w:t>
      </w:r>
      <w:r>
        <w:rPr>
          <w:rFonts w:ascii="Times New Roman" w:hAnsi="Times New Roman" w:cs="Times New Roman" w:eastAsia="Times New Roman" w:hint="default"/>
        </w:rPr>
        <w:t>120</w:t>
      </w:r>
      <w:r>
        <w:rPr/>
        <w:t>万元。</w:t>
      </w:r>
    </w:p>
    <w:p>
      <w:pPr>
        <w:pStyle w:val="Heading5"/>
        <w:spacing w:line="256" w:lineRule="auto" w:before="21"/>
        <w:ind w:left="153" w:right="146" w:firstLine="420"/>
        <w:jc w:val="both"/>
      </w:pPr>
      <w:r>
        <w:rPr/>
        <w:t>（</w:t>
      </w:r>
      <w:r>
        <w:rPr>
          <w:rFonts w:ascii="Times New Roman" w:hAnsi="Times New Roman" w:cs="Times New Roman" w:eastAsia="Times New Roman" w:hint="default"/>
        </w:rPr>
        <w:t>7</w:t>
      </w:r>
      <w:r>
        <w:rPr/>
        <w:t>）根据中国人民银行、国家民委（银发</w:t>
      </w:r>
      <w:r>
        <w:rPr>
          <w:rFonts w:ascii="Times New Roman" w:hAnsi="Times New Roman" w:cs="Times New Roman" w:eastAsia="Times New Roman" w:hint="default"/>
        </w:rPr>
        <w:t>[2011]171</w:t>
      </w:r>
      <w:r>
        <w:rPr/>
        <w:t>号）文件的规定，子公司吉林草还丹药业有限公</w:t>
      </w:r>
      <w:r>
        <w:rPr>
          <w:spacing w:val="1"/>
        </w:rPr>
        <w:t> </w:t>
      </w:r>
      <w:r>
        <w:rPr/>
        <w:t>司分别于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日收到</w:t>
      </w:r>
      <w:r>
        <w:rPr>
          <w:spacing w:val="-43"/>
        </w:rPr>
        <w:t> </w:t>
      </w:r>
      <w:r>
        <w:rPr/>
        <w:t>财政贴息款金额合计</w:t>
      </w:r>
      <w:r>
        <w:rPr>
          <w:rFonts w:ascii="Times New Roman" w:hAnsi="Times New Roman" w:cs="Times New Roman" w:eastAsia="Times New Roman" w:hint="default"/>
        </w:rPr>
        <w:t>88.65</w:t>
      </w:r>
      <w:r>
        <w:rPr/>
        <w:t>万元。</w:t>
      </w:r>
    </w:p>
    <w:p>
      <w:pPr>
        <w:pStyle w:val="Heading5"/>
        <w:spacing w:line="240" w:lineRule="auto"/>
        <w:ind w:left="573" w:right="0"/>
        <w:jc w:val="left"/>
      </w:pPr>
      <w:r>
        <w:rPr/>
        <w:t>（</w:t>
      </w:r>
      <w:r>
        <w:rPr>
          <w:rFonts w:ascii="Times New Roman" w:hAnsi="Times New Roman" w:cs="Times New Roman" w:eastAsia="Times New Roman" w:hint="default"/>
        </w:rPr>
        <w:t>8</w:t>
      </w:r>
      <w:r>
        <w:rPr/>
        <w:t>）根据吉林省参茸办公室（吉参茸办</w:t>
      </w:r>
      <w:r>
        <w:rPr>
          <w:rFonts w:ascii="Times New Roman" w:hAnsi="Times New Roman" w:cs="Times New Roman" w:eastAsia="Times New Roman" w:hint="default"/>
        </w:rPr>
        <w:t>[2012]17</w:t>
      </w:r>
      <w:r>
        <w:rPr/>
        <w:t>号）文件的规定，子公司吉林草还丹药业有限公司于</w:t>
      </w:r>
    </w:p>
    <w:p>
      <w:pPr>
        <w:pStyle w:val="Heading5"/>
        <w:spacing w:line="240" w:lineRule="auto" w:before="21"/>
        <w:ind w:left="153" w:right="14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日收到敦化市财政局拨付的人参产业发展专项补助资金</w:t>
      </w:r>
      <w:r>
        <w:rPr>
          <w:rFonts w:ascii="Times New Roman" w:hAnsi="Times New Roman" w:cs="Times New Roman" w:eastAsia="Times New Roman" w:hint="default"/>
        </w:rPr>
        <w:t>55</w:t>
      </w:r>
      <w:r>
        <w:rPr/>
        <w:t>万元。</w:t>
      </w:r>
    </w:p>
    <w:p>
      <w:pPr>
        <w:pStyle w:val="Heading5"/>
        <w:spacing w:line="240" w:lineRule="auto" w:before="21"/>
        <w:ind w:left="573" w:right="149"/>
        <w:jc w:val="left"/>
      </w:pPr>
      <w:r>
        <w:rPr/>
        <w:t>（</w:t>
      </w:r>
      <w:r>
        <w:rPr>
          <w:rFonts w:ascii="Times New Roman" w:hAnsi="Times New Roman" w:cs="Times New Roman" w:eastAsia="Times New Roman" w:hint="default"/>
        </w:rPr>
        <w:t>9</w:t>
      </w:r>
      <w:r>
        <w:rPr/>
        <w:t>）根据敦化市财政局（敦财企</w:t>
      </w:r>
      <w:r>
        <w:rPr>
          <w:rFonts w:ascii="Times New Roman" w:hAnsi="Times New Roman" w:cs="Times New Roman" w:eastAsia="Times New Roman" w:hint="default"/>
        </w:rPr>
        <w:t>[2012]7</w:t>
      </w:r>
      <w:r>
        <w:rPr/>
        <w:t>号）文件的规定，子公司吉林草还丹药业有限公司于</w:t>
      </w:r>
      <w:r>
        <w:rPr>
          <w:rFonts w:ascii="Times New Roman" w:hAnsi="Times New Roman" w:cs="Times New Roman" w:eastAsia="Times New Roman" w:hint="default"/>
        </w:rPr>
        <w:t>2012</w:t>
      </w:r>
      <w:r>
        <w:rPr/>
        <w:t>年</w:t>
      </w:r>
    </w:p>
    <w:p>
      <w:pPr>
        <w:pStyle w:val="Heading5"/>
        <w:spacing w:line="240" w:lineRule="auto" w:before="21"/>
        <w:ind w:left="153" w:right="149"/>
        <w:jc w:val="left"/>
      </w:pP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日收到敦化市财政局拨付的全省科技型中小企业技术创新资金</w:t>
      </w:r>
      <w:r>
        <w:rPr>
          <w:rFonts w:ascii="Times New Roman" w:hAnsi="Times New Roman" w:cs="Times New Roman" w:eastAsia="Times New Roman" w:hint="default"/>
        </w:rPr>
        <w:t>10</w:t>
      </w:r>
      <w:r>
        <w:rPr/>
        <w:t>万元。</w:t>
      </w:r>
    </w:p>
    <w:p>
      <w:pPr>
        <w:pStyle w:val="Heading5"/>
        <w:spacing w:line="256" w:lineRule="auto" w:before="21"/>
        <w:ind w:left="153" w:right="151" w:firstLine="419"/>
        <w:jc w:val="both"/>
      </w:pPr>
      <w:r>
        <w:rPr/>
        <w:t>（</w:t>
      </w:r>
      <w:r>
        <w:rPr>
          <w:rFonts w:ascii="Times New Roman" w:hAnsi="Times New Roman" w:cs="Times New Roman" w:eastAsia="Times New Roman" w:hint="default"/>
        </w:rPr>
        <w:t>10</w:t>
      </w:r>
      <w:r>
        <w:rPr/>
        <w:t>）根据敦化市经济开发区管理委员会（敦开管</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号）文件的规定，子公司吉林草还丹药业有 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日将递延收益确认了财政补贴收入</w:t>
      </w:r>
      <w:r>
        <w:rPr>
          <w:rFonts w:ascii="Times New Roman" w:hAnsi="Times New Roman" w:cs="Times New Roman" w:eastAsia="Times New Roman" w:hint="default"/>
        </w:rPr>
        <w:t>20.88</w:t>
      </w:r>
      <w:r>
        <w:rPr/>
        <w:t>万元。</w:t>
      </w:r>
    </w:p>
    <w:p>
      <w:pPr>
        <w:pStyle w:val="Heading5"/>
        <w:spacing w:line="256" w:lineRule="auto"/>
        <w:ind w:left="153" w:right="150" w:firstLine="420"/>
        <w:jc w:val="both"/>
      </w:pPr>
      <w:r>
        <w:rPr/>
        <w:t>（</w:t>
      </w:r>
      <w:r>
        <w:rPr>
          <w:rFonts w:ascii="Times New Roman" w:hAnsi="Times New Roman" w:cs="Times New Roman" w:eastAsia="Times New Roman" w:hint="default"/>
        </w:rPr>
        <w:t>11</w:t>
      </w:r>
      <w:r>
        <w:rPr/>
        <w:t>）根据敦化市财政局（敦财农</w:t>
      </w:r>
      <w:r>
        <w:rPr>
          <w:rFonts w:ascii="Times New Roman" w:hAnsi="Times New Roman" w:cs="Times New Roman" w:eastAsia="Times New Roman" w:hint="default"/>
        </w:rPr>
        <w:t>[2011]34</w:t>
      </w:r>
      <w:r>
        <w:rPr/>
        <w:t>号）文件的规定，子公司吉林草还丹药业有限公司于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日收到敦化市财政局拨付的贷款贴息资金</w:t>
      </w:r>
      <w:r>
        <w:rPr>
          <w:rFonts w:ascii="Times New Roman" w:hAnsi="Times New Roman" w:cs="Times New Roman" w:eastAsia="Times New Roman" w:hint="default"/>
        </w:rPr>
        <w:t>20</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149"/>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09"/>
        <w:gridCol w:w="2032"/>
        <w:gridCol w:w="1914"/>
        <w:gridCol w:w="1914"/>
      </w:tblGrid>
      <w:tr>
        <w:trPr>
          <w:trHeight w:val="162" w:hRule="exact"/>
        </w:trPr>
        <w:tc>
          <w:tcPr>
            <w:tcW w:w="3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0" w:hRule="exact"/>
        </w:trPr>
        <w:tc>
          <w:tcPr>
            <w:tcW w:w="3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434,645.28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50,132.73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434,645.28</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434,645.28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434,645.28</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1,230,000.00</w:t>
            </w: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非正常损失</w:t>
            </w:r>
          </w:p>
        </w:tc>
        <w:tc>
          <w:tcPr>
            <w:tcW w:w="203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3,177,548.85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6,980.25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6,980.25</w:t>
            </w: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1,671,625.53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4,949,381.58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1,671,625.53</w:t>
            </w:r>
          </w:p>
        </w:tc>
      </w:tr>
    </w:tbl>
    <w:p>
      <w:pPr>
        <w:pStyle w:val="BodyText"/>
        <w:spacing w:line="240" w:lineRule="auto" w:before="51"/>
        <w:ind w:right="149"/>
        <w:jc w:val="left"/>
      </w:pPr>
      <w:r>
        <w:rPr/>
        <w:t>营业外支出说明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6,649,232.75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17,063,286.63</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-219,122.96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-1,562,514.59</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6,430,109.79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15,500,772.04</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6" w:right="149"/>
        <w:jc w:val="left"/>
      </w:pPr>
      <w:r>
        <w:rPr/>
        <w:t>（</w:t>
      </w:r>
      <w:r>
        <w:rPr>
          <w:rFonts w:ascii="Times New Roman" w:hAnsi="Times New Roman" w:cs="Times New Roman" w:eastAsia="Times New Roman" w:hint="default"/>
        </w:rPr>
        <w:t>1</w:t>
      </w:r>
      <w:r>
        <w:rPr/>
        <w:t>）基本每股收益计算过程：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139"/>
        <w:gridCol w:w="3140"/>
        <w:gridCol w:w="3139"/>
      </w:tblGrid>
      <w:tr>
        <w:trPr>
          <w:trHeight w:val="356" w:hRule="exact"/>
        </w:trPr>
        <w:tc>
          <w:tcPr>
            <w:tcW w:w="3139"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86,311,393.11</w:t>
            </w: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217,289,950.92</w:t>
            </w: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期初股本总额</w:t>
            </w:r>
          </w:p>
        </w:tc>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512,991,382.00</w:t>
            </w: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256,495,691.00</w:t>
            </w:r>
          </w:p>
        </w:tc>
      </w:tr>
      <w:tr>
        <w:trPr>
          <w:trHeight w:val="353"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本期增加股本</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256,495,691.00</w:t>
            </w: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256,495,691.00</w:t>
            </w: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吸收自然人入股</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本期增加股本月份</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w:t>
            </w: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吸收自然人入股</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本期减少股本</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本期减少股本月份</w:t>
            </w:r>
          </w:p>
        </w:tc>
        <w:tc>
          <w:tcPr>
            <w:tcW w:w="3140" w:type="dxa"/>
            <w:tcBorders>
              <w:top w:val="single" w:sz="12" w:space="0" w:color="000000"/>
              <w:left w:val="single" w:sz="6" w:space="0" w:color="000000"/>
              <w:bottom w:val="single" w:sz="12" w:space="0" w:color="000000"/>
              <w:right w:val="single" w:sz="6" w:space="0" w:color="000000"/>
            </w:tcBorders>
          </w:tcPr>
          <w:p>
            <w:pPr/>
          </w:p>
        </w:tc>
        <w:tc>
          <w:tcPr>
            <w:tcW w:w="31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当期股本加权平均数</w:t>
            </w:r>
          </w:p>
        </w:tc>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512,991,382.00</w:t>
            </w: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352" w:hRule="exact"/>
        </w:trPr>
        <w:tc>
          <w:tcPr>
            <w:tcW w:w="31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3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0.17</w:t>
            </w:r>
          </w:p>
        </w:tc>
        <w:tc>
          <w:tcPr>
            <w:tcW w:w="3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w:t>
            </w:r>
          </w:p>
        </w:tc>
      </w:tr>
    </w:tbl>
    <w:p>
      <w:pPr>
        <w:spacing w:line="240" w:lineRule="auto" w:before="4"/>
        <w:rPr>
          <w:rFonts w:ascii="宋体" w:hAnsi="宋体" w:cs="宋体" w:eastAsia="宋体" w:hint="default"/>
          <w:sz w:val="5"/>
          <w:szCs w:val="5"/>
        </w:rPr>
      </w:pPr>
    </w:p>
    <w:p>
      <w:pPr>
        <w:pStyle w:val="Heading5"/>
        <w:spacing w:line="254" w:lineRule="auto" w:before="35"/>
        <w:ind w:left="574" w:right="149"/>
        <w:jc w:val="left"/>
      </w:pPr>
      <w:r>
        <w:rPr/>
        <w:t>（</w:t>
      </w:r>
      <w:r>
        <w:rPr>
          <w:rFonts w:ascii="Times New Roman" w:hAnsi="Times New Roman" w:cs="Times New Roman" w:eastAsia="Times New Roman" w:hint="default"/>
        </w:rPr>
        <w:t>2</w:t>
      </w:r>
      <w:r>
        <w:rPr/>
        <w:t>）基本每股收益的计算公式 基本每股收益</w:t>
      </w:r>
      <w:r>
        <w:rPr>
          <w:rFonts w:ascii="Times New Roman" w:hAnsi="Times New Roman" w:cs="Times New Roman" w:eastAsia="Times New Roman" w:hint="default"/>
        </w:rPr>
        <w:t>=</w:t>
      </w:r>
      <w:r>
        <w:rPr/>
        <w:t>归属于普通股股东的净利润</w:t>
      </w:r>
      <w:r>
        <w:rPr>
          <w:rFonts w:ascii="Times New Roman" w:hAnsi="Times New Roman" w:cs="Times New Roman" w:eastAsia="Times New Roman" w:hint="default"/>
        </w:rPr>
        <w:t>÷</w:t>
      </w:r>
      <w:r>
        <w:rPr/>
        <w:t>发行在外的普通股加权平均数 发行在外的普通股加权平均数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w w:val="100"/>
          <w:position w:val="-2"/>
          <w:sz w:val="14"/>
          <w:szCs w:val="14"/>
        </w:rPr>
        <w:t> </w:t>
      </w:r>
      <w:r>
        <w:rPr/>
        <w:t>其中，</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t>为期初股份总数；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t>为报告期因公积金转增股本或股票股利分配等增加股份数；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w:t>
      </w:r>
      <w:r>
        <w:rPr/>
        <w:t>为报告期</w:t>
      </w:r>
    </w:p>
    <w:p>
      <w:pPr>
        <w:pStyle w:val="Heading5"/>
        <w:spacing w:line="244" w:lineRule="auto" w:before="0"/>
        <w:ind w:left="153" w:right="0"/>
        <w:jc w:val="left"/>
      </w:pPr>
      <w:r>
        <w:rPr>
          <w:spacing w:val="-1"/>
        </w:rPr>
        <w:t>因发行新股或债转股等增加股份数；</w:t>
      </w:r>
      <w:r>
        <w:rPr>
          <w:rFonts w:ascii="Times New Roman" w:hAnsi="Times New Roman" w:cs="Times New Roman" w:eastAsia="Times New Roman" w:hint="default"/>
          <w:spacing w:val="-1"/>
        </w:rPr>
        <w:t>S</w:t>
      </w:r>
      <w:r>
        <w:rPr>
          <w:rFonts w:ascii="Times New Roman" w:hAnsi="Times New Roman" w:cs="Times New Roman" w:eastAsia="Times New Roman" w:hint="default"/>
          <w:spacing w:val="-1"/>
          <w:position w:val="-2"/>
          <w:sz w:val="14"/>
          <w:szCs w:val="14"/>
        </w:rPr>
        <w:t>j</w:t>
      </w:r>
      <w:r>
        <w:rPr>
          <w:spacing w:val="-1"/>
        </w:rPr>
        <w:t>为报告期因回购或缩股等减少股份数；</w:t>
      </w:r>
      <w:r>
        <w:rPr>
          <w:rFonts w:ascii="Times New Roman" w:hAnsi="Times New Roman" w:cs="Times New Roman" w:eastAsia="Times New Roman" w:hint="default"/>
          <w:spacing w:val="-1"/>
        </w:rPr>
        <w:t>M</w:t>
      </w:r>
      <w:r>
        <w:rPr>
          <w:rFonts w:ascii="Times New Roman" w:hAnsi="Times New Roman" w:cs="Times New Roman" w:eastAsia="Times New Roman" w:hint="default"/>
          <w:spacing w:val="-1"/>
          <w:position w:val="-2"/>
          <w:sz w:val="14"/>
          <w:szCs w:val="14"/>
        </w:rPr>
        <w:t>0</w:t>
      </w:r>
      <w:r>
        <w:rPr>
          <w:spacing w:val="-1"/>
        </w:rPr>
        <w:t>报告期月份数；</w:t>
      </w:r>
      <w:r>
        <w:rPr>
          <w:rFonts w:ascii="Times New Roman" w:hAnsi="Times New Roman" w:cs="Times New Roman" w:eastAsia="Times New Roman" w:hint="default"/>
          <w:spacing w:val="-1"/>
        </w:rPr>
        <w:t>M</w:t>
      </w:r>
      <w:r>
        <w:rPr>
          <w:rFonts w:ascii="Times New Roman" w:hAnsi="Times New Roman" w:cs="Times New Roman" w:eastAsia="Times New Roman" w:hint="default"/>
          <w:spacing w:val="-1"/>
          <w:position w:val="-2"/>
          <w:sz w:val="14"/>
          <w:szCs w:val="14"/>
        </w:rPr>
        <w:t>i</w:t>
      </w:r>
      <w:r>
        <w:rPr>
          <w:spacing w:val="-1"/>
        </w:rPr>
        <w:t>为增加</w:t>
      </w:r>
      <w:r>
        <w:rPr>
          <w:spacing w:val="-90"/>
        </w:rPr>
        <w:t> </w:t>
      </w:r>
      <w:r>
        <w:rPr/>
        <w:t>股份下一月份起至报告期期末的月份数；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t>为减少股份下一月份起至报告期期末的月份数。</w:t>
      </w:r>
    </w:p>
    <w:p>
      <w:pPr>
        <w:pStyle w:val="Heading5"/>
        <w:spacing w:line="357" w:lineRule="auto" w:before="1"/>
        <w:ind w:left="574" w:right="0" w:hanging="1"/>
        <w:jc w:val="left"/>
      </w:pPr>
      <w:r>
        <w:rPr/>
        <w:t>（</w:t>
      </w:r>
      <w:r>
        <w:rPr>
          <w:rFonts w:ascii="Times New Roman" w:hAnsi="Times New Roman" w:cs="Times New Roman" w:eastAsia="Times New Roman" w:hint="default"/>
        </w:rPr>
        <w:t>3</w:t>
      </w:r>
      <w:r>
        <w:rPr/>
        <w:t>）稀释每股收益的计算过程 </w:t>
      </w:r>
      <w:r>
        <w:rPr>
          <w:spacing w:val="-1"/>
        </w:rPr>
        <w:t>报告期内公司未发行可转换债券、认股权证等稀释性潜在普通股，故稀释每股收益等同于基本每股收</w:t>
      </w:r>
    </w:p>
    <w:p>
      <w:pPr>
        <w:pStyle w:val="Heading5"/>
        <w:spacing w:line="209" w:lineRule="exact" w:before="0"/>
        <w:ind w:right="149"/>
        <w:jc w:val="left"/>
      </w:pPr>
      <w:r>
        <w:rPr/>
        <w:t>益。</w:t>
      </w:r>
    </w:p>
    <w:p>
      <w:pPr>
        <w:pStyle w:val="Heading5"/>
        <w:spacing w:line="256" w:lineRule="auto" w:before="37"/>
        <w:ind w:left="574" w:right="149" w:hanging="1"/>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）稀释每股收益的计算公式 </w:t>
      </w:r>
      <w:r>
        <w:rPr>
          <w:spacing w:val="-2"/>
        </w:rPr>
        <w:t>稀释每股收益</w:t>
      </w:r>
      <w:r>
        <w:rPr>
          <w:rFonts w:ascii="Times New Roman" w:hAnsi="Times New Roman" w:cs="Times New Roman" w:eastAsia="Times New Roman" w:hint="default"/>
          <w:spacing w:val="-2"/>
        </w:rPr>
        <w:t>=(</w:t>
      </w:r>
      <w:r>
        <w:rPr>
          <w:spacing w:val="-2"/>
        </w:rPr>
        <w:t>归属于普通股股东的净利润</w:t>
      </w:r>
      <w:r>
        <w:rPr>
          <w:rFonts w:ascii="Times New Roman" w:hAnsi="Times New Roman" w:cs="Times New Roman" w:eastAsia="Times New Roman" w:hint="default"/>
          <w:spacing w:val="-2"/>
        </w:rPr>
        <w:t>+</w:t>
      </w:r>
      <w:r>
        <w:rPr>
          <w:spacing w:val="-2"/>
        </w:rPr>
        <w:t>已确认为费用的稀释性潜在普通股利息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所得税率）</w:t>
      </w:r>
      <w:r>
        <w:rPr>
          <w:rFonts w:ascii="Times New Roman" w:hAnsi="Times New Roman" w:cs="Times New Roman" w:eastAsia="Times New Roman" w:hint="default"/>
          <w:spacing w:val="-2"/>
        </w:rPr>
        <w:t>-</w:t>
      </w:r>
    </w:p>
    <w:p>
      <w:pPr>
        <w:pStyle w:val="Heading5"/>
        <w:spacing w:line="244" w:lineRule="auto"/>
        <w:ind w:left="574" w:right="149" w:hanging="420"/>
        <w:jc w:val="left"/>
      </w:pPr>
      <w:r>
        <w:rPr/>
        <w:t>转换费用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t>－</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w:t>
      </w:r>
      <w:r>
        <w:rPr/>
        <w:t>认股权证、期权行权增加股份数） 其中，</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t>为期初股份总数；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t>为报告期因公积金转增股本或股票股利分配等增加股份数；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w:t>
      </w:r>
      <w:r>
        <w:rPr/>
        <w:t>为报告期</w:t>
      </w:r>
    </w:p>
    <w:p>
      <w:pPr>
        <w:pStyle w:val="Heading5"/>
        <w:spacing w:line="244" w:lineRule="auto" w:before="1"/>
        <w:ind w:left="153" w:right="0"/>
        <w:jc w:val="left"/>
      </w:pPr>
      <w:r>
        <w:rPr>
          <w:spacing w:val="-1"/>
        </w:rPr>
        <w:t>因发行新股或债转股等增加股份数；</w:t>
      </w:r>
      <w:r>
        <w:rPr>
          <w:rFonts w:ascii="Times New Roman" w:hAnsi="Times New Roman" w:cs="Times New Roman" w:eastAsia="Times New Roman" w:hint="default"/>
          <w:spacing w:val="-1"/>
        </w:rPr>
        <w:t>S</w:t>
      </w:r>
      <w:r>
        <w:rPr>
          <w:rFonts w:ascii="Times New Roman" w:hAnsi="Times New Roman" w:cs="Times New Roman" w:eastAsia="Times New Roman" w:hint="default"/>
          <w:spacing w:val="-1"/>
          <w:position w:val="-2"/>
          <w:sz w:val="14"/>
          <w:szCs w:val="14"/>
        </w:rPr>
        <w:t>j</w:t>
      </w:r>
      <w:r>
        <w:rPr>
          <w:spacing w:val="-1"/>
        </w:rPr>
        <w:t>为报告期因回购或缩股等减少股份数；</w:t>
      </w:r>
      <w:r>
        <w:rPr>
          <w:rFonts w:ascii="Times New Roman" w:hAnsi="Times New Roman" w:cs="Times New Roman" w:eastAsia="Times New Roman" w:hint="default"/>
          <w:spacing w:val="-1"/>
        </w:rPr>
        <w:t>M</w:t>
      </w:r>
      <w:r>
        <w:rPr>
          <w:rFonts w:ascii="Times New Roman" w:hAnsi="Times New Roman" w:cs="Times New Roman" w:eastAsia="Times New Roman" w:hint="default"/>
          <w:spacing w:val="-1"/>
          <w:position w:val="-2"/>
          <w:sz w:val="14"/>
          <w:szCs w:val="14"/>
        </w:rPr>
        <w:t>0</w:t>
      </w:r>
      <w:r>
        <w:rPr>
          <w:spacing w:val="-1"/>
        </w:rPr>
        <w:t>报告期月份数；</w:t>
      </w:r>
      <w:r>
        <w:rPr>
          <w:rFonts w:ascii="Times New Roman" w:hAnsi="Times New Roman" w:cs="Times New Roman" w:eastAsia="Times New Roman" w:hint="default"/>
          <w:spacing w:val="-1"/>
        </w:rPr>
        <w:t>M</w:t>
      </w:r>
      <w:r>
        <w:rPr>
          <w:rFonts w:ascii="Times New Roman" w:hAnsi="Times New Roman" w:cs="Times New Roman" w:eastAsia="Times New Roman" w:hint="default"/>
          <w:spacing w:val="-1"/>
          <w:position w:val="-2"/>
          <w:sz w:val="14"/>
          <w:szCs w:val="14"/>
        </w:rPr>
        <w:t>i</w:t>
      </w:r>
      <w:r>
        <w:rPr>
          <w:spacing w:val="-1"/>
        </w:rPr>
        <w:t>为增加</w:t>
      </w:r>
      <w:r>
        <w:rPr>
          <w:spacing w:val="-90"/>
        </w:rPr>
        <w:t> </w:t>
      </w:r>
      <w:r>
        <w:rPr/>
        <w:t>股份下一月份起至报告期期末的月份数；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t>为减少股份下一月份起至报告期期末的月份数。</w:t>
      </w:r>
    </w:p>
    <w:p>
      <w:pPr>
        <w:spacing w:after="0" w:line="244"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5"/>
        <w:ind w:right="149"/>
        <w:jc w:val="left"/>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2"/>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129"/>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33,733.34</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129"/>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33,733.34</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129"/>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33,733.34</w:t>
            </w:r>
          </w:p>
        </w:tc>
      </w:tr>
    </w:tbl>
    <w:p>
      <w:pPr>
        <w:pStyle w:val="BodyText"/>
        <w:spacing w:line="240" w:lineRule="auto" w:before="51"/>
        <w:ind w:right="149"/>
        <w:jc w:val="left"/>
      </w:pPr>
      <w:r>
        <w:rPr/>
        <w:t>其他综合收益说明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39</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敦化康平投资有限公司</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29,396,589.83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2,455,690.17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613,171.20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123,465,451.20</w:t>
            </w:r>
          </w:p>
        </w:tc>
      </w:tr>
    </w:tbl>
    <w:p>
      <w:pPr>
        <w:pStyle w:val="BodyText"/>
        <w:spacing w:line="240" w:lineRule="auto" w:before="51"/>
        <w:ind w:right="149"/>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其他各项销售费用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56,299,984.34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其他各项管理费用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34,543,636.60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敦化康平投资有限公司</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1,779,392.97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479,877.36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184,122,891.27</w:t>
            </w:r>
          </w:p>
        </w:tc>
      </w:tr>
    </w:tbl>
    <w:p>
      <w:pPr>
        <w:pStyle w:val="BodyText"/>
        <w:spacing w:line="240" w:lineRule="auto" w:before="51"/>
        <w:ind w:right="149"/>
        <w:jc w:val="left"/>
      </w:pPr>
      <w:r>
        <w:rPr/>
        <w:t>支付的其他与经营活动有关的现金说明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31,256,218.00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31,256,218.00</w:t>
            </w:r>
          </w:p>
        </w:tc>
      </w:tr>
    </w:tbl>
    <w:p>
      <w:pPr>
        <w:pStyle w:val="BodyText"/>
        <w:spacing w:line="240" w:lineRule="auto" w:before="51"/>
        <w:ind w:right="149"/>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6;width:5529;height:392" coordorigin="37,16" coordsize="5529,392">
              <v:shape style="position:absolute;left:37;top:16;width:5529;height:392" coordorigin="37,16" coordsize="5529,392" path="m37,407l5566,407,5566,16,37,16,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6;width:3928;height:392" coordorigin="5622,16" coordsize="3928,392">
              <v:shape style="position:absolute;left:5622;top:16;width:3928;height:392" coordorigin="5622,16" coordsize="3928,392" path="m5622,407l9550,407,9550,16,5622,16,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799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149"/>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7998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49"/>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49"/>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40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86,306,365.69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217,282,551.22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-19,699,590.44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29,550,322.19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27,470,248.09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24,648,147.85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5,135,066.43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4,538,537.10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577,777.80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577,777.80</w:t>
            </w:r>
          </w:p>
        </w:tc>
      </w:tr>
      <w:tr>
        <w:trPr>
          <w:trHeight w:val="39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434,644.18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-1,044,267.27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1"/>
        <w:gridCol w:w="2540"/>
        <w:gridCol w:w="2656"/>
      </w:tblGrid>
      <w:tr>
        <w:trPr>
          <w:trHeight w:val="36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70,202,450.56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60,901,038.99</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-5,860,000.00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-219,971.48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-1,562,514.59</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-564,692,908.13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-677,901,577.56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226,556,611.25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-451,308,510.40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-25,088,738.60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241,457,275.06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-195,448,044.65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-558,721,219.61</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175,327,428.74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403,521,229.81</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403,521,229.81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1,408,494,479.76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-228,193,801.07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-1,004,973,249.95</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175,327,428.74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403,521,229.81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52,693.40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368,468.56</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175,274,735.34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402,462,761.25</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690,000.00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175,327,428.74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403,521,229.81</w:t>
            </w:r>
          </w:p>
        </w:tc>
      </w:tr>
    </w:tbl>
    <w:p>
      <w:pPr>
        <w:pStyle w:val="BodyText"/>
        <w:spacing w:line="240" w:lineRule="auto" w:before="51"/>
        <w:ind w:right="149"/>
        <w:jc w:val="left"/>
      </w:pPr>
      <w:r>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149"/>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8"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5"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8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敦化市康</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87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平投资有 限责任公</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敦化经济 开发区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2"/>
              <w:jc w:val="center"/>
              <w:rPr>
                <w:rFonts w:ascii="Times New Roman" w:hAnsi="Times New Roman" w:cs="Times New Roman" w:eastAsia="Times New Roman" w:hint="default"/>
                <w:sz w:val="18"/>
                <w:szCs w:val="18"/>
              </w:rPr>
            </w:pPr>
            <w:r>
              <w:rPr>
                <w:rFonts w:ascii="Times New Roman"/>
                <w:sz w:val="18"/>
              </w:rPr>
              <w:t>47350000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24483598-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51" w:hRule="exact"/>
        </w:trPr>
        <w:tc>
          <w:tcPr>
            <w:tcW w:w="8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49"/>
        <w:jc w:val="left"/>
      </w:pPr>
      <w:r>
        <w:rPr/>
        <w:t>本企业的母公司情况的说明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344.160004pt;margin-top:55.332031pt;width:47.35pt;height:59.3pt;mso-position-horizontal-relative:page;mso-position-vertical-relative:paragraph;z-index:-934744" coordorigin="6883,1107" coordsize="947,1186">
            <v:group style="position:absolute;left:6895;top:1887;width:2;height:394" coordorigin="6895,1887" coordsize="2,394">
              <v:shape style="position:absolute;left:6895;top:1887;width:2;height:394" coordorigin="6895,1887" coordsize="0,394" path="m6895,1887l6895,2281e" filled="false" stroked="true" strokeweight="1.140pt" strokecolor="#ffffff">
                <v:path arrowok="t"/>
              </v:shape>
            </v:group>
            <v:group style="position:absolute;left:6883;top:1107;width:947;height:780" coordorigin="6883,1107" coordsize="947,780">
              <v:shape style="position:absolute;left:6883;top:1107;width:947;height:780" coordorigin="6883,1107" coordsize="947,780" path="m6883,1887l7830,1887,7830,1107,6883,1107,6883,1887xe" filled="true" fillcolor="#ffffff" stroked="false">
                <v:path arrowok="t"/>
                <v:fill type="solid"/>
              </v:shape>
            </v:group>
            <v:group style="position:absolute;left:6906;top:1887;width:902;height:393" coordorigin="6906,1887" coordsize="902,393">
              <v:shape style="position:absolute;left:6906;top:1887;width:902;height:393" coordorigin="6906,1887" coordsize="902,393" path="m6906,2280l7807,2280,7807,1887,6906,1887,6906,2280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吉林紫鑫敦 化医药药材 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吉林省敦化 经济开发区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聂春梅</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中成药、化 学药 制剂 保健食品、 药材原料</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1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2" w:right="0"/>
              <w:jc w:val="left"/>
              <w:rPr>
                <w:rFonts w:ascii="Times New Roman" w:hAnsi="Times New Roman" w:cs="Times New Roman" w:eastAsia="Times New Roman" w:hint="default"/>
                <w:sz w:val="18"/>
                <w:szCs w:val="18"/>
              </w:rPr>
            </w:pPr>
            <w:r>
              <w:rPr>
                <w:rFonts w:ascii="Times New Roman"/>
                <w:sz w:val="18"/>
              </w:rPr>
              <w:t>1000000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761122265</w:t>
            </w: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中药材种植</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吉林紫鑫红 石种养殖有 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柳河县柳河 镇</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刘宝武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销售、动物 养殖、农副 产品收购</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67730847- X</w:t>
            </w: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中成药、中</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药材、化学</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药品制剂加</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工销售、食</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吉林草还丹</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敦化市经济</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品加工销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药业有限公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开发区工业</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方荣华</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售、酒精、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73258383-8</w:t>
            </w:r>
          </w:p>
        </w:tc>
      </w:tr>
      <w:tr>
        <w:trPr>
          <w:trHeight w:val="309"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区九号</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白酒及饮料</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酒制造、针</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织品加工、</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广告业、种</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养殖业等。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加工、销售</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both"/>
              <w:rPr>
                <w:rFonts w:ascii="宋体" w:hAnsi="宋体" w:cs="宋体" w:eastAsia="宋体" w:hint="default"/>
                <w:sz w:val="18"/>
                <w:szCs w:val="18"/>
              </w:rPr>
            </w:pPr>
            <w:r>
              <w:rPr>
                <w:rFonts w:ascii="宋体" w:hAnsi="宋体" w:cs="宋体" w:eastAsia="宋体" w:hint="default"/>
                <w:sz w:val="18"/>
                <w:szCs w:val="18"/>
              </w:rPr>
              <w:t>吉林紫鑫初 元药业有限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24"/>
              <w:jc w:val="left"/>
              <w:rPr>
                <w:rFonts w:ascii="宋体" w:hAnsi="宋体" w:cs="宋体" w:eastAsia="宋体" w:hint="default"/>
                <w:sz w:val="18"/>
                <w:szCs w:val="18"/>
              </w:rPr>
            </w:pPr>
            <w:r>
              <w:rPr>
                <w:rFonts w:ascii="宋体" w:hAnsi="宋体" w:cs="宋体" w:eastAsia="宋体" w:hint="default"/>
                <w:sz w:val="18"/>
                <w:szCs w:val="18"/>
              </w:rPr>
              <w:t>延边州新兴 工业集中区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杨东岩</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中成药、化 学药制剂</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（仅限于筹</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5527182-4</w:t>
            </w:r>
          </w:p>
        </w:tc>
      </w:tr>
      <w:tr>
        <w:trPr>
          <w:trHeight w:val="31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人参收</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购、销售、 粗加工等。</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用于中成药</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制造项目建</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设（不得从</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吉林紫鑫般</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磐石经济开</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事生产活</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若药业有限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发区西点大</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朱严</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农副土</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55527751-3</w:t>
            </w:r>
          </w:p>
        </w:tc>
      </w:tr>
      <w:tr>
        <w:trPr>
          <w:trHeight w:val="30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街</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特产品、人</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参收购及深</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加工、销售</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新药、保健</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食品、化学</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吉林紫鑫药 物研究有限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4"/>
              <w:jc w:val="both"/>
              <w:rPr>
                <w:rFonts w:ascii="宋体" w:hAnsi="宋体" w:cs="宋体" w:eastAsia="宋体" w:hint="default"/>
                <w:sz w:val="18"/>
                <w:szCs w:val="18"/>
              </w:rPr>
            </w:pPr>
            <w:r>
              <w:rPr>
                <w:rFonts w:ascii="宋体" w:hAnsi="宋体" w:cs="宋体" w:eastAsia="宋体" w:hint="default"/>
                <w:sz w:val="18"/>
                <w:szCs w:val="18"/>
              </w:rPr>
              <w:t>长春市南关 区东头道街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原料药的研 发；技术转 让、技术咨</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55976951- X</w:t>
            </w:r>
          </w:p>
        </w:tc>
      </w:tr>
      <w:tr>
        <w:trPr>
          <w:trHeight w:val="307"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询、成果转</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人参及相关</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产品的研</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吉林紫鑫人 参研发有限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4"/>
              <w:jc w:val="both"/>
              <w:rPr>
                <w:rFonts w:ascii="宋体" w:hAnsi="宋体" w:cs="宋体" w:eastAsia="宋体" w:hint="default"/>
                <w:sz w:val="18"/>
                <w:szCs w:val="18"/>
              </w:rPr>
            </w:pPr>
            <w:r>
              <w:rPr>
                <w:rFonts w:ascii="宋体" w:hAnsi="宋体" w:cs="宋体" w:eastAsia="宋体" w:hint="default"/>
                <w:sz w:val="18"/>
                <w:szCs w:val="18"/>
              </w:rPr>
              <w:t>长春市南关 区东头道街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李坤</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发、保健食 品研发；技 术转让、技</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55976954- X</w:t>
            </w:r>
          </w:p>
        </w:tc>
      </w:tr>
      <w:tr>
        <w:trPr>
          <w:trHeight w:val="307"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术咨询、成</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果转让等。</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吉林紫鑫人 参销售有限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长春市南关 区东头道街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人参及相关 产品的销售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58462794-9</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吉林紫鑫禺 拙药业有限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通化市东昌 区环通乡长 流村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医药生产项 目建设（不 得从事生产 经营活动）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58462667-1</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8"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1" w:right="11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7"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9"/>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59883147-3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69145667-1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吉林环境能源交易所有限公司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56508161-0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通化鸿涛人参销售有限公司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555289688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吉林正德药业有限公司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74933290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r>
    </w:tbl>
    <w:p>
      <w:pPr>
        <w:pStyle w:val="BodyText"/>
        <w:spacing w:line="240" w:lineRule="auto" w:before="51"/>
        <w:ind w:right="149"/>
        <w:jc w:val="left"/>
      </w:pPr>
      <w:r>
        <w:rPr/>
        <w:t>本企业的其他关联方情况的说明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188pt;width:478.5pt;height:71.9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86"/>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1"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2"/>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40" w:type="dxa"/>
                        <w:tcBorders>
                          <w:top w:val="single" w:sz="4" w:space="0" w:color="000000"/>
                          <w:left w:val="single" w:sz="4" w:space="0" w:color="000000"/>
                          <w:bottom w:val="nil" w:sz="6" w:space="0" w:color="auto"/>
                          <w:right w:val="nil" w:sz="6" w:space="0" w:color="auto"/>
                        </w:tcBorders>
                        <w:shd w:val="clear" w:color="auto" w:fill="D3D3D3"/>
                      </w:tcPr>
                      <w:p>
                        <w:pPr/>
                      </w:p>
                    </w:tc>
                    <w:tc>
                      <w:tcPr>
                        <w:tcW w:w="12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2"/>
                          <w:ind w:left="34" w:right="19"/>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54" w:type="dxa"/>
                        <w:tcBorders>
                          <w:top w:val="nil" w:sz="6" w:space="0" w:color="auto"/>
                          <w:left w:val="nil" w:sz="6" w:space="0" w:color="auto"/>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149"/>
        <w:jc w:val="left"/>
      </w:pPr>
      <w:r>
        <w:rPr/>
        <w:t>出售商品、提供劳务情况表</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147984pt;width:478.5pt;height:107.6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86"/>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9"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通化鸿涛人参贸易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销售人参产品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72,263,340.91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11.57%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49"/>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1"/>
        <w:ind w:right="149"/>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t>关联托管</w:t>
      </w:r>
      <w:r>
        <w:rPr>
          <w:rFonts w:ascii="Times New Roman" w:hAnsi="Times New Roman" w:cs="Times New Roman" w:eastAsia="Times New Roman" w:hint="default"/>
        </w:rPr>
        <w:t>/</w:t>
      </w:r>
      <w:r>
        <w:rPr/>
        <w:t>承包情况说明</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49"/>
        <w:jc w:val="left"/>
      </w:pPr>
      <w:r>
        <w:rPr/>
        <w:t>公司出租情况表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1"/>
        <w:ind w:right="149"/>
        <w:jc w:val="left"/>
      </w:pPr>
      <w:r>
        <w:rPr/>
        <w:t>公司承租情况表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37"/>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8" w:right="27"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1"/>
        <w:ind w:right="149"/>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pStyle w:val="BodyText"/>
        <w:spacing w:line="240" w:lineRule="auto" w:before="51"/>
        <w:ind w:right="149"/>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88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207989pt;width:479.1pt;height:71.9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306"/>
                    <w:gridCol w:w="1154"/>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06" w:type="dxa"/>
                        <w:tcBorders>
                          <w:top w:val="single" w:sz="4" w:space="0" w:color="000000"/>
                          <w:left w:val="single" w:sz="4" w:space="0" w:color="000000"/>
                          <w:bottom w:val="nil" w:sz="6" w:space="0" w:color="auto"/>
                          <w:right w:val="nil" w:sz="6" w:space="0" w:color="auto"/>
                        </w:tcBorders>
                        <w:shd w:val="clear" w:color="auto" w:fill="D3D3D3"/>
                      </w:tcPr>
                      <w:p>
                        <w:pPr/>
                      </w:p>
                    </w:tc>
                    <w:tc>
                      <w:tcPr>
                        <w:tcW w:w="11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spacing w:line="516" w:lineRule="auto" w:before="35"/>
        <w:ind w:left="154" w:right="7557"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）其他关联交易</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18"/>
          <w:szCs w:val="18"/>
        </w:rPr>
        <w:t>上市公司应收关联方款项</w:t>
      </w:r>
    </w:p>
    <w:p>
      <w:pPr>
        <w:spacing w:after="0" w:line="5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48"/>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51"/>
        <w:ind w:right="149"/>
        <w:jc w:val="left"/>
      </w:pPr>
      <w:r>
        <w:rPr/>
        <w:t>上市公司应付关联方款项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spacing w:line="506" w:lineRule="auto" w:before="26"/>
        <w:ind w:left="154" w:right="5238" w:firstLine="0"/>
        <w:jc w:val="left"/>
        <w:rPr>
          <w:rFonts w:ascii="宋体" w:hAnsi="宋体" w:cs="宋体" w:eastAsia="宋体" w:hint="default"/>
          <w:sz w:val="18"/>
          <w:szCs w:val="18"/>
        </w:rPr>
      </w:pPr>
      <w:r>
        <w:rPr>
          <w:rFonts w:ascii="宋体" w:hAnsi="宋体" w:cs="宋体" w:eastAsia="宋体" w:hint="default"/>
          <w:b/>
          <w:bCs/>
          <w:sz w:val="24"/>
          <w:szCs w:val="24"/>
        </w:rPr>
        <w:t>九、或有事项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52"/>
        <w:ind w:right="149"/>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11"/>
        <w:jc w:val="left"/>
      </w:pPr>
      <w:r>
        <w:rPr/>
        <w:t>无 其他或有负债及其财务影响 无</w:t>
      </w:r>
    </w:p>
    <w:p>
      <w:pPr>
        <w:spacing w:line="240" w:lineRule="auto" w:before="4"/>
        <w:rPr>
          <w:rFonts w:ascii="宋体" w:hAnsi="宋体" w:cs="宋体" w:eastAsia="宋体" w:hint="default"/>
          <w:sz w:val="18"/>
          <w:szCs w:val="18"/>
        </w:rPr>
      </w:pPr>
    </w:p>
    <w:p>
      <w:pPr>
        <w:spacing w:line="506" w:lineRule="auto" w:before="0"/>
        <w:ind w:left="154" w:right="8189" w:firstLine="0"/>
        <w:jc w:val="left"/>
        <w:rPr>
          <w:rFonts w:ascii="宋体" w:hAnsi="宋体" w:cs="宋体" w:eastAsia="宋体" w:hint="default"/>
          <w:sz w:val="18"/>
          <w:szCs w:val="18"/>
        </w:rPr>
      </w:pPr>
      <w:r>
        <w:rPr>
          <w:rFonts w:ascii="宋体" w:hAnsi="宋体" w:cs="宋体" w:eastAsia="宋体" w:hint="default"/>
          <w:b/>
          <w:bCs/>
          <w:sz w:val="24"/>
          <w:szCs w:val="24"/>
        </w:rPr>
        <w:t>十、承诺事项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4"/>
        <w:spacing w:line="240" w:lineRule="auto" w:before="152"/>
        <w:ind w:right="149"/>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9"/>
        <w:jc w:val="left"/>
      </w:pPr>
      <w:r>
        <w:rPr/>
        <w:t>无</w:t>
      </w:r>
    </w:p>
    <w:p>
      <w:pPr>
        <w:spacing w:line="240" w:lineRule="auto" w:before="2"/>
        <w:rPr>
          <w:rFonts w:ascii="宋体" w:hAnsi="宋体" w:cs="宋体" w:eastAsia="宋体" w:hint="default"/>
          <w:sz w:val="25"/>
          <w:szCs w:val="25"/>
        </w:rPr>
      </w:pPr>
    </w:p>
    <w:p>
      <w:pPr>
        <w:pStyle w:val="Heading2"/>
        <w:spacing w:line="240" w:lineRule="auto"/>
        <w:ind w:right="149"/>
        <w:jc w:val="left"/>
        <w:rPr>
          <w:b w:val="0"/>
          <w:bCs w:val="0"/>
        </w:rPr>
      </w:pP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487" w:lineRule="auto" w:before="35"/>
        <w:ind w:left="154" w:right="67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Heading4"/>
        <w:spacing w:line="240" w:lineRule="auto" w:before="83"/>
        <w:ind w:right="149"/>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6"/>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70"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05" w:right="29"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4"/>
        <w:gridCol w:w="1529"/>
        <w:gridCol w:w="1511"/>
        <w:gridCol w:w="1511"/>
        <w:gridCol w:w="1524"/>
        <w:gridCol w:w="1505"/>
      </w:tblGrid>
      <w:tr>
        <w:trPr>
          <w:trHeight w:val="161" w:hRule="exact"/>
        </w:trPr>
        <w:tc>
          <w:tcPr>
            <w:tcW w:w="19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3" w:right="2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1" w:type="dxa"/>
            <w:vMerge/>
            <w:tcBorders>
              <w:left w:val="single" w:sz="4" w:space="0" w:color="000000"/>
              <w:right w:val="single" w:sz="4" w:space="0" w:color="000000"/>
            </w:tcBorders>
            <w:shd w:val="clear" w:color="auto" w:fill="D3D3D3"/>
          </w:tcPr>
          <w:p>
            <w:pPr/>
          </w:p>
        </w:tc>
        <w:tc>
          <w:tcPr>
            <w:tcW w:w="15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4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9" w:firstLine="420"/>
        <w:jc w:val="left"/>
      </w:pPr>
      <w:r>
        <w:rPr>
          <w:spacing w:val="-1"/>
        </w:rPr>
        <w:t>本公司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21</w:t>
      </w:r>
      <w:r>
        <w:rPr>
          <w:spacing w:val="-1"/>
        </w:rPr>
        <w:t>日第</w:t>
      </w:r>
      <w:r>
        <w:rPr>
          <w:rFonts w:ascii="Times New Roman" w:hAnsi="Times New Roman" w:cs="Times New Roman" w:eastAsia="Times New Roman" w:hint="default"/>
          <w:spacing w:val="-1"/>
        </w:rPr>
        <w:t>2011-052</w:t>
      </w:r>
      <w:r>
        <w:rPr>
          <w:spacing w:val="-1"/>
        </w:rPr>
        <w:t>号临时公告，中国证监会于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日因涉嫌证券违法违规行为对本公司下发</w:t>
      </w:r>
      <w:r>
        <w:rPr/>
        <w:t> 了《调查通知书》，开始对本公司进行立案稽查。截至目前稽查工作尚未结束。</w:t>
      </w:r>
    </w:p>
    <w:p>
      <w:pPr>
        <w:pStyle w:val="BodyText"/>
        <w:spacing w:line="240" w:lineRule="auto" w:before="31"/>
        <w:ind w:left="732" w:right="149"/>
        <w:jc w:val="left"/>
      </w:pPr>
      <w:r>
        <w:rPr/>
        <w:t>截至本财务报表签发日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w:t>
      </w:r>
      <w:r>
        <w:rPr/>
        <w:t>，除上述事项外</w:t>
      </w:r>
      <w:r>
        <w:rPr>
          <w:rFonts w:ascii="Times New Roman" w:hAnsi="Times New Roman" w:cs="Times New Roman" w:eastAsia="Times New Roman" w:hint="default"/>
        </w:rPr>
        <w:t>,</w:t>
      </w:r>
      <w:r>
        <w:rPr/>
        <w:t>本公司无影响对本财务报表阅读和理解的其他重大事项。</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49"/>
        <w:jc w:val="left"/>
        <w:rPr>
          <w:b w:val="0"/>
          <w:bCs w:val="0"/>
        </w:rPr>
      </w:pP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5"/>
        <w:gridCol w:w="1194"/>
        <w:gridCol w:w="525"/>
        <w:gridCol w:w="1334"/>
        <w:gridCol w:w="659"/>
        <w:gridCol w:w="1200"/>
        <w:gridCol w:w="659"/>
        <w:gridCol w:w="1334"/>
        <w:gridCol w:w="659"/>
      </w:tblGrid>
      <w:tr>
        <w:trPr>
          <w:trHeight w:val="402" w:hRule="exact"/>
        </w:trPr>
        <w:tc>
          <w:tcPr>
            <w:tcW w:w="2005" w:type="dxa"/>
            <w:vMerge w:val="restart"/>
            <w:tcBorders>
              <w:top w:val="single" w:sz="4" w:space="0" w:color="000000"/>
              <w:left w:val="single" w:sz="4" w:space="0" w:color="000000"/>
              <w:right w:val="single" w:sz="4" w:space="0" w:color="000000"/>
            </w:tcBorders>
            <w:shd w:val="clear" w:color="auto" w:fill="D3D3D3"/>
          </w:tcPr>
          <w:p>
            <w:pPr/>
          </w:p>
        </w:tc>
        <w:tc>
          <w:tcPr>
            <w:tcW w:w="371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2005" w:type="dxa"/>
            <w:vMerge/>
            <w:tcBorders>
              <w:left w:val="single" w:sz="4" w:space="0" w:color="000000"/>
              <w:bottom w:val="nil" w:sz="6" w:space="0" w:color="auto"/>
              <w:right w:val="single" w:sz="4" w:space="0" w:color="000000"/>
            </w:tcBorders>
            <w:shd w:val="clear" w:color="auto" w:fill="D3D3D3"/>
          </w:tcPr>
          <w:p>
            <w:pPr/>
          </w:p>
        </w:tc>
        <w:tc>
          <w:tcPr>
            <w:tcW w:w="171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0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种类</w:t>
            </w:r>
          </w:p>
        </w:tc>
        <w:tc>
          <w:tcPr>
            <w:tcW w:w="1719" w:type="dxa"/>
            <w:gridSpan w:val="2"/>
            <w:vMerge/>
            <w:tcBorders>
              <w:left w:val="single" w:sz="4" w:space="0" w:color="000000"/>
              <w:bottom w:val="single" w:sz="4" w:space="0" w:color="000000"/>
              <w:right w:val="single" w:sz="4" w:space="0" w:color="000000"/>
            </w:tcBorders>
            <w:shd w:val="clear" w:color="auto" w:fill="D3D3D3"/>
          </w:tcPr>
          <w:p>
            <w:pPr/>
          </w:p>
        </w:tc>
        <w:tc>
          <w:tcPr>
            <w:tcW w:w="1993" w:type="dxa"/>
            <w:gridSpan w:val="2"/>
            <w:vMerge/>
            <w:tcBorders>
              <w:left w:val="single" w:sz="4" w:space="0" w:color="000000"/>
              <w:bottom w:val="single" w:sz="4" w:space="0" w:color="000000"/>
              <w:right w:val="single" w:sz="4" w:space="0" w:color="000000"/>
            </w:tcBorders>
            <w:shd w:val="clear" w:color="auto" w:fill="D3D3D3"/>
          </w:tcPr>
          <w:p>
            <w:pPr/>
          </w:p>
        </w:tc>
        <w:tc>
          <w:tcPr>
            <w:tcW w:w="1859" w:type="dxa"/>
            <w:gridSpan w:val="2"/>
            <w:vMerge/>
            <w:tcBorders>
              <w:left w:val="single" w:sz="4" w:space="0" w:color="000000"/>
              <w:bottom w:val="single" w:sz="4" w:space="0" w:color="000000"/>
              <w:right w:val="single" w:sz="4" w:space="0" w:color="000000"/>
            </w:tcBorders>
            <w:shd w:val="clear" w:color="auto" w:fill="D3D3D3"/>
          </w:tcPr>
          <w:p>
            <w:pPr/>
          </w:p>
        </w:tc>
        <w:tc>
          <w:tcPr>
            <w:tcW w:w="1993" w:type="dxa"/>
            <w:gridSpan w:val="2"/>
            <w:vMerge/>
            <w:tcBorders>
              <w:left w:val="single" w:sz="4" w:space="0" w:color="000000"/>
              <w:bottom w:val="single" w:sz="4" w:space="0" w:color="000000"/>
              <w:right w:val="single" w:sz="4" w:space="0" w:color="000000"/>
            </w:tcBorders>
            <w:shd w:val="clear" w:color="auto" w:fill="D3D3D3"/>
          </w:tcPr>
          <w:p>
            <w:pPr/>
          </w:p>
        </w:tc>
      </w:tr>
      <w:tr>
        <w:trPr>
          <w:trHeight w:val="156" w:hRule="exact"/>
        </w:trPr>
        <w:tc>
          <w:tcPr>
            <w:tcW w:w="2005" w:type="dxa"/>
            <w:vMerge/>
            <w:tcBorders>
              <w:left w:val="single" w:sz="4" w:space="0" w:color="000000"/>
              <w:bottom w:val="nil" w:sz="6" w:space="0" w:color="auto"/>
              <w:right w:val="single" w:sz="4" w:space="0" w:color="000000"/>
            </w:tcBorders>
            <w:shd w:val="clear" w:color="auto" w:fill="D3D3D3"/>
          </w:tcPr>
          <w:p>
            <w:pP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9"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005" w:type="dxa"/>
            <w:vMerge w:val="restart"/>
            <w:tcBorders>
              <w:top w:val="nil" w:sz="6" w:space="0" w:color="auto"/>
              <w:left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525"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r>
      <w:tr>
        <w:trPr>
          <w:trHeight w:val="161" w:hRule="exact"/>
        </w:trPr>
        <w:tc>
          <w:tcPr>
            <w:tcW w:w="2005"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525"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00000"/>
              <w:left w:val="single" w:sz="10" w:space="0" w:color="D3D3D3"/>
              <w:bottom w:val="single" w:sz="4" w:space="0" w:color="000000"/>
              <w:right w:val="single" w:sz="4" w:space="0" w:color="000000"/>
            </w:tcBorders>
          </w:tcPr>
          <w:p>
            <w:pPr/>
          </w:p>
        </w:tc>
        <w:tc>
          <w:tcPr>
            <w:tcW w:w="52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单项金额重大的应收账 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50,795,352.13</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22.81</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3,053,162.41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76,231,953.80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4,573,917.23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171,895,085.66</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77.19</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7,862,739.32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154,889,644.66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8,273,381.43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w:t>
            </w:r>
          </w:p>
        </w:tc>
      </w:tr>
      <w:tr>
        <w:trPr>
          <w:trHeight w:val="402"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222,690,437.79</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10,915,901.73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231,121,598.46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12,847,298.66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1026"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0"/>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222,690,437.79</w:t>
            </w:r>
          </w:p>
        </w:tc>
        <w:tc>
          <w:tcPr>
            <w:tcW w:w="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10,915,901.73</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231,121,598.46</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12,847,298.66</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153" w:right="149"/>
        <w:jc w:val="left"/>
      </w:pPr>
      <w:r>
        <w:rPr/>
        <w:t>应收账款种类的说明 单项金额重大的应收款项坏账准备的确认标准</w:t>
      </w:r>
      <w:r>
        <w:rPr>
          <w:rFonts w:ascii="Times New Roman" w:hAnsi="Times New Roman" w:cs="Times New Roman" w:eastAsia="Times New Roman" w:hint="default"/>
        </w:rPr>
        <w:t>:</w:t>
      </w:r>
      <w:r>
        <w:rPr/>
        <w:t>单项金额重大的应收款项为期末余额在</w:t>
      </w:r>
      <w:r>
        <w:rPr>
          <w:rFonts w:ascii="Times New Roman" w:hAnsi="Times New Roman" w:cs="Times New Roman" w:eastAsia="Times New Roman" w:hint="default"/>
        </w:rPr>
        <w:t>100</w:t>
      </w:r>
      <w:r>
        <w:rPr/>
        <w:t>万元以上的应收款项；</w:t>
      </w:r>
    </w:p>
    <w:p>
      <w:pPr>
        <w:pStyle w:val="BodyText"/>
        <w:spacing w:line="309" w:lineRule="auto" w:before="1"/>
        <w:ind w:right="149"/>
        <w:jc w:val="both"/>
      </w:pPr>
      <w:r>
        <w:rPr/>
        <w:t>单项金额重大的应收款项坏账准备的计提方法</w:t>
      </w:r>
      <w:r>
        <w:rPr>
          <w:rFonts w:ascii="Times New Roman" w:hAnsi="Times New Roman" w:cs="Times New Roman" w:eastAsia="Times New Roman" w:hint="default"/>
        </w:rPr>
        <w:t>:</w:t>
      </w:r>
      <w:r>
        <w:rPr/>
        <w:t>本公司对单项金额重大的应收款项单独进行减值测试，如有客观证据表明其 </w:t>
      </w:r>
      <w:r>
        <w:rPr>
          <w:spacing w:val="-2"/>
        </w:rPr>
        <w:t>已发生减值，确认减值损失，计提坏账准备；如无客观证据表明其已发生减值，则对单项金额重大的应收款项按账龄分析法</w:t>
      </w:r>
      <w:r>
        <w:rPr>
          <w:spacing w:val="-66"/>
        </w:rPr>
        <w:t> </w:t>
      </w:r>
      <w:r>
        <w:rPr>
          <w:spacing w:val="-66"/>
        </w:rPr>
      </w:r>
      <w:r>
        <w:rPr/>
        <w:t>计提坏账准备。</w:t>
      </w:r>
    </w:p>
    <w:p>
      <w:pPr>
        <w:pStyle w:val="BodyText"/>
        <w:spacing w:line="240" w:lineRule="auto" w:before="64"/>
        <w:ind w:right="0"/>
        <w:jc w:val="both"/>
      </w:pPr>
      <w:r>
        <w:rPr/>
        <w:t>期末单项金额重大并单项计提坏账准备的应收账款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4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993"/>
        <w:gridCol w:w="665"/>
        <w:gridCol w:w="1462"/>
        <w:gridCol w:w="2126"/>
        <w:gridCol w:w="664"/>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37"/>
        <w:gridCol w:w="2022"/>
        <w:gridCol w:w="665"/>
        <w:gridCol w:w="1462"/>
        <w:gridCol w:w="2126"/>
        <w:gridCol w:w="664"/>
        <w:gridCol w:w="1594"/>
      </w:tblGrid>
      <w:tr>
        <w:trPr>
          <w:trHeight w:val="402"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168,172,562.93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6,545,228.23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199,486,312.75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10,130,684.88</w:t>
            </w:r>
          </w:p>
        </w:tc>
      </w:tr>
      <w:tr>
        <w:trPr>
          <w:trHeight w:val="714"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168,172,562.93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6,545,228.23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199,486,312.75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10,130,684.88</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54,267,379.24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4,341,390.34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29,863,087.57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2,389,047.01</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239,911.62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23,991.16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584,539.00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58,453.90</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5,292.00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309,468.06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269,112.87</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3"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878,191.08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175,638.22</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3"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306,296.90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91,889.07</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5,292.00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3,171.16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1,585.58</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222,690,437.79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10,915,901.73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231,121,598.46</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12,847,298.66</w:t>
            </w:r>
          </w:p>
        </w:tc>
      </w:tr>
    </w:tbl>
    <w:p>
      <w:pPr>
        <w:pStyle w:val="BodyText"/>
        <w:spacing w:line="240" w:lineRule="auto" w:before="51"/>
        <w:ind w:right="149"/>
        <w:jc w:val="left"/>
      </w:pPr>
      <w:r>
        <w:rPr/>
        <w:t>组合中，采用余额百分比法计提坏账准备的应收账款</w:t>
      </w:r>
    </w:p>
    <w:p>
      <w:pPr>
        <w:pStyle w:val="BodyText"/>
        <w:spacing w:line="338" w:lineRule="auto" w:before="117"/>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149"/>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49"/>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1"/>
        <w:ind w:right="149"/>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3320"/>
        <w:gridCol w:w="3720"/>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59,085,425.84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40,394,481.67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3,628,779.69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1,564,362.75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1,372,115.32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106,045,165.27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吉林紫鑫敦化医药药材有限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59,085,425.84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26.53%</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59,085,425.84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不符合终止确认条件的应收账款的转移金额为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82"/>
        <w:gridCol w:w="1454"/>
        <w:gridCol w:w="517"/>
        <w:gridCol w:w="1333"/>
        <w:gridCol w:w="516"/>
        <w:gridCol w:w="1334"/>
        <w:gridCol w:w="516"/>
        <w:gridCol w:w="1201"/>
        <w:gridCol w:w="504"/>
      </w:tblGrid>
      <w:tr>
        <w:trPr>
          <w:trHeight w:val="402" w:hRule="exact"/>
        </w:trPr>
        <w:tc>
          <w:tcPr>
            <w:tcW w:w="2182" w:type="dxa"/>
            <w:vMerge w:val="restart"/>
            <w:tcBorders>
              <w:top w:val="single" w:sz="4" w:space="0" w:color="000000"/>
              <w:left w:val="single" w:sz="4" w:space="0" w:color="000000"/>
              <w:right w:val="single" w:sz="4" w:space="0" w:color="000000"/>
            </w:tcBorders>
            <w:shd w:val="clear" w:color="auto" w:fill="D3D3D3"/>
          </w:tcPr>
          <w:p>
            <w:pPr/>
          </w:p>
        </w:tc>
        <w:tc>
          <w:tcPr>
            <w:tcW w:w="38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2182" w:type="dxa"/>
            <w:vMerge/>
            <w:tcBorders>
              <w:left w:val="single" w:sz="4" w:space="0" w:color="000000"/>
              <w:bottom w:val="nil" w:sz="6" w:space="0" w:color="auto"/>
              <w:right w:val="single" w:sz="4" w:space="0" w:color="000000"/>
            </w:tcBorders>
            <w:shd w:val="clear" w:color="auto" w:fill="D3D3D3"/>
          </w:tcPr>
          <w:p>
            <w:pPr/>
          </w:p>
        </w:tc>
        <w:tc>
          <w:tcPr>
            <w:tcW w:w="197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1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1970" w:type="dxa"/>
            <w:gridSpan w:val="2"/>
            <w:vMerge/>
            <w:tcBorders>
              <w:left w:val="single" w:sz="4" w:space="0" w:color="000000"/>
              <w:bottom w:val="single" w:sz="4" w:space="0" w:color="000000"/>
              <w:right w:val="single" w:sz="4" w:space="0" w:color="000000"/>
            </w:tcBorders>
            <w:shd w:val="clear" w:color="auto" w:fill="D3D3D3"/>
          </w:tcPr>
          <w:p>
            <w:pPr/>
          </w:p>
        </w:tc>
        <w:tc>
          <w:tcPr>
            <w:tcW w:w="1849" w:type="dxa"/>
            <w:gridSpan w:val="2"/>
            <w:vMerge/>
            <w:tcBorders>
              <w:left w:val="single" w:sz="4" w:space="0" w:color="000000"/>
              <w:bottom w:val="single" w:sz="4" w:space="0" w:color="000000"/>
              <w:right w:val="single" w:sz="4" w:space="0" w:color="000000"/>
            </w:tcBorders>
            <w:shd w:val="clear" w:color="auto" w:fill="D3D3D3"/>
          </w:tcPr>
          <w:p>
            <w:pPr/>
          </w:p>
        </w:tc>
        <w:tc>
          <w:tcPr>
            <w:tcW w:w="1850" w:type="dxa"/>
            <w:gridSpan w:val="2"/>
            <w:vMerge/>
            <w:tcBorders>
              <w:left w:val="single" w:sz="4" w:space="0" w:color="000000"/>
              <w:bottom w:val="single" w:sz="4" w:space="0" w:color="000000"/>
              <w:right w:val="single" w:sz="4" w:space="0" w:color="000000"/>
            </w:tcBorders>
            <w:shd w:val="clear" w:color="auto" w:fill="D3D3D3"/>
          </w:tcPr>
          <w:p>
            <w:pPr/>
          </w:p>
        </w:tc>
        <w:tc>
          <w:tcPr>
            <w:tcW w:w="1705" w:type="dxa"/>
            <w:gridSpan w:val="2"/>
            <w:vMerge/>
            <w:tcBorders>
              <w:left w:val="single" w:sz="4" w:space="0" w:color="000000"/>
              <w:bottom w:val="single" w:sz="4" w:space="0" w:color="000000"/>
              <w:right w:val="single" w:sz="4" w:space="0" w:color="000000"/>
            </w:tcBorders>
            <w:shd w:val="clear" w:color="auto" w:fill="D3D3D3"/>
          </w:tcPr>
          <w:p>
            <w:pPr/>
          </w:p>
        </w:tc>
      </w:tr>
      <w:tr>
        <w:trPr>
          <w:trHeight w:val="159" w:hRule="exact"/>
        </w:trPr>
        <w:tc>
          <w:tcPr>
            <w:tcW w:w="2182" w:type="dxa"/>
            <w:vMerge/>
            <w:tcBorders>
              <w:left w:val="single" w:sz="4" w:space="0" w:color="000000"/>
              <w:bottom w:val="single" w:sz="4" w:space="0" w:color="FFFFFF"/>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5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2"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2"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2" w:right="0"/>
              <w:jc w:val="left"/>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nil" w:sz="6" w:space="0" w:color="auto"/>
              <w:right w:val="single" w:sz="4" w:space="0" w:color="000000"/>
            </w:tcBorders>
            <w:shd w:val="clear" w:color="auto" w:fill="D3D3D3"/>
          </w:tcPr>
          <w:p>
            <w:pPr/>
          </w:p>
        </w:tc>
        <w:tc>
          <w:tcPr>
            <w:tcW w:w="5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2"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182" w:type="dxa"/>
            <w:vMerge w:val="restart"/>
            <w:tcBorders>
              <w:top w:val="single" w:sz="4" w:space="0" w:color="FFFFFF"/>
              <w:left w:val="single" w:sz="4" w:space="0" w:color="000000"/>
              <w:right w:val="single" w:sz="4" w:space="0" w:color="000000"/>
            </w:tcBorders>
            <w:shd w:val="clear" w:color="auto" w:fill="D3D3D3"/>
          </w:tcPr>
          <w:p>
            <w:pPr/>
          </w:p>
        </w:tc>
        <w:tc>
          <w:tcPr>
            <w:tcW w:w="1454" w:type="dxa"/>
            <w:tcBorders>
              <w:top w:val="single" w:sz="4" w:space="0" w:color="FFFFFF"/>
              <w:left w:val="single" w:sz="4" w:space="0" w:color="000000"/>
              <w:bottom w:val="nil" w:sz="6" w:space="0" w:color="auto"/>
              <w:right w:val="single" w:sz="4" w:space="0" w:color="000000"/>
            </w:tcBorders>
            <w:shd w:val="clear" w:color="auto" w:fill="D3D3D3"/>
          </w:tcPr>
          <w:p>
            <w:pPr>
              <w:pStyle w:val="TableParagraph"/>
              <w:spacing w:line="240" w:lineRule="auto" w:before="48"/>
              <w:ind w:right="21"/>
              <w:jc w:val="center"/>
              <w:rPr>
                <w:rFonts w:ascii="宋体" w:hAnsi="宋体" w:cs="宋体" w:eastAsia="宋体" w:hint="default"/>
                <w:sz w:val="18"/>
                <w:szCs w:val="18"/>
              </w:rPr>
            </w:pPr>
            <w:r>
              <w:rPr>
                <w:rFonts w:ascii="宋体" w:hAnsi="宋体" w:cs="宋体" w:eastAsia="宋体" w:hint="default"/>
                <w:sz w:val="18"/>
                <w:szCs w:val="18"/>
              </w:rPr>
              <w:t>金额</w:t>
            </w:r>
          </w:p>
        </w:tc>
        <w:tc>
          <w:tcPr>
            <w:tcW w:w="517" w:type="dxa"/>
            <w:vMerge/>
            <w:tcBorders>
              <w:left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504" w:type="dxa"/>
            <w:vMerge/>
            <w:tcBorders>
              <w:left w:val="single" w:sz="4" w:space="0" w:color="000000"/>
              <w:right w:val="single" w:sz="4" w:space="0" w:color="000000"/>
            </w:tcBorders>
            <w:shd w:val="clear" w:color="auto" w:fill="D3D3D3"/>
          </w:tcPr>
          <w:p>
            <w:pPr/>
          </w:p>
        </w:tc>
      </w:tr>
      <w:tr>
        <w:trPr>
          <w:trHeight w:val="161" w:hRule="exact"/>
        </w:trPr>
        <w:tc>
          <w:tcPr>
            <w:tcW w:w="2182"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517" w:type="dxa"/>
            <w:vMerge/>
            <w:tcBorders>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201" w:type="dxa"/>
            <w:tcBorders>
              <w:top w:val="nil" w:sz="6" w:space="0" w:color="auto"/>
              <w:left w:val="single" w:sz="4" w:space="0" w:color="000000"/>
              <w:bottom w:val="single" w:sz="4" w:space="0" w:color="000000"/>
              <w:right w:val="single" w:sz="4" w:space="0" w:color="000000"/>
            </w:tcBorders>
            <w:shd w:val="clear" w:color="auto" w:fill="D3D3D3"/>
          </w:tcPr>
          <w:p>
            <w:pPr/>
          </w:p>
        </w:tc>
        <w:tc>
          <w:tcPr>
            <w:tcW w:w="50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tc>
        <w:tc>
          <w:tcPr>
            <w:tcW w:w="14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4"/>
        <w:gridCol w:w="1460"/>
        <w:gridCol w:w="528"/>
        <w:gridCol w:w="1321"/>
        <w:gridCol w:w="528"/>
        <w:gridCol w:w="1322"/>
        <w:gridCol w:w="528"/>
        <w:gridCol w:w="1188"/>
        <w:gridCol w:w="528"/>
      </w:tblGrid>
      <w:tr>
        <w:trPr>
          <w:trHeight w:val="362"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460" w:type="dxa"/>
            <w:tcBorders>
              <w:top w:val="single" w:sz="4" w:space="0" w:color="000000"/>
              <w:left w:val="single" w:sz="13" w:space="0" w:color="D3D3D3"/>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单项金额重大的其他应收 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24.94</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22,667,603.57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1.88%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2,918,856.21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12.88</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398,822,680.37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97.27</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1,105,261.61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1,181,269,681.75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98.12</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748,218.58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410,002,680.37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3,893,261.61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0.95%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1,203,937,285.32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3,667,074.79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410,002,680.37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3,893,261.61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1,203,937,285.32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3,667,074.79</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其他应收款种类的说明 期末单项金额重大并单项计提坏账准备的其他应收款</w:t>
      </w:r>
    </w:p>
    <w:p>
      <w:pPr>
        <w:pStyle w:val="BodyText"/>
        <w:spacing w:line="338" w:lineRule="auto" w:before="2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111,485,845.42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1,017,700.96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935,135,940.32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77.67%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1,167,371.91</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111,485,845.42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1,017,700.96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935,135,940.32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77.67%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1,167,371.91</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272,873,039.53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66.55%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56,382.17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239,968,627.82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19.93%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301,876.58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2,703,521.81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270,352.18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4,976,842.25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22,940,273.61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2,548,826.30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23,855,874.93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2,155,826.30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1,605,598.68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23,798,622.33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2,131,200.00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21,298,622.33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2,446,800.00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36,052.60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18,026.30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37,252.60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18,626.30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410,002,680.37</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3,893,261.61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1,203,937,285.32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3,667,074.79</w:t>
            </w:r>
          </w:p>
        </w:tc>
      </w:tr>
    </w:tbl>
    <w:p>
      <w:pPr>
        <w:pStyle w:val="BodyText"/>
        <w:spacing w:line="240" w:lineRule="auto" w:before="51"/>
        <w:ind w:right="149"/>
        <w:jc w:val="left"/>
      </w:pPr>
      <w:r>
        <w:rPr/>
        <w:t>组合中，采用余额百分比法计提坏账准备的其他应收款</w:t>
      </w:r>
    </w:p>
    <w:p>
      <w:pPr>
        <w:pStyle w:val="BodyText"/>
        <w:spacing w:line="340"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spacing w:after="0" w:line="338"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2"/>
        <w:ind w:right="149"/>
        <w:jc w:val="left"/>
      </w:pPr>
      <w:r>
        <w:rPr/>
        <w:t>期末单项金额重大或虽不重大但单独进行减值测试的其他应收账款坏账准备计提</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49"/>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1"/>
        <w:ind w:right="149"/>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149"/>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83"/>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4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126,985,584.84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112,665,817.69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76,520,800.64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64,342,793.03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387,274,996.20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126,985,584.84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30.98%</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吉林紫鑫红石种养殖有限公 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112,665,817.69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27.48%</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76,520,800.64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18.66%</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64,342,793.03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15.69%</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105,650.00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381,020,646.20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92.93%</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49"/>
        <w:jc w:val="left"/>
      </w:pPr>
      <w:r>
        <w:rPr/>
        <w:t>不符合终止确认条件的其他应收款项的转移金额为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149"/>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4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吉林紫鑫 般若药业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吉林紫鑫 初元药业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吉林草还 丹药业有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46,247,64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46,247,64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46,247,64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吉林紫鑫 禺拙药业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敦化医药 药材有限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吉林紫鑫</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红石种养 殖有限公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吉林紫鑫 人参销售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吉林紫鑫 药物研究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吉林紫鑫 人参研发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商业银行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2,170,000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吉林环境</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能源交易 所有线公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229,837,6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229,837,6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41.41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229,837,6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41.41</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both"/>
      </w:pPr>
      <w:r>
        <w:rPr/>
        <w:t>长期股权投资的说明</w:t>
      </w:r>
    </w:p>
    <w:p>
      <w:pPr>
        <w:spacing w:line="240" w:lineRule="auto" w:before="1"/>
        <w:rPr>
          <w:rFonts w:ascii="宋体" w:hAnsi="宋体" w:cs="宋体" w:eastAsia="宋体" w:hint="default"/>
          <w:sz w:val="13"/>
          <w:szCs w:val="13"/>
        </w:rPr>
      </w:pPr>
    </w:p>
    <w:p>
      <w:pPr>
        <w:pStyle w:val="Heading5"/>
        <w:spacing w:line="256" w:lineRule="auto" w:before="0"/>
        <w:ind w:left="153" w:right="208" w:firstLine="420"/>
        <w:jc w:val="both"/>
      </w:pPr>
      <w:r>
        <w:rPr/>
        <w:t>（</w:t>
      </w:r>
      <w:r>
        <w:rPr>
          <w:rFonts w:ascii="Times New Roman" w:hAnsi="Times New Roman" w:cs="Times New Roman" w:eastAsia="Times New Roman" w:hint="default"/>
        </w:rPr>
        <w:t>1</w:t>
      </w:r>
      <w:r>
        <w:rPr/>
        <w:t>）根据长春农村商业银行股份有限公司</w:t>
      </w:r>
      <w:r>
        <w:rPr>
          <w:rFonts w:ascii="Times New Roman" w:hAnsi="Times New Roman" w:cs="Times New Roman" w:eastAsia="Times New Roman" w:hint="default"/>
        </w:rPr>
        <w:t>2011</w:t>
      </w:r>
      <w:r>
        <w:rPr/>
        <w:t>年度股东大会决议，决议按</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日股本，以</w:t>
      </w:r>
      <w:r>
        <w:rPr>
          <w:spacing w:val="2"/>
        </w:rPr>
        <w:t> </w:t>
      </w:r>
      <w:r>
        <w:rPr/>
        <w:t>未分配利润分红送股，每</w:t>
      </w:r>
      <w:r>
        <w:rPr>
          <w:rFonts w:ascii="Times New Roman" w:hAnsi="Times New Roman" w:cs="Times New Roman" w:eastAsia="Times New Roman" w:hint="default"/>
        </w:rPr>
        <w:t>10</w:t>
      </w:r>
      <w:r>
        <w:rPr/>
        <w:t>股送股</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股；同时以资本公积转增股本，每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4.4</w:t>
      </w:r>
      <w:r>
        <w:rPr/>
        <w:t>股，同时按</w:t>
      </w:r>
      <w:r>
        <w:rPr>
          <w:rFonts w:ascii="Times New Roman" w:hAnsi="Times New Roman" w:cs="Times New Roman" w:eastAsia="Times New Roman" w:hint="default"/>
        </w:rPr>
        <w:t>0.0775</w:t>
      </w:r>
      <w:r>
        <w:rPr/>
        <w:t>元</w:t>
      </w:r>
      <w:r>
        <w:rPr>
          <w:rFonts w:ascii="Times New Roman" w:hAnsi="Times New Roman" w:cs="Times New Roman" w:eastAsia="Times New Roman" w:hint="default"/>
        </w:rPr>
        <w:t>/ </w:t>
      </w:r>
      <w:r>
        <w:rPr/>
        <w:t>股（含税）向全体股东派发现金红利。本公司</w:t>
      </w:r>
      <w:r>
        <w:rPr>
          <w:rFonts w:ascii="Times New Roman" w:hAnsi="Times New Roman" w:cs="Times New Roman" w:eastAsia="Times New Roman" w:hint="default"/>
        </w:rPr>
        <w:t>2011</w:t>
      </w:r>
      <w:r>
        <w:rPr/>
        <w:t>年年末持有其</w:t>
      </w:r>
      <w:r>
        <w:rPr>
          <w:rFonts w:ascii="Times New Roman" w:hAnsi="Times New Roman" w:cs="Times New Roman" w:eastAsia="Times New Roman" w:hint="default"/>
        </w:rPr>
        <w:t>2,800</w:t>
      </w:r>
      <w:r>
        <w:rPr/>
        <w:t>万股，本期取得投资收益</w:t>
      </w:r>
      <w:r>
        <w:rPr>
          <w:rFonts w:ascii="Times New Roman" w:hAnsi="Times New Roman" w:cs="Times New Roman" w:eastAsia="Times New Roman" w:hint="default"/>
        </w:rPr>
        <w:t>217</w:t>
      </w:r>
      <w:r>
        <w:rPr/>
        <w:t>万元。</w:t>
      </w:r>
      <w:r>
        <w:rPr>
          <w:spacing w:val="-87"/>
        </w:rPr>
        <w:t> </w:t>
      </w:r>
      <w:r>
        <w:rPr>
          <w:spacing w:val="-87"/>
        </w:rPr>
      </w:r>
      <w:r>
        <w:rPr/>
        <w:t>同时本次送股及转增后本公司共计持有其</w:t>
      </w:r>
      <w:r>
        <w:rPr>
          <w:rFonts w:ascii="Times New Roman" w:hAnsi="Times New Roman" w:cs="Times New Roman" w:eastAsia="Times New Roman" w:hint="default"/>
        </w:rPr>
        <w:t>4,900</w:t>
      </w:r>
      <w:r>
        <w:rPr/>
        <w:t>万股股份，持股比例不变。</w:t>
      </w:r>
    </w:p>
    <w:p>
      <w:pPr>
        <w:pStyle w:val="Heading5"/>
        <w:spacing w:line="256" w:lineRule="auto"/>
        <w:ind w:left="153" w:right="101" w:firstLine="335"/>
        <w:jc w:val="left"/>
      </w:pPr>
      <w:r>
        <w:rPr/>
        <w:t>（</w:t>
      </w:r>
      <w:r>
        <w:rPr>
          <w:rFonts w:ascii="Times New Roman" w:hAnsi="Times New Roman" w:cs="Times New Roman" w:eastAsia="Times New Roman" w:hint="default"/>
        </w:rPr>
        <w:t>2</w:t>
      </w:r>
      <w:r>
        <w:rPr/>
        <w:t>）根据本公司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年第二次临时股东大会审议通过的《关于公司</w:t>
      </w:r>
      <w:r>
        <w:rPr>
          <w:rFonts w:ascii="Times New Roman" w:hAnsi="Times New Roman" w:cs="Times New Roman" w:eastAsia="Times New Roman" w:hint="default"/>
        </w:rPr>
        <w:t>2010</w:t>
      </w:r>
      <w:r>
        <w:rPr/>
        <w:t>年度非公开发行股票方案的 </w:t>
      </w:r>
      <w:r>
        <w:rPr>
          <w:spacing w:val="-7"/>
        </w:rPr>
        <w:t>议案》及</w:t>
      </w:r>
      <w:r>
        <w:rPr>
          <w:rFonts w:ascii="Times New Roman" w:hAnsi="Times New Roman" w:cs="Times New Roman" w:eastAsia="Times New Roman" w:hint="default"/>
          <w:spacing w:val="-7"/>
        </w:rPr>
        <w:t>2011</w:t>
      </w:r>
      <w:r>
        <w:rPr>
          <w:spacing w:val="-7"/>
        </w:rPr>
        <w:t>年第三次临时股东大会审议通过的《关于人参产品系列化（通化）募投项目实施变更的议案》，</w:t>
      </w:r>
      <w:r>
        <w:rPr>
          <w:spacing w:val="-97"/>
        </w:rPr>
        <w:t> </w:t>
      </w:r>
      <w:r>
        <w:rPr>
          <w:spacing w:val="-97"/>
        </w:rPr>
      </w:r>
      <w:r>
        <w:rPr/>
        <w:t>募集资金投资项目中的</w:t>
      </w:r>
      <w:r>
        <w:rPr>
          <w:rFonts w:ascii="Times New Roman" w:hAnsi="Times New Roman" w:cs="Times New Roman" w:eastAsia="Times New Roman" w:hint="default"/>
        </w:rPr>
        <w:t>“</w:t>
      </w:r>
      <w:r>
        <w:rPr/>
        <w:t>人参产品系列化项目（延吉厂区）</w:t>
      </w:r>
      <w:r>
        <w:rPr>
          <w:rFonts w:ascii="Times New Roman" w:hAnsi="Times New Roman" w:cs="Times New Roman" w:eastAsia="Times New Roman" w:hint="default"/>
        </w:rPr>
        <w:t>”</w:t>
      </w:r>
      <w:r>
        <w:rPr/>
        <w:t>由公司全资子公司吉林紫鑫初元药业有限公司</w:t>
      </w:r>
    </w:p>
    <w:p>
      <w:pPr>
        <w:pStyle w:val="Heading5"/>
        <w:spacing w:line="256" w:lineRule="auto"/>
        <w:ind w:left="153" w:right="205"/>
        <w:jc w:val="both"/>
      </w:pPr>
      <w:r>
        <w:rPr/>
        <w:t>（以下简称：初元药业）实施；募集资金投资项目中的</w:t>
      </w:r>
      <w:r>
        <w:rPr>
          <w:rFonts w:ascii="Times New Roman" w:hAnsi="Times New Roman" w:cs="Times New Roman" w:eastAsia="Times New Roman" w:hint="default"/>
        </w:rPr>
        <w:t>“</w:t>
      </w:r>
      <w:r>
        <w:rPr/>
        <w:t>人参产品系列化项目（磐石厂区）</w:t>
      </w:r>
      <w:r>
        <w:rPr>
          <w:rFonts w:ascii="Times New Roman" w:hAnsi="Times New Roman" w:cs="Times New Roman" w:eastAsia="Times New Roman" w:hint="default"/>
        </w:rPr>
        <w:t>”</w:t>
      </w:r>
      <w:r>
        <w:rPr/>
        <w:t>由公司全资子 公司吉林紫鑫般若药业有限公司（以下简称：般若药业）实施；募集资金投资项目中的</w:t>
      </w:r>
      <w:r>
        <w:rPr>
          <w:rFonts w:ascii="Times New Roman" w:hAnsi="Times New Roman" w:cs="Times New Roman" w:eastAsia="Times New Roman" w:hint="default"/>
        </w:rPr>
        <w:t>“</w:t>
      </w:r>
      <w:r>
        <w:rPr/>
        <w:t>人参产品系列化</w:t>
      </w:r>
      <w:r>
        <w:rPr>
          <w:spacing w:val="-23"/>
        </w:rPr>
        <w:t> </w:t>
      </w:r>
      <w:r>
        <w:rPr>
          <w:spacing w:val="-23"/>
        </w:rPr>
      </w:r>
      <w:r>
        <w:rPr/>
        <w:t>项目（敦化厂区）</w:t>
      </w:r>
      <w:r>
        <w:rPr>
          <w:rFonts w:ascii="Times New Roman" w:hAnsi="Times New Roman" w:cs="Times New Roman" w:eastAsia="Times New Roman" w:hint="default"/>
        </w:rPr>
        <w:t>”</w:t>
      </w:r>
      <w:r>
        <w:rPr/>
        <w:t>由公司全资子公司吉林草还丹药业有限公司（以下简称：草还丹药业）实施；募集资</w:t>
      </w:r>
      <w:r>
        <w:rPr>
          <w:spacing w:val="-23"/>
        </w:rPr>
        <w:t> </w:t>
      </w:r>
      <w:r>
        <w:rPr>
          <w:spacing w:val="-23"/>
        </w:rPr>
      </w:r>
      <w:r>
        <w:rPr/>
        <w:t>金投资项目中的</w:t>
      </w:r>
      <w:r>
        <w:rPr>
          <w:rFonts w:ascii="Times New Roman" w:hAnsi="Times New Roman" w:cs="Times New Roman" w:eastAsia="Times New Roman" w:hint="default"/>
        </w:rPr>
        <w:t>“</w:t>
      </w:r>
      <w:r>
        <w:rPr/>
        <w:t>人参产品系列化项目（通化厂区）</w:t>
      </w:r>
      <w:r>
        <w:rPr>
          <w:rFonts w:ascii="Times New Roman" w:hAnsi="Times New Roman" w:cs="Times New Roman" w:eastAsia="Times New Roman" w:hint="default"/>
        </w:rPr>
        <w:t>”</w:t>
      </w:r>
      <w:r>
        <w:rPr/>
        <w:t>由公司全资子公司吉林紫鑫禺拙药业有限公司（以下 简称：禺拙药业）实施。公司对拨付给子公司的募集资金作为往来款项核算，会计处理计入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 </w:t>
      </w:r>
      <w:r>
        <w:rPr>
          <w:spacing w:val="-1"/>
        </w:rPr>
        <w:t>项目，现公司拟使用拨付给子公司的募集资金对其增资，其中对初元药业增资</w:t>
      </w:r>
      <w:r>
        <w:rPr>
          <w:rFonts w:ascii="Times New Roman" w:hAnsi="Times New Roman" w:cs="Times New Roman" w:eastAsia="Times New Roman" w:hint="default"/>
          <w:spacing w:val="-1"/>
        </w:rPr>
        <w:t>29,930.00</w:t>
      </w:r>
      <w:r>
        <w:rPr>
          <w:spacing w:val="-1"/>
        </w:rPr>
        <w:t>万元，对般若药业</w:t>
      </w:r>
    </w:p>
    <w:p>
      <w:pPr>
        <w:spacing w:after="0" w:line="256"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5"/>
        <w:spacing w:line="266" w:lineRule="auto" w:before="35"/>
        <w:ind w:left="153" w:right="146"/>
        <w:jc w:val="both"/>
      </w:pPr>
      <w:r>
        <w:rPr/>
        <w:t>增资</w:t>
      </w:r>
      <w:r>
        <w:rPr>
          <w:rFonts w:ascii="Times New Roman" w:hAnsi="Times New Roman" w:cs="Times New Roman" w:eastAsia="Times New Roman" w:hint="default"/>
        </w:rPr>
        <w:t>13,989.00</w:t>
      </w:r>
      <w:r>
        <w:rPr/>
        <w:t>万元，对草还丹药业增资</w:t>
      </w:r>
      <w:r>
        <w:rPr>
          <w:rFonts w:ascii="Times New Roman" w:hAnsi="Times New Roman" w:cs="Times New Roman" w:eastAsia="Times New Roman" w:hint="default"/>
        </w:rPr>
        <w:t>24,709.00</w:t>
      </w:r>
      <w:r>
        <w:rPr/>
        <w:t>万元，对禺拙药业增资</w:t>
      </w:r>
      <w:r>
        <w:rPr>
          <w:rFonts w:ascii="Times New Roman" w:hAnsi="Times New Roman" w:cs="Times New Roman" w:eastAsia="Times New Roman" w:hint="default"/>
        </w:rPr>
        <w:t>29,954.00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w:t>
      </w:r>
      <w:r>
        <w:rPr>
          <w:spacing w:val="-49"/>
        </w:rPr>
        <w:t> </w:t>
      </w:r>
      <w:r>
        <w:rPr>
          <w:spacing w:val="-1"/>
        </w:rPr>
        <w:t>公司第四届董事会第二十七次会议审议了《关于使用募集资金对子公司增资的议案》，同意公司使用募集</w:t>
      </w:r>
      <w:r>
        <w:rPr>
          <w:spacing w:val="-83"/>
        </w:rPr>
        <w:t> </w:t>
      </w:r>
      <w:r>
        <w:rPr>
          <w:spacing w:val="-83"/>
        </w:rPr>
      </w:r>
      <w:r>
        <w:rPr>
          <w:spacing w:val="-1"/>
        </w:rPr>
        <w:t>资金对子公司初元药业、般若药业、草还丹药业和禺拙药业的增资，公司本次对上述子公司增资不增加其</w:t>
      </w:r>
      <w:r>
        <w:rPr>
          <w:spacing w:val="-83"/>
        </w:rPr>
        <w:t> </w:t>
      </w:r>
      <w:r>
        <w:rPr>
          <w:spacing w:val="-83"/>
        </w:rPr>
      </w:r>
      <w:r>
        <w:rPr/>
        <w:t>注册资本，增资额全部作为资本溢价计入资本公积，并由本公司独享。</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264,620,153.25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447,088,192.82</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264,620,153.25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447,088,192.82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61,028,450.93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139,882,415.72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中成药行业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264,347,303.70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60,805,248.61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256,831,070.46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74,906,673.02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272,849.55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223,202.32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190,257,122.36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64,975,742.70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264,620,153.25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61,028,450.93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447,088,192.82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139,882,415.72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83,848,882.12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11,730,121.78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58,931,867.44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8,421,785.53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21,548,624.82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10,191,823.44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35,726,379.33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17,971,676.94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21,985,448.87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3,781,788.49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22,333,853.76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4,176,261.90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14,210,569.76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2,991,745.59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16,621,036.99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4,133,153.29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272,849.55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223,202.32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190,257,122.36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64,975,742.70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藿胆片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37,317,932.12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4,030,550.96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18,514,696.58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2,961,456.79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15,256,280.67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1,778,109.22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13,485,549.65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2,082,415.81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7,799,878.94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1,504,706.60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9,259,139.25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2,097,839.63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62,379,686.40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24,796,402.53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81,958,547.46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33,062,083.13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264,620,153.25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61,028,450.93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447,088,192.82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139,882,415.72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89,492,489.30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20,639,350.12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274,932,115.16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89,671,827.90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35,707,505.61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8,235,101.25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45,662,406.12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13,317,776.90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65,652,039.45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15,141,107.81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52,478,259.22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15,305,670.69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39,362,018.54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9,077,929.20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48,460,291.50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14,133,800.71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14,344,318.04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3,308,181.55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13,350,707.38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3,893,832.53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20,061,782.31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4,626,781.00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12,204,413.44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3,559,506.99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264,620,153.25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61,028,450.93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447,088,192.82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139,882,415.72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76,990,201.99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48,336,235.09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7,397,562.19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5,181,281.34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5,012,977.78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142,918,258.39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54.01%</w:t>
            </w:r>
          </w:p>
        </w:tc>
      </w:tr>
    </w:tbl>
    <w:p>
      <w:pPr>
        <w:pStyle w:val="BodyText"/>
        <w:spacing w:line="240" w:lineRule="auto" w:before="51"/>
        <w:ind w:right="149"/>
        <w:jc w:val="left"/>
      </w:pPr>
      <w:r>
        <w:rPr/>
        <w:t>营业收入的说明</w:t>
      </w:r>
    </w:p>
    <w:p>
      <w:pPr>
        <w:spacing w:line="240" w:lineRule="auto" w:before="13"/>
        <w:rPr>
          <w:rFonts w:ascii="宋体" w:hAnsi="宋体" w:cs="宋体" w:eastAsia="宋体" w:hint="default"/>
          <w:sz w:val="12"/>
          <w:szCs w:val="12"/>
        </w:rPr>
      </w:pPr>
    </w:p>
    <w:p>
      <w:pPr>
        <w:pStyle w:val="Heading5"/>
        <w:spacing w:line="256" w:lineRule="auto" w:before="0"/>
        <w:ind w:left="153" w:right="149" w:firstLine="411"/>
        <w:jc w:val="left"/>
      </w:pPr>
      <w:r>
        <w:rPr>
          <w:spacing w:val="-1"/>
        </w:rPr>
        <w:t>本公司营业收入本期发生额较上期发生减少了</w:t>
      </w:r>
      <w:r>
        <w:rPr>
          <w:rFonts w:ascii="Times New Roman" w:hAnsi="Times New Roman" w:cs="Times New Roman" w:eastAsia="Times New Roman" w:hint="default"/>
          <w:spacing w:val="-1"/>
        </w:rPr>
        <w:t>18,246.80</w:t>
      </w:r>
      <w:r>
        <w:rPr>
          <w:spacing w:val="-1"/>
        </w:rPr>
        <w:t>万元，主要是因为本期为对外销售人参，致使</w:t>
      </w:r>
      <w:r>
        <w:rPr/>
        <w:t> 人参产品销售下降较大所致。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4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5,860,000.00</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现金分红减少</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10"/>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2"/>
        <w:ind w:right="149"/>
        <w:jc w:val="left"/>
      </w:pPr>
      <w:r>
        <w:rPr/>
        <w:t>投资收益的说明</w:t>
      </w:r>
    </w:p>
    <w:p>
      <w:pPr>
        <w:spacing w:line="240" w:lineRule="auto" w:before="13"/>
        <w:rPr>
          <w:rFonts w:ascii="宋体" w:hAnsi="宋体" w:cs="宋体" w:eastAsia="宋体" w:hint="default"/>
          <w:sz w:val="12"/>
          <w:szCs w:val="12"/>
        </w:rPr>
      </w:pPr>
    </w:p>
    <w:p>
      <w:pPr>
        <w:pStyle w:val="Heading5"/>
        <w:spacing w:line="256" w:lineRule="auto" w:before="0"/>
        <w:ind w:left="153" w:right="221" w:firstLine="420"/>
        <w:jc w:val="left"/>
      </w:pPr>
      <w:r>
        <w:rPr/>
        <w:t>（</w:t>
      </w:r>
      <w:r>
        <w:rPr>
          <w:rFonts w:ascii="Times New Roman" w:hAnsi="Times New Roman" w:cs="Times New Roman" w:eastAsia="Times New Roman" w:hint="default"/>
        </w:rPr>
        <w:t>1</w:t>
      </w:r>
      <w:r>
        <w:rPr/>
        <w:t>）根根据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日长春农村商业银行股份有限公司召开的</w:t>
      </w:r>
      <w:r>
        <w:rPr>
          <w:rFonts w:ascii="Times New Roman" w:hAnsi="Times New Roman" w:cs="Times New Roman" w:eastAsia="Times New Roman" w:hint="default"/>
        </w:rPr>
        <w:t>2011</w:t>
      </w:r>
      <w:r>
        <w:rPr/>
        <w:t>年度股东大会，审议通过了 </w:t>
      </w:r>
      <w:r>
        <w:rPr>
          <w:rFonts w:ascii="Times New Roman" w:hAnsi="Times New Roman" w:cs="Times New Roman" w:eastAsia="Times New Roman" w:hint="default"/>
          <w:spacing w:val="-2"/>
        </w:rPr>
        <w:t>2011</w:t>
      </w:r>
      <w:r>
        <w:rPr>
          <w:spacing w:val="-2"/>
        </w:rPr>
        <w:t>年度利润分配方案，以总股本</w:t>
      </w:r>
      <w:r>
        <w:rPr>
          <w:rFonts w:ascii="Times New Roman" w:hAnsi="Times New Roman" w:cs="Times New Roman" w:eastAsia="Times New Roman" w:hint="default"/>
          <w:spacing w:val="-2"/>
        </w:rPr>
        <w:t>53,760</w:t>
      </w:r>
      <w:r>
        <w:rPr>
          <w:spacing w:val="-2"/>
        </w:rPr>
        <w:t>万股为基数，向全体股东每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0.775</w:t>
      </w:r>
      <w:r>
        <w:rPr>
          <w:spacing w:val="-2"/>
        </w:rPr>
        <w:t>元（含税），</w:t>
      </w:r>
      <w:r>
        <w:rPr>
          <w:spacing w:val="-103"/>
        </w:rPr>
        <w:t> </w:t>
      </w:r>
      <w:r>
        <w:rPr>
          <w:spacing w:val="-103"/>
        </w:rPr>
      </w:r>
      <w:r>
        <w:rPr>
          <w:spacing w:val="-3"/>
        </w:rPr>
        <w:t>同时以未分配利润向全体股东每</w:t>
      </w:r>
      <w:r>
        <w:rPr>
          <w:rFonts w:ascii="Times New Roman" w:hAnsi="Times New Roman" w:cs="Times New Roman" w:eastAsia="Times New Roman" w:hint="default"/>
          <w:spacing w:val="-3"/>
        </w:rPr>
        <w:t>10</w:t>
      </w:r>
      <w:r>
        <w:rPr>
          <w:spacing w:val="-3"/>
        </w:rPr>
        <w:t>股送股</w:t>
      </w:r>
      <w:r>
        <w:rPr>
          <w:rFonts w:ascii="Times New Roman" w:hAnsi="Times New Roman" w:cs="Times New Roman" w:eastAsia="Times New Roman" w:hint="default"/>
          <w:spacing w:val="-3"/>
        </w:rPr>
        <w:t>3.1</w:t>
      </w:r>
      <w:r>
        <w:rPr>
          <w:spacing w:val="-3"/>
        </w:rPr>
        <w:t>股，以资本公积向全体股东每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4.4</w:t>
      </w:r>
      <w:r>
        <w:rPr>
          <w:spacing w:val="-3"/>
        </w:rPr>
        <w:t>股。本期</w:t>
      </w:r>
      <w:r>
        <w:rPr>
          <w:rFonts w:ascii="Times New Roman" w:hAnsi="Times New Roman" w:cs="Times New Roman" w:eastAsia="Times New Roman" w:hint="default"/>
          <w:spacing w:val="-3"/>
        </w:rPr>
        <w:t>2012</w:t>
      </w:r>
      <w:r>
        <w:rPr>
          <w:spacing w:val="-3"/>
        </w:rPr>
        <w:t>年确</w:t>
      </w:r>
      <w:r>
        <w:rPr>
          <w:spacing w:val="-54"/>
        </w:rPr>
        <w:t> </w:t>
      </w:r>
      <w:r>
        <w:rPr/>
        <w:t>认投资收益</w:t>
      </w:r>
      <w:r>
        <w:rPr>
          <w:rFonts w:ascii="Times New Roman" w:hAnsi="Times New Roman" w:cs="Times New Roman" w:eastAsia="Times New Roman" w:hint="default"/>
        </w:rPr>
        <w:t>217</w:t>
      </w:r>
      <w:r>
        <w:rPr/>
        <w:t>万元。</w:t>
      </w:r>
    </w:p>
    <w:p>
      <w:pPr>
        <w:pStyle w:val="Heading5"/>
        <w:spacing w:line="256" w:lineRule="auto" w:before="125"/>
        <w:ind w:right="0" w:firstLine="419"/>
        <w:jc w:val="left"/>
      </w:pPr>
      <w:r>
        <w:rPr>
          <w:spacing w:val="-1"/>
        </w:rPr>
        <w:t>（</w:t>
      </w:r>
      <w:r>
        <w:rPr>
          <w:rFonts w:ascii="Times New Roman" w:hAnsi="Times New Roman" w:cs="Times New Roman" w:eastAsia="Times New Roman" w:hint="default"/>
          <w:spacing w:val="-1"/>
        </w:rPr>
        <w:t>2</w:t>
      </w:r>
      <w:r>
        <w:rPr>
          <w:spacing w:val="-1"/>
        </w:rPr>
        <w:t>）持有至到期投资收益系于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5</w:t>
      </w:r>
      <w:r>
        <w:rPr>
          <w:spacing w:val="-1"/>
        </w:rPr>
        <w:t>日参与投资的新华信托股份有限公司信托产品，其中</w:t>
      </w:r>
      <w:r>
        <w:rPr>
          <w:rFonts w:ascii="Times New Roman" w:hAnsi="Times New Roman" w:cs="Times New Roman" w:eastAsia="Times New Roman" w:hint="default"/>
          <w:spacing w:val="-1"/>
        </w:rPr>
        <w:t>100</w:t>
      </w:r>
      <w:r>
        <w:rPr>
          <w:spacing w:val="-1"/>
        </w:rPr>
        <w:t>万</w:t>
      </w:r>
      <w:r>
        <w:rPr/>
        <w:t> 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日到期收回，本期形成投资收益</w:t>
      </w:r>
      <w:r>
        <w:rPr>
          <w:rFonts w:ascii="Times New Roman" w:hAnsi="Times New Roman" w:cs="Times New Roman" w:eastAsia="Times New Roman" w:hint="default"/>
        </w:rPr>
        <w:t>26</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86"/>
        <w:ind w:right="149"/>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46,185,166.54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75,913,260.07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-1,705,210.11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10,410,812.94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21,283,847.25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20,622,419.35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323,489.28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863,489.30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577,777.80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577,777.80</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434,644.18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67,392,356.51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58,553,596.66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-5,860,000.00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255,781.52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-1,561,621.94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-99,266,230.24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-396,889,203.48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-125,571,798.59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-168,650,315.57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58,796,554.10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49,450,568.73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-33,723,621.76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-357,663,616.14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4"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4"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36,263,627.49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67,987,712.42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67,987,712.42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1,371,900,334.64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-31,724,084.93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-1,303,912,622.22</w:t>
            </w:r>
          </w:p>
        </w:tc>
      </w:tr>
    </w:tbl>
    <w:p>
      <w:pPr>
        <w:spacing w:line="240" w:lineRule="auto" w:before="2"/>
        <w:rPr>
          <w:rFonts w:ascii="宋体" w:hAnsi="宋体" w:cs="宋体" w:eastAsia="宋体" w:hint="default"/>
          <w:sz w:val="18"/>
          <w:szCs w:val="18"/>
        </w:rPr>
      </w:pPr>
    </w:p>
    <w:p>
      <w:pPr>
        <w:pStyle w:val="Heading2"/>
        <w:spacing w:line="240" w:lineRule="auto" w:before="26"/>
        <w:ind w:right="149"/>
        <w:jc w:val="left"/>
        <w:rPr>
          <w:b w:val="0"/>
          <w:bCs w:val="0"/>
        </w:rPr>
      </w:pPr>
      <w:r>
        <w:rPr/>
        <w:t>十四、补充资料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9"/>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27"/>
      </w:tblGrid>
      <w:tr>
        <w:trPr>
          <w:trHeight w:val="206"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41" w:type="dxa"/>
            <w:gridSpan w:val="2"/>
            <w:vMerge/>
            <w:tcBorders>
              <w:left w:val="single" w:sz="4" w:space="0" w:color="000000"/>
              <w:bottom w:val="single" w:sz="4" w:space="0" w:color="000000"/>
              <w:right w:val="single" w:sz="4" w:space="0" w:color="000000"/>
            </w:tcBorders>
            <w:shd w:val="clear" w:color="auto" w:fill="D3D3D3"/>
          </w:tcPr>
          <w:p>
            <w:pPr/>
          </w:p>
        </w:tc>
      </w:tr>
      <w:tr>
        <w:trPr>
          <w:trHeight w:val="201"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22" w:space="0" w:color="D3D3D3"/>
              <w:left w:val="single" w:sz="9" w:space="0" w:color="D3D3D3"/>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0.17</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0.12</w:t>
            </w:r>
          </w:p>
        </w:tc>
      </w:tr>
    </w:tbl>
    <w:p>
      <w:pPr>
        <w:spacing w:line="240" w:lineRule="auto" w:before="2"/>
        <w:rPr>
          <w:rFonts w:ascii="宋体" w:hAnsi="宋体" w:cs="宋体" w:eastAsia="宋体" w:hint="default"/>
          <w:sz w:val="19"/>
          <w:szCs w:val="19"/>
        </w:rPr>
      </w:pPr>
    </w:p>
    <w:p>
      <w:pPr>
        <w:pStyle w:val="Heading4"/>
        <w:spacing w:line="240" w:lineRule="auto" w:before="35"/>
        <w:ind w:right="149"/>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49"/>
        <w:jc w:val="left"/>
      </w:pPr>
      <w:r>
        <w:rPr>
          <w:rFonts w:ascii="Times New Roman" w:hAnsi="Times New Roman" w:cs="Times New Roman" w:eastAsia="Times New Roman" w:hint="default"/>
          <w:sz w:val="24"/>
          <w:szCs w:val="24"/>
        </w:rPr>
        <w:t>1</w:t>
      </w:r>
      <w:r>
        <w:rPr/>
        <w:t>、资产负债表主要项目</w:t>
      </w:r>
    </w:p>
    <w:p>
      <w:pPr>
        <w:pStyle w:val="BodyText"/>
        <w:spacing w:line="302" w:lineRule="auto" w:before="69"/>
        <w:ind w:left="153" w:right="171"/>
        <w:jc w:val="left"/>
      </w:pPr>
      <w:r>
        <w:rPr/>
        <w:t>货币资金期末较期初减少</w:t>
      </w:r>
      <w:r>
        <w:rPr>
          <w:rFonts w:ascii="Times New Roman" w:hAnsi="Times New Roman" w:cs="Times New Roman" w:eastAsia="Times New Roman" w:hint="default"/>
        </w:rPr>
        <w:t>228,193,801.07</w:t>
      </w:r>
      <w:r>
        <w:rPr/>
        <w:t>元，下降幅度为</w:t>
      </w:r>
      <w:r>
        <w:rPr>
          <w:rFonts w:ascii="Times New Roman" w:hAnsi="Times New Roman" w:cs="Times New Roman" w:eastAsia="Times New Roman" w:hint="default"/>
        </w:rPr>
        <w:t>56.55%</w:t>
      </w:r>
      <w:r>
        <w:rPr/>
        <w:t>，是由于公司支付人参采购款及募投项目建设按进度支付工 程款项所致；</w:t>
      </w:r>
    </w:p>
    <w:p>
      <w:pPr>
        <w:pStyle w:val="BodyText"/>
        <w:spacing w:line="338" w:lineRule="auto" w:before="69"/>
        <w:ind w:left="153" w:right="149"/>
        <w:jc w:val="left"/>
      </w:pPr>
      <w:r>
        <w:rPr/>
        <w:t>应收票据期末较期初增加</w:t>
      </w:r>
      <w:r>
        <w:rPr>
          <w:rFonts w:ascii="Times New Roman" w:hAnsi="Times New Roman" w:cs="Times New Roman" w:eastAsia="Times New Roman" w:hint="default"/>
        </w:rPr>
        <w:t>6,814,982.30</w:t>
      </w:r>
      <w:r>
        <w:rPr/>
        <w:t>元，增长幅度为</w:t>
      </w:r>
      <w:r>
        <w:rPr>
          <w:rFonts w:ascii="Times New Roman" w:hAnsi="Times New Roman" w:cs="Times New Roman" w:eastAsia="Times New Roman" w:hint="default"/>
        </w:rPr>
        <w:t>102.59%</w:t>
      </w:r>
      <w:r>
        <w:rPr/>
        <w:t>，是由于公司销售货物收到的银行承兑汇票所致； 应收账款期末较期初减少</w:t>
      </w:r>
      <w:r>
        <w:rPr>
          <w:rFonts w:ascii="Times New Roman" w:hAnsi="Times New Roman" w:cs="Times New Roman" w:eastAsia="Times New Roman" w:hint="default"/>
        </w:rPr>
        <w:t>319,917,574.72</w:t>
      </w:r>
      <w:r>
        <w:rPr/>
        <w:t>元，下降幅度为</w:t>
      </w:r>
      <w:r>
        <w:rPr>
          <w:rFonts w:ascii="Times New Roman" w:hAnsi="Times New Roman" w:cs="Times New Roman" w:eastAsia="Times New Roman" w:hint="default"/>
        </w:rPr>
        <w:t>58.22%</w:t>
      </w:r>
      <w:r>
        <w:rPr/>
        <w:t>，是由于公司上年销售货款在本年收回所致； 预付款项期末较期初增加</w:t>
      </w:r>
      <w:r>
        <w:rPr>
          <w:rFonts w:ascii="Times New Roman" w:hAnsi="Times New Roman" w:cs="Times New Roman" w:eastAsia="Times New Roman" w:hint="default"/>
        </w:rPr>
        <w:t>52,315,532.68</w:t>
      </w:r>
      <w:r>
        <w:rPr/>
        <w:t>元，增加幅度为</w:t>
      </w:r>
      <w:r>
        <w:rPr>
          <w:rFonts w:ascii="Times New Roman" w:hAnsi="Times New Roman" w:cs="Times New Roman" w:eastAsia="Times New Roman" w:hint="default"/>
        </w:rPr>
        <w:t>88.53%</w:t>
      </w:r>
      <w:r>
        <w:rPr/>
        <w:t>，是由于公司预付采购人参款项所致； 存货期末较期初增加</w:t>
      </w:r>
      <w:r>
        <w:rPr>
          <w:rFonts w:ascii="Times New Roman" w:hAnsi="Times New Roman" w:cs="Times New Roman" w:eastAsia="Times New Roman" w:hint="default"/>
        </w:rPr>
        <w:t>564,692,908.13</w:t>
      </w:r>
      <w:r>
        <w:rPr/>
        <w:t>元，增加幅度为</w:t>
      </w:r>
      <w:r>
        <w:rPr>
          <w:rFonts w:ascii="Times New Roman" w:hAnsi="Times New Roman" w:cs="Times New Roman" w:eastAsia="Times New Roman" w:hint="default"/>
        </w:rPr>
        <w:t>66.36%</w:t>
      </w:r>
      <w:r>
        <w:rPr/>
        <w:t>，是由于公司采购的人参产品验收入库所致；</w:t>
      </w:r>
    </w:p>
    <w:p>
      <w:pPr>
        <w:pStyle w:val="BodyText"/>
        <w:spacing w:line="321" w:lineRule="auto" w:before="19"/>
        <w:ind w:left="153" w:right="216"/>
        <w:jc w:val="left"/>
      </w:pPr>
      <w:r>
        <w:rPr/>
        <w:t>其他流动资产期末较期初增加</w:t>
      </w:r>
      <w:r>
        <w:rPr>
          <w:rFonts w:ascii="Times New Roman" w:hAnsi="Times New Roman" w:cs="Times New Roman" w:eastAsia="Times New Roman" w:hint="default"/>
        </w:rPr>
        <w:t>56,064,000.55</w:t>
      </w:r>
      <w:r>
        <w:rPr/>
        <w:t>元，增长幅度为</w:t>
      </w:r>
      <w:r>
        <w:rPr>
          <w:rFonts w:ascii="Times New Roman" w:hAnsi="Times New Roman" w:cs="Times New Roman" w:eastAsia="Times New Roman" w:hint="default"/>
        </w:rPr>
        <w:t>1,868.80%</w:t>
      </w:r>
      <w:r>
        <w:rPr/>
        <w:t>，是由于采购人参未收到发票暂估进项税所致（发票 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月份之前全部收到）； 长期待摊费用期末较期初减少</w:t>
      </w:r>
      <w:r>
        <w:rPr>
          <w:rFonts w:ascii="Times New Roman" w:hAnsi="Times New Roman" w:cs="Times New Roman" w:eastAsia="Times New Roman" w:hint="default"/>
        </w:rPr>
        <w:t>577,777.80</w:t>
      </w:r>
      <w:r>
        <w:rPr/>
        <w:t>元，下降幅度为</w:t>
      </w:r>
      <w:r>
        <w:rPr>
          <w:rFonts w:ascii="Times New Roman" w:hAnsi="Times New Roman" w:cs="Times New Roman" w:eastAsia="Times New Roman" w:hint="default"/>
        </w:rPr>
        <w:t>40.00%</w:t>
      </w:r>
      <w:r>
        <w:rPr/>
        <w:t>，是由于公司办公室的装修费用按期摊销所致；</w:t>
      </w:r>
    </w:p>
    <w:p>
      <w:pPr>
        <w:pStyle w:val="BodyText"/>
        <w:spacing w:line="338" w:lineRule="auto" w:before="34"/>
        <w:ind w:left="153" w:right="981"/>
        <w:jc w:val="left"/>
      </w:pPr>
      <w:r>
        <w:rPr/>
        <w:t>预收款项期末较期初减少</w:t>
      </w:r>
      <w:r>
        <w:rPr>
          <w:rFonts w:ascii="Times New Roman" w:hAnsi="Times New Roman" w:cs="Times New Roman" w:eastAsia="Times New Roman" w:hint="default"/>
        </w:rPr>
        <w:t>1,065,463.83</w:t>
      </w:r>
      <w:r>
        <w:rPr/>
        <w:t>元，下降幅度为</w:t>
      </w:r>
      <w:r>
        <w:rPr>
          <w:rFonts w:ascii="Times New Roman" w:hAnsi="Times New Roman" w:cs="Times New Roman" w:eastAsia="Times New Roman" w:hint="default"/>
        </w:rPr>
        <w:t>92.31%</w:t>
      </w:r>
      <w:r>
        <w:rPr/>
        <w:t>，是由于公司预收销售款减少所致； 应交税金期末较期初减少</w:t>
      </w:r>
      <w:r>
        <w:rPr>
          <w:rFonts w:ascii="Times New Roman" w:hAnsi="Times New Roman" w:cs="Times New Roman" w:eastAsia="Times New Roman" w:hint="default"/>
        </w:rPr>
        <w:t>26,961,553.85</w:t>
      </w:r>
      <w:r>
        <w:rPr/>
        <w:t>元，下降幅度为</w:t>
      </w:r>
      <w:r>
        <w:rPr>
          <w:rFonts w:ascii="Times New Roman" w:hAnsi="Times New Roman" w:cs="Times New Roman" w:eastAsia="Times New Roman" w:hint="default"/>
        </w:rPr>
        <w:t>54.52%</w:t>
      </w:r>
      <w:r>
        <w:rPr/>
        <w:t>，是由于本期采购人参增值税进项税额增加所致；</w:t>
      </w:r>
    </w:p>
    <w:p>
      <w:pPr>
        <w:spacing w:after="0" w:line="338"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91"/>
        <w:jc w:val="left"/>
      </w:pPr>
      <w:r>
        <w:rPr/>
        <w:t>其他应付款期末较期初减少</w:t>
      </w:r>
      <w:r>
        <w:rPr>
          <w:rFonts w:ascii="Times New Roman" w:hAnsi="Times New Roman" w:cs="Times New Roman" w:eastAsia="Times New Roman" w:hint="default"/>
        </w:rPr>
        <w:t>2,307,558.19</w:t>
      </w:r>
      <w:r>
        <w:rPr/>
        <w:t>元，下降幅度为</w:t>
      </w:r>
      <w:r>
        <w:rPr>
          <w:rFonts w:ascii="Times New Roman" w:hAnsi="Times New Roman" w:cs="Times New Roman" w:eastAsia="Times New Roman" w:hint="default"/>
        </w:rPr>
        <w:t>63.27%</w:t>
      </w:r>
      <w:r>
        <w:rPr/>
        <w:t>，是由于归还往来款项所致。</w:t>
      </w:r>
    </w:p>
    <w:p>
      <w:pPr>
        <w:pStyle w:val="BodyText"/>
        <w:spacing w:line="319" w:lineRule="auto" w:before="102"/>
        <w:ind w:left="153" w:right="751"/>
        <w:jc w:val="left"/>
      </w:pPr>
      <w:r>
        <w:rPr>
          <w:rFonts w:ascii="Times New Roman" w:hAnsi="Times New Roman" w:cs="Times New Roman" w:eastAsia="Times New Roman" w:hint="default"/>
        </w:rPr>
        <w:t>2</w:t>
      </w:r>
      <w:r>
        <w:rPr/>
        <w:t>、利润表主要项目 营业收入本期较上期减少</w:t>
      </w:r>
      <w:r>
        <w:rPr>
          <w:rFonts w:ascii="Times New Roman" w:hAnsi="Times New Roman" w:cs="Times New Roman" w:eastAsia="Times New Roman" w:hint="default"/>
        </w:rPr>
        <w:t>509,119,184.98</w:t>
      </w:r>
      <w:r>
        <w:rPr/>
        <w:t>元，减少幅度为</w:t>
      </w:r>
      <w:r>
        <w:rPr>
          <w:rFonts w:ascii="Times New Roman" w:hAnsi="Times New Roman" w:cs="Times New Roman" w:eastAsia="Times New Roman" w:hint="default"/>
        </w:rPr>
        <w:t>54.88%</w:t>
      </w:r>
      <w:r>
        <w:rPr/>
        <w:t>，是由于公司本期人参产品销售收入较上年同期下降 </w:t>
      </w:r>
      <w:r>
        <w:rPr>
          <w:rFonts w:ascii="Times New Roman" w:hAnsi="Times New Roman" w:cs="Times New Roman" w:eastAsia="Times New Roman" w:hint="default"/>
        </w:rPr>
        <w:t>512,580,530.24</w:t>
      </w:r>
      <w:r>
        <w:rPr/>
        <w:t>元所致；</w:t>
      </w:r>
    </w:p>
    <w:p>
      <w:pPr>
        <w:pStyle w:val="BodyText"/>
        <w:spacing w:line="302" w:lineRule="auto" w:before="35"/>
        <w:ind w:left="153" w:right="211"/>
        <w:jc w:val="left"/>
      </w:pPr>
      <w:r>
        <w:rPr/>
        <w:t>营业成本本期较上期减少</w:t>
      </w:r>
      <w:r>
        <w:rPr>
          <w:rFonts w:ascii="Times New Roman" w:hAnsi="Times New Roman" w:cs="Times New Roman" w:eastAsia="Times New Roman" w:hint="default"/>
        </w:rPr>
        <w:t>272,507,241.48</w:t>
      </w:r>
      <w:r>
        <w:rPr/>
        <w:t>元，减少幅度为</w:t>
      </w:r>
      <w:r>
        <w:rPr>
          <w:rFonts w:ascii="Times New Roman" w:hAnsi="Times New Roman" w:cs="Times New Roman" w:eastAsia="Times New Roman" w:hint="default"/>
        </w:rPr>
        <w:t>64.13%</w:t>
      </w:r>
      <w:r>
        <w:rPr/>
        <w:t>，是由于公司本期人参产品销售收入下降，导致结转的销售 成本也下降所致；</w:t>
      </w:r>
    </w:p>
    <w:p>
      <w:pPr>
        <w:pStyle w:val="BodyText"/>
        <w:spacing w:line="302" w:lineRule="auto" w:before="68"/>
        <w:ind w:left="153" w:right="211"/>
        <w:jc w:val="left"/>
      </w:pPr>
      <w:r>
        <w:rPr/>
        <w:t>营业税金及附加本期较上期减少</w:t>
      </w:r>
      <w:r>
        <w:rPr>
          <w:rFonts w:ascii="Times New Roman" w:hAnsi="Times New Roman" w:cs="Times New Roman" w:eastAsia="Times New Roman" w:hint="default"/>
        </w:rPr>
        <w:t>5,124,650.66</w:t>
      </w:r>
      <w:r>
        <w:rPr/>
        <w:t>元，减少幅度为</w:t>
      </w:r>
      <w:r>
        <w:rPr>
          <w:rFonts w:ascii="Times New Roman" w:hAnsi="Times New Roman" w:cs="Times New Roman" w:eastAsia="Times New Roman" w:hint="default"/>
        </w:rPr>
        <w:t>62.66%</w:t>
      </w:r>
      <w:r>
        <w:rPr/>
        <w:t>，是由于公司本期人参产品销售收入下降，增值税应纳 税额减少，致使以此为计提基数的城建税、教育费附加下降所致；</w:t>
      </w:r>
    </w:p>
    <w:p>
      <w:pPr>
        <w:pStyle w:val="BodyText"/>
        <w:spacing w:line="300" w:lineRule="auto" w:before="149"/>
        <w:ind w:left="153" w:right="91" w:firstLine="352"/>
        <w:jc w:val="left"/>
      </w:pPr>
      <w:r>
        <w:rPr>
          <w:spacing w:val="-1"/>
        </w:rPr>
        <w:t>销售费用本期较上期减少</w:t>
      </w:r>
      <w:r>
        <w:rPr>
          <w:rFonts w:ascii="Times New Roman" w:hAnsi="Times New Roman" w:cs="Times New Roman" w:eastAsia="Times New Roman" w:hint="default"/>
          <w:spacing w:val="-1"/>
        </w:rPr>
        <w:t>71,734,186.98</w:t>
      </w:r>
      <w:r>
        <w:rPr>
          <w:spacing w:val="-1"/>
        </w:rPr>
        <w:t>元，减少幅度为</w:t>
      </w:r>
      <w:r>
        <w:rPr>
          <w:rFonts w:ascii="Times New Roman" w:hAnsi="Times New Roman" w:cs="Times New Roman" w:eastAsia="Times New Roman" w:hint="default"/>
          <w:spacing w:val="-1"/>
        </w:rPr>
        <w:t>49.58%</w:t>
      </w:r>
      <w:r>
        <w:rPr>
          <w:spacing w:val="-1"/>
        </w:rPr>
        <w:t>，主要是由于①公司本期广告宣传费用较上年同期大幅下</w:t>
      </w:r>
      <w:r>
        <w:rPr/>
        <w:t> 降；②随着本公司销售收入的减少，各项销售费用减少幅度较大；</w:t>
      </w:r>
    </w:p>
    <w:p>
      <w:pPr>
        <w:pStyle w:val="BodyText"/>
        <w:spacing w:line="302" w:lineRule="auto" w:before="71"/>
        <w:ind w:left="153" w:right="91"/>
        <w:jc w:val="left"/>
      </w:pPr>
      <w:r>
        <w:rPr/>
        <w:t>资产减值损失本期较上期减少</w:t>
      </w:r>
      <w:r>
        <w:rPr>
          <w:rFonts w:ascii="Times New Roman" w:hAnsi="Times New Roman" w:cs="Times New Roman" w:eastAsia="Times New Roman" w:hint="default"/>
        </w:rPr>
        <w:t>49,249,912.63</w:t>
      </w:r>
      <w:r>
        <w:rPr/>
        <w:t>元，减少幅度为</w:t>
      </w:r>
      <w:r>
        <w:rPr>
          <w:rFonts w:ascii="Times New Roman" w:hAnsi="Times New Roman" w:cs="Times New Roman" w:eastAsia="Times New Roman" w:hint="default"/>
        </w:rPr>
        <w:t>166.66%</w:t>
      </w:r>
      <w:r>
        <w:rPr/>
        <w:t>，是由于公司本期收回上年度销售款，应收账款期末余 额减少，按账龄分析法转回计提的坏账准备所致。</w:t>
      </w:r>
    </w:p>
    <w:p>
      <w:pPr>
        <w:pStyle w:val="BodyText"/>
        <w:spacing w:line="338" w:lineRule="auto" w:before="69"/>
        <w:ind w:left="153" w:right="95"/>
        <w:jc w:val="left"/>
      </w:pPr>
      <w:r>
        <w:rPr>
          <w:spacing w:val="-1"/>
        </w:rPr>
        <w:t>投资收益本期较上期减少</w:t>
      </w:r>
      <w:r>
        <w:rPr>
          <w:rFonts w:ascii="Times New Roman" w:hAnsi="Times New Roman" w:cs="Times New Roman" w:eastAsia="Times New Roman" w:hint="default"/>
          <w:spacing w:val="-1"/>
        </w:rPr>
        <w:t>3,430,000.00</w:t>
      </w:r>
      <w:r>
        <w:rPr>
          <w:spacing w:val="-1"/>
        </w:rPr>
        <w:t>元，减少幅度为</w:t>
      </w:r>
      <w:r>
        <w:rPr>
          <w:rFonts w:ascii="Times New Roman" w:hAnsi="Times New Roman" w:cs="Times New Roman" w:eastAsia="Times New Roman" w:hint="default"/>
          <w:spacing w:val="-1"/>
        </w:rPr>
        <w:t>58.53%</w:t>
      </w:r>
      <w:r>
        <w:rPr>
          <w:spacing w:val="-1"/>
        </w:rPr>
        <w:t>，是由于公司本期收到的被投资单位现金分红较上期减少所致；</w:t>
      </w:r>
      <w:r>
        <w:rPr>
          <w:spacing w:val="-85"/>
        </w:rPr>
        <w:t> </w:t>
      </w:r>
      <w:r>
        <w:rPr>
          <w:spacing w:val="-85"/>
        </w:rPr>
      </w:r>
      <w:r>
        <w:rPr/>
        <w:t>营业外收入本期较上期减少</w:t>
      </w:r>
      <w:r>
        <w:rPr>
          <w:rFonts w:ascii="Times New Roman" w:hAnsi="Times New Roman" w:cs="Times New Roman" w:eastAsia="Times New Roman" w:hint="default"/>
        </w:rPr>
        <w:t>15,393,687.92</w:t>
      </w:r>
      <w:r>
        <w:rPr/>
        <w:t>元，减少幅度为</w:t>
      </w:r>
      <w:r>
        <w:rPr>
          <w:rFonts w:ascii="Times New Roman" w:hAnsi="Times New Roman" w:cs="Times New Roman" w:eastAsia="Times New Roman" w:hint="default"/>
        </w:rPr>
        <w:t>34.78%</w:t>
      </w:r>
      <w:r>
        <w:rPr/>
        <w:t>，是由于公司本期收到各项政府补助减少所致； 营业外支出本期较上期减少</w:t>
      </w:r>
      <w:r>
        <w:rPr>
          <w:rFonts w:ascii="Times New Roman" w:hAnsi="Times New Roman" w:cs="Times New Roman" w:eastAsia="Times New Roman" w:hint="default"/>
        </w:rPr>
        <w:t>3,277,756.05</w:t>
      </w:r>
      <w:r>
        <w:rPr/>
        <w:t>元，减少幅度为</w:t>
      </w:r>
      <w:r>
        <w:rPr>
          <w:rFonts w:ascii="Times New Roman" w:hAnsi="Times New Roman" w:cs="Times New Roman" w:eastAsia="Times New Roman" w:hint="default"/>
        </w:rPr>
        <w:t>66.23%</w:t>
      </w:r>
      <w:r>
        <w:rPr/>
        <w:t>，是由于公司本期捐赠支出较上期减少所致； 所得税费用本期较上期减少</w:t>
      </w:r>
      <w:r>
        <w:rPr>
          <w:rFonts w:ascii="Times New Roman" w:hAnsi="Times New Roman" w:cs="Times New Roman" w:eastAsia="Times New Roman" w:hint="default"/>
        </w:rPr>
        <w:t>9,070,662.25</w:t>
      </w:r>
      <w:r>
        <w:rPr/>
        <w:t>元，减少幅度为</w:t>
      </w:r>
      <w:r>
        <w:rPr>
          <w:rFonts w:ascii="Times New Roman" w:hAnsi="Times New Roman" w:cs="Times New Roman" w:eastAsia="Times New Roman" w:hint="default"/>
        </w:rPr>
        <w:t>58.52%</w:t>
      </w:r>
      <w:r>
        <w:rPr/>
        <w:t>，是由于公司利润总额下降，致使应纳税所得税额减少。 </w:t>
      </w:r>
      <w:r>
        <w:rPr>
          <w:rFonts w:ascii="Times New Roman" w:hAnsi="Times New Roman" w:cs="Times New Roman" w:eastAsia="Times New Roman" w:hint="default"/>
        </w:rPr>
        <w:t>3</w:t>
      </w:r>
      <w:r>
        <w:rPr/>
        <w:t>、现金流量表项目</w:t>
      </w:r>
    </w:p>
    <w:p>
      <w:pPr>
        <w:pStyle w:val="BodyText"/>
        <w:spacing w:line="302" w:lineRule="auto" w:before="20"/>
        <w:ind w:left="153" w:right="91"/>
        <w:jc w:val="left"/>
      </w:pPr>
      <w:r>
        <w:rPr/>
        <w:t>收到其他与经营活动有关的现金本期较上期增加</w:t>
      </w:r>
      <w:r>
        <w:rPr>
          <w:rFonts w:ascii="Times New Roman" w:hAnsi="Times New Roman" w:cs="Times New Roman" w:eastAsia="Times New Roman" w:hint="default"/>
        </w:rPr>
        <w:t>74,258,518.68</w:t>
      </w:r>
      <w:r>
        <w:rPr/>
        <w:t>元，增长幅度为</w:t>
      </w:r>
      <w:r>
        <w:rPr>
          <w:rFonts w:ascii="Times New Roman" w:hAnsi="Times New Roman" w:cs="Times New Roman" w:eastAsia="Times New Roman" w:hint="default"/>
        </w:rPr>
        <w:t>150.91%</w:t>
      </w:r>
      <w:r>
        <w:rPr/>
        <w:t>，是由于公司本期收到控股股东敦化 市康平投资有限责任公司借款、政府补助款项和其他往来款所致；</w:t>
      </w:r>
    </w:p>
    <w:p>
      <w:pPr>
        <w:pStyle w:val="BodyText"/>
        <w:spacing w:line="302" w:lineRule="auto" w:before="68"/>
        <w:ind w:left="153" w:right="121"/>
        <w:jc w:val="left"/>
      </w:pPr>
      <w:r>
        <w:rPr/>
        <w:t>支付的各项税费支付的现金本期较上期减少</w:t>
      </w:r>
      <w:r>
        <w:rPr>
          <w:rFonts w:ascii="Times New Roman" w:hAnsi="Times New Roman" w:cs="Times New Roman" w:eastAsia="Times New Roman" w:hint="default"/>
        </w:rPr>
        <w:t>57,834,926.59</w:t>
      </w:r>
      <w:r>
        <w:rPr/>
        <w:t>元，减少幅度为</w:t>
      </w:r>
      <w:r>
        <w:rPr>
          <w:rFonts w:ascii="Times New Roman" w:hAnsi="Times New Roman" w:cs="Times New Roman" w:eastAsia="Times New Roman" w:hint="default"/>
        </w:rPr>
        <w:t>52.34%</w:t>
      </w:r>
      <w:r>
        <w:rPr/>
        <w:t>，是由于公司本期人参产品销售收入下降， 增值税应纳税额减少，致使以此为计提基数的城建税、教育费附加下降所致；</w:t>
      </w:r>
    </w:p>
    <w:p>
      <w:pPr>
        <w:pStyle w:val="BodyText"/>
        <w:spacing w:line="302" w:lineRule="auto" w:before="68"/>
        <w:ind w:left="153" w:right="91"/>
        <w:jc w:val="left"/>
      </w:pPr>
      <w:r>
        <w:rPr/>
        <w:t>取得投资收益所收到的现金本期较上期减少</w:t>
      </w:r>
      <w:r>
        <w:rPr>
          <w:rFonts w:ascii="Times New Roman" w:hAnsi="Times New Roman" w:cs="Times New Roman" w:eastAsia="Times New Roman" w:hint="default"/>
        </w:rPr>
        <w:t>3,430,000.00</w:t>
      </w:r>
      <w:r>
        <w:rPr/>
        <w:t>元，减少幅度为</w:t>
      </w:r>
      <w:r>
        <w:rPr>
          <w:rFonts w:ascii="Times New Roman" w:hAnsi="Times New Roman" w:cs="Times New Roman" w:eastAsia="Times New Roman" w:hint="default"/>
        </w:rPr>
        <w:t>58.53%</w:t>
      </w:r>
      <w:r>
        <w:rPr/>
        <w:t>，是由于本期收到的被投资单位现金分红较 上期减少所致；</w:t>
      </w:r>
    </w:p>
    <w:p>
      <w:pPr>
        <w:pStyle w:val="BodyText"/>
        <w:spacing w:line="302" w:lineRule="auto" w:before="69"/>
        <w:ind w:left="153" w:right="185"/>
        <w:jc w:val="left"/>
      </w:pPr>
      <w:r>
        <w:rPr>
          <w:spacing w:val="-1"/>
        </w:rPr>
        <w:t>处置固定资产、无形资产和其他长期资产收回的现金净额本期较上期减少</w:t>
      </w:r>
      <w:r>
        <w:rPr>
          <w:rFonts w:ascii="Times New Roman" w:hAnsi="Times New Roman" w:cs="Times New Roman" w:eastAsia="Times New Roman" w:hint="default"/>
          <w:spacing w:val="-1"/>
        </w:rPr>
        <w:t>36,314,015.38</w:t>
      </w:r>
      <w:r>
        <w:rPr>
          <w:spacing w:val="-1"/>
        </w:rPr>
        <w:t>元，减少幅度为</w:t>
      </w:r>
      <w:r>
        <w:rPr>
          <w:rFonts w:ascii="Times New Roman" w:hAnsi="Times New Roman" w:cs="Times New Roman" w:eastAsia="Times New Roman" w:hint="default"/>
          <w:spacing w:val="-1"/>
        </w:rPr>
        <w:t>99.94%</w:t>
      </w:r>
      <w:r>
        <w:rPr>
          <w:spacing w:val="-1"/>
        </w:rPr>
        <w:t>，是由于公司</w:t>
      </w:r>
      <w:r>
        <w:rPr>
          <w:spacing w:val="-80"/>
        </w:rPr>
        <w:t> </w:t>
      </w:r>
      <w:r>
        <w:rPr>
          <w:spacing w:val="-80"/>
        </w:rPr>
      </w:r>
      <w:r>
        <w:rPr/>
        <w:t>上期处置募投项目（通化厂区）用地收回资金，而本期未发生类似情况。</w:t>
      </w:r>
    </w:p>
    <w:p>
      <w:pPr>
        <w:pStyle w:val="BodyText"/>
        <w:spacing w:line="302" w:lineRule="auto" w:before="68"/>
        <w:ind w:left="153" w:right="211"/>
        <w:jc w:val="left"/>
      </w:pPr>
      <w:r>
        <w:rPr/>
        <w:t>购建固定资产、无形资产和其他长期资产支付的现金本期较上期减少</w:t>
      </w:r>
      <w:r>
        <w:rPr>
          <w:rFonts w:ascii="Times New Roman" w:hAnsi="Times New Roman" w:cs="Times New Roman" w:eastAsia="Times New Roman" w:hint="default"/>
        </w:rPr>
        <w:t>300,475,482.87</w:t>
      </w:r>
      <w:r>
        <w:rPr/>
        <w:t>元，减少幅度为</w:t>
      </w:r>
      <w:r>
        <w:rPr>
          <w:rFonts w:ascii="Times New Roman" w:hAnsi="Times New Roman" w:cs="Times New Roman" w:eastAsia="Times New Roman" w:hint="default"/>
        </w:rPr>
        <w:t>61.23%</w:t>
      </w:r>
      <w:r>
        <w:rPr/>
        <w:t>，是由于公司部 分募投项目已经接近结束，相关支出减少所致；</w:t>
      </w:r>
    </w:p>
    <w:p>
      <w:pPr>
        <w:pStyle w:val="BodyText"/>
        <w:spacing w:line="319" w:lineRule="auto" w:before="69"/>
        <w:ind w:left="153" w:right="211"/>
        <w:jc w:val="left"/>
      </w:pPr>
      <w:r>
        <w:rPr/>
        <w:t>取得借款所收到的现金本期较上期增加</w:t>
      </w:r>
      <w:r>
        <w:rPr>
          <w:rFonts w:ascii="Times New Roman" w:hAnsi="Times New Roman" w:cs="Times New Roman" w:eastAsia="Times New Roman" w:hint="default"/>
        </w:rPr>
        <w:t>443,000,000.00</w:t>
      </w:r>
      <w:r>
        <w:rPr/>
        <w:t>元，增长幅度为</w:t>
      </w:r>
      <w:r>
        <w:rPr>
          <w:rFonts w:ascii="Times New Roman" w:hAnsi="Times New Roman" w:cs="Times New Roman" w:eastAsia="Times New Roman" w:hint="default"/>
        </w:rPr>
        <w:t>45.34%</w:t>
      </w:r>
      <w:r>
        <w:rPr/>
        <w:t>，是由于本期向银行短期借款增加所致； 收到的其他与筹资活动有关的现金本期较上期减少</w:t>
      </w:r>
      <w:r>
        <w:rPr>
          <w:rFonts w:ascii="Times New Roman" w:hAnsi="Times New Roman" w:cs="Times New Roman" w:eastAsia="Times New Roman" w:hint="default"/>
        </w:rPr>
        <w:t>43,320,000.00</w:t>
      </w:r>
      <w:r>
        <w:rPr/>
        <w:t>元，减少幅度为</w:t>
      </w:r>
      <w:r>
        <w:rPr>
          <w:rFonts w:ascii="Times New Roman" w:hAnsi="Times New Roman" w:cs="Times New Roman" w:eastAsia="Times New Roman" w:hint="default"/>
        </w:rPr>
        <w:t>100.00%</w:t>
      </w:r>
      <w:r>
        <w:rPr/>
        <w:t>，是由于公司本期未收到其他与筹 资活动有关的现金。</w:t>
      </w:r>
    </w:p>
    <w:p>
      <w:pPr>
        <w:pStyle w:val="BodyText"/>
        <w:spacing w:line="302" w:lineRule="auto" w:before="55"/>
        <w:ind w:left="153" w:right="256"/>
        <w:jc w:val="left"/>
      </w:pPr>
      <w:r>
        <w:rPr/>
        <w:t>支付的其他与筹资活动有关的现金本期较上期减少</w:t>
      </w:r>
      <w:r>
        <w:rPr>
          <w:rFonts w:ascii="Times New Roman" w:hAnsi="Times New Roman" w:cs="Times New Roman" w:eastAsia="Times New Roman" w:hint="default"/>
        </w:rPr>
        <w:t>140,000.00</w:t>
      </w:r>
      <w:r>
        <w:rPr/>
        <w:t>元，减少幅度为</w:t>
      </w:r>
      <w:r>
        <w:rPr>
          <w:rFonts w:ascii="Times New Roman" w:hAnsi="Times New Roman" w:cs="Times New Roman" w:eastAsia="Times New Roman" w:hint="default"/>
        </w:rPr>
        <w:t>100.00%</w:t>
      </w:r>
      <w:r>
        <w:rPr/>
        <w:t>，是由于公司未支付其他与筹资活动 有关的现金。</w:t>
      </w:r>
    </w:p>
    <w:p>
      <w:pPr>
        <w:spacing w:after="0" w:line="302"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149"/>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0"/>
        <w:rPr>
          <w:rFonts w:ascii="宋体" w:hAnsi="宋体" w:cs="宋体" w:eastAsia="宋体" w:hint="default"/>
          <w:b/>
          <w:bCs/>
          <w:sz w:val="41"/>
          <w:szCs w:val="41"/>
        </w:rPr>
      </w:pPr>
    </w:p>
    <w:p>
      <w:pPr>
        <w:pStyle w:val="Heading3"/>
        <w:spacing w:line="312" w:lineRule="exact"/>
        <w:ind w:right="1131"/>
        <w:jc w:val="left"/>
      </w:pPr>
      <w:r>
        <w:rPr/>
        <w:t>一、载有公司法定代表人、财务总监、会计机构负责人签名并盖章的财务报告。 二、载有会计师事务所盖章，中国注册会计师签名并盖章的审计报告原件。 三、报告期内在中国证监会指定报纸上公开披露过的所有公司文件的正本的原稿。 四、载有公司董事长曹恩辉先生签名的公司</w:t>
      </w:r>
      <w:r>
        <w:rPr>
          <w:rFonts w:ascii="Times New Roman" w:hAnsi="Times New Roman" w:cs="Times New Roman" w:eastAsia="Times New Roman" w:hint="default"/>
        </w:rPr>
        <w:t>2012</w:t>
      </w:r>
      <w:r>
        <w:rPr/>
        <w:t>年度报告文本。 五、以上备查文件的备置地点：公司董事会秘书办公室。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Heading3"/>
        <w:spacing w:line="477" w:lineRule="auto"/>
        <w:ind w:left="5574" w:right="1974" w:hanging="504"/>
        <w:jc w:val="left"/>
      </w:pPr>
      <w:r>
        <w:rPr/>
        <w:t>吉林紫鑫药业股份有限公司 董事长：曹恩辉</w:t>
      </w:r>
    </w:p>
    <w:p>
      <w:pPr>
        <w:pStyle w:val="Heading3"/>
        <w:spacing w:line="240" w:lineRule="auto" w:before="72"/>
        <w:ind w:left="5094" w:right="149"/>
        <w:jc w:val="left"/>
      </w:pPr>
      <w:r>
        <w:rPr/>
        <w:t>二〇一三年四月二十五日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35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5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358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35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935896" type="#_x0000_t202" filled="false" stroked="false">
          <v:textbox inset="0,0,0,0">
            <w:txbxContent>
              <w:p>
                <w:pPr>
                  <w:pStyle w:val="BodyText"/>
                  <w:spacing w:line="214" w:lineRule="exact"/>
                  <w:ind w:left="20" w:right="0"/>
                  <w:jc w:val="left"/>
                </w:pPr>
                <w:r>
                  <w:rPr/>
                  <w:t>吉林紫鑫药业股份有限公司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8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5"/>
      <w:ind w:left="154"/>
      <w:outlineLvl w:val="5"/>
    </w:pPr>
    <w:rPr>
      <w:rFonts w:ascii="宋体" w:hAnsi="宋体" w:eastAsia="宋体"/>
      <w:sz w:val="21"/>
      <w:szCs w:val="21"/>
    </w:rPr>
  </w:style>
  <w:style w:styleId="Heading6" w:type="paragraph">
    <w:name w:val="Heading 6"/>
    <w:basedOn w:val="Normal"/>
    <w:uiPriority w:val="1"/>
    <w:qFormat/>
    <w:pPr>
      <w:spacing w:before="113"/>
      <w:ind w:left="546"/>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jilinzixin.com.cn/" TargetMode="External"/><Relationship Id="rId10" Type="http://schemas.openxmlformats.org/officeDocument/2006/relationships/hyperlink" Target="mailto:zixin@zxpc.cc"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cninfo.com.cn/finalpage/2012-06-01/61073952.PDF" TargetMode="External"/><Relationship Id="rId16" Type="http://schemas.openxmlformats.org/officeDocument/2006/relationships/footer" Target="footer3.xml"/><Relationship Id="rId1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AR2012002118b定期报告全文(Word中文版).doc</dc:title>
  <dcterms:created xsi:type="dcterms:W3CDTF">2020-05-04T00:13:09Z</dcterms:created>
  <dcterms:modified xsi:type="dcterms:W3CDTF">2020-05-04T00:13:09Z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2013-04-25T00:00:00Z</vt:filetime>
  </property>
  <property fmtid="{D5CDD505-2E9C-101B-9397-08002B2CF9AE}" pid="3" name="Creator">
    <vt:lpwstr>PScript5.dll Version 5.2.2</vt:lpwstr>
  </property>
  <property fmtid="{D5CDD505-2E9C-101B-9397-08002B2CF9AE}" pid="4" name="LastSaved">
    <vt:filetime>2020-05-03T00:00:00Z</vt:filetime>
  </property>
</Properties>
</file>