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220"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1409699" cy="14097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699" cy="1409700"/>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4"/>
        <w:rPr>
          <w:rFonts w:ascii="Times New Roman" w:hAnsi="Times New Roman" w:cs="Times New Roman" w:eastAsia="Times New Roman" w:hint="default"/>
          <w:sz w:val="25"/>
          <w:szCs w:val="25"/>
        </w:rPr>
      </w:pPr>
    </w:p>
    <w:p>
      <w:pPr>
        <w:spacing w:line="460" w:lineRule="exact" w:before="0"/>
        <w:ind w:left="2786" w:right="3763" w:firstLine="0"/>
        <w:jc w:val="center"/>
        <w:rPr>
          <w:rFonts w:ascii="宋体" w:hAnsi="宋体" w:cs="宋体" w:eastAsia="宋体" w:hint="default"/>
          <w:sz w:val="36"/>
          <w:szCs w:val="36"/>
        </w:rPr>
      </w:pPr>
      <w:r>
        <w:rPr>
          <w:rFonts w:ascii="宋体" w:hAnsi="宋体" w:cs="宋体" w:eastAsia="宋体" w:hint="default"/>
          <w:b/>
          <w:bCs/>
          <w:sz w:val="36"/>
          <w:szCs w:val="36"/>
        </w:rPr>
        <w:t>吉林紫鑫药业股份有限公司</w:t>
      </w:r>
      <w:r>
        <w:rPr>
          <w:rFonts w:ascii="宋体" w:hAnsi="宋体" w:cs="宋体" w:eastAsia="宋体" w:hint="default"/>
          <w:sz w:val="36"/>
          <w:szCs w:val="36"/>
        </w:rPr>
      </w:r>
    </w:p>
    <w:p>
      <w:pPr>
        <w:spacing w:line="240" w:lineRule="auto" w:before="8"/>
        <w:rPr>
          <w:rFonts w:ascii="宋体" w:hAnsi="宋体" w:cs="宋体" w:eastAsia="宋体" w:hint="default"/>
          <w:b/>
          <w:bCs/>
          <w:sz w:val="48"/>
          <w:szCs w:val="48"/>
        </w:rPr>
      </w:pPr>
    </w:p>
    <w:p>
      <w:pPr>
        <w:spacing w:before="0"/>
        <w:ind w:left="2784" w:right="37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2"/>
        <w:rPr>
          <w:rFonts w:ascii="宋体" w:hAnsi="宋体" w:cs="宋体" w:eastAsia="宋体" w:hint="default"/>
          <w:b/>
          <w:bCs/>
          <w:sz w:val="30"/>
          <w:szCs w:val="30"/>
        </w:rPr>
      </w:pPr>
    </w:p>
    <w:p>
      <w:pPr>
        <w:spacing w:before="0"/>
        <w:ind w:left="2786"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02</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pStyle w:val="Heading1"/>
        <w:spacing w:line="240" w:lineRule="auto"/>
        <w:ind w:left="2805" w:right="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4"/>
        <w:rPr>
          <w:rFonts w:ascii="宋体" w:hAnsi="宋体" w:cs="宋体" w:eastAsia="宋体" w:hint="default"/>
          <w:b/>
          <w:bCs/>
          <w:sz w:val="43"/>
          <w:szCs w:val="43"/>
        </w:rPr>
      </w:pPr>
    </w:p>
    <w:p>
      <w:pPr>
        <w:spacing w:line="408" w:lineRule="auto" w:before="0"/>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2014</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年</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月</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3"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司总股本</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512,991,382 </w:t>
      </w:r>
      <w:r>
        <w:rPr>
          <w:rFonts w:ascii="宋体" w:hAnsi="宋体" w:cs="宋体" w:eastAsia="宋体" w:hint="default"/>
          <w:b/>
          <w:bCs/>
          <w:sz w:val="28"/>
          <w:szCs w:val="28"/>
        </w:rPr>
        <w:t>股为基数，向全体股东每</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0.38</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元（含</w:t>
      </w:r>
      <w:r>
        <w:rPr>
          <w:rFonts w:ascii="宋体" w:hAnsi="宋体" w:cs="宋体" w:eastAsia="宋体" w:hint="default"/>
          <w:sz w:val="28"/>
          <w:szCs w:val="28"/>
        </w:rPr>
      </w:r>
    </w:p>
    <w:p>
      <w:pPr>
        <w:spacing w:line="446" w:lineRule="auto" w:before="237"/>
        <w:ind w:left="715" w:right="0" w:hanging="562"/>
        <w:jc w:val="left"/>
        <w:rPr>
          <w:rFonts w:ascii="宋体" w:hAnsi="宋体" w:cs="宋体" w:eastAsia="宋体" w:hint="default"/>
          <w:sz w:val="28"/>
          <w:szCs w:val="28"/>
        </w:rPr>
      </w:pPr>
      <w:r>
        <w:rPr>
          <w:rFonts w:ascii="宋体" w:hAnsi="宋体" w:cs="宋体" w:eastAsia="宋体" w:hint="default"/>
          <w:b/>
          <w:bCs/>
          <w:spacing w:val="-24"/>
          <w:w w:val="99"/>
          <w:sz w:val="28"/>
          <w:szCs w:val="28"/>
        </w:rPr>
        <w:t>税），送红股</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w w:val="99"/>
          <w:sz w:val="28"/>
          <w:szCs w:val="28"/>
        </w:rPr>
        <w:t> </w:t>
      </w:r>
      <w:r>
        <w:rPr>
          <w:rFonts w:ascii="宋体" w:hAnsi="宋体" w:cs="宋体" w:eastAsia="宋体" w:hint="default"/>
          <w:b/>
          <w:bCs/>
          <w:spacing w:val="-9"/>
          <w:w w:val="99"/>
          <w:sz w:val="28"/>
          <w:szCs w:val="28"/>
        </w:rPr>
        <w:t>股（含税），不以公积金转增股本。</w:t>
      </w:r>
      <w:r>
        <w:rPr>
          <w:rFonts w:ascii="宋体" w:hAnsi="宋体" w:cs="宋体" w:eastAsia="宋体" w:hint="default"/>
          <w:b/>
          <w:bCs/>
          <w:spacing w:val="-126"/>
          <w:w w:val="99"/>
          <w:sz w:val="28"/>
          <w:szCs w:val="28"/>
        </w:rPr>
        <w:t> </w:t>
      </w:r>
      <w:r>
        <w:rPr>
          <w:rFonts w:ascii="宋体" w:hAnsi="宋体" w:cs="宋体" w:eastAsia="宋体" w:hint="default"/>
          <w:b/>
          <w:bCs/>
          <w:spacing w:val="-126"/>
          <w:w w:val="99"/>
          <w:sz w:val="28"/>
          <w:szCs w:val="28"/>
        </w:rPr>
      </w:r>
      <w:r>
        <w:rPr>
          <w:rFonts w:ascii="宋体" w:hAnsi="宋体" w:cs="宋体" w:eastAsia="宋体" w:hint="default"/>
          <w:b/>
          <w:bCs/>
          <w:w w:val="95"/>
          <w:sz w:val="28"/>
          <w:szCs w:val="28"/>
        </w:rPr>
        <w:t>公司负责人郭春林、主管会计工作负责人张忠伟及会计机构负责人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59"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邵天宇声明：保证年度报告中财务报告的真实、准确、完整。</w:t>
      </w:r>
      <w:r>
        <w:rPr>
          <w:rFonts w:ascii="宋体" w:hAnsi="宋体" w:cs="宋体" w:eastAsia="宋体" w:hint="default"/>
          <w:sz w:val="28"/>
          <w:szCs w:val="28"/>
        </w:rPr>
      </w:r>
    </w:p>
    <w:p>
      <w:pPr>
        <w:spacing w:after="0" w:line="359" w:lineRule="exact"/>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786" w:right="376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年度报告</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会计数据和财务指标摘要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董事会报告</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2" w:val="right" w:leader="dot"/>
            </w:tabs>
            <w:spacing w:line="240" w:lineRule="auto" w:before="316"/>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内部控制</w:t>
            </w:r>
            <w:r>
              <w:rPr>
                <w:rFonts w:ascii="Times New Roman" w:hAnsi="Times New Roman" w:cs="Times New Roman" w:eastAsia="Times New Roman" w:hint="default"/>
              </w:rPr>
              <w:tab/>
              <w:t>90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92</w:t>
            </w:r>
            <w:r>
              <w:rPr>
                <w:rFonts w:ascii="Times New Roman" w:hAnsi="Times New Roman" w:cs="Times New Roman" w:eastAsia="Times New Roman" w:hint="default"/>
                <w:b w:val="0"/>
                <w:bCs w:val="0"/>
              </w:rPr>
            </w:r>
          </w:hyperlink>
        </w:p>
        <w:p>
          <w:pPr>
            <w:pStyle w:val="TOC1"/>
            <w:tabs>
              <w:tab w:pos="9782" w:val="right" w:leader="dot"/>
            </w:tabs>
            <w:spacing w:line="240" w:lineRule="auto"/>
            <w:ind w:left="154"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205</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2786" w:right="376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558"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55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公司、本公司、紫鑫药业、紫鑫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p>
        </w:tc>
      </w:tr>
      <w:tr>
        <w:trPr>
          <w:trHeight w:val="55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控股股东、康平公司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敦化市康平投资有限责任公司</w:t>
            </w:r>
          </w:p>
        </w:tc>
      </w:tr>
      <w:tr>
        <w:trPr>
          <w:trHeight w:val="55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草还丹药业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吉林草还丹药业有限公司</w:t>
            </w:r>
          </w:p>
        </w:tc>
      </w:tr>
      <w:tr>
        <w:trPr>
          <w:trHeight w:val="55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初元药业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吉林紫鑫初元药业有限公司</w:t>
            </w:r>
          </w:p>
        </w:tc>
      </w:tr>
      <w:tr>
        <w:trPr>
          <w:trHeight w:val="55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般若药业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吉林紫鑫般若药业有限公司</w:t>
            </w:r>
          </w:p>
        </w:tc>
      </w:tr>
      <w:tr>
        <w:trPr>
          <w:trHeight w:val="55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禺拙药业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吉林紫鑫禺拙药业有限公司</w:t>
            </w:r>
          </w:p>
        </w:tc>
      </w:tr>
      <w:tr>
        <w:trPr>
          <w:trHeight w:val="55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紫鑫药研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吉林紫鑫药物研究有限公司</w:t>
            </w:r>
          </w:p>
        </w:tc>
      </w:tr>
      <w:tr>
        <w:trPr>
          <w:trHeight w:val="55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长春农商行</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长春农村商业银行股份有限公司</w:t>
            </w:r>
          </w:p>
        </w:tc>
      </w:tr>
      <w:tr>
        <w:trPr>
          <w:trHeight w:val="55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55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中国证监会吉林证监局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中国证券监督管理委员会吉林监管局</w:t>
            </w:r>
          </w:p>
        </w:tc>
      </w:tr>
      <w:tr>
        <w:trPr>
          <w:trHeight w:val="55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GMP</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药品生产质量管理规范</w:t>
            </w:r>
          </w:p>
        </w:tc>
      </w:tr>
      <w:tr>
        <w:trPr>
          <w:trHeight w:val="55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中科紫鑫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吉林中科紫鑫科技有限公司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2786" w:right="3763"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386" w:lineRule="auto" w:before="0"/>
        <w:ind w:left="153" w:right="0" w:firstLine="562"/>
        <w:jc w:val="left"/>
        <w:rPr>
          <w:rFonts w:ascii="宋体" w:hAnsi="宋体" w:cs="宋体" w:eastAsia="宋体" w:hint="default"/>
          <w:sz w:val="28"/>
          <w:szCs w:val="28"/>
        </w:rPr>
      </w:pPr>
      <w:r>
        <w:rPr>
          <w:rFonts w:ascii="宋体" w:hAnsi="宋体" w:cs="宋体" w:eastAsia="宋体" w:hint="default"/>
          <w:b/>
          <w:bCs/>
          <w:spacing w:val="3"/>
          <w:w w:val="95"/>
          <w:sz w:val="28"/>
          <w:szCs w:val="28"/>
        </w:rPr>
        <w:t>本报告第四节</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董事会报告</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中，详细描述了公司可能面对的风险因素及应</w:t>
      </w:r>
      <w:r>
        <w:rPr>
          <w:rFonts w:ascii="宋体" w:hAnsi="宋体" w:cs="宋体" w:eastAsia="宋体" w:hint="default"/>
          <w:b/>
          <w:bCs/>
          <w:w w:val="99"/>
          <w:sz w:val="28"/>
          <w:szCs w:val="28"/>
        </w:rPr>
        <w:t> </w:t>
      </w:r>
      <w:r>
        <w:rPr>
          <w:rFonts w:ascii="宋体" w:hAnsi="宋体" w:cs="宋体" w:eastAsia="宋体" w:hint="default"/>
          <w:b/>
          <w:bCs/>
          <w:sz w:val="28"/>
          <w:szCs w:val="28"/>
        </w:rPr>
        <w:t>对措施，敬请投资者关注相关内容。</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41"/>
        <w:ind w:right="3763"/>
        <w:jc w:val="center"/>
        <w:rPr>
          <w:b w:val="0"/>
          <w:bCs w:val="0"/>
        </w:rPr>
      </w:pPr>
      <w:bookmarkStart w:name="_TOC_250010" w:id="3"/>
      <w:bookmarkStart w:name="第二节 公司简介" w:id="4"/>
      <w:r>
        <w:rPr>
          <w:b w:val="0"/>
          <w:bCs w:val="0"/>
        </w:rPr>
      </w:r>
      <w:r>
        <w:rPr/>
        <w:t>第二节</w:t>
      </w:r>
      <w:r>
        <w:rPr>
          <w:spacing w:val="-5"/>
        </w:rPr>
        <w:t> </w:t>
      </w:r>
      <w:r>
        <w:rPr/>
        <w:t>公司简介</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8"/>
          <w:szCs w:val="18"/>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558"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9"/>
              <w:ind w:left="28" w:right="0"/>
              <w:jc w:val="left"/>
              <w:rPr>
                <w:rFonts w:ascii="宋体" w:hAnsi="宋体" w:cs="宋体" w:eastAsia="宋体" w:hint="default"/>
                <w:sz w:val="18"/>
                <w:szCs w:val="18"/>
              </w:rPr>
            </w:pPr>
            <w:r>
              <w:rPr>
                <w:rFonts w:ascii="宋体" w:hAnsi="宋体" w:cs="宋体" w:eastAsia="宋体" w:hint="default"/>
                <w:sz w:val="18"/>
                <w:szCs w:val="18"/>
              </w:rPr>
              <w:t>紫鑫药业</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002118</w:t>
            </w:r>
          </w:p>
        </w:tc>
      </w:tr>
      <w:tr>
        <w:trPr>
          <w:trHeight w:val="558"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558"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9"/>
              <w:ind w:left="28"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p>
        </w:tc>
      </w:tr>
      <w:tr>
        <w:trPr>
          <w:trHeight w:val="558"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9"/>
              <w:ind w:left="28" w:right="0"/>
              <w:jc w:val="left"/>
              <w:rPr>
                <w:rFonts w:ascii="宋体" w:hAnsi="宋体" w:cs="宋体" w:eastAsia="宋体" w:hint="default"/>
                <w:sz w:val="18"/>
                <w:szCs w:val="18"/>
              </w:rPr>
            </w:pPr>
            <w:r>
              <w:rPr>
                <w:rFonts w:ascii="宋体" w:hAnsi="宋体" w:cs="宋体" w:eastAsia="宋体" w:hint="default"/>
                <w:sz w:val="18"/>
                <w:szCs w:val="18"/>
              </w:rPr>
              <w:t>紫鑫药业</w:t>
            </w:r>
          </w:p>
        </w:tc>
      </w:tr>
      <w:tr>
        <w:trPr>
          <w:trHeight w:val="558"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JILIN ZIXIN PHARMACEUTICAL INDUSTRIAL</w:t>
            </w:r>
            <w:r>
              <w:rPr>
                <w:rFonts w:ascii="Times New Roman"/>
                <w:spacing w:val="-14"/>
                <w:sz w:val="18"/>
              </w:rPr>
              <w:t> </w:t>
            </w:r>
            <w:r>
              <w:rPr>
                <w:rFonts w:ascii="Times New Roman"/>
                <w:spacing w:val="-3"/>
                <w:sz w:val="18"/>
              </w:rPr>
              <w:t>CO.,LTD</w:t>
            </w:r>
          </w:p>
        </w:tc>
      </w:tr>
      <w:tr>
        <w:trPr>
          <w:trHeight w:val="558"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9"/>
              <w:ind w:left="28" w:right="0"/>
              <w:jc w:val="left"/>
              <w:rPr>
                <w:rFonts w:ascii="宋体" w:hAnsi="宋体" w:cs="宋体" w:eastAsia="宋体" w:hint="default"/>
                <w:sz w:val="18"/>
                <w:szCs w:val="18"/>
              </w:rPr>
            </w:pPr>
            <w:r>
              <w:rPr>
                <w:rFonts w:ascii="宋体" w:hAnsi="宋体" w:cs="宋体" w:eastAsia="宋体" w:hint="default"/>
                <w:sz w:val="18"/>
                <w:szCs w:val="18"/>
              </w:rPr>
              <w:t>郭春林</w:t>
            </w:r>
          </w:p>
        </w:tc>
      </w:tr>
      <w:tr>
        <w:trPr>
          <w:trHeight w:val="558"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9"/>
              <w:ind w:left="28" w:right="0"/>
              <w:jc w:val="left"/>
              <w:rPr>
                <w:rFonts w:ascii="宋体" w:hAnsi="宋体" w:cs="宋体" w:eastAsia="宋体" w:hint="default"/>
                <w:sz w:val="18"/>
                <w:szCs w:val="18"/>
              </w:rPr>
            </w:pPr>
            <w:r>
              <w:rPr>
                <w:rFonts w:ascii="宋体" w:hAnsi="宋体" w:cs="宋体" w:eastAsia="宋体" w:hint="default"/>
                <w:sz w:val="18"/>
                <w:szCs w:val="18"/>
              </w:rPr>
              <w:t>吉林省柳河县英利路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558"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135300</w:t>
            </w:r>
          </w:p>
        </w:tc>
      </w:tr>
      <w:tr>
        <w:trPr>
          <w:trHeight w:val="558"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9"/>
              <w:ind w:left="28" w:right="0"/>
              <w:jc w:val="left"/>
              <w:rPr>
                <w:rFonts w:ascii="宋体" w:hAnsi="宋体" w:cs="宋体" w:eastAsia="宋体" w:hint="default"/>
                <w:sz w:val="18"/>
                <w:szCs w:val="18"/>
              </w:rPr>
            </w:pPr>
            <w:r>
              <w:rPr>
                <w:rFonts w:ascii="宋体" w:hAnsi="宋体" w:cs="宋体" w:eastAsia="宋体" w:hint="default"/>
                <w:sz w:val="18"/>
                <w:szCs w:val="18"/>
              </w:rPr>
              <w:t>吉林省长春市南关区东头道街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558"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130041</w:t>
            </w:r>
          </w:p>
        </w:tc>
      </w:tr>
      <w:tr>
        <w:trPr>
          <w:trHeight w:val="558"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hyperlink r:id="rId9">
              <w:r>
                <w:rPr>
                  <w:rFonts w:ascii="Times New Roman"/>
                  <w:sz w:val="18"/>
                </w:rPr>
                <w:t>http://www.jilinzixin.com.cn</w:t>
              </w:r>
            </w:hyperlink>
          </w:p>
        </w:tc>
      </w:tr>
      <w:tr>
        <w:trPr>
          <w:trHeight w:val="558"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hyperlink r:id="rId10">
              <w:r>
                <w:rPr>
                  <w:rFonts w:ascii="Times New Roman"/>
                  <w:sz w:val="18"/>
                </w:rPr>
                <w:t>zixin@zxpc.cc</w:t>
              </w:r>
            </w:hyperlink>
          </w:p>
        </w:tc>
      </w:tr>
    </w:tbl>
    <w:p>
      <w:pPr>
        <w:spacing w:line="240" w:lineRule="auto" w:before="0"/>
        <w:rPr>
          <w:rFonts w:ascii="宋体" w:hAnsi="宋体" w:cs="宋体" w:eastAsia="宋体" w:hint="default"/>
          <w:b/>
          <w:bCs/>
          <w:sz w:val="24"/>
          <w:szCs w:val="24"/>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钟云香</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吉林省长春市南关区东头道街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0431-81916633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0431-88698366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6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0">
              <w:r>
                <w:rPr>
                  <w:rFonts w:ascii="Times New Roman"/>
                  <w:sz w:val="18"/>
                </w:rPr>
                <w:t>zixin@zxpc.cc</w:t>
              </w:r>
            </w:hyperlink>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7"/>
        <w:rPr>
          <w:rFonts w:ascii="宋体" w:hAnsi="宋体" w:cs="宋体" w:eastAsia="宋体" w:hint="default"/>
          <w:b/>
          <w:bCs/>
          <w:sz w:val="29"/>
          <w:szCs w:val="29"/>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558"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558"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558"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0"/>
        <w:rPr>
          <w:rFonts w:ascii="宋体" w:hAnsi="宋体" w:cs="宋体" w:eastAsia="宋体" w:hint="default"/>
          <w:b/>
          <w:bCs/>
          <w:sz w:val="24"/>
          <w:szCs w:val="24"/>
        </w:rPr>
      </w:pPr>
    </w:p>
    <w:p>
      <w:pPr>
        <w:pStyle w:val="Heading2"/>
        <w:spacing w:line="240" w:lineRule="auto" w:before="26"/>
        <w:ind w:left="154"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240"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0"/>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547"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239"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40"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477" w:lineRule="auto" w:before="130"/>
              <w:ind w:left="23" w:right="119"/>
              <w:jc w:val="left"/>
              <w:rPr>
                <w:rFonts w:ascii="宋体" w:hAnsi="宋体" w:cs="宋体" w:eastAsia="宋体" w:hint="default"/>
                <w:sz w:val="18"/>
                <w:szCs w:val="18"/>
              </w:rPr>
            </w:pPr>
            <w:r>
              <w:rPr>
                <w:rFonts w:ascii="宋体" w:hAnsi="宋体" w:cs="宋体" w:eastAsia="宋体" w:hint="default"/>
                <w:sz w:val="18"/>
                <w:szCs w:val="18"/>
              </w:rPr>
              <w:t>吉林省柳河县工商 行政管理局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2200001008178</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22052470222720X</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70222720-X</w:t>
            </w:r>
          </w:p>
        </w:tc>
      </w:tr>
      <w:tr>
        <w:trPr>
          <w:trHeight w:val="547"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239"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240"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477" w:lineRule="auto" w:before="130"/>
              <w:ind w:left="23" w:right="119"/>
              <w:jc w:val="left"/>
              <w:rPr>
                <w:rFonts w:ascii="宋体" w:hAnsi="宋体" w:cs="宋体" w:eastAsia="宋体" w:hint="default"/>
                <w:sz w:val="18"/>
                <w:szCs w:val="18"/>
              </w:rPr>
            </w:pPr>
            <w:r>
              <w:rPr>
                <w:rFonts w:ascii="宋体" w:hAnsi="宋体" w:cs="宋体" w:eastAsia="宋体" w:hint="default"/>
                <w:sz w:val="18"/>
                <w:szCs w:val="18"/>
              </w:rPr>
              <w:t>吉林省工商行政管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220000000052632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22052470222720X</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70222720-X</w:t>
            </w:r>
          </w:p>
        </w:tc>
      </w:tr>
      <w:tr>
        <w:trPr>
          <w:trHeight w:val="547"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239"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026" w:hRule="exact"/>
        </w:trPr>
        <w:tc>
          <w:tcPr>
            <w:tcW w:w="31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11"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559" w:hRule="exact"/>
        </w:trPr>
        <w:tc>
          <w:tcPr>
            <w:tcW w:w="31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0"/>
        <w:rPr>
          <w:rFonts w:ascii="宋体" w:hAnsi="宋体" w:cs="宋体" w:eastAsia="宋体" w:hint="default"/>
          <w:b/>
          <w:bCs/>
          <w:sz w:val="24"/>
          <w:szCs w:val="24"/>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558"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中准会计师事务所（特殊普通合伙）</w:t>
            </w:r>
          </w:p>
        </w:tc>
      </w:tr>
      <w:tr>
        <w:trPr>
          <w:trHeight w:val="558"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北京市海淀区首体南路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号国兴大厦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558"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韩波、支力</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240" w:lineRule="auto" w:before="12"/>
        <w:rPr>
          <w:rFonts w:ascii="宋体" w:hAnsi="宋体" w:cs="宋体" w:eastAsia="宋体" w:hint="default"/>
          <w:sz w:val="20"/>
          <w:szCs w:val="20"/>
        </w:rPr>
      </w:pPr>
    </w:p>
    <w:p>
      <w:pPr>
        <w:spacing w:line="489"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8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1"/>
        <w:spacing w:line="240" w:lineRule="auto"/>
        <w:ind w:left="2644" w:right="0"/>
        <w:jc w:val="left"/>
        <w:rPr>
          <w:b w:val="0"/>
          <w:bCs w:val="0"/>
        </w:rPr>
      </w:pPr>
      <w:bookmarkStart w:name="_TOC_250009" w:id="10"/>
      <w:bookmarkStart w:name="第三节 会计数据和财务指标摘要" w:id="11"/>
      <w:r>
        <w:rPr>
          <w:b w:val="0"/>
          <w:bCs w:val="0"/>
        </w:rPr>
      </w:r>
      <w:r>
        <w:rPr/>
        <w:t>第三节</w:t>
      </w:r>
      <w:r>
        <w:rPr>
          <w:spacing w:val="-11"/>
        </w:rPr>
        <w:t> </w:t>
      </w:r>
      <w:r>
        <w:rPr/>
        <w:t>会计数据和财务指标摘要</w:t>
      </w:r>
      <w:bookmarkEnd w:id="10"/>
      <w:r>
        <w:rPr>
          <w:b w:val="0"/>
          <w:bCs w:val="0"/>
        </w:rPr>
      </w:r>
    </w:p>
    <w:p>
      <w:pPr>
        <w:spacing w:line="240" w:lineRule="auto" w:before="0"/>
        <w:rPr>
          <w:rFonts w:ascii="宋体" w:hAnsi="宋体" w:cs="宋体" w:eastAsia="宋体" w:hint="default"/>
          <w:b/>
          <w:bCs/>
          <w:sz w:val="40"/>
          <w:szCs w:val="40"/>
        </w:rPr>
      </w:pPr>
    </w:p>
    <w:p>
      <w:pPr>
        <w:pStyle w:val="Heading2"/>
        <w:spacing w:line="240" w:lineRule="auto"/>
        <w:ind w:right="0"/>
        <w:jc w:val="left"/>
        <w:rPr>
          <w:b w:val="0"/>
          <w:bCs w:val="0"/>
        </w:rPr>
      </w:pPr>
      <w:bookmarkStart w:name="一、主要会计数据和财务指标" w:id="12"/>
      <w:bookmarkEnd w:id="12"/>
      <w:r>
        <w:rPr>
          <w:b w:val="0"/>
          <w:bCs w:val="0"/>
        </w:rPr>
      </w:r>
      <w:r>
        <w:rPr/>
        <w:t>一、主要会计数据和财务指标</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line="240" w:lineRule="auto" w:before="10"/>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55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55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775,714,633.85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474,666,795.22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418,500,365.23</w:t>
            </w:r>
          </w:p>
        </w:tc>
      </w:tr>
      <w:tr>
        <w:trPr>
          <w:trHeight w:val="102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47,193,156.40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50,480,288.62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86,311,393.11</w:t>
            </w:r>
          </w:p>
        </w:tc>
      </w:tr>
      <w:tr>
        <w:trPr>
          <w:trHeight w:val="102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22,367,253.90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40,005,650.45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63,131,890.98</w:t>
            </w:r>
          </w:p>
        </w:tc>
      </w:tr>
      <w:tr>
        <w:trPr>
          <w:trHeight w:val="102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4,619,573.11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-471,386,146.51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-195,448,044.65</w:t>
            </w:r>
          </w:p>
        </w:tc>
      </w:tr>
      <w:tr>
        <w:trPr>
          <w:trHeight w:val="55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r>
      <w:tr>
        <w:trPr>
          <w:trHeight w:val="55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r>
      <w:tr>
        <w:trPr>
          <w:trHeight w:val="55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w:t>
            </w:r>
          </w:p>
        </w:tc>
      </w:tr>
      <w:tr>
        <w:trPr>
          <w:trHeight w:val="55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55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4,052,417,486.03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3,778,053,002.42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3,045,392,209.56</w:t>
            </w:r>
          </w:p>
        </w:tc>
      </w:tr>
      <w:tr>
        <w:trPr>
          <w:trHeight w:val="102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1,993,174,757.32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1,945,947,867.60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1,895,433,845.65</w:t>
            </w:r>
          </w:p>
        </w:tc>
      </w:tr>
    </w:tbl>
    <w:p>
      <w:pPr>
        <w:spacing w:line="240" w:lineRule="auto" w:before="0"/>
        <w:rPr>
          <w:rFonts w:ascii="宋体" w:hAnsi="宋体" w:cs="宋体" w:eastAsia="宋体" w:hint="default"/>
          <w:sz w:val="24"/>
          <w:szCs w:val="24"/>
        </w:rPr>
      </w:pPr>
    </w:p>
    <w:p>
      <w:pPr>
        <w:pStyle w:val="Heading2"/>
        <w:spacing w:line="240" w:lineRule="auto" w:before="26"/>
        <w:ind w:left="154" w:right="0"/>
        <w:jc w:val="left"/>
        <w:rPr>
          <w:b w:val="0"/>
          <w:bCs w:val="0"/>
        </w:rPr>
      </w:pPr>
      <w:bookmarkStart w:name="二、境内外会计准则下会计数据差异" w:id="13"/>
      <w:bookmarkEnd w:id="13"/>
      <w:r>
        <w:rPr>
          <w:b w:val="0"/>
          <w:bCs w:val="0"/>
        </w:rPr>
      </w:r>
      <w:r>
        <w:rPr/>
        <w:t>二、境内外会计准则下会计数据差异</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left"/>
        <w:rPr>
          <w:b w:val="0"/>
          <w:bCs w:val="0"/>
        </w:rPr>
      </w:pPr>
      <w:bookmarkStart w:name="1、同时按照国际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489" w:lineRule="auto" w:before="0"/>
        <w:ind w:left="1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after="0" w:line="48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2、同时按照境外会计准则与按照中国会计准则披露的财务报告中净利润和净资产差异情况" w:id="15"/>
      <w:bookmarkEnd w:id="15"/>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489" w:lineRule="auto" w:before="0"/>
        <w:ind w:left="1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bookmarkStart w:name="三、非经常性损益项目及金额" w:id="16"/>
      <w:bookmarkEnd w:id="16"/>
      <w:r>
        <w:rPr>
          <w:b w:val="0"/>
          <w:bCs w:val="0"/>
        </w:rPr>
      </w:r>
      <w:r>
        <w:rPr/>
        <w:t>三、非经常性损益项目及金额</w:t>
      </w:r>
      <w:r>
        <w:rPr>
          <w:b w:val="0"/>
          <w:bCs w:val="0"/>
        </w:rPr>
      </w:r>
    </w:p>
    <w:p>
      <w:pPr>
        <w:spacing w:line="240" w:lineRule="auto" w:before="0"/>
        <w:rPr>
          <w:rFonts w:ascii="宋体" w:hAnsi="宋体" w:cs="宋体" w:eastAsia="宋体" w:hint="default"/>
          <w:b/>
          <w:bCs/>
          <w:sz w:val="24"/>
          <w:szCs w:val="24"/>
        </w:rPr>
      </w:pPr>
    </w:p>
    <w:p>
      <w:pPr>
        <w:spacing w:before="188"/>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55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-261,915.91</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75,148.93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-434,645.28</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49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31,241,012.38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16,066,485.58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28,871,821.61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170,100.00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260,000.00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-1,180,939.23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-3,861,105.96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-1,216,980.25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4,972,254.74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1,975,990.38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4,300,693.95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24,825,902.50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10,474,638.17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23,179,502.13</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240" w:lineRule="auto" w:before="9"/>
        <w:rPr>
          <w:rFonts w:ascii="宋体" w:hAnsi="宋体" w:cs="宋体" w:eastAsia="宋体" w:hint="default"/>
          <w:sz w:val="16"/>
          <w:szCs w:val="16"/>
        </w:rPr>
      </w:pPr>
    </w:p>
    <w:p>
      <w:pPr>
        <w:spacing w:line="451" w:lineRule="auto" w:before="0"/>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11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9"/>
          <w:szCs w:val="19"/>
        </w:rPr>
      </w:pPr>
    </w:p>
    <w:p>
      <w:pPr>
        <w:spacing w:line="451" w:lineRule="auto" w:before="0"/>
        <w:ind w:left="15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451"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1"/>
        <w:spacing w:line="240" w:lineRule="auto"/>
        <w:ind w:left="3607" w:right="0"/>
        <w:jc w:val="left"/>
        <w:rPr>
          <w:b w:val="0"/>
          <w:bCs w:val="0"/>
        </w:rPr>
      </w:pPr>
      <w:bookmarkStart w:name="_TOC_250008" w:id="17"/>
      <w:bookmarkStart w:name="第四节 董事会报告" w:id="18"/>
      <w:r>
        <w:rPr>
          <w:b w:val="0"/>
          <w:bCs w:val="0"/>
        </w:rPr>
      </w:r>
      <w:r>
        <w:rPr/>
        <w:t>第四节</w:t>
      </w:r>
      <w:r>
        <w:rPr>
          <w:spacing w:val="-6"/>
        </w:rPr>
        <w:t> </w:t>
      </w:r>
      <w:r>
        <w:rPr/>
        <w:t>董事会报告</w:t>
      </w:r>
      <w:bookmarkEnd w:id="17"/>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8"/>
          <w:szCs w:val="18"/>
        </w:rPr>
      </w:pPr>
    </w:p>
    <w:p>
      <w:pPr>
        <w:pStyle w:val="Heading2"/>
        <w:spacing w:line="240" w:lineRule="auto" w:before="26"/>
        <w:ind w:right="0"/>
        <w:jc w:val="left"/>
        <w:rPr>
          <w:b w:val="0"/>
          <w:bCs w:val="0"/>
        </w:rPr>
      </w:pPr>
      <w:bookmarkStart w:name="一、概述" w:id="19"/>
      <w:bookmarkEnd w:id="19"/>
      <w:r>
        <w:rPr>
          <w:b w:val="0"/>
          <w:bCs w:val="0"/>
        </w:rPr>
      </w:r>
      <w:r>
        <w:rPr/>
        <w:t>一、概述</w:t>
      </w:r>
      <w:r>
        <w:rPr>
          <w:b w:val="0"/>
          <w:bCs w:val="0"/>
        </w:rPr>
      </w:r>
    </w:p>
    <w:p>
      <w:pPr>
        <w:spacing w:line="240" w:lineRule="auto" w:before="0"/>
        <w:rPr>
          <w:rFonts w:ascii="宋体" w:hAnsi="宋体" w:cs="宋体" w:eastAsia="宋体" w:hint="default"/>
          <w:b/>
          <w:bCs/>
          <w:sz w:val="24"/>
          <w:szCs w:val="24"/>
        </w:rPr>
      </w:pPr>
    </w:p>
    <w:p>
      <w:pPr>
        <w:pStyle w:val="BodyText"/>
        <w:spacing w:line="396" w:lineRule="auto" w:before="163"/>
        <w:ind w:right="1128" w:firstLine="568"/>
        <w:jc w:val="both"/>
      </w:pPr>
      <w:r>
        <w:rPr>
          <w:rFonts w:ascii="Times New Roman" w:hAnsi="Times New Roman" w:cs="Times New Roman" w:eastAsia="Times New Roman" w:hint="default"/>
        </w:rPr>
        <w:t>2014</w:t>
      </w:r>
      <w:r>
        <w:rPr/>
        <w:t>年，医药行业市场竞争仍趋激烈，面对原材料及能源价格上涨、人力资源成本增加等多重压力 </w:t>
      </w:r>
      <w:r>
        <w:rPr>
          <w:spacing w:val="-1"/>
        </w:rPr>
        <w:t>和挑战，公司坚持以市场为导向的稳健经营方针，继续深化营销网络，保持产品质量过硬的传统，优化产</w:t>
      </w:r>
      <w:r>
        <w:rPr>
          <w:spacing w:val="-86"/>
        </w:rPr>
        <w:t> </w:t>
      </w:r>
      <w:r>
        <w:rPr>
          <w:spacing w:val="-86"/>
        </w:rPr>
      </w:r>
      <w:r>
        <w:rPr/>
        <w:t>品结构、成本控制，中成药产品仍持续稳步发展。</w:t>
      </w:r>
      <w:r>
        <w:rPr>
          <w:rFonts w:ascii="Times New Roman" w:hAnsi="Times New Roman" w:cs="Times New Roman" w:eastAsia="Times New Roman" w:hint="default"/>
        </w:rPr>
        <w:t>2014</w:t>
      </w:r>
      <w:r>
        <w:rPr/>
        <w:t>年是人参获批进入</w:t>
      </w:r>
      <w:r>
        <w:rPr>
          <w:rFonts w:ascii="Times New Roman" w:hAnsi="Times New Roman" w:cs="Times New Roman" w:eastAsia="Times New Roman" w:hint="default"/>
        </w:rPr>
        <w:t>“</w:t>
      </w:r>
      <w:r>
        <w:rPr/>
        <w:t>新资源食品</w:t>
      </w:r>
      <w:r>
        <w:rPr>
          <w:rFonts w:ascii="Times New Roman" w:hAnsi="Times New Roman" w:cs="Times New Roman" w:eastAsia="Times New Roman" w:hint="default"/>
        </w:rPr>
        <w:t>”</w:t>
      </w:r>
      <w:r>
        <w:rPr/>
        <w:t>的第三年，在政策 </w:t>
      </w:r>
      <w:r>
        <w:rPr>
          <w:spacing w:val="-1"/>
        </w:rPr>
        <w:t>指引、资金扶持等多重力量的支持下，公司在人参系列化产品的业务中取得了长足的进步，四个人参系列</w:t>
      </w:r>
      <w:r>
        <w:rPr>
          <w:spacing w:val="-83"/>
        </w:rPr>
        <w:t> </w:t>
      </w:r>
      <w:r>
        <w:rPr>
          <w:spacing w:val="-83"/>
        </w:rPr>
      </w:r>
      <w:r>
        <w:rPr/>
        <w:t>募投厂区基建基本完成，延吉厂区、敦化厂区、磐石厂区已获得</w:t>
      </w:r>
      <w:r>
        <w:rPr>
          <w:rFonts w:ascii="Times New Roman" w:hAnsi="Times New Roman" w:cs="Times New Roman" w:eastAsia="Times New Roman" w:hint="default"/>
        </w:rPr>
        <w:t>GMP</w:t>
      </w:r>
      <w:r>
        <w:rPr/>
        <w:t>认证，通化厂区已于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月获得</w:t>
      </w:r>
      <w:r>
        <w:rPr>
          <w:spacing w:val="-64"/>
        </w:rPr>
        <w:t> </w:t>
      </w:r>
      <w:r>
        <w:rPr>
          <w:spacing w:val="-64"/>
        </w:rPr>
      </w:r>
      <w:r>
        <w:rPr/>
        <w:t>了《药品生产许可证》。</w:t>
      </w:r>
    </w:p>
    <w:p>
      <w:pPr>
        <w:pStyle w:val="BodyText"/>
        <w:spacing w:line="396" w:lineRule="auto" w:before="95"/>
        <w:ind w:right="0" w:firstLine="568"/>
        <w:jc w:val="left"/>
      </w:pPr>
      <w:r>
        <w:rPr/>
        <w:t>人参系列化产品销售团队组建完毕，为人参系列化产品进入市场打好了坚实的基础，报告期内人参 </w:t>
      </w:r>
      <w:r>
        <w:rPr>
          <w:spacing w:val="-1"/>
        </w:rPr>
        <w:t>粗加工产品完成了计划的销售任务；人参深加工产品方面在包括长春、延吉等城市共完成</w:t>
      </w:r>
      <w:r>
        <w:rPr>
          <w:rFonts w:ascii="Times New Roman" w:hAnsi="Times New Roman" w:cs="Times New Roman" w:eastAsia="Times New Roman" w:hint="default"/>
          <w:spacing w:val="-1"/>
        </w:rPr>
        <w:t>3</w:t>
      </w:r>
      <w:r>
        <w:rPr>
          <w:spacing w:val="-1"/>
        </w:rPr>
        <w:t>家新建专卖店，</w:t>
      </w:r>
      <w:r>
        <w:rPr>
          <w:spacing w:val="-81"/>
        </w:rPr>
        <w:t> </w:t>
      </w:r>
      <w:r>
        <w:rPr>
          <w:spacing w:val="-81"/>
        </w:rPr>
      </w:r>
      <w:r>
        <w:rPr/>
        <w:t>流通业务人员共计走访市内</w:t>
      </w:r>
      <w:r>
        <w:rPr>
          <w:rFonts w:ascii="Times New Roman" w:hAnsi="Times New Roman" w:cs="Times New Roman" w:eastAsia="Times New Roman" w:hint="default"/>
        </w:rPr>
        <w:t>60</w:t>
      </w:r>
      <w:r>
        <w:rPr/>
        <w:t>余家经销商，现已完成了长春市多数行政区的经销商开发和</w:t>
      </w:r>
      <w:r>
        <w:rPr>
          <w:rFonts w:ascii="Times New Roman" w:hAnsi="Times New Roman" w:cs="Times New Roman" w:eastAsia="Times New Roman" w:hint="default"/>
        </w:rPr>
        <w:t>300</w:t>
      </w:r>
      <w:r>
        <w:rPr/>
        <w:t>家以上流通</w:t>
      </w:r>
      <w:r>
        <w:rPr>
          <w:spacing w:val="-29"/>
        </w:rPr>
        <w:t> </w:t>
      </w:r>
      <w:r>
        <w:rPr>
          <w:spacing w:val="-29"/>
        </w:rPr>
      </w:r>
      <w:r>
        <w:rPr/>
        <w:t>终端的铺货工作。商超业务人员共计拓展</w:t>
      </w:r>
      <w:r>
        <w:rPr>
          <w:rFonts w:ascii="Times New Roman" w:hAnsi="Times New Roman" w:cs="Times New Roman" w:eastAsia="Times New Roman" w:hint="default"/>
        </w:rPr>
        <w:t>62</w:t>
      </w:r>
      <w:r>
        <w:rPr/>
        <w:t>家商超店面，外阜市场通过参呼吸产品和专卖店渠道的招商工 作，完成了分别来自吉林省内的吉林、辽源、松原、口前和吉林省省外的株洲、杭州和大连，其他包括北 京、上海、长沙等城市，已经与相应客户达成了意向合作的意愿。</w:t>
      </w:r>
    </w:p>
    <w:p>
      <w:pPr>
        <w:pStyle w:val="BodyText"/>
        <w:spacing w:line="408" w:lineRule="auto" w:before="96"/>
        <w:ind w:left="154" w:right="1131" w:firstLine="568"/>
        <w:jc w:val="both"/>
      </w:pPr>
      <w:r>
        <w:rPr/>
        <w:t>基因测序产业是一个在国内新兴和朝阳的产业，紫鑫药业与中国科学院北京基因组研究所共同研发 </w:t>
      </w:r>
      <w:r>
        <w:rPr>
          <w:spacing w:val="-1"/>
        </w:rPr>
        <w:t>的国产化第二代测序仪将缓解测序仪核心技术受制于国外公司的现状，在未来时间里，实现甲级以上医院</w:t>
      </w:r>
      <w:r>
        <w:rPr>
          <w:spacing w:val="-81"/>
        </w:rPr>
        <w:t> </w:t>
      </w:r>
      <w:r>
        <w:rPr>
          <w:spacing w:val="-81"/>
        </w:rPr>
      </w:r>
      <w:r>
        <w:rPr>
          <w:spacing w:val="-1"/>
        </w:rPr>
        <w:t>的普及使用，降低基因检测成本，为国人健康提供有效帮助。目前基因测序仪尚处研发试生产阶段，不能</w:t>
      </w:r>
      <w:r>
        <w:rPr>
          <w:spacing w:val="-85"/>
        </w:rPr>
        <w:t> </w:t>
      </w:r>
      <w:r>
        <w:rPr>
          <w:spacing w:val="-85"/>
        </w:rPr>
      </w:r>
      <w:r>
        <w:rPr/>
        <w:t>为公司贡献利润。</w:t>
      </w:r>
    </w:p>
    <w:p>
      <w:pPr>
        <w:pStyle w:val="BodyText"/>
        <w:spacing w:line="386" w:lineRule="auto" w:before="84"/>
        <w:ind w:left="154" w:right="1130" w:firstLine="568"/>
        <w:jc w:val="both"/>
      </w:pPr>
      <w:r>
        <w:rPr/>
        <w:t>报告期内，公司管理层在董事会的领导下，坚持</w:t>
      </w:r>
      <w:r>
        <w:rPr>
          <w:rFonts w:ascii="Times New Roman" w:hAnsi="Times New Roman" w:cs="Times New Roman" w:eastAsia="Times New Roman" w:hint="default"/>
        </w:rPr>
        <w:t>“</w:t>
      </w:r>
      <w:r>
        <w:rPr/>
        <w:t>科学管理，挖潜增效</w:t>
      </w:r>
      <w:r>
        <w:rPr>
          <w:rFonts w:ascii="Times New Roman" w:hAnsi="Times New Roman" w:cs="Times New Roman" w:eastAsia="Times New Roman" w:hint="default"/>
        </w:rPr>
        <w:t>”</w:t>
      </w:r>
      <w:r>
        <w:rPr/>
        <w:t>的既定原则，</w:t>
      </w:r>
      <w:r>
        <w:rPr>
          <w:rFonts w:ascii="Times New Roman" w:hAnsi="Times New Roman" w:cs="Times New Roman" w:eastAsia="Times New Roman" w:hint="default"/>
        </w:rPr>
        <w:t>2014</w:t>
      </w:r>
      <w:r>
        <w:rPr/>
        <w:t>年公司共 实现营业收入</w:t>
      </w:r>
      <w:r>
        <w:rPr>
          <w:rFonts w:ascii="Times New Roman" w:hAnsi="Times New Roman" w:cs="Times New Roman" w:eastAsia="Times New Roman" w:hint="default"/>
        </w:rPr>
        <w:t>77,571.46</w:t>
      </w:r>
      <w:r>
        <w:rPr/>
        <w:t>万元，比上年同期上涨</w:t>
      </w:r>
      <w:r>
        <w:rPr>
          <w:rFonts w:ascii="Times New Roman" w:hAnsi="Times New Roman" w:cs="Times New Roman" w:eastAsia="Times New Roman" w:hint="default"/>
        </w:rPr>
        <w:t>63.42%</w:t>
      </w:r>
      <w:r>
        <w:rPr/>
        <w:t>；利润总额</w:t>
      </w:r>
      <w:r>
        <w:rPr>
          <w:rFonts w:ascii="Times New Roman" w:hAnsi="Times New Roman" w:cs="Times New Roman" w:eastAsia="Times New Roman" w:hint="default"/>
        </w:rPr>
        <w:t>4607.83</w:t>
      </w:r>
      <w:r>
        <w:rPr/>
        <w:t>万元，比上年同期下降</w:t>
      </w:r>
      <w:r>
        <w:rPr>
          <w:rFonts w:ascii="Times New Roman" w:hAnsi="Times New Roman" w:cs="Times New Roman" w:eastAsia="Times New Roman" w:hint="default"/>
        </w:rPr>
        <w:t>14.86%</w:t>
      </w:r>
      <w:r>
        <w:rPr/>
        <w:t>；</w:t>
      </w:r>
      <w:r>
        <w:rPr>
          <w:spacing w:val="-12"/>
        </w:rPr>
        <w:t> </w:t>
      </w:r>
      <w:r>
        <w:rPr/>
        <w:t>归属于上市公司股东的净利润</w:t>
      </w:r>
      <w:r>
        <w:rPr>
          <w:rFonts w:ascii="Times New Roman" w:hAnsi="Times New Roman" w:cs="Times New Roman" w:eastAsia="Times New Roman" w:hint="default"/>
        </w:rPr>
        <w:t>4719.32</w:t>
      </w:r>
      <w:r>
        <w:rPr/>
        <w:t>万元，比上年同期下降</w:t>
      </w:r>
      <w:r>
        <w:rPr>
          <w:rFonts w:ascii="Times New Roman" w:hAnsi="Times New Roman" w:cs="Times New Roman" w:eastAsia="Times New Roman" w:hint="default"/>
        </w:rPr>
        <w:t>6.51%</w:t>
      </w:r>
      <w:r>
        <w:rPr/>
        <w:t>。</w:t>
      </w:r>
    </w:p>
    <w:p>
      <w:pPr>
        <w:spacing w:after="0" w:line="386" w:lineRule="auto"/>
        <w:jc w:val="both"/>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2"/>
        <w:spacing w:line="240" w:lineRule="auto" w:before="26"/>
        <w:ind w:right="0"/>
        <w:jc w:val="left"/>
        <w:rPr>
          <w:b w:val="0"/>
          <w:bCs w:val="0"/>
        </w:rPr>
      </w:pPr>
      <w:bookmarkStart w:name="二、主营业务分析" w:id="20"/>
      <w:bookmarkEnd w:id="20"/>
      <w:r>
        <w:rPr>
          <w:b w:val="0"/>
          <w:bCs w:val="0"/>
        </w:rPr>
      </w:r>
      <w:r>
        <w:rPr/>
        <w:t>二、主营业务分析</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left"/>
        <w:rPr>
          <w:b w:val="0"/>
          <w:bCs w:val="0"/>
        </w:rPr>
      </w:pPr>
      <w:bookmarkStart w:name="1、概述" w:id="21"/>
      <w:bookmarkEnd w:id="21"/>
      <w:r>
        <w:rPr>
          <w:b w:val="0"/>
          <w:bCs w:val="0"/>
        </w:rPr>
      </w:r>
      <w:r>
        <w:rPr>
          <w:rFonts w:ascii="Times New Roman" w:hAnsi="Times New Roman" w:cs="Times New Roman" w:eastAsia="Times New Roman" w:hint="default"/>
        </w:rPr>
        <w:t>1</w:t>
      </w:r>
      <w:r>
        <w:rPr/>
        <w:t>、概述</w:t>
      </w:r>
      <w:r>
        <w:rPr>
          <w:b w:val="0"/>
          <w:bCs w:val="0"/>
        </w:rPr>
      </w:r>
    </w:p>
    <w:p>
      <w:pPr>
        <w:spacing w:line="240" w:lineRule="auto" w:before="0"/>
        <w:rPr>
          <w:rFonts w:ascii="宋体" w:hAnsi="宋体" w:cs="宋体" w:eastAsia="宋体" w:hint="default"/>
          <w:b/>
          <w:bCs/>
          <w:sz w:val="22"/>
          <w:szCs w:val="22"/>
        </w:rPr>
      </w:pPr>
    </w:p>
    <w:p>
      <w:pPr>
        <w:pStyle w:val="BodyText"/>
        <w:spacing w:line="405" w:lineRule="auto" w:before="190"/>
        <w:ind w:right="1130" w:firstLine="480"/>
        <w:jc w:val="both"/>
      </w:pPr>
      <w:r>
        <w:rPr>
          <w:spacing w:val="-2"/>
        </w:rPr>
        <w:t>公司所处行业为中成药、人参产业、基因测序仪三大产业。公司以中成药发展为企业的立足之本，以</w:t>
      </w:r>
      <w:r>
        <w:rPr/>
        <w:t> </w:t>
      </w:r>
      <w:r>
        <w:rPr>
          <w:spacing w:val="-1"/>
        </w:rPr>
        <w:t>中药现代化为目标，促使中药更好、更便捷地走进生活，服务大众的身体健康；继承与创新相结合，提升</w:t>
      </w:r>
      <w:r>
        <w:rPr>
          <w:spacing w:val="-83"/>
        </w:rPr>
        <w:t> </w:t>
      </w:r>
      <w:r>
        <w:rPr>
          <w:spacing w:val="-83"/>
        </w:rPr>
      </w:r>
      <w:r>
        <w:rPr>
          <w:spacing w:val="-1"/>
        </w:rPr>
        <w:t>技术创新能力，加快品牌发展，占有更高市场份额，积极履行企业社会责任，与各相关方和谐共进。人参</w:t>
      </w:r>
      <w:r>
        <w:rPr>
          <w:spacing w:val="-83"/>
        </w:rPr>
        <w:t> </w:t>
      </w:r>
      <w:r>
        <w:rPr>
          <w:spacing w:val="-83"/>
        </w:rPr>
      </w:r>
      <w:r>
        <w:rPr>
          <w:spacing w:val="-1"/>
        </w:rPr>
        <w:t>产业作为企业未来发展的排头兵，将依托公司的先进加工技术，积极开展关键技术攻关，实现合理的结构</w:t>
      </w:r>
      <w:r>
        <w:rPr>
          <w:spacing w:val="-83"/>
        </w:rPr>
        <w:t> </w:t>
      </w:r>
      <w:r>
        <w:rPr>
          <w:spacing w:val="-83"/>
        </w:rPr>
      </w:r>
      <w:r>
        <w:rPr>
          <w:spacing w:val="-1"/>
        </w:rPr>
        <w:t>调整，提升人参产品的品质，使紫鑫人参成为国际、国内知名品牌，进一步提高核心竞争力，为提高人类</w:t>
      </w:r>
      <w:r>
        <w:rPr>
          <w:spacing w:val="-83"/>
        </w:rPr>
        <w:t> </w:t>
      </w:r>
      <w:r>
        <w:rPr>
          <w:spacing w:val="-83"/>
        </w:rPr>
      </w:r>
      <w:r>
        <w:rPr>
          <w:spacing w:val="-1"/>
        </w:rPr>
        <w:t>生活品质做出应尽的社会责任。基因测序产业是一个在国内新兴和朝阳的产业，紫鑫药业与中国科学院北</w:t>
      </w:r>
      <w:r>
        <w:rPr>
          <w:spacing w:val="-81"/>
        </w:rPr>
        <w:t> </w:t>
      </w:r>
      <w:r>
        <w:rPr>
          <w:spacing w:val="-81"/>
        </w:rPr>
      </w:r>
      <w:r>
        <w:rPr>
          <w:spacing w:val="-1"/>
        </w:rPr>
        <w:t>京基因组研究所共同研发的国产化第二代测序仪将缓解测序仪核心技术受制于国外公司的现状，在未来时</w:t>
      </w:r>
      <w:r>
        <w:rPr>
          <w:spacing w:val="-80"/>
        </w:rPr>
        <w:t> </w:t>
      </w:r>
      <w:r>
        <w:rPr>
          <w:spacing w:val="-80"/>
        </w:rPr>
      </w:r>
      <w:r>
        <w:rPr>
          <w:spacing w:val="-1"/>
        </w:rPr>
        <w:t>间里，实现甲级以上医院的普及使用，降低基因检测成本，为国人健康提供有效帮助。报告期内，公司共</w:t>
      </w:r>
      <w:r>
        <w:rPr>
          <w:spacing w:val="-83"/>
        </w:rPr>
        <w:t> </w:t>
      </w:r>
      <w:r>
        <w:rPr>
          <w:spacing w:val="-83"/>
        </w:rPr>
      </w:r>
      <w:r>
        <w:rPr/>
        <w:t>实现营业收入</w:t>
      </w:r>
      <w:r>
        <w:rPr>
          <w:rFonts w:ascii="Times New Roman" w:hAnsi="Times New Roman" w:cs="Times New Roman" w:eastAsia="Times New Roman" w:hint="default"/>
        </w:rPr>
        <w:t>77,571.46</w:t>
      </w:r>
      <w:r>
        <w:rPr/>
        <w:t>万元，比上年同期上涨</w:t>
      </w:r>
      <w:r>
        <w:rPr>
          <w:rFonts w:ascii="Times New Roman" w:hAnsi="Times New Roman" w:cs="Times New Roman" w:eastAsia="Times New Roman" w:hint="default"/>
        </w:rPr>
        <w:t>63.42%</w:t>
      </w:r>
      <w:r>
        <w:rPr/>
        <w:t>；利润总额</w:t>
      </w:r>
      <w:r>
        <w:rPr>
          <w:rFonts w:ascii="Times New Roman" w:hAnsi="Times New Roman" w:cs="Times New Roman" w:eastAsia="Times New Roman" w:hint="default"/>
        </w:rPr>
        <w:t>4607.83</w:t>
      </w:r>
      <w:r>
        <w:rPr/>
        <w:t>万元，比上年同期下降</w:t>
      </w:r>
      <w:r>
        <w:rPr>
          <w:rFonts w:ascii="Times New Roman" w:hAnsi="Times New Roman" w:cs="Times New Roman" w:eastAsia="Times New Roman" w:hint="default"/>
        </w:rPr>
        <w:t>14.86%</w:t>
      </w:r>
      <w:r>
        <w:rPr/>
        <w:t>；</w:t>
      </w:r>
      <w:r>
        <w:rPr>
          <w:spacing w:val="-12"/>
        </w:rPr>
        <w:t> </w:t>
      </w:r>
      <w:r>
        <w:rPr/>
        <w:t>归属于上市公司股东的净利润</w:t>
      </w:r>
      <w:r>
        <w:rPr>
          <w:rFonts w:ascii="Times New Roman" w:hAnsi="Times New Roman" w:cs="Times New Roman" w:eastAsia="Times New Roman" w:hint="default"/>
        </w:rPr>
        <w:t>4719.32</w:t>
      </w:r>
      <w:r>
        <w:rPr/>
        <w:t>万元，比上年同期下降</w:t>
      </w:r>
      <w:r>
        <w:rPr>
          <w:rFonts w:ascii="Times New Roman" w:hAnsi="Times New Roman" w:cs="Times New Roman" w:eastAsia="Times New Roman" w:hint="default"/>
        </w:rPr>
        <w:t>6.51%</w:t>
      </w:r>
      <w:r>
        <w:rPr/>
        <w:t>。</w:t>
      </w:r>
    </w:p>
    <w:p>
      <w:pPr>
        <w:spacing w:before="83"/>
        <w:ind w:left="153" w:right="0" w:firstLine="0"/>
        <w:jc w:val="left"/>
        <w:rPr>
          <w:rFonts w:ascii="宋体" w:hAnsi="宋体" w:cs="宋体" w:eastAsia="宋体" w:hint="default"/>
          <w:sz w:val="18"/>
          <w:szCs w:val="18"/>
        </w:rPr>
      </w:pPr>
      <w:r>
        <w:rPr>
          <w:rFonts w:ascii="宋体" w:hAnsi="宋体" w:cs="宋体" w:eastAsia="宋体" w:hint="default"/>
          <w:sz w:val="18"/>
          <w:szCs w:val="18"/>
        </w:rPr>
        <w:t>公司回顾总结前期披露的发展战略和经营计划在报告期内的进展情况</w:t>
      </w:r>
    </w:p>
    <w:p>
      <w:pPr>
        <w:spacing w:line="240" w:lineRule="auto" w:before="11"/>
        <w:rPr>
          <w:rFonts w:ascii="宋体" w:hAnsi="宋体" w:cs="宋体" w:eastAsia="宋体" w:hint="default"/>
          <w:sz w:val="18"/>
          <w:szCs w:val="18"/>
        </w:rPr>
      </w:pPr>
    </w:p>
    <w:p>
      <w:pPr>
        <w:pStyle w:val="BodyText"/>
        <w:spacing w:line="410" w:lineRule="auto"/>
        <w:ind w:right="1131" w:firstLine="420"/>
        <w:jc w:val="both"/>
      </w:pPr>
      <w:r>
        <w:rPr>
          <w:spacing w:val="-1"/>
        </w:rPr>
        <w:t>内控建设方面：内控制度建设是一项长期工作，特别是公司进入人参产业后，深化了系列涉及人参产</w:t>
      </w:r>
      <w:r>
        <w:rPr/>
        <w:t> </w:t>
      </w:r>
      <w:r>
        <w:rPr>
          <w:spacing w:val="-1"/>
        </w:rPr>
        <w:t>业的相关内部控制制度，持续优化包括经营控制、财务管理控制和信息披露控制在内的内部控制体系，并</w:t>
      </w:r>
      <w:r>
        <w:rPr>
          <w:spacing w:val="-83"/>
        </w:rPr>
        <w:t> </w:t>
      </w:r>
      <w:r>
        <w:rPr>
          <w:spacing w:val="-83"/>
        </w:rPr>
      </w:r>
      <w:r>
        <w:rPr/>
        <w:t>在实施过程中，持续落实，加强执行力度，以保障公司发展战略、经营目标的实现。</w:t>
      </w:r>
    </w:p>
    <w:p>
      <w:pPr>
        <w:pStyle w:val="BodyText"/>
        <w:spacing w:line="393" w:lineRule="auto" w:before="82"/>
        <w:ind w:right="1129" w:firstLine="420"/>
        <w:jc w:val="both"/>
      </w:pPr>
      <w:r>
        <w:rPr>
          <w:spacing w:val="-1"/>
        </w:rPr>
        <w:t>研发系统：报告期内，对公司在研的食品和保健食品进行筛选，确定可申报专利的产品品种；组织各</w:t>
      </w:r>
      <w:r>
        <w:rPr/>
        <w:t> 部门人员对筛选出的</w:t>
      </w:r>
      <w:r>
        <w:rPr>
          <w:rFonts w:ascii="Times New Roman" w:hAnsi="Times New Roman" w:cs="Times New Roman" w:eastAsia="Times New Roman" w:hint="default"/>
        </w:rPr>
        <w:t>7</w:t>
      </w:r>
      <w:r>
        <w:rPr/>
        <w:t>个保健食品和</w:t>
      </w:r>
      <w:r>
        <w:rPr>
          <w:rFonts w:ascii="Times New Roman" w:hAnsi="Times New Roman" w:cs="Times New Roman" w:eastAsia="Times New Roman" w:hint="default"/>
        </w:rPr>
        <w:t>26</w:t>
      </w:r>
      <w:r>
        <w:rPr/>
        <w:t>个食品产品进行专利撰写，截止报告期末已完成</w:t>
      </w:r>
      <w:r>
        <w:rPr>
          <w:rFonts w:ascii="Times New Roman" w:hAnsi="Times New Roman" w:cs="Times New Roman" w:eastAsia="Times New Roman" w:hint="default"/>
        </w:rPr>
        <w:t>15</w:t>
      </w:r>
      <w:r>
        <w:rPr/>
        <w:t>个专利的初稿，</w:t>
      </w:r>
      <w:r>
        <w:rPr>
          <w:spacing w:val="-26"/>
        </w:rPr>
        <w:t> </w:t>
      </w:r>
      <w:r>
        <w:rPr>
          <w:spacing w:val="-26"/>
        </w:rPr>
      </w:r>
      <w:r>
        <w:rPr/>
        <w:t>准备修改后于</w:t>
      </w:r>
      <w:r>
        <w:rPr>
          <w:rFonts w:ascii="Times New Roman" w:hAnsi="Times New Roman" w:cs="Times New Roman" w:eastAsia="Times New Roman" w:hint="default"/>
        </w:rPr>
        <w:t>2015</w:t>
      </w:r>
      <w:r>
        <w:rPr/>
        <w:t>年进行申报。草还丹药业的小儿白贝止咳糖浆专利于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日进行答辩，该专利</w:t>
      </w:r>
      <w:r>
        <w:rPr>
          <w:spacing w:val="-31"/>
        </w:rPr>
        <w:t> </w:t>
      </w:r>
      <w:r>
        <w:rPr>
          <w:spacing w:val="-31"/>
        </w:rPr>
      </w:r>
      <w:r>
        <w:rPr/>
        <w:t>已获得吉林省专利奖。</w:t>
      </w:r>
    </w:p>
    <w:p>
      <w:pPr>
        <w:pStyle w:val="BodyText"/>
        <w:spacing w:line="386" w:lineRule="auto" w:before="97"/>
        <w:ind w:right="1128" w:firstLine="420"/>
        <w:jc w:val="both"/>
      </w:pPr>
      <w:r>
        <w:rPr>
          <w:spacing w:val="-3"/>
        </w:rPr>
        <w:t>生产系统：报告期内，在生产管理中坚持</w:t>
      </w:r>
      <w:r>
        <w:rPr>
          <w:rFonts w:ascii="Times New Roman" w:hAnsi="Times New Roman" w:cs="Times New Roman" w:eastAsia="Times New Roman" w:hint="default"/>
          <w:spacing w:val="-3"/>
        </w:rPr>
        <w:t>“</w:t>
      </w:r>
      <w:r>
        <w:rPr>
          <w:spacing w:val="-3"/>
        </w:rPr>
        <w:t>安全第一、预防为主、综合治理</w:t>
      </w:r>
      <w:r>
        <w:rPr>
          <w:rFonts w:ascii="Times New Roman" w:hAnsi="Times New Roman" w:cs="Times New Roman" w:eastAsia="Times New Roman" w:hint="default"/>
          <w:spacing w:val="-3"/>
        </w:rPr>
        <w:t>”</w:t>
      </w:r>
      <w:r>
        <w:rPr>
          <w:spacing w:val="-3"/>
        </w:rPr>
        <w:t>的方针，按照</w:t>
      </w:r>
      <w:r>
        <w:rPr>
          <w:rFonts w:ascii="Times New Roman" w:hAnsi="Times New Roman" w:cs="Times New Roman" w:eastAsia="Times New Roman" w:hint="default"/>
          <w:spacing w:val="-3"/>
        </w:rPr>
        <w:t>“</w:t>
      </w:r>
      <w:r>
        <w:rPr>
          <w:spacing w:val="-3"/>
        </w:rPr>
        <w:t>谁主管、谁</w:t>
      </w:r>
      <w:r>
        <w:rPr/>
        <w:t> </w:t>
      </w:r>
      <w:r>
        <w:rPr>
          <w:spacing w:val="-1"/>
        </w:rPr>
        <w:t>负责</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分级管理、分线负责</w:t>
      </w:r>
      <w:r>
        <w:rPr>
          <w:rFonts w:ascii="Times New Roman" w:hAnsi="Times New Roman" w:cs="Times New Roman" w:eastAsia="Times New Roman" w:hint="default"/>
          <w:spacing w:val="-1"/>
        </w:rPr>
        <w:t>”</w:t>
      </w:r>
      <w:r>
        <w:rPr>
          <w:spacing w:val="-1"/>
        </w:rPr>
        <w:t>的原则，初元药业在</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29</w:t>
      </w:r>
      <w:r>
        <w:rPr>
          <w:spacing w:val="-1"/>
        </w:rPr>
        <w:t>日取得了人参双耳饮料</w:t>
      </w:r>
      <w:r>
        <w:rPr>
          <w:rFonts w:ascii="Times New Roman" w:hAnsi="Times New Roman" w:cs="Times New Roman" w:eastAsia="Times New Roman" w:hint="default"/>
          <w:spacing w:val="-1"/>
        </w:rPr>
        <w:t>QS</w:t>
      </w:r>
      <w:r>
        <w:rPr>
          <w:spacing w:val="-1"/>
        </w:rPr>
        <w:t>认证，草还丹药业在本</w:t>
      </w:r>
      <w:r>
        <w:rPr/>
        <w:t> </w:t>
      </w:r>
      <w:r>
        <w:rPr>
          <w:spacing w:val="2"/>
        </w:rPr>
        <w:t>年度</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日取得新厂区药品</w:t>
      </w:r>
      <w:r>
        <w:rPr>
          <w:rFonts w:ascii="Times New Roman" w:hAnsi="Times New Roman" w:cs="Times New Roman" w:eastAsia="Times New Roman" w:hint="default"/>
          <w:spacing w:val="2"/>
        </w:rPr>
        <w:t>GMP</w:t>
      </w:r>
      <w:r>
        <w:rPr>
          <w:spacing w:val="2"/>
        </w:rPr>
        <w:t>证书，初元药业亦在</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日取得中药饮片</w:t>
      </w:r>
      <w:r>
        <w:rPr>
          <w:rFonts w:ascii="Times New Roman" w:hAnsi="Times New Roman" w:cs="Times New Roman" w:eastAsia="Times New Roman" w:hint="default"/>
          <w:spacing w:val="2"/>
        </w:rPr>
        <w:t>GMP</w:t>
      </w:r>
      <w:r>
        <w:rPr>
          <w:spacing w:val="2"/>
        </w:rPr>
        <w:t>证书，禺拙药业在</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49"/>
        </w:rPr>
        <w:t> </w:t>
      </w:r>
      <w:r>
        <w:rPr/>
        <w:t>年</w:t>
      </w:r>
      <w:r>
        <w:rPr>
          <w:rFonts w:ascii="Times New Roman" w:hAnsi="Times New Roman" w:cs="Times New Roman" w:eastAsia="Times New Roman" w:hint="default"/>
        </w:rPr>
        <w:t>1</w:t>
      </w:r>
      <w:r>
        <w:rPr/>
        <w:t>月获得了《药品生产许可证》，同时</w:t>
      </w:r>
      <w:r>
        <w:rPr>
          <w:rFonts w:ascii="Times New Roman" w:hAnsi="Times New Roman" w:cs="Times New Roman" w:eastAsia="Times New Roman" w:hint="default"/>
        </w:rPr>
        <w:t>GMP</w:t>
      </w:r>
      <w:r>
        <w:rPr/>
        <w:t>认证前期准备工作已基本完成。</w:t>
      </w:r>
    </w:p>
    <w:p>
      <w:pPr>
        <w:pStyle w:val="BodyText"/>
        <w:spacing w:line="441" w:lineRule="auto" w:before="76"/>
        <w:ind w:left="574" w:right="0"/>
        <w:jc w:val="left"/>
      </w:pPr>
      <w:r>
        <w:rPr/>
        <w:t>销售系统：中成药产品方面 </w:t>
      </w:r>
      <w:r>
        <w:rPr>
          <w:spacing w:val="-1"/>
        </w:rPr>
        <w:t>处方药：处方药对在整个公司全盘销售，占有主导比例，因此处方药销售渠道是否稳固，对公司整体</w:t>
      </w:r>
    </w:p>
    <w:p>
      <w:pPr>
        <w:pStyle w:val="BodyText"/>
        <w:spacing w:line="417" w:lineRule="auto" w:before="18"/>
        <w:ind w:left="573" w:right="0" w:hanging="420"/>
        <w:jc w:val="left"/>
      </w:pPr>
      <w:r>
        <w:rPr/>
        <w:t>的营销态势，起决定性的作用。</w:t>
      </w:r>
      <w:r>
        <w:rPr>
          <w:rFonts w:ascii="Times New Roman" w:hAnsi="Times New Roman" w:cs="Times New Roman" w:eastAsia="Times New Roman" w:hint="default"/>
        </w:rPr>
        <w:t>2014</w:t>
      </w:r>
      <w:r>
        <w:rPr/>
        <w:t>年公司对销售网络进行整合与加固。 </w:t>
      </w:r>
      <w:r>
        <w:rPr>
          <w:spacing w:val="-1"/>
        </w:rPr>
        <w:t>基本药物：</w:t>
      </w:r>
      <w:r>
        <w:rPr>
          <w:rFonts w:ascii="Times New Roman" w:hAnsi="Times New Roman" w:cs="Times New Roman" w:eastAsia="Times New Roman" w:hint="default"/>
          <w:spacing w:val="-1"/>
        </w:rPr>
        <w:t>2014</w:t>
      </w:r>
      <w:r>
        <w:rPr>
          <w:spacing w:val="-1"/>
        </w:rPr>
        <w:t>年大力开展了基本药物的市场开发，抓住了国家支持推广基本药物使用的契机，在安</w:t>
      </w:r>
    </w:p>
    <w:p>
      <w:pPr>
        <w:spacing w:after="0" w:line="41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10" w:lineRule="auto" w:before="174"/>
        <w:ind w:right="1131"/>
        <w:jc w:val="both"/>
      </w:pPr>
      <w:r>
        <w:rPr>
          <w:spacing w:val="-1"/>
        </w:rPr>
        <w:t>徽、四川、江苏、浙江、安徽、广东、天津、河南、河北等基本药物制度实施较好的地区，推广了二级以</w:t>
      </w:r>
      <w:r>
        <w:rPr>
          <w:spacing w:val="-86"/>
        </w:rPr>
        <w:t> </w:t>
      </w:r>
      <w:r>
        <w:rPr>
          <w:spacing w:val="-86"/>
        </w:rPr>
      </w:r>
      <w:r>
        <w:rPr>
          <w:spacing w:val="-1"/>
        </w:rPr>
        <w:t>上医院以原有地区销售团队为核心，基层医疗机构利用县级销售区域为单位，通过原地区业务员进行精细</w:t>
      </w:r>
      <w:r>
        <w:rPr>
          <w:spacing w:val="-81"/>
        </w:rPr>
        <w:t> </w:t>
      </w:r>
      <w:r>
        <w:rPr>
          <w:spacing w:val="-81"/>
        </w:rPr>
      </w:r>
      <w:r>
        <w:rPr/>
        <w:t>化招商的多层次销售通路共同开发的销售网络建设模式，取得很好的效果。</w:t>
      </w:r>
    </w:p>
    <w:p>
      <w:pPr>
        <w:pStyle w:val="BodyText"/>
        <w:spacing w:line="398" w:lineRule="auto" w:before="83"/>
        <w:ind w:right="0" w:firstLine="420"/>
        <w:jc w:val="left"/>
      </w:pPr>
      <w:r>
        <w:rPr>
          <w:rFonts w:ascii="Times New Roman" w:hAnsi="Times New Roman" w:cs="Times New Roman" w:eastAsia="Times New Roman" w:hint="default"/>
          <w:spacing w:val="-3"/>
        </w:rPr>
        <w:t>OTC</w:t>
      </w:r>
      <w:r>
        <w:rPr>
          <w:spacing w:val="-3"/>
        </w:rPr>
        <w:t>零售：</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OTC</w:t>
      </w:r>
      <w:r>
        <w:rPr>
          <w:spacing w:val="-3"/>
        </w:rPr>
        <w:t>市场销售坚持与</w:t>
      </w:r>
      <w:r>
        <w:rPr>
          <w:rFonts w:ascii="Times New Roman" w:hAnsi="Times New Roman" w:cs="Times New Roman" w:eastAsia="Times New Roman" w:hint="default"/>
          <w:spacing w:val="-3"/>
        </w:rPr>
        <w:t>“</w:t>
      </w:r>
      <w:r>
        <w:rPr>
          <w:spacing w:val="-3"/>
        </w:rPr>
        <w:t>全国百强连锁药房</w:t>
      </w:r>
      <w:r>
        <w:rPr>
          <w:rFonts w:ascii="Times New Roman" w:hAnsi="Times New Roman" w:cs="Times New Roman" w:eastAsia="Times New Roman" w:hint="default"/>
          <w:spacing w:val="-3"/>
        </w:rPr>
        <w:t>”</w:t>
      </w:r>
      <w:r>
        <w:rPr>
          <w:spacing w:val="-3"/>
        </w:rPr>
        <w:t>合作，在云南、贵州、甘肃、四川、广东、</w:t>
      </w:r>
      <w:r>
        <w:rPr/>
        <w:t> 河北、河南等地区选择终端占有率较高的主流连锁单位合作。从目前的合作情况来看，合作产品线越来越 广，销售业绩逐步上升。</w:t>
      </w:r>
    </w:p>
    <w:p>
      <w:pPr>
        <w:pStyle w:val="BodyText"/>
        <w:spacing w:line="398" w:lineRule="auto" w:before="94"/>
        <w:ind w:left="154" w:right="1110" w:firstLine="420"/>
        <w:jc w:val="both"/>
      </w:pPr>
      <w:r>
        <w:rPr/>
        <w:t>低价药物：</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月国家颁布了《低价药品目录》，我公司产品有</w:t>
      </w:r>
      <w:r>
        <w:rPr>
          <w:rFonts w:ascii="Times New Roman" w:hAnsi="Times New Roman" w:cs="Times New Roman" w:eastAsia="Times New Roman" w:hint="default"/>
        </w:rPr>
        <w:t>45</w:t>
      </w:r>
      <w:r>
        <w:rPr/>
        <w:t>个文号包括在内，对下一步基 层医疗机构用药的数量增长有很好的提升。在前期已经开始的河南、河北等地区的低价药物采购项目中， 都以较为理想的价格入围，为</w:t>
      </w:r>
      <w:r>
        <w:rPr>
          <w:rFonts w:ascii="Times New Roman" w:hAnsi="Times New Roman" w:cs="Times New Roman" w:eastAsia="Times New Roman" w:hint="default"/>
        </w:rPr>
        <w:t>2015</w:t>
      </w:r>
      <w:r>
        <w:rPr/>
        <w:t>年的全盘销售奠定了基础。</w:t>
      </w:r>
    </w:p>
    <w:p>
      <w:pPr>
        <w:pStyle w:val="BodyText"/>
        <w:spacing w:line="444" w:lineRule="auto" w:before="62"/>
        <w:ind w:left="573" w:right="1118" w:hanging="84"/>
        <w:jc w:val="left"/>
      </w:pPr>
      <w:r>
        <w:rPr/>
        <w:t>人参产品方面 </w:t>
      </w:r>
      <w:r>
        <w:rPr>
          <w:spacing w:val="-1"/>
        </w:rPr>
        <w:t>报告期内人参粗加工产品完成了计划的销售任务；人参深加工产品方面在包括长春、延吉等城市共完</w:t>
      </w:r>
    </w:p>
    <w:p>
      <w:pPr>
        <w:pStyle w:val="BodyText"/>
        <w:spacing w:line="393" w:lineRule="auto" w:before="13"/>
        <w:ind w:left="154" w:right="1131"/>
        <w:jc w:val="both"/>
      </w:pPr>
      <w:r>
        <w:rPr/>
        <w:t>成</w:t>
      </w:r>
      <w:r>
        <w:rPr>
          <w:rFonts w:ascii="Times New Roman" w:hAnsi="Times New Roman" w:cs="Times New Roman" w:eastAsia="Times New Roman" w:hint="default"/>
        </w:rPr>
        <w:t>3</w:t>
      </w:r>
      <w:r>
        <w:rPr/>
        <w:t>家新建专卖店，流通业务人员共计走访市内</w:t>
      </w:r>
      <w:r>
        <w:rPr>
          <w:rFonts w:ascii="Times New Roman" w:hAnsi="Times New Roman" w:cs="Times New Roman" w:eastAsia="Times New Roman" w:hint="default"/>
        </w:rPr>
        <w:t>60</w:t>
      </w:r>
      <w:r>
        <w:rPr/>
        <w:t>余家经销商，现已完成了长春市多数行政区的经销商开</w:t>
      </w:r>
      <w:r>
        <w:rPr>
          <w:spacing w:val="-30"/>
        </w:rPr>
        <w:t> </w:t>
      </w:r>
      <w:r>
        <w:rPr>
          <w:spacing w:val="-30"/>
        </w:rPr>
      </w:r>
      <w:r>
        <w:rPr/>
        <w:t>发和</w:t>
      </w:r>
      <w:r>
        <w:rPr>
          <w:rFonts w:ascii="Times New Roman" w:hAnsi="Times New Roman" w:cs="Times New Roman" w:eastAsia="Times New Roman" w:hint="default"/>
        </w:rPr>
        <w:t>300</w:t>
      </w:r>
      <w:r>
        <w:rPr/>
        <w:t>家以上流通终端的铺货工作。商超业务人员共计拓展</w:t>
      </w:r>
      <w:r>
        <w:rPr>
          <w:rFonts w:ascii="Times New Roman" w:hAnsi="Times New Roman" w:cs="Times New Roman" w:eastAsia="Times New Roman" w:hint="default"/>
        </w:rPr>
        <w:t>62</w:t>
      </w:r>
      <w:r>
        <w:rPr/>
        <w:t>家商超店面，外阜市场通过参呼吸产品和</w:t>
      </w:r>
      <w:r>
        <w:rPr>
          <w:spacing w:val="-29"/>
        </w:rPr>
        <w:t> </w:t>
      </w:r>
      <w:r>
        <w:rPr>
          <w:spacing w:val="-29"/>
        </w:rPr>
      </w:r>
      <w:r>
        <w:rPr>
          <w:spacing w:val="-1"/>
        </w:rPr>
        <w:t>专卖店渠道的招商工作，完成了分别来自吉林省内的吉林、辽源、松原、口前和吉林省省外的株洲、杭州</w:t>
      </w:r>
      <w:r>
        <w:rPr>
          <w:spacing w:val="-83"/>
        </w:rPr>
        <w:t> </w:t>
      </w:r>
      <w:r>
        <w:rPr>
          <w:spacing w:val="-83"/>
        </w:rPr>
      </w:r>
      <w:r>
        <w:rPr/>
        <w:t>和大连，其他包括北京、上海、长沙等城市，已经与相应客户达成了意向合作的意愿。</w:t>
      </w:r>
    </w:p>
    <w:p>
      <w:pPr>
        <w:spacing w:before="125"/>
        <w:ind w:left="154" w:right="0" w:firstLine="0"/>
        <w:jc w:val="both"/>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line="240" w:lineRule="auto" w:before="10"/>
        <w:rPr>
          <w:rFonts w:ascii="宋体" w:hAnsi="宋体" w:cs="宋体" w:eastAsia="宋体" w:hint="default"/>
          <w:sz w:val="19"/>
          <w:szCs w:val="19"/>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4"/>
        <w:spacing w:line="240" w:lineRule="auto"/>
        <w:ind w:right="0"/>
        <w:jc w:val="both"/>
        <w:rPr>
          <w:b w:val="0"/>
          <w:bCs w:val="0"/>
        </w:rPr>
      </w:pPr>
      <w:bookmarkStart w:name="2、收入" w:id="22"/>
      <w:bookmarkEnd w:id="22"/>
      <w:r>
        <w:rPr>
          <w:b w:val="0"/>
          <w:bCs w:val="0"/>
        </w:rPr>
      </w:r>
      <w:r>
        <w:rPr>
          <w:rFonts w:ascii="Times New Roman" w:hAnsi="Times New Roman" w:cs="Times New Roman" w:eastAsia="Times New Roman" w:hint="default"/>
        </w:rPr>
        <w:t>2</w:t>
      </w:r>
      <w:r>
        <w:rPr/>
        <w:t>、收入</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0"/>
        <w:rPr>
          <w:rFonts w:ascii="宋体" w:hAnsi="宋体" w:cs="宋体" w:eastAsia="宋体" w:hint="default"/>
          <w:sz w:val="18"/>
          <w:szCs w:val="18"/>
        </w:rPr>
      </w:pPr>
    </w:p>
    <w:p>
      <w:pPr>
        <w:pStyle w:val="BodyText"/>
        <w:spacing w:line="386" w:lineRule="auto"/>
        <w:ind w:right="0" w:firstLine="420"/>
        <w:jc w:val="left"/>
      </w:pPr>
      <w:r>
        <w:rPr>
          <w:spacing w:val="-1"/>
        </w:rPr>
        <w:t>公司</w:t>
      </w:r>
      <w:r>
        <w:rPr>
          <w:rFonts w:ascii="Times New Roman" w:hAnsi="Times New Roman" w:cs="Times New Roman" w:eastAsia="Times New Roman" w:hint="default"/>
          <w:spacing w:val="-1"/>
        </w:rPr>
        <w:t>2014</w:t>
      </w:r>
      <w:r>
        <w:rPr>
          <w:spacing w:val="-1"/>
        </w:rPr>
        <w:t>年收入</w:t>
      </w:r>
      <w:r>
        <w:rPr>
          <w:rFonts w:ascii="Times New Roman" w:hAnsi="Times New Roman" w:cs="Times New Roman" w:eastAsia="Times New Roman" w:hint="default"/>
          <w:spacing w:val="-1"/>
        </w:rPr>
        <w:t>77,571.46</w:t>
      </w:r>
      <w:r>
        <w:rPr>
          <w:spacing w:val="-1"/>
        </w:rPr>
        <w:t>万元，比上年同期上涨</w:t>
      </w:r>
      <w:r>
        <w:rPr>
          <w:rFonts w:ascii="Times New Roman" w:hAnsi="Times New Roman" w:cs="Times New Roman" w:eastAsia="Times New Roman" w:hint="default"/>
          <w:spacing w:val="-1"/>
        </w:rPr>
        <w:t>63.42%</w:t>
      </w:r>
      <w:r>
        <w:rPr>
          <w:spacing w:val="-1"/>
        </w:rPr>
        <w:t>；，其中中成药产品收入</w:t>
      </w:r>
      <w:r>
        <w:rPr>
          <w:rFonts w:ascii="Times New Roman" w:hAnsi="Times New Roman" w:cs="Times New Roman" w:eastAsia="Times New Roman" w:hint="default"/>
          <w:spacing w:val="-1"/>
        </w:rPr>
        <w:t>35,161.54</w:t>
      </w:r>
      <w:r>
        <w:rPr>
          <w:spacing w:val="-1"/>
        </w:rPr>
        <w:t>万元，人参</w:t>
      </w:r>
      <w:r>
        <w:rPr/>
        <w:t> 产品收入</w:t>
      </w:r>
      <w:r>
        <w:rPr>
          <w:rFonts w:ascii="Times New Roman" w:hAnsi="Times New Roman" w:cs="Times New Roman" w:eastAsia="Times New Roman" w:hint="default"/>
        </w:rPr>
        <w:t>42,409.92</w:t>
      </w:r>
      <w:r>
        <w:rPr/>
        <w:t>万元。</w:t>
      </w:r>
    </w:p>
    <w:p>
      <w:pPr>
        <w:spacing w:before="101"/>
        <w:ind w:left="154" w:right="0" w:firstLine="0"/>
        <w:jc w:val="both"/>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line="240" w:lineRule="auto" w:before="12"/>
        <w:rPr>
          <w:rFonts w:ascii="宋体" w:hAnsi="宋体" w:cs="宋体" w:eastAsia="宋体" w:hint="default"/>
          <w:sz w:val="20"/>
          <w:szCs w:val="20"/>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558"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558"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中成药</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16,384,755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14,688,979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11.54%</w:t>
            </w:r>
          </w:p>
        </w:tc>
      </w:tr>
      <w:tr>
        <w:trPr>
          <w:trHeight w:val="559"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17,277,228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16,727,577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08"/>
        <w:gridCol w:w="1582"/>
        <w:gridCol w:w="1595"/>
        <w:gridCol w:w="1594"/>
        <w:gridCol w:w="1594"/>
        <w:gridCol w:w="1595"/>
      </w:tblGrid>
      <w:tr>
        <w:trPr>
          <w:trHeight w:val="558" w:hRule="exact"/>
        </w:trPr>
        <w:tc>
          <w:tcPr>
            <w:tcW w:w="1608" w:type="dxa"/>
            <w:tcBorders>
              <w:top w:val="single" w:sz="4" w:space="0" w:color="000000"/>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6,266,832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5,284,672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18.59%</w:t>
            </w:r>
          </w:p>
        </w:tc>
      </w:tr>
      <w:tr>
        <w:trPr>
          <w:trHeight w:val="558"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人参粗加工产品</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公斤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316,078.74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525,488.82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-39.85%</w:t>
            </w:r>
          </w:p>
        </w:tc>
      </w:tr>
      <w:tr>
        <w:trPr>
          <w:trHeight w:val="558" w:hRule="exact"/>
        </w:trPr>
        <w:tc>
          <w:tcPr>
            <w:tcW w:w="1608" w:type="dxa"/>
            <w:vMerge/>
            <w:tcBorders>
              <w:left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公斤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583,046.59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892,072.1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-34.64%</w:t>
            </w:r>
          </w:p>
        </w:tc>
      </w:tr>
      <w:tr>
        <w:trPr>
          <w:trHeight w:val="558"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公斤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3,205,724.66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3,050,402.65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5.09%</w:t>
            </w:r>
          </w:p>
        </w:tc>
      </w:tr>
      <w:tr>
        <w:trPr>
          <w:trHeight w:val="558"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人参深加工产品</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盒 、罐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498,204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60,954.41%</w:t>
            </w:r>
          </w:p>
        </w:tc>
      </w:tr>
      <w:tr>
        <w:trPr>
          <w:trHeight w:val="558" w:hRule="exact"/>
        </w:trPr>
        <w:tc>
          <w:tcPr>
            <w:tcW w:w="1608" w:type="dxa"/>
            <w:vMerge/>
            <w:tcBorders>
              <w:left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盒 、罐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877,392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23,297.12%</w:t>
            </w:r>
          </w:p>
        </w:tc>
      </w:tr>
      <w:tr>
        <w:trPr>
          <w:trHeight w:val="558"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盒 、罐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444,470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8,313.21%</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240" w:lineRule="auto" w:before="11"/>
        <w:rPr>
          <w:rFonts w:ascii="宋体" w:hAnsi="宋体" w:cs="宋体" w:eastAsia="宋体" w:hint="default"/>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7"/>
          <w:szCs w:val="17"/>
        </w:rPr>
      </w:pPr>
    </w:p>
    <w:p>
      <w:pPr>
        <w:pStyle w:val="BodyText"/>
        <w:spacing w:line="386" w:lineRule="auto"/>
        <w:ind w:right="1159" w:firstLine="336"/>
        <w:jc w:val="left"/>
      </w:pPr>
      <w:r>
        <w:rPr/>
        <w:t>报告期内公司人参粗加工产品收购量减少，下降幅度为</w:t>
      </w:r>
      <w:r>
        <w:rPr>
          <w:rFonts w:ascii="Times New Roman" w:hAnsi="Times New Roman" w:cs="Times New Roman" w:eastAsia="Times New Roman" w:hint="default"/>
        </w:rPr>
        <w:t>34.64%</w:t>
      </w:r>
      <w:r>
        <w:rPr/>
        <w:t>；人参粗加工产品对外销量减少；下降 幅度</w:t>
      </w:r>
      <w:r>
        <w:rPr>
          <w:rFonts w:ascii="Times New Roman" w:hAnsi="Times New Roman" w:cs="Times New Roman" w:eastAsia="Times New Roman" w:hint="default"/>
        </w:rPr>
        <w:t>39.85%</w:t>
      </w:r>
      <w:r>
        <w:rPr/>
        <w:t>；人参深加工产品在以前年度的铺垫下，本报告期正式全面进入市场，取得了一定成绩。</w:t>
      </w:r>
    </w:p>
    <w:p>
      <w:pPr>
        <w:spacing w:before="101"/>
        <w:ind w:left="154" w:right="0" w:firstLine="0"/>
        <w:jc w:val="left"/>
        <w:rPr>
          <w:rFonts w:ascii="宋体" w:hAnsi="宋体" w:cs="宋体" w:eastAsia="宋体" w:hint="default"/>
          <w:sz w:val="18"/>
          <w:szCs w:val="18"/>
        </w:rPr>
      </w:pPr>
      <w:r>
        <w:rPr>
          <w:rFonts w:ascii="宋体" w:hAnsi="宋体" w:cs="宋体" w:eastAsia="宋体" w:hint="default"/>
          <w:sz w:val="18"/>
          <w:szCs w:val="18"/>
        </w:rPr>
        <w:t>公司重大的在手订单情况</w:t>
      </w:r>
    </w:p>
    <w:p>
      <w:pPr>
        <w:spacing w:line="240" w:lineRule="auto" w:before="12"/>
        <w:rPr>
          <w:rFonts w:ascii="宋体" w:hAnsi="宋体" w:cs="宋体" w:eastAsia="宋体" w:hint="default"/>
          <w:sz w:val="20"/>
          <w:szCs w:val="20"/>
        </w:rPr>
      </w:pPr>
    </w:p>
    <w:p>
      <w:pPr>
        <w:spacing w:line="489" w:lineRule="auto" w:before="0"/>
        <w:ind w:left="15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公司报告期内产品或服务发生重大变化或调整有关情况</w:t>
      </w:r>
    </w:p>
    <w:p>
      <w:pPr>
        <w:spacing w:line="489" w:lineRule="auto" w:before="86"/>
        <w:ind w:left="153" w:right="89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公司主要销售客户情况</w:t>
      </w: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559"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461,586,761.44</w:t>
            </w:r>
          </w:p>
        </w:tc>
      </w:tr>
      <w:tr>
        <w:trPr>
          <w:trHeight w:val="559"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59.50%</w:t>
            </w:r>
          </w:p>
        </w:tc>
      </w:tr>
    </w:tbl>
    <w:p>
      <w:pPr>
        <w:spacing w:line="240" w:lineRule="auto" w:before="1"/>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0"/>
        <w:rPr>
          <w:rFonts w:ascii="宋体" w:hAnsi="宋体" w:cs="宋体" w:eastAsia="宋体" w:hint="default"/>
          <w:sz w:val="19"/>
          <w:szCs w:val="19"/>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558"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558"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A</w:t>
            </w:r>
            <w:r>
              <w:rPr>
                <w:rFonts w:ascii="Times New Roman"/>
                <w:sz w:val="18"/>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219,048,454.12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28.24%</w:t>
            </w:r>
          </w:p>
        </w:tc>
      </w:tr>
      <w:tr>
        <w:trPr>
          <w:trHeight w:val="558"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138,229,023.38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17.82%</w:t>
            </w:r>
          </w:p>
        </w:tc>
      </w:tr>
      <w:tr>
        <w:trPr>
          <w:trHeight w:val="558"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64,172,712.94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8.27%</w:t>
            </w:r>
          </w:p>
        </w:tc>
      </w:tr>
      <w:tr>
        <w:trPr>
          <w:trHeight w:val="558"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D</w:t>
            </w:r>
            <w:r>
              <w:rPr>
                <w:rFonts w:ascii="Times New Roman"/>
                <w:sz w:val="18"/>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21,713,982.00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558"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18,422,589.00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2.37%</w:t>
            </w:r>
          </w:p>
        </w:tc>
      </w:tr>
      <w:tr>
        <w:trPr>
          <w:trHeight w:val="558"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461,586,761.44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59.50%</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3、成本" w:id="23"/>
      <w:bookmarkEnd w:id="23"/>
      <w:r>
        <w:rPr>
          <w:b w:val="0"/>
          <w:bCs w:val="0"/>
        </w:rPr>
      </w:r>
      <w:r>
        <w:rPr>
          <w:rFonts w:ascii="Times New Roman" w:hAnsi="Times New Roman" w:cs="Times New Roman" w:eastAsia="Times New Roman" w:hint="default"/>
        </w:rPr>
        <w:t>3</w:t>
      </w:r>
      <w:r>
        <w:rPr/>
        <w:t>、成本</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line="240" w:lineRule="auto" w:before="6"/>
        <w:rPr>
          <w:rFonts w:ascii="宋体" w:hAnsi="宋体" w:cs="宋体" w:eastAsia="宋体" w:hint="default"/>
          <w:sz w:val="17"/>
          <w:szCs w:val="17"/>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558"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558"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中成药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56,416,576.41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48,654,507.35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-16.86%</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中成药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4,248,884.90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3,844,370.24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中成药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25,766,472.99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22,022,741.64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-7.56%</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人参产品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253,784,272.20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65,785,937.50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28.46%</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人参产品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2,403,751.40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1,836,884.52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-0.56%</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人参产品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3,818,028.61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4,687,850.71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-2.09%</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line="240" w:lineRule="auto" w:before="6"/>
        <w:rPr>
          <w:rFonts w:ascii="宋体" w:hAnsi="宋体" w:cs="宋体" w:eastAsia="宋体" w:hint="default"/>
          <w:sz w:val="17"/>
          <w:szCs w:val="17"/>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558"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557"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四妙丸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13,765,160.10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11,271,089.01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-3.72%</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活血通脉片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15,889,243.85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11,291,421.67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-3.12%</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肾复康胶囊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4,408,100.50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4,190,975.47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复方益肝灵片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2,607,532.11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2,592,574.82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萆薢分清丸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2,621,358.32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2,566,559.93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当归补血丸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2,374,656.52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1,940,947.11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-0.64%</w:t>
            </w:r>
          </w:p>
        </w:tc>
      </w:tr>
      <w:tr>
        <w:trPr>
          <w:trHeight w:val="55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霍胆片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5,390,220.86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5,315,280.71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5"/>
              <w:jc w:val="left"/>
              <w:rPr>
                <w:rFonts w:ascii="宋体" w:hAnsi="宋体" w:cs="宋体" w:eastAsia="宋体" w:hint="default"/>
                <w:sz w:val="18"/>
                <w:szCs w:val="18"/>
              </w:rPr>
            </w:pPr>
            <w:r>
              <w:rPr>
                <w:rFonts w:ascii="宋体" w:hAnsi="宋体" w:cs="宋体" w:eastAsia="宋体" w:hint="default"/>
                <w:sz w:val="18"/>
                <w:szCs w:val="18"/>
              </w:rPr>
              <w:t>小儿白贝止咳糖 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5,163,990.77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3,555,742.47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-0.94%</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内消瘰疬丸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5,337,362.61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4,248,882.63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六味地黄软胶囊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3,277,317.89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3,145,313.10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人参系列产品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263,794,956.41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72,310,672.73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26.57%</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23,281,191.19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24,402,832.31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-9.93%</w:t>
            </w:r>
          </w:p>
        </w:tc>
      </w:tr>
    </w:tbl>
    <w:p>
      <w:pPr>
        <w:spacing w:line="240" w:lineRule="auto" w:before="6"/>
        <w:rPr>
          <w:rFonts w:ascii="宋体" w:hAnsi="宋体" w:cs="宋体" w:eastAsia="宋体" w:hint="default"/>
          <w:sz w:val="6"/>
          <w:szCs w:val="6"/>
        </w:rPr>
      </w:pPr>
    </w:p>
    <w:p>
      <w:pPr>
        <w:spacing w:line="504" w:lineRule="auto" w:before="44"/>
        <w:ind w:left="154" w:right="6972" w:firstLine="0"/>
        <w:jc w:val="left"/>
        <w:rPr>
          <w:rFonts w:ascii="宋体" w:hAnsi="宋体" w:cs="宋体" w:eastAsia="宋体" w:hint="default"/>
          <w:sz w:val="18"/>
          <w:szCs w:val="18"/>
        </w:rPr>
      </w:pPr>
      <w:r>
        <w:rPr>
          <w:rFonts w:ascii="宋体" w:hAnsi="宋体" w:cs="宋体" w:eastAsia="宋体" w:hint="default"/>
          <w:sz w:val="18"/>
          <w:szCs w:val="18"/>
        </w:rPr>
        <w:t>说明 </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年度公司营业成本保持平稳，无重大变动。 公司主要供应商情况</w:t>
      </w: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558"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0"/>
              <w:jc w:val="right"/>
              <w:rPr>
                <w:rFonts w:ascii="Times New Roman" w:hAnsi="Times New Roman" w:cs="Times New Roman" w:eastAsia="Times New Roman" w:hint="default"/>
                <w:sz w:val="18"/>
                <w:szCs w:val="18"/>
              </w:rPr>
            </w:pPr>
            <w:r>
              <w:rPr>
                <w:rFonts w:ascii="Times New Roman"/>
                <w:spacing w:val="-1"/>
                <w:sz w:val="18"/>
              </w:rPr>
              <w:t>375,521,437.80</w:t>
            </w:r>
          </w:p>
        </w:tc>
      </w:tr>
      <w:tr>
        <w:trPr>
          <w:trHeight w:val="558"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z w:val="18"/>
              </w:rPr>
              <w:t>91.16%</w:t>
            </w:r>
          </w:p>
        </w:tc>
      </w:tr>
    </w:tbl>
    <w:p>
      <w:pPr>
        <w:spacing w:line="240" w:lineRule="auto" w:before="5"/>
        <w:rPr>
          <w:rFonts w:ascii="宋体" w:hAnsi="宋体" w:cs="宋体" w:eastAsia="宋体" w:hint="default"/>
          <w:sz w:val="5"/>
          <w:szCs w:val="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1"/>
        <w:rPr>
          <w:rFonts w:ascii="宋体" w:hAnsi="宋体" w:cs="宋体" w:eastAsia="宋体" w:hint="default"/>
          <w:sz w:val="19"/>
          <w:szCs w:val="19"/>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558"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558"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A</w:t>
            </w:r>
            <w:r>
              <w:rPr>
                <w:rFonts w:ascii="Times New Roman"/>
                <w:sz w:val="18"/>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204,000,000.00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49.52%</w:t>
            </w:r>
          </w:p>
        </w:tc>
      </w:tr>
      <w:tr>
        <w:trPr>
          <w:trHeight w:val="558"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85,000,000.00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20.63%</w:t>
            </w:r>
          </w:p>
        </w:tc>
      </w:tr>
      <w:tr>
        <w:trPr>
          <w:trHeight w:val="558"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55,748,662.11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13.53%</w:t>
            </w:r>
          </w:p>
        </w:tc>
      </w:tr>
      <w:tr>
        <w:trPr>
          <w:trHeight w:val="558"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D</w:t>
            </w:r>
            <w:r>
              <w:rPr>
                <w:rFonts w:ascii="Times New Roman"/>
                <w:sz w:val="18"/>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17,746,696.22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4.31%</w:t>
            </w:r>
          </w:p>
        </w:tc>
      </w:tr>
      <w:tr>
        <w:trPr>
          <w:trHeight w:val="558"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13,026,079.50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3.16%</w:t>
            </w:r>
          </w:p>
        </w:tc>
      </w:tr>
      <w:tr>
        <w:trPr>
          <w:trHeight w:val="558"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375,521,437.80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91.16%</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4、费用" w:id="24"/>
      <w:bookmarkEnd w:id="24"/>
      <w:r>
        <w:rPr>
          <w:b w:val="0"/>
          <w:bCs w:val="0"/>
        </w:rPr>
      </w:r>
      <w:r>
        <w:rPr>
          <w:rFonts w:ascii="Times New Roman" w:hAnsi="Times New Roman" w:cs="Times New Roman" w:eastAsia="Times New Roman" w:hint="default"/>
        </w:rPr>
        <w:t>4</w:t>
      </w:r>
      <w:r>
        <w:rPr/>
        <w:t>、费用</w:t>
      </w:r>
      <w:r>
        <w:rPr>
          <w:b w:val="0"/>
          <w:bCs w:val="0"/>
        </w:rPr>
      </w:r>
    </w:p>
    <w:p>
      <w:pPr>
        <w:spacing w:line="240" w:lineRule="auto" w:before="0"/>
        <w:rPr>
          <w:rFonts w:ascii="宋体" w:hAnsi="宋体" w:cs="宋体" w:eastAsia="宋体" w:hint="default"/>
          <w:b/>
          <w:bCs/>
          <w:sz w:val="22"/>
          <w:szCs w:val="22"/>
        </w:rPr>
      </w:pPr>
    </w:p>
    <w:p>
      <w:pPr>
        <w:pStyle w:val="BodyText"/>
        <w:spacing w:line="388" w:lineRule="auto" w:before="189"/>
        <w:ind w:right="1128" w:firstLine="420"/>
        <w:jc w:val="left"/>
      </w:pPr>
      <w:r>
        <w:rPr/>
        <w:t>销售费用本期较上期增加</w:t>
      </w:r>
      <w:r>
        <w:rPr>
          <w:rFonts w:ascii="Times New Roman" w:hAnsi="Times New Roman" w:cs="Times New Roman" w:eastAsia="Times New Roman" w:hint="default"/>
        </w:rPr>
        <w:t>32,733,663.62</w:t>
      </w:r>
      <w:r>
        <w:rPr/>
        <w:t>元，增长幅度为</w:t>
      </w:r>
      <w:r>
        <w:rPr>
          <w:rFonts w:ascii="Times New Roman" w:hAnsi="Times New Roman" w:cs="Times New Roman" w:eastAsia="Times New Roman" w:hint="default"/>
        </w:rPr>
        <w:t>36.74%</w:t>
      </w:r>
      <w:r>
        <w:rPr/>
        <w:t>，主要原因是本期公司重点开发中成药 基本药物销售市场和人参食品销售市场，导致销售费用较上年同期增加；</w:t>
      </w:r>
    </w:p>
    <w:p>
      <w:pPr>
        <w:spacing w:line="396" w:lineRule="auto" w:before="102"/>
        <w:ind w:left="153" w:right="1183" w:firstLine="420"/>
        <w:jc w:val="left"/>
        <w:rPr>
          <w:rFonts w:ascii="宋体" w:hAnsi="宋体" w:cs="宋体" w:eastAsia="宋体" w:hint="default"/>
          <w:sz w:val="21"/>
          <w:szCs w:val="21"/>
        </w:rPr>
      </w:pPr>
      <w:r>
        <w:rPr>
          <w:rFonts w:ascii="宋体" w:hAnsi="宋体" w:cs="宋体" w:eastAsia="宋体" w:hint="default"/>
          <w:sz w:val="21"/>
          <w:szCs w:val="21"/>
        </w:rPr>
        <w:t>管理费用本期较上期增加</w:t>
      </w:r>
      <w:r>
        <w:rPr>
          <w:rFonts w:ascii="Times New Roman" w:hAnsi="Times New Roman" w:cs="Times New Roman" w:eastAsia="Times New Roman" w:hint="default"/>
          <w:sz w:val="18"/>
          <w:szCs w:val="18"/>
        </w:rPr>
        <w:t>32,140,601.58</w:t>
      </w:r>
      <w:r>
        <w:rPr>
          <w:rFonts w:ascii="宋体" w:hAnsi="宋体" w:cs="宋体" w:eastAsia="宋体" w:hint="default"/>
          <w:sz w:val="21"/>
          <w:szCs w:val="21"/>
        </w:rPr>
        <w:t>元，增长幅度为</w:t>
      </w:r>
      <w:r>
        <w:rPr>
          <w:rFonts w:ascii="Times New Roman" w:hAnsi="Times New Roman" w:cs="Times New Roman" w:eastAsia="Times New Roman" w:hint="default"/>
          <w:sz w:val="18"/>
          <w:szCs w:val="18"/>
        </w:rPr>
        <w:t>30.98%</w:t>
      </w:r>
      <w:r>
        <w:rPr>
          <w:rFonts w:ascii="宋体" w:hAnsi="宋体" w:cs="宋体" w:eastAsia="宋体" w:hint="default"/>
          <w:sz w:val="21"/>
          <w:szCs w:val="21"/>
        </w:rPr>
        <w:t>，主要是本期研发费用增加及募投项目转 固后折旧费用增加所致；</w:t>
      </w:r>
    </w:p>
    <w:p>
      <w:pPr>
        <w:spacing w:after="0" w:line="39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1128" w:firstLine="420"/>
        <w:jc w:val="left"/>
      </w:pPr>
      <w:r>
        <w:rPr/>
        <w:t>财务费用本期较上期增加</w:t>
      </w:r>
      <w:r>
        <w:rPr>
          <w:rFonts w:ascii="Times New Roman" w:hAnsi="Times New Roman" w:cs="Times New Roman" w:eastAsia="Times New Roman" w:hint="default"/>
        </w:rPr>
        <w:t>46,573,511.09</w:t>
      </w:r>
      <w:r>
        <w:rPr/>
        <w:t>元，增长幅度为</w:t>
      </w:r>
      <w:r>
        <w:rPr>
          <w:rFonts w:ascii="Times New Roman" w:hAnsi="Times New Roman" w:cs="Times New Roman" w:eastAsia="Times New Roman" w:hint="default"/>
        </w:rPr>
        <w:t>51.48%</w:t>
      </w:r>
      <w:r>
        <w:rPr/>
        <w:t>，主要是本期银行借款额度及借款期限 较上期增加所致；</w:t>
      </w:r>
    </w:p>
    <w:p>
      <w:pPr>
        <w:pStyle w:val="BodyText"/>
        <w:spacing w:line="388" w:lineRule="auto" w:before="103"/>
        <w:ind w:right="1164" w:firstLine="384"/>
        <w:jc w:val="left"/>
      </w:pPr>
      <w:r>
        <w:rPr/>
        <w:t>所得税费用本期较上期减少</w:t>
      </w:r>
      <w:r>
        <w:rPr>
          <w:rFonts w:ascii="Times New Roman" w:hAnsi="Times New Roman" w:cs="Times New Roman" w:eastAsia="Times New Roman" w:hint="default"/>
        </w:rPr>
        <w:t>4,523,296.82</w:t>
      </w:r>
      <w:r>
        <w:rPr/>
        <w:t>元，下降幅度为</w:t>
      </w:r>
      <w:r>
        <w:rPr>
          <w:rFonts w:ascii="Times New Roman" w:hAnsi="Times New Roman" w:cs="Times New Roman" w:eastAsia="Times New Roman" w:hint="default"/>
        </w:rPr>
        <w:t>123.82%</w:t>
      </w:r>
      <w:r>
        <w:rPr/>
        <w:t>，是由于公司利润总额较少，计算当 期所得税减少；</w:t>
      </w:r>
    </w:p>
    <w:p>
      <w:pPr>
        <w:spacing w:line="240" w:lineRule="auto" w:before="10"/>
        <w:rPr>
          <w:rFonts w:ascii="宋体" w:hAnsi="宋体" w:cs="宋体" w:eastAsia="宋体" w:hint="default"/>
          <w:sz w:val="27"/>
          <w:szCs w:val="27"/>
        </w:rPr>
      </w:pPr>
    </w:p>
    <w:p>
      <w:pPr>
        <w:pStyle w:val="Heading4"/>
        <w:spacing w:line="240" w:lineRule="auto"/>
        <w:ind w:right="0"/>
        <w:jc w:val="left"/>
        <w:rPr>
          <w:b w:val="0"/>
          <w:bCs w:val="0"/>
        </w:rPr>
      </w:pPr>
      <w:bookmarkStart w:name="5、研发支出" w:id="25"/>
      <w:bookmarkEnd w:id="25"/>
      <w:r>
        <w:rPr>
          <w:b w:val="0"/>
          <w:bCs w:val="0"/>
        </w:rPr>
      </w:r>
      <w:r>
        <w:rPr>
          <w:rFonts w:ascii="Times New Roman" w:hAnsi="Times New Roman" w:cs="Times New Roman" w:eastAsia="Times New Roman" w:hint="default"/>
        </w:rPr>
        <w:t>5</w:t>
      </w:r>
      <w:r>
        <w:rPr/>
        <w:t>、研发支出</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88"/>
        <w:ind w:left="573" w:right="0"/>
        <w:jc w:val="left"/>
      </w:pPr>
      <w:r>
        <w:rPr/>
        <w:t>报告期内，公司研发投入</w:t>
      </w:r>
      <w:r>
        <w:rPr>
          <w:rFonts w:ascii="Times New Roman" w:hAnsi="Times New Roman" w:cs="Times New Roman" w:eastAsia="Times New Roman" w:hint="default"/>
        </w:rPr>
        <w:t>27,635,988.23</w:t>
      </w:r>
      <w:r>
        <w:rPr/>
        <w:t>元，占</w:t>
      </w:r>
      <w:r>
        <w:rPr>
          <w:rFonts w:ascii="Times New Roman" w:hAnsi="Times New Roman" w:cs="Times New Roman" w:eastAsia="Times New Roman" w:hint="default"/>
        </w:rPr>
        <w:t>2014</w:t>
      </w:r>
      <w:r>
        <w:rPr/>
        <w:t>年经审计净资产的</w:t>
      </w:r>
      <w:r>
        <w:rPr>
          <w:rFonts w:ascii="Times New Roman" w:hAnsi="Times New Roman" w:cs="Times New Roman" w:eastAsia="Times New Roman" w:hint="default"/>
          <w:sz w:val="18"/>
          <w:szCs w:val="18"/>
        </w:rPr>
        <w:t>1.38</w:t>
      </w:r>
      <w:r>
        <w:rPr>
          <w:rFonts w:ascii="Times New Roman" w:hAnsi="Times New Roman" w:cs="Times New Roman" w:eastAsia="Times New Roman" w:hint="default"/>
        </w:rPr>
        <w:t>%</w:t>
      </w:r>
      <w:r>
        <w:rPr/>
        <w:t>，占营业收入的</w:t>
      </w:r>
      <w:r>
        <w:rPr>
          <w:rFonts w:ascii="Times New Roman" w:hAnsi="Times New Roman" w:cs="Times New Roman" w:eastAsia="Times New Roman" w:hint="default"/>
        </w:rPr>
        <w:t>3.56%</w:t>
      </w:r>
      <w:r>
        <w:rPr/>
        <w:t>。</w:t>
      </w:r>
    </w:p>
    <w:p>
      <w:pPr>
        <w:spacing w:line="240" w:lineRule="auto" w:before="0"/>
        <w:rPr>
          <w:rFonts w:ascii="宋体" w:hAnsi="宋体" w:cs="宋体" w:eastAsia="宋体" w:hint="default"/>
          <w:sz w:val="22"/>
          <w:szCs w:val="22"/>
        </w:rPr>
      </w:pPr>
    </w:p>
    <w:p>
      <w:pPr>
        <w:pStyle w:val="Heading4"/>
        <w:spacing w:line="240" w:lineRule="auto" w:before="189"/>
        <w:ind w:left="154" w:right="0"/>
        <w:jc w:val="left"/>
        <w:rPr>
          <w:b w:val="0"/>
          <w:bCs w:val="0"/>
        </w:rPr>
      </w:pPr>
      <w:bookmarkStart w:name="6、现金流" w:id="26"/>
      <w:bookmarkEnd w:id="26"/>
      <w:r>
        <w:rPr>
          <w:b w:val="0"/>
          <w:bCs w:val="0"/>
        </w:rPr>
      </w:r>
      <w:r>
        <w:rPr>
          <w:rFonts w:ascii="Times New Roman" w:hAnsi="Times New Roman" w:cs="Times New Roman" w:eastAsia="Times New Roman" w:hint="default"/>
        </w:rPr>
        <w:t>6</w:t>
      </w:r>
      <w:r>
        <w:rPr/>
        <w:t>、现金流</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55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55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566,032,417.50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500,394,821.87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13.12%</w:t>
            </w:r>
          </w:p>
        </w:tc>
      </w:tr>
      <w:tr>
        <w:trPr>
          <w:trHeight w:val="55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561,412,844.39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971,780,968.38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-42.23%</w:t>
            </w:r>
          </w:p>
        </w:tc>
      </w:tr>
      <w:tr>
        <w:trPr>
          <w:trHeight w:val="102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4,619,573.11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-471,386,146.51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100.98%</w:t>
            </w:r>
          </w:p>
        </w:tc>
      </w:tr>
      <w:tr>
        <w:trPr>
          <w:trHeight w:val="55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9,925,514.47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12,253,058.00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-19.00%</w:t>
            </w:r>
          </w:p>
        </w:tc>
      </w:tr>
      <w:tr>
        <w:trPr>
          <w:trHeight w:val="55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65,664,033.46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93,624,815.93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-29.86%</w:t>
            </w:r>
          </w:p>
        </w:tc>
      </w:tr>
      <w:tr>
        <w:trPr>
          <w:trHeight w:val="102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-55,738,518.99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-81,371,757.93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31.44%</w:t>
            </w:r>
          </w:p>
        </w:tc>
      </w:tr>
      <w:tr>
        <w:trPr>
          <w:trHeight w:val="55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2,666,000,000.00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2,035,155,000.00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31.00%</w:t>
            </w:r>
          </w:p>
        </w:tc>
      </w:tr>
      <w:tr>
        <w:trPr>
          <w:trHeight w:val="55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2,592,394,231.69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1,546,108,891.52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67.67%</w:t>
            </w:r>
          </w:p>
        </w:tc>
      </w:tr>
      <w:tr>
        <w:trPr>
          <w:trHeight w:val="102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73,605,768.31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489,046,108.48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-84.95%</w:t>
            </w:r>
          </w:p>
        </w:tc>
      </w:tr>
      <w:tr>
        <w:trPr>
          <w:trHeight w:val="55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22,486,822.43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-63,711,795.96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135.21%</w:t>
            </w:r>
          </w:p>
        </w:tc>
      </w:tr>
    </w:tbl>
    <w:p>
      <w:pPr>
        <w:spacing w:line="240" w:lineRule="auto" w:before="7"/>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240" w:lineRule="auto" w:before="11"/>
        <w:rPr>
          <w:rFonts w:ascii="宋体" w:hAnsi="宋体" w:cs="宋体" w:eastAsia="宋体" w:hint="default"/>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1122" w:firstLine="480"/>
        <w:jc w:val="left"/>
      </w:pPr>
      <w:r>
        <w:rPr>
          <w:spacing w:val="-1"/>
        </w:rPr>
        <w:t>经营活动现金流入小计本期较上期增加</w:t>
      </w:r>
      <w:r>
        <w:rPr>
          <w:rFonts w:ascii="Times New Roman" w:hAnsi="Times New Roman" w:cs="Times New Roman" w:eastAsia="Times New Roman" w:hint="default"/>
          <w:spacing w:val="-1"/>
        </w:rPr>
        <w:t>65,637,595.63</w:t>
      </w:r>
      <w:r>
        <w:rPr>
          <w:spacing w:val="-1"/>
        </w:rPr>
        <w:t>元，增加幅度为</w:t>
      </w:r>
      <w:r>
        <w:rPr>
          <w:rFonts w:ascii="Times New Roman" w:hAnsi="Times New Roman" w:cs="Times New Roman" w:eastAsia="Times New Roman" w:hint="default"/>
          <w:spacing w:val="-1"/>
        </w:rPr>
        <w:t>13.12%</w:t>
      </w:r>
      <w:r>
        <w:rPr>
          <w:spacing w:val="-1"/>
        </w:rPr>
        <w:t>，主要系中成药及人参精</w:t>
      </w:r>
      <w:r>
        <w:rPr/>
        <w:t> 加工销售及回款增加，收到的政府补助增加所致；</w:t>
      </w:r>
    </w:p>
    <w:p>
      <w:pPr>
        <w:pStyle w:val="BodyText"/>
        <w:spacing w:line="388" w:lineRule="auto" w:before="103"/>
        <w:ind w:left="154" w:right="1017" w:firstLine="480"/>
        <w:jc w:val="left"/>
      </w:pPr>
      <w:r>
        <w:rPr>
          <w:spacing w:val="-1"/>
        </w:rPr>
        <w:t>经营活动现金流出小计本期较上期减少</w:t>
      </w:r>
      <w:r>
        <w:rPr>
          <w:rFonts w:ascii="Times New Roman" w:hAnsi="Times New Roman" w:cs="Times New Roman" w:eastAsia="Times New Roman" w:hint="default"/>
          <w:spacing w:val="-1"/>
        </w:rPr>
        <w:t>410,368,123.99</w:t>
      </w:r>
      <w:r>
        <w:rPr>
          <w:spacing w:val="-1"/>
        </w:rPr>
        <w:t>元，减少幅度为</w:t>
      </w:r>
      <w:r>
        <w:rPr>
          <w:rFonts w:ascii="Times New Roman" w:hAnsi="Times New Roman" w:cs="Times New Roman" w:eastAsia="Times New Roman" w:hint="default"/>
          <w:spacing w:val="-1"/>
        </w:rPr>
        <w:t>42.23%</w:t>
      </w:r>
      <w:r>
        <w:rPr>
          <w:spacing w:val="-1"/>
        </w:rPr>
        <w:t>，主要系对外采购减少，</w:t>
      </w:r>
      <w:r>
        <w:rPr/>
        <w:t> 主要是人参粗加工产品采购减少所致；</w:t>
      </w:r>
    </w:p>
    <w:p>
      <w:pPr>
        <w:pStyle w:val="BodyText"/>
        <w:spacing w:line="386" w:lineRule="auto" w:before="102"/>
        <w:ind w:right="1122" w:firstLine="480"/>
        <w:jc w:val="left"/>
      </w:pPr>
      <w:r>
        <w:rPr>
          <w:spacing w:val="-1"/>
        </w:rPr>
        <w:t>投资活动现金流出小计本期较上期减少</w:t>
      </w:r>
      <w:r>
        <w:rPr>
          <w:rFonts w:ascii="Times New Roman" w:hAnsi="Times New Roman" w:cs="Times New Roman" w:eastAsia="Times New Roman" w:hint="default"/>
          <w:spacing w:val="-1"/>
        </w:rPr>
        <w:t>27,960,782.47</w:t>
      </w:r>
      <w:r>
        <w:rPr>
          <w:spacing w:val="-1"/>
        </w:rPr>
        <w:t>元，减少幅度为</w:t>
      </w:r>
      <w:r>
        <w:rPr>
          <w:rFonts w:ascii="Times New Roman" w:hAnsi="Times New Roman" w:cs="Times New Roman" w:eastAsia="Times New Roman" w:hint="default"/>
          <w:spacing w:val="-1"/>
        </w:rPr>
        <w:t>29.86%</w:t>
      </w:r>
      <w:r>
        <w:rPr>
          <w:spacing w:val="-1"/>
        </w:rPr>
        <w:t>，主要系四个募投项目投</w:t>
      </w:r>
      <w:r>
        <w:rPr/>
        <w:t> 入已基本完成，本期没有大量投入所致；</w:t>
      </w:r>
    </w:p>
    <w:p>
      <w:pPr>
        <w:pStyle w:val="BodyText"/>
        <w:spacing w:line="386" w:lineRule="auto" w:before="103"/>
        <w:ind w:left="154" w:right="0" w:firstLine="480"/>
        <w:jc w:val="left"/>
      </w:pPr>
      <w:r>
        <w:rPr>
          <w:spacing w:val="-1"/>
        </w:rPr>
        <w:t>筹资活动现金流入小计本期较上期增加</w:t>
      </w:r>
      <w:r>
        <w:rPr>
          <w:rFonts w:ascii="Times New Roman" w:hAnsi="Times New Roman" w:cs="Times New Roman" w:eastAsia="Times New Roman" w:hint="default"/>
          <w:spacing w:val="-1"/>
        </w:rPr>
        <w:t>630,845,000</w:t>
      </w:r>
      <w:r>
        <w:rPr>
          <w:spacing w:val="-1"/>
        </w:rPr>
        <w:t>元，增加幅度为</w:t>
      </w:r>
      <w:r>
        <w:rPr>
          <w:rFonts w:ascii="Times New Roman" w:hAnsi="Times New Roman" w:cs="Times New Roman" w:eastAsia="Times New Roman" w:hint="default"/>
          <w:spacing w:val="-1"/>
        </w:rPr>
        <w:t>31%%</w:t>
      </w:r>
      <w:r>
        <w:rPr>
          <w:spacing w:val="-1"/>
        </w:rPr>
        <w:t>，主要系银行转贷导致现金</w:t>
      </w:r>
      <w:r>
        <w:rPr/>
        <w:t> 流增加所致；</w:t>
      </w:r>
    </w:p>
    <w:p>
      <w:pPr>
        <w:pStyle w:val="BodyText"/>
        <w:spacing w:line="386" w:lineRule="auto" w:before="103"/>
        <w:ind w:left="154" w:right="1126" w:firstLine="480"/>
        <w:jc w:val="left"/>
      </w:pPr>
      <w:r>
        <w:rPr>
          <w:spacing w:val="-2"/>
        </w:rPr>
        <w:t>筹资活动现金流出小计本期较上期增加</w:t>
      </w:r>
      <w:r>
        <w:rPr>
          <w:rFonts w:ascii="Times New Roman" w:hAnsi="Times New Roman" w:cs="Times New Roman" w:eastAsia="Times New Roman" w:hint="default"/>
          <w:spacing w:val="-2"/>
        </w:rPr>
        <w:t>1,046,285,340.17</w:t>
      </w:r>
      <w:r>
        <w:rPr>
          <w:spacing w:val="-2"/>
        </w:rPr>
        <w:t>元，增加幅度为</w:t>
      </w:r>
      <w:r>
        <w:rPr>
          <w:rFonts w:ascii="Times New Roman" w:hAnsi="Times New Roman" w:cs="Times New Roman" w:eastAsia="Times New Roman" w:hint="default"/>
          <w:spacing w:val="-2"/>
        </w:rPr>
        <w:t>67.67%</w:t>
      </w:r>
      <w:r>
        <w:rPr>
          <w:spacing w:val="-2"/>
        </w:rPr>
        <w:t>，主要系银行转贷导致</w:t>
      </w:r>
      <w:r>
        <w:rPr/>
        <w:t> 现金流增加所致。</w:t>
      </w:r>
    </w:p>
    <w:p>
      <w:pPr>
        <w:spacing w:before="13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line="240" w:lineRule="auto" w:before="10"/>
        <w:rPr>
          <w:rFonts w:ascii="宋体" w:hAnsi="宋体" w:cs="宋体" w:eastAsia="宋体" w:hint="default"/>
          <w:sz w:val="20"/>
          <w:szCs w:val="20"/>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三、主营业务构成情况" w:id="27"/>
      <w:bookmarkEnd w:id="27"/>
      <w:r>
        <w:rPr>
          <w:b w:val="0"/>
          <w:bCs w:val="0"/>
        </w:rPr>
      </w:r>
      <w:r>
        <w:rPr/>
        <w:t>三、主营业务构成情况</w:t>
      </w:r>
      <w:r>
        <w:rPr>
          <w:b w:val="0"/>
          <w:bCs w:val="0"/>
        </w:rPr>
      </w:r>
    </w:p>
    <w:p>
      <w:pPr>
        <w:spacing w:line="240" w:lineRule="auto" w:before="0"/>
        <w:rPr>
          <w:rFonts w:ascii="宋体" w:hAnsi="宋体" w:cs="宋体" w:eastAsia="宋体" w:hint="default"/>
          <w:b/>
          <w:bCs/>
          <w:sz w:val="24"/>
          <w:szCs w:val="24"/>
        </w:rPr>
      </w:pPr>
    </w:p>
    <w:p>
      <w:pPr>
        <w:spacing w:before="19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1026"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318" w:right="46"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409"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557"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55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医药行业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775,714,633.85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347,911,091.13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-13.92%</w:t>
            </w:r>
          </w:p>
        </w:tc>
      </w:tr>
      <w:tr>
        <w:trPr>
          <w:trHeight w:val="557"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四妙丸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99,606,492.71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13,765,160.10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活血通脉片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25,014,352.66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15,889,243.85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40.72%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-10.04%</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肾复康胶囊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25,173,393.92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4,408,100.50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-0.35%</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复方益肝灵片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13,246,987.26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2,607,532.11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-1.14%</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2" w:right="0"/>
              <w:jc w:val="left"/>
              <w:rPr>
                <w:rFonts w:ascii="宋体" w:hAnsi="宋体" w:cs="宋体" w:eastAsia="宋体" w:hint="default"/>
                <w:sz w:val="18"/>
                <w:szCs w:val="18"/>
              </w:rPr>
            </w:pPr>
            <w:r>
              <w:rPr>
                <w:rFonts w:ascii="宋体" w:hAnsi="宋体" w:cs="宋体" w:eastAsia="宋体" w:hint="default"/>
                <w:sz w:val="18"/>
                <w:szCs w:val="18"/>
              </w:rPr>
              <w:t>萆薢分清丸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20,112,765.07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2,621,358.32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r>
      <w:tr>
        <w:trPr>
          <w:trHeight w:val="55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当归补血丸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12,549,680.36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2,374,656.52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22.35%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霍胆片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55,646,141.20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5,390,220.86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0.80%</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5"/>
              <w:jc w:val="left"/>
              <w:rPr>
                <w:rFonts w:ascii="宋体" w:hAnsi="宋体" w:cs="宋体" w:eastAsia="宋体" w:hint="default"/>
                <w:sz w:val="18"/>
                <w:szCs w:val="18"/>
              </w:rPr>
            </w:pPr>
            <w:r>
              <w:rPr>
                <w:rFonts w:ascii="宋体" w:hAnsi="宋体" w:cs="宋体" w:eastAsia="宋体" w:hint="default"/>
                <w:sz w:val="18"/>
                <w:szCs w:val="18"/>
              </w:rPr>
              <w:t>小儿白贝止咳糖 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17,709,654.99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5,163,990.77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-5.32%</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内消瘰疬丸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18,326,998.63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5,337,362.61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-0.87%</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六味地黄软胶囊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10,129,669.38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3,277,317.89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-5.86%</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人参系列产品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424,099,218.76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263,794,956.41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185.71%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264.81%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-13.49%</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54,099,278.91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23,281,191.19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775,714,633.85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347,911,091.13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-13.92%</w:t>
            </w:r>
          </w:p>
        </w:tc>
      </w:tr>
      <w:tr>
        <w:trPr>
          <w:trHeight w:val="558"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448,089,866.78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242,389,807.49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-7.18%</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194,886,686.20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106,727,125.52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60.61%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7.76%</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107,776,986.19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54,729,659.20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69,303,079.56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22,126,837.04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14,987,399.43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3,839,262.12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21.53%</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30,850,376.44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8,629,115.34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8.96%</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内部抵消金额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90,179,760.75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90,530,715.58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-66.83%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-31.61%</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775,714,633.85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347,911,091.13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-13.92%</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line="240" w:lineRule="auto" w:before="11"/>
        <w:rPr>
          <w:rFonts w:ascii="宋体" w:hAnsi="宋体" w:cs="宋体" w:eastAsia="宋体" w:hint="default"/>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四、资产、负债状况分析" w:id="28"/>
      <w:bookmarkEnd w:id="28"/>
      <w:r>
        <w:rPr>
          <w:b w:val="0"/>
          <w:bCs w:val="0"/>
        </w:rPr>
      </w:r>
      <w:r>
        <w:rPr/>
        <w:t>四、资产、负债状况分析</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left"/>
        <w:rPr>
          <w:b w:val="0"/>
          <w:bCs w:val="0"/>
        </w:rPr>
      </w:pPr>
      <w:bookmarkStart w:name="1、资产项目重大变动情况" w:id="29"/>
      <w:bookmarkEnd w:id="29"/>
      <w:r>
        <w:rPr>
          <w:b w:val="0"/>
          <w:bCs w:val="0"/>
        </w:rPr>
      </w:r>
      <w:r>
        <w:rPr>
          <w:rFonts w:ascii="Times New Roman" w:hAnsi="Times New Roman" w:cs="Times New Roman" w:eastAsia="Times New Roman" w:hint="default"/>
        </w:rPr>
        <w:t>1</w:t>
      </w:r>
      <w:r>
        <w:rPr/>
        <w:t>、资产项目重大变动情况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337"/>
        <w:gridCol w:w="1316"/>
        <w:gridCol w:w="1028"/>
        <w:gridCol w:w="1317"/>
        <w:gridCol w:w="1028"/>
        <w:gridCol w:w="894"/>
        <w:gridCol w:w="2774"/>
      </w:tblGrid>
      <w:tr>
        <w:trPr>
          <w:trHeight w:val="568" w:hRule="exact"/>
        </w:trPr>
        <w:tc>
          <w:tcPr>
            <w:tcW w:w="1337" w:type="dxa"/>
            <w:vMerge w:val="restart"/>
            <w:tcBorders>
              <w:top w:val="single" w:sz="4" w:space="0" w:color="000000"/>
              <w:left w:val="single" w:sz="4" w:space="0" w:color="000000"/>
              <w:right w:val="single" w:sz="4" w:space="0" w:color="000000"/>
            </w:tcBorders>
            <w:shd w:val="clear" w:color="auto" w:fill="D2D2D2"/>
          </w:tcPr>
          <w:p>
            <w:pPr/>
          </w:p>
        </w:tc>
        <w:tc>
          <w:tcPr>
            <w:tcW w:w="23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3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84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548" w:hRule="exact"/>
        </w:trPr>
        <w:tc>
          <w:tcPr>
            <w:tcW w:w="1337" w:type="dxa"/>
            <w:vMerge/>
            <w:tcBorders>
              <w:left w:val="single" w:sz="4" w:space="0" w:color="000000"/>
              <w:bottom w:val="single" w:sz="4" w:space="0" w:color="000000"/>
              <w:right w:val="single" w:sz="4" w:space="0" w:color="000000"/>
            </w:tcBorders>
            <w:shd w:val="clear" w:color="auto" w:fill="D2D2D2"/>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left="58" w:right="0"/>
              <w:jc w:val="left"/>
              <w:rPr>
                <w:rFonts w:ascii="宋体" w:hAnsi="宋体" w:cs="宋体" w:eastAsia="宋体" w:hint="default"/>
                <w:sz w:val="18"/>
                <w:szCs w:val="18"/>
              </w:rPr>
            </w:pPr>
            <w:r>
              <w:rPr>
                <w:rFonts w:ascii="宋体" w:hAnsi="宋体" w:cs="宋体" w:eastAsia="宋体" w:hint="default"/>
                <w:sz w:val="18"/>
                <w:szCs w:val="18"/>
              </w:rPr>
              <w:t>占总资产比</w:t>
            </w:r>
          </w:p>
        </w:tc>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left="58" w:right="0"/>
              <w:jc w:val="left"/>
              <w:rPr>
                <w:rFonts w:ascii="宋体" w:hAnsi="宋体" w:cs="宋体" w:eastAsia="宋体" w:hint="default"/>
                <w:sz w:val="18"/>
                <w:szCs w:val="18"/>
              </w:rPr>
            </w:pPr>
            <w:r>
              <w:rPr>
                <w:rFonts w:ascii="宋体" w:hAnsi="宋体" w:cs="宋体" w:eastAsia="宋体" w:hint="default"/>
                <w:sz w:val="18"/>
                <w:szCs w:val="18"/>
              </w:rPr>
              <w:t>占总资产比</w:t>
            </w:r>
          </w:p>
        </w:tc>
        <w:tc>
          <w:tcPr>
            <w:tcW w:w="894" w:type="dxa"/>
            <w:vMerge/>
            <w:tcBorders>
              <w:left w:val="single" w:sz="4" w:space="0" w:color="000000"/>
              <w:bottom w:val="single" w:sz="4" w:space="0" w:color="000000"/>
              <w:right w:val="single" w:sz="4" w:space="0" w:color="000000"/>
            </w:tcBorders>
            <w:shd w:val="clear" w:color="auto" w:fill="D2D2D2"/>
          </w:tcPr>
          <w:p>
            <w:pPr/>
          </w:p>
        </w:tc>
        <w:tc>
          <w:tcPr>
            <w:tcW w:w="2774"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1314"/>
        <w:gridCol w:w="1328"/>
        <w:gridCol w:w="1028"/>
        <w:gridCol w:w="1317"/>
        <w:gridCol w:w="1028"/>
        <w:gridCol w:w="894"/>
        <w:gridCol w:w="2774"/>
      </w:tblGrid>
      <w:tr>
        <w:trPr>
          <w:trHeight w:val="518" w:hRule="exact"/>
        </w:trPr>
        <w:tc>
          <w:tcPr>
            <w:tcW w:w="1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8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7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1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134,102,455.21</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3.31%</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111,615,632.78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2.95%</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0.36%</w:t>
            </w:r>
          </w:p>
        </w:tc>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50"/>
              <w:jc w:val="righ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558" w:hRule="exact"/>
        </w:trPr>
        <w:tc>
          <w:tcPr>
            <w:tcW w:w="1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577,315,165.77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14.25%</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265,639,939.35</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7.03%</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7.22%</w:t>
            </w:r>
          </w:p>
        </w:tc>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50"/>
              <w:jc w:val="righ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558" w:hRule="exact"/>
        </w:trPr>
        <w:tc>
          <w:tcPr>
            <w:tcW w:w="1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1,962,535,597.09</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48.43%</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1,825,585,814.20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48.32%</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50"/>
              <w:jc w:val="righ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558" w:hRule="exact"/>
        </w:trPr>
        <w:tc>
          <w:tcPr>
            <w:tcW w:w="1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8" w:type="dxa"/>
            <w:tcBorders>
              <w:top w:val="single" w:sz="4" w:space="0" w:color="000000"/>
              <w:left w:val="single" w:sz="13" w:space="0" w:color="D2D2D2"/>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50"/>
              <w:jc w:val="righ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558" w:hRule="exact"/>
        </w:trPr>
        <w:tc>
          <w:tcPr>
            <w:tcW w:w="1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679,132,545.54</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16.76%</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575,326,369.45</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15.23%</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w:t>
            </w:r>
          </w:p>
        </w:tc>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50"/>
              <w:jc w:val="righ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558" w:hRule="exact"/>
        </w:trPr>
        <w:tc>
          <w:tcPr>
            <w:tcW w:w="1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212,216,061.52</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5.24%</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304,546,690.39</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8.06%</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w:t>
            </w:r>
          </w:p>
        </w:tc>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50"/>
              <w:jc w:val="right"/>
              <w:rPr>
                <w:rFonts w:ascii="宋体" w:hAnsi="宋体" w:cs="宋体" w:eastAsia="宋体" w:hint="default"/>
                <w:sz w:val="18"/>
                <w:szCs w:val="18"/>
              </w:rPr>
            </w:pPr>
            <w:r>
              <w:rPr>
                <w:rFonts w:ascii="宋体" w:hAnsi="宋体" w:cs="宋体" w:eastAsia="宋体" w:hint="default"/>
                <w:sz w:val="18"/>
                <w:szCs w:val="18"/>
              </w:rPr>
              <w:t>未发生重大变动</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2、负债项目重大变动情况" w:id="30"/>
      <w:bookmarkEnd w:id="30"/>
      <w:r>
        <w:rPr>
          <w:b w:val="0"/>
          <w:bCs w:val="0"/>
        </w:rPr>
      </w:r>
      <w:r>
        <w:rPr>
          <w:rFonts w:ascii="Times New Roman" w:hAnsi="Times New Roman" w:cs="Times New Roman" w:eastAsia="Times New Roman" w:hint="default"/>
        </w:rPr>
        <w:t>2</w:t>
      </w:r>
      <w:r>
        <w:rPr/>
        <w:t>、负债项目重大变动情况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2"/>
        <w:rPr>
          <w:rFonts w:ascii="宋体" w:hAnsi="宋体" w:cs="宋体" w:eastAsia="宋体"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1326"/>
        <w:gridCol w:w="1316"/>
        <w:gridCol w:w="1028"/>
        <w:gridCol w:w="1317"/>
        <w:gridCol w:w="1028"/>
        <w:gridCol w:w="761"/>
        <w:gridCol w:w="2907"/>
      </w:tblGrid>
      <w:tr>
        <w:trPr>
          <w:trHeight w:val="284" w:hRule="exact"/>
        </w:trPr>
        <w:tc>
          <w:tcPr>
            <w:tcW w:w="1326" w:type="dxa"/>
            <w:vMerge w:val="restart"/>
            <w:tcBorders>
              <w:top w:val="single" w:sz="4" w:space="0" w:color="000000"/>
              <w:left w:val="single" w:sz="4" w:space="0" w:color="000000"/>
              <w:right w:val="single" w:sz="4" w:space="0" w:color="000000"/>
            </w:tcBorders>
            <w:shd w:val="clear" w:color="auto" w:fill="D2D2D2"/>
          </w:tcPr>
          <w:p>
            <w:pPr/>
          </w:p>
        </w:tc>
        <w:tc>
          <w:tcPr>
            <w:tcW w:w="23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2907" w:type="dxa"/>
            <w:vMerge w:val="restart"/>
            <w:tcBorders>
              <w:top w:val="single" w:sz="4" w:space="0" w:color="000000"/>
              <w:left w:val="single" w:sz="4" w:space="0" w:color="000000"/>
              <w:right w:val="single" w:sz="4" w:space="0" w:color="000000"/>
            </w:tcBorders>
            <w:shd w:val="clear" w:color="auto" w:fill="D2D2D2"/>
          </w:tcPr>
          <w:p>
            <w:pPr/>
          </w:p>
        </w:tc>
      </w:tr>
      <w:tr>
        <w:trPr>
          <w:trHeight w:val="251" w:hRule="exact"/>
        </w:trPr>
        <w:tc>
          <w:tcPr>
            <w:tcW w:w="1326" w:type="dxa"/>
            <w:vMerge/>
            <w:tcBorders>
              <w:left w:val="single" w:sz="4" w:space="0" w:color="000000"/>
              <w:bottom w:val="nil" w:sz="6" w:space="0" w:color="auto"/>
              <w:right w:val="single" w:sz="4" w:space="0" w:color="000000"/>
            </w:tcBorders>
            <w:shd w:val="clear" w:color="auto" w:fill="D2D2D2"/>
          </w:tcPr>
          <w:p>
            <w:pPr/>
          </w:p>
        </w:tc>
        <w:tc>
          <w:tcPr>
            <w:tcW w:w="2345" w:type="dxa"/>
            <w:gridSpan w:val="2"/>
            <w:vMerge/>
            <w:tcBorders>
              <w:left w:val="single" w:sz="4" w:space="0" w:color="000000"/>
              <w:bottom w:val="single" w:sz="4" w:space="0" w:color="000000"/>
              <w:right w:val="single" w:sz="4" w:space="0" w:color="000000"/>
            </w:tcBorders>
            <w:shd w:val="clear" w:color="auto" w:fill="D2D2D2"/>
          </w:tcPr>
          <w:p>
            <w:pPr/>
          </w:p>
        </w:tc>
        <w:tc>
          <w:tcPr>
            <w:tcW w:w="2345" w:type="dxa"/>
            <w:gridSpan w:val="2"/>
            <w:vMerge/>
            <w:tcBorders>
              <w:left w:val="single" w:sz="4" w:space="0" w:color="000000"/>
              <w:bottom w:val="single" w:sz="4" w:space="0" w:color="000000"/>
              <w:right w:val="single" w:sz="4" w:space="0" w:color="000000"/>
            </w:tcBorders>
            <w:shd w:val="clear" w:color="auto" w:fill="D2D2D2"/>
          </w:tcPr>
          <w:p>
            <w:pP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477" w:lineRule="auto" w:before="129"/>
              <w:ind w:left="284" w:right="104"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07" w:type="dxa"/>
            <w:vMerge/>
            <w:tcBorders>
              <w:left w:val="single" w:sz="4" w:space="0" w:color="000000"/>
              <w:bottom w:val="nil" w:sz="6" w:space="0" w:color="auto"/>
              <w:right w:val="single" w:sz="4" w:space="0" w:color="000000"/>
            </w:tcBorders>
            <w:shd w:val="clear" w:color="auto" w:fill="D2D2D2"/>
          </w:tcPr>
          <w:p>
            <w:pPr/>
          </w:p>
        </w:tc>
      </w:tr>
      <w:tr>
        <w:trPr>
          <w:trHeight w:val="262" w:hRule="exact"/>
        </w:trPr>
        <w:tc>
          <w:tcPr>
            <w:tcW w:w="1326" w:type="dxa"/>
            <w:vMerge w:val="restart"/>
            <w:tcBorders>
              <w:top w:val="nil" w:sz="6" w:space="0" w:color="auto"/>
              <w:left w:val="single" w:sz="4" w:space="0" w:color="000000"/>
              <w:right w:val="single" w:sz="4" w:space="0" w:color="000000"/>
            </w:tcBorders>
            <w:shd w:val="clear" w:color="auto" w:fill="D2D2D2"/>
          </w:tcPr>
          <w:p>
            <w:pPr/>
          </w:p>
        </w:tc>
        <w:tc>
          <w:tcPr>
            <w:tcW w:w="13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8"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52"/>
              <w:ind w:left="418" w:right="59"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3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8"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52"/>
              <w:ind w:left="418" w:right="59"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61" w:type="dxa"/>
            <w:vMerge/>
            <w:tcBorders>
              <w:left w:val="single" w:sz="4" w:space="0" w:color="000000"/>
              <w:right w:val="single" w:sz="4" w:space="0" w:color="000000"/>
            </w:tcBorders>
            <w:shd w:val="clear" w:color="auto" w:fill="D2D2D2"/>
          </w:tcPr>
          <w:p>
            <w:pPr/>
          </w:p>
        </w:tc>
        <w:tc>
          <w:tcPr>
            <w:tcW w:w="29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2"/>
              <w:ind w:left="90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69" w:hRule="exact"/>
        </w:trPr>
        <w:tc>
          <w:tcPr>
            <w:tcW w:w="1326" w:type="dxa"/>
            <w:vMerge/>
            <w:tcBorders>
              <w:left w:val="single" w:sz="4" w:space="0" w:color="000000"/>
              <w:bottom w:val="nil" w:sz="6" w:space="0" w:color="auto"/>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28" w:type="dxa"/>
            <w:vMerge/>
            <w:tcBorders>
              <w:left w:val="single" w:sz="4" w:space="0" w:color="000000"/>
              <w:right w:val="single" w:sz="4" w:space="0" w:color="000000"/>
            </w:tcBorders>
            <w:shd w:val="clear" w:color="auto" w:fill="D2D2D2"/>
          </w:tcPr>
          <w:p>
            <w:pPr/>
          </w:p>
        </w:tc>
        <w:tc>
          <w:tcPr>
            <w:tcW w:w="13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28" w:type="dxa"/>
            <w:vMerge/>
            <w:tcBorders>
              <w:left w:val="single" w:sz="4" w:space="0" w:color="000000"/>
              <w:right w:val="single" w:sz="4" w:space="0" w:color="000000"/>
            </w:tcBorders>
            <w:shd w:val="clear" w:color="auto" w:fill="D2D2D2"/>
          </w:tcPr>
          <w:p>
            <w:pPr/>
          </w:p>
        </w:tc>
        <w:tc>
          <w:tcPr>
            <w:tcW w:w="761" w:type="dxa"/>
            <w:vMerge/>
            <w:tcBorders>
              <w:left w:val="single" w:sz="4" w:space="0" w:color="000000"/>
              <w:right w:val="single" w:sz="4" w:space="0" w:color="000000"/>
            </w:tcBorders>
            <w:shd w:val="clear" w:color="auto" w:fill="D2D2D2"/>
          </w:tcPr>
          <w:p>
            <w:pPr/>
          </w:p>
        </w:tc>
        <w:tc>
          <w:tcPr>
            <w:tcW w:w="2907" w:type="dxa"/>
            <w:vMerge/>
            <w:tcBorders>
              <w:left w:val="single" w:sz="4" w:space="0" w:color="000000"/>
              <w:bottom w:val="nil" w:sz="6" w:space="0" w:color="auto"/>
              <w:right w:val="single" w:sz="4" w:space="0" w:color="000000"/>
            </w:tcBorders>
            <w:shd w:val="clear" w:color="auto" w:fill="D2D2D2"/>
          </w:tcPr>
          <w:p>
            <w:pPr/>
          </w:p>
        </w:tc>
      </w:tr>
      <w:tr>
        <w:trPr>
          <w:trHeight w:val="256" w:hRule="exact"/>
        </w:trPr>
        <w:tc>
          <w:tcPr>
            <w:tcW w:w="1326" w:type="dxa"/>
            <w:vMerge w:val="restart"/>
            <w:tcBorders>
              <w:top w:val="nil" w:sz="6" w:space="0" w:color="auto"/>
              <w:left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c>
          <w:tcPr>
            <w:tcW w:w="1028" w:type="dxa"/>
            <w:vMerge/>
            <w:tcBorders>
              <w:left w:val="single" w:sz="4" w:space="0" w:color="000000"/>
              <w:right w:val="single" w:sz="4" w:space="0" w:color="000000"/>
            </w:tcBorders>
            <w:shd w:val="clear" w:color="auto" w:fill="D2D2D2"/>
          </w:tcPr>
          <w:p>
            <w:pPr/>
          </w:p>
        </w:tc>
        <w:tc>
          <w:tcPr>
            <w:tcW w:w="1317" w:type="dxa"/>
            <w:vMerge/>
            <w:tcBorders>
              <w:left w:val="single" w:sz="4" w:space="0" w:color="000000"/>
              <w:bottom w:val="nil" w:sz="6" w:space="0" w:color="auto"/>
              <w:right w:val="single" w:sz="4" w:space="0" w:color="000000"/>
            </w:tcBorders>
            <w:shd w:val="clear" w:color="auto" w:fill="D2D2D2"/>
          </w:tcPr>
          <w:p>
            <w:pPr/>
          </w:p>
        </w:tc>
        <w:tc>
          <w:tcPr>
            <w:tcW w:w="1028" w:type="dxa"/>
            <w:vMerge/>
            <w:tcBorders>
              <w:left w:val="single" w:sz="4" w:space="0" w:color="000000"/>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2907" w:type="dxa"/>
            <w:vMerge w:val="restart"/>
            <w:tcBorders>
              <w:top w:val="nil" w:sz="6" w:space="0" w:color="auto"/>
              <w:left w:val="single" w:sz="4" w:space="0" w:color="000000"/>
              <w:right w:val="single" w:sz="4" w:space="0" w:color="000000"/>
            </w:tcBorders>
            <w:shd w:val="clear" w:color="auto" w:fill="D2D2D2"/>
          </w:tcPr>
          <w:p>
            <w:pPr/>
          </w:p>
        </w:tc>
      </w:tr>
      <w:tr>
        <w:trPr>
          <w:trHeight w:val="250" w:hRule="exact"/>
        </w:trPr>
        <w:tc>
          <w:tcPr>
            <w:tcW w:w="1326" w:type="dxa"/>
            <w:vMerge/>
            <w:tcBorders>
              <w:left w:val="single" w:sz="4" w:space="0" w:color="000000"/>
              <w:bottom w:val="single" w:sz="4" w:space="0" w:color="000000"/>
              <w:right w:val="single" w:sz="4" w:space="0" w:color="000000"/>
            </w:tcBorders>
            <w:shd w:val="clear" w:color="auto" w:fill="D2D2D2"/>
          </w:tcPr>
          <w:p>
            <w:pPr/>
          </w:p>
        </w:tc>
        <w:tc>
          <w:tcPr>
            <w:tcW w:w="13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8" w:type="dxa"/>
            <w:vMerge/>
            <w:tcBorders>
              <w:left w:val="single" w:sz="4" w:space="0" w:color="000000"/>
              <w:bottom w:val="single" w:sz="4" w:space="0" w:color="000000"/>
              <w:right w:val="single" w:sz="4" w:space="0" w:color="000000"/>
            </w:tcBorders>
            <w:shd w:val="clear" w:color="auto" w:fill="D2D2D2"/>
          </w:tcPr>
          <w:p>
            <w:pPr/>
          </w:p>
        </w:tc>
        <w:tc>
          <w:tcPr>
            <w:tcW w:w="13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8" w:type="dxa"/>
            <w:vMerge/>
            <w:tcBorders>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2907" w:type="dxa"/>
            <w:vMerge/>
            <w:tcBorders>
              <w:left w:val="single" w:sz="4" w:space="0" w:color="000000"/>
              <w:bottom w:val="single" w:sz="4" w:space="0" w:color="000000"/>
              <w:right w:val="single" w:sz="4" w:space="0" w:color="000000"/>
            </w:tcBorders>
            <w:shd w:val="clear" w:color="auto" w:fill="D2D2D2"/>
          </w:tcPr>
          <w:p>
            <w:pPr/>
          </w:p>
        </w:tc>
      </w:tr>
      <w:tr>
        <w:trPr>
          <w:trHeight w:val="558" w:hRule="exact"/>
        </w:trPr>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1,355,000,000.00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33.44%</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1,148,000,000.00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30.39%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3.05%</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559" w:hRule="exact"/>
        </w:trPr>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199,500,000.00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4.92%</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550,000,000.00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-9.64%</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未发生重大变动</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3、以公允价值计量的资产和负债" w:id="31"/>
      <w:bookmarkEnd w:id="31"/>
      <w:r>
        <w:rPr>
          <w:b w:val="0"/>
          <w:bCs w:val="0"/>
        </w:rPr>
      </w:r>
      <w:r>
        <w:rPr>
          <w:rFonts w:ascii="Times New Roman" w:hAnsi="Times New Roman" w:cs="Times New Roman" w:eastAsia="Times New Roman" w:hint="default"/>
        </w:rPr>
        <w:t>3</w:t>
      </w:r>
      <w:r>
        <w:rPr/>
        <w:t>、以公允价值计量的资产和负债</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五、核心竞争力分析" w:id="32"/>
      <w:bookmarkEnd w:id="32"/>
      <w:r>
        <w:rPr>
          <w:b w:val="0"/>
          <w:bCs w:val="0"/>
        </w:rPr>
      </w:r>
      <w:r>
        <w:rPr/>
        <w:t>五、核心竞争力分析</w:t>
      </w:r>
      <w:r>
        <w:rPr>
          <w:b w:val="0"/>
          <w:bCs w:val="0"/>
        </w:rPr>
      </w:r>
    </w:p>
    <w:p>
      <w:pPr>
        <w:spacing w:line="240" w:lineRule="auto" w:before="0"/>
        <w:rPr>
          <w:rFonts w:ascii="宋体" w:hAnsi="宋体" w:cs="宋体" w:eastAsia="宋体" w:hint="default"/>
          <w:b/>
          <w:bCs/>
          <w:sz w:val="24"/>
          <w:szCs w:val="24"/>
        </w:rPr>
      </w:pPr>
    </w:p>
    <w:p>
      <w:pPr>
        <w:pStyle w:val="BodyText"/>
        <w:spacing w:line="386" w:lineRule="auto" w:before="163"/>
        <w:ind w:right="1132" w:firstLine="360"/>
        <w:jc w:val="both"/>
      </w:pPr>
      <w:r>
        <w:rPr>
          <w:spacing w:val="-1"/>
        </w:rPr>
        <w:t>公司</w:t>
      </w:r>
      <w:r>
        <w:rPr>
          <w:rFonts w:ascii="Times New Roman" w:hAnsi="Times New Roman" w:cs="Times New Roman" w:eastAsia="Times New Roman" w:hint="default"/>
          <w:spacing w:val="-1"/>
        </w:rPr>
        <w:t>“</w:t>
      </w:r>
      <w:r>
        <w:rPr>
          <w:spacing w:val="-1"/>
        </w:rPr>
        <w:t>紫鑫</w:t>
      </w:r>
      <w:r>
        <w:rPr>
          <w:rFonts w:ascii="Times New Roman" w:hAnsi="Times New Roman" w:cs="Times New Roman" w:eastAsia="Times New Roman" w:hint="default"/>
          <w:spacing w:val="-1"/>
        </w:rPr>
        <w:t>”</w:t>
      </w:r>
      <w:r>
        <w:rPr>
          <w:spacing w:val="-1"/>
        </w:rPr>
        <w:t>商标为中国驰名商标和吉林省著名商标。公司被评为</w:t>
      </w:r>
      <w:r>
        <w:rPr>
          <w:rFonts w:ascii="Times New Roman" w:hAnsi="Times New Roman" w:cs="Times New Roman" w:eastAsia="Times New Roman" w:hint="default"/>
          <w:spacing w:val="-1"/>
        </w:rPr>
        <w:t>“</w:t>
      </w:r>
      <w:r>
        <w:rPr>
          <w:spacing w:val="-1"/>
        </w:rPr>
        <w:t>中国医药行业重质量单位</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吉林省</w:t>
      </w:r>
      <w:r>
        <w:rPr/>
        <w:t> 百姓口碑最佳信誉单位</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中国医药行业无假货单位</w:t>
      </w:r>
      <w:r>
        <w:rPr>
          <w:rFonts w:ascii="Times New Roman" w:hAnsi="Times New Roman" w:cs="Times New Roman" w:eastAsia="Times New Roman" w:hint="default"/>
        </w:rPr>
        <w:t>”</w:t>
      </w:r>
      <w:r>
        <w:rPr/>
        <w:t>；</w:t>
      </w:r>
      <w:r>
        <w:rPr>
          <w:rFonts w:ascii="Times New Roman" w:hAnsi="Times New Roman" w:cs="Times New Roman" w:eastAsia="Times New Roman" w:hint="default"/>
        </w:rPr>
        <w:t>“AAA</w:t>
      </w:r>
      <w:r>
        <w:rPr/>
        <w:t>级中国诚信企业</w:t>
      </w:r>
      <w:r>
        <w:rPr>
          <w:rFonts w:ascii="Times New Roman" w:hAnsi="Times New Roman" w:cs="Times New Roman" w:eastAsia="Times New Roman" w:hint="default"/>
        </w:rPr>
        <w:t>”</w:t>
      </w:r>
      <w:r>
        <w:rPr/>
        <w:t>。</w:t>
      </w:r>
    </w:p>
    <w:p>
      <w:pPr>
        <w:pStyle w:val="BodyText"/>
        <w:spacing w:line="398" w:lineRule="auto" w:before="35"/>
        <w:ind w:right="1129" w:firstLine="357"/>
        <w:jc w:val="both"/>
      </w:pPr>
      <w:r>
        <w:rPr/>
        <w:t>公司的主导品种以治疗心脑血管、骨伤类、消化系统、泌尿系统和风湿免疫类疾病为主，主要产品有 </w:t>
      </w:r>
      <w:r>
        <w:rPr>
          <w:spacing w:val="-1"/>
        </w:rPr>
        <w:t>活血通脉片、醒脑再造胶囊、麝香接骨胶囊、复方益肝灵片、补肾安神口服液、四妙丸等。生产药品剂型</w:t>
      </w:r>
      <w:r>
        <w:rPr>
          <w:spacing w:val="-83"/>
        </w:rPr>
        <w:t> </w:t>
      </w:r>
      <w:r>
        <w:rPr>
          <w:spacing w:val="-83"/>
        </w:rPr>
      </w:r>
      <w:r>
        <w:rPr>
          <w:spacing w:val="-5"/>
        </w:rPr>
        <w:t>包括片剂、硬胶囊剂、口服液、丸剂、颗粒剂、口服溶液剂、合剂和锭剂，相关生产线已通过</w:t>
      </w:r>
      <w:r>
        <w:rPr>
          <w:rFonts w:ascii="Times New Roman" w:hAnsi="Times New Roman" w:cs="Times New Roman" w:eastAsia="Times New Roman" w:hint="default"/>
          <w:spacing w:val="-5"/>
        </w:rPr>
        <w:t>2010</w:t>
      </w:r>
      <w:r>
        <w:rPr>
          <w:spacing w:val="-5"/>
        </w:rPr>
        <w:t>年版《药</w:t>
      </w:r>
      <w:r>
        <w:rPr>
          <w:spacing w:val="-92"/>
        </w:rPr>
        <w:t> </w:t>
      </w:r>
      <w:r>
        <w:rPr>
          <w:spacing w:val="-92"/>
        </w:rPr>
      </w:r>
      <w:r>
        <w:rPr>
          <w:spacing w:val="-3"/>
        </w:rPr>
        <w:t>品生产质量管理规范》（</w:t>
      </w:r>
      <w:r>
        <w:rPr>
          <w:rFonts w:ascii="Times New Roman" w:hAnsi="Times New Roman" w:cs="Times New Roman" w:eastAsia="Times New Roman" w:hint="default"/>
          <w:spacing w:val="-3"/>
        </w:rPr>
        <w:t>GMP</w:t>
      </w:r>
      <w:r>
        <w:rPr>
          <w:spacing w:val="-3"/>
        </w:rPr>
        <w:t>）认证，并获得《药品</w:t>
      </w:r>
      <w:r>
        <w:rPr>
          <w:rFonts w:ascii="Times New Roman" w:hAnsi="Times New Roman" w:cs="Times New Roman" w:eastAsia="Times New Roman" w:hint="default"/>
          <w:spacing w:val="-3"/>
        </w:rPr>
        <w:t>GMP</w:t>
      </w:r>
      <w:r>
        <w:rPr>
          <w:spacing w:val="-3"/>
        </w:rPr>
        <w:t>证书》。同时公司拥有一支高层次的科研队伍从</w:t>
      </w:r>
      <w:r>
        <w:rPr>
          <w:spacing w:val="-61"/>
        </w:rPr>
        <w:t> </w:t>
      </w:r>
      <w:r>
        <w:rPr>
          <w:spacing w:val="-61"/>
        </w:rPr>
      </w:r>
      <w:r>
        <w:rPr>
          <w:spacing w:val="-1"/>
        </w:rPr>
        <w:t>事新药、保健食品、特殊用途化妆品的开发，药品知识产权保护，产品二次开发，人参相关基础研究与应</w:t>
      </w:r>
    </w:p>
    <w:p>
      <w:pPr>
        <w:spacing w:after="0" w:line="39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1132"/>
        <w:jc w:val="both"/>
      </w:pPr>
      <w:r>
        <w:rPr>
          <w:spacing w:val="-1"/>
        </w:rPr>
        <w:t>用研究等工作，为本公司产品推广和销售打下了坚实的基础。在公司产品中，有</w:t>
      </w:r>
      <w:r>
        <w:rPr>
          <w:rFonts w:ascii="Times New Roman" w:hAnsi="Times New Roman" w:cs="Times New Roman" w:eastAsia="Times New Roman" w:hint="default"/>
          <w:spacing w:val="-1"/>
        </w:rPr>
        <w:t>60</w:t>
      </w:r>
      <w:r>
        <w:rPr>
          <w:spacing w:val="-1"/>
        </w:rPr>
        <w:t>个药品品种被列入</w:t>
      </w:r>
      <w:r>
        <w:rPr>
          <w:rFonts w:ascii="Times New Roman" w:hAnsi="Times New Roman" w:cs="Times New Roman" w:eastAsia="Times New Roman" w:hint="default"/>
          <w:spacing w:val="-1"/>
        </w:rPr>
        <w:t>OTC</w:t>
      </w:r>
      <w:r>
        <w:rPr>
          <w:rFonts w:ascii="Times New Roman" w:hAnsi="Times New Roman" w:cs="Times New Roman" w:eastAsia="Times New Roman" w:hint="default"/>
          <w:spacing w:val="-31"/>
        </w:rPr>
        <w:t> </w:t>
      </w:r>
      <w:r>
        <w:rPr/>
        <w:t>品种；有</w:t>
      </w:r>
      <w:r>
        <w:rPr>
          <w:rFonts w:ascii="Times New Roman" w:hAnsi="Times New Roman" w:cs="Times New Roman" w:eastAsia="Times New Roman" w:hint="default"/>
        </w:rPr>
        <w:t>33</w:t>
      </w:r>
      <w:r>
        <w:rPr/>
        <w:t>个药品品种列入《国家基本药业目录》（</w:t>
      </w:r>
      <w:r>
        <w:rPr>
          <w:rFonts w:ascii="Times New Roman" w:hAnsi="Times New Roman" w:cs="Times New Roman" w:eastAsia="Times New Roman" w:hint="default"/>
        </w:rPr>
        <w:t>2012</w:t>
      </w:r>
      <w:r>
        <w:rPr/>
        <w:t>年版）。</w:t>
      </w:r>
    </w:p>
    <w:p>
      <w:pPr>
        <w:pStyle w:val="BodyText"/>
        <w:spacing w:line="240" w:lineRule="auto" w:before="35"/>
        <w:ind w:left="679" w:right="0"/>
        <w:jc w:val="left"/>
      </w:pPr>
      <w:r>
        <w:rPr>
          <w:rFonts w:ascii="Times New Roman" w:hAnsi="Times New Roman" w:cs="Times New Roman" w:eastAsia="Times New Roman" w:hint="default"/>
        </w:rPr>
        <w:t>1</w:t>
      </w:r>
      <w:r>
        <w:rPr/>
        <w:t>、公司在中成药领域的核心技术主要包括以下方面：</w:t>
      </w:r>
    </w:p>
    <w:p>
      <w:pPr>
        <w:pStyle w:val="BodyText"/>
        <w:spacing w:line="386" w:lineRule="auto" w:before="177"/>
        <w:ind w:left="634" w:right="1120"/>
        <w:jc w:val="left"/>
      </w:pPr>
      <w:r>
        <w:rPr/>
        <w:t>（</w:t>
      </w:r>
      <w:r>
        <w:rPr>
          <w:rFonts w:ascii="Times New Roman" w:hAnsi="Times New Roman" w:cs="Times New Roman" w:eastAsia="Times New Roman" w:hint="default"/>
        </w:rPr>
        <w:t>1</w:t>
      </w:r>
      <w:r>
        <w:rPr/>
        <w:t>）桑麻口服液、补肾安神口服液的包合技术 </w:t>
      </w:r>
      <w:r>
        <w:rPr>
          <w:spacing w:val="-2"/>
        </w:rPr>
        <w:t>该技术由公司自行研发，为公司独家拥有，解决了传统中药内在成分质量不稳定的难题，是桑麻口服</w:t>
      </w:r>
    </w:p>
    <w:p>
      <w:pPr>
        <w:pStyle w:val="BodyText"/>
        <w:spacing w:line="240" w:lineRule="auto" w:before="65"/>
        <w:ind w:left="154" w:right="0"/>
        <w:jc w:val="both"/>
      </w:pPr>
      <w:r>
        <w:rPr/>
        <w:t>液、补肾安神口服液生产加工的关键技术之一。</w:t>
      </w:r>
    </w:p>
    <w:p>
      <w:pPr>
        <w:spacing w:line="240" w:lineRule="auto" w:before="10"/>
        <w:rPr>
          <w:rFonts w:ascii="宋体" w:hAnsi="宋体" w:cs="宋体" w:eastAsia="宋体" w:hint="default"/>
          <w:sz w:val="14"/>
          <w:szCs w:val="14"/>
        </w:rPr>
      </w:pPr>
    </w:p>
    <w:p>
      <w:pPr>
        <w:pStyle w:val="BodyText"/>
        <w:spacing w:line="386" w:lineRule="auto"/>
        <w:ind w:left="634" w:right="1120"/>
        <w:jc w:val="left"/>
      </w:pPr>
      <w:r>
        <w:rPr/>
        <w:t>（</w:t>
      </w:r>
      <w:r>
        <w:rPr>
          <w:rFonts w:ascii="Times New Roman" w:hAnsi="Times New Roman" w:cs="Times New Roman" w:eastAsia="Times New Roman" w:hint="default"/>
        </w:rPr>
        <w:t>2</w:t>
      </w:r>
      <w:r>
        <w:rPr/>
        <w:t>）四妙丸、苏子降气丸粉碎、混合技术 </w:t>
      </w:r>
      <w:r>
        <w:rPr>
          <w:spacing w:val="-2"/>
        </w:rPr>
        <w:t>该技术在传统中医药理论指导下，在保证处方中各味药材的原有药效物质基础的前提下，利用现代先</w:t>
      </w:r>
    </w:p>
    <w:p>
      <w:pPr>
        <w:pStyle w:val="BodyText"/>
        <w:spacing w:line="240" w:lineRule="auto" w:before="65"/>
        <w:ind w:left="154" w:right="0"/>
        <w:jc w:val="both"/>
      </w:pPr>
      <w:r>
        <w:rPr/>
        <w:t>进的粉碎、混合技术，以精湛、稳定的工艺，制备出质量均一、稳定、可控，药效显著的优良产品。</w:t>
      </w:r>
    </w:p>
    <w:p>
      <w:pPr>
        <w:spacing w:line="240" w:lineRule="auto" w:before="10"/>
        <w:rPr>
          <w:rFonts w:ascii="宋体" w:hAnsi="宋体" w:cs="宋体" w:eastAsia="宋体" w:hint="default"/>
          <w:sz w:val="14"/>
          <w:szCs w:val="14"/>
        </w:rPr>
      </w:pPr>
    </w:p>
    <w:p>
      <w:pPr>
        <w:pStyle w:val="BodyText"/>
        <w:spacing w:line="386" w:lineRule="auto"/>
        <w:ind w:left="633" w:right="0"/>
        <w:jc w:val="left"/>
      </w:pPr>
      <w:r>
        <w:rPr/>
        <w:t>（</w:t>
      </w:r>
      <w:r>
        <w:rPr>
          <w:rFonts w:ascii="Times New Roman" w:hAnsi="Times New Roman" w:cs="Times New Roman" w:eastAsia="Times New Roman" w:hint="default"/>
        </w:rPr>
        <w:t>3</w:t>
      </w:r>
      <w:r>
        <w:rPr/>
        <w:t>）藿胆片、小儿白贝止咳糖浆的浸膏提取技术 </w:t>
      </w:r>
      <w:r>
        <w:rPr>
          <w:spacing w:val="-5"/>
        </w:rPr>
        <w:t>该技术由公司自行研发，基于传统的中医药理论，利用现代的浸提技术进行开发，充分保留有效物质，</w:t>
      </w:r>
    </w:p>
    <w:p>
      <w:pPr>
        <w:pStyle w:val="BodyText"/>
        <w:spacing w:line="240" w:lineRule="auto" w:before="65"/>
        <w:ind w:right="0"/>
        <w:jc w:val="both"/>
      </w:pPr>
      <w:r>
        <w:rPr/>
        <w:t>保证临床疗效，工艺稳定，质量可控。</w:t>
      </w:r>
    </w:p>
    <w:p>
      <w:pPr>
        <w:spacing w:line="240" w:lineRule="auto" w:before="12"/>
        <w:rPr>
          <w:rFonts w:ascii="宋体" w:hAnsi="宋体" w:cs="宋体" w:eastAsia="宋体" w:hint="default"/>
          <w:sz w:val="23"/>
          <w:szCs w:val="23"/>
        </w:rPr>
      </w:pPr>
    </w:p>
    <w:p>
      <w:pPr>
        <w:pStyle w:val="BodyText"/>
        <w:spacing w:line="484" w:lineRule="auto"/>
        <w:ind w:left="633" w:right="1121"/>
        <w:jc w:val="left"/>
      </w:pPr>
      <w:r>
        <w:rPr>
          <w:rFonts w:ascii="Times New Roman" w:hAnsi="Times New Roman" w:cs="Times New Roman" w:eastAsia="Times New Roman" w:hint="default"/>
        </w:rPr>
        <w:t>2</w:t>
      </w:r>
      <w:r>
        <w:rPr/>
        <w:t>、人参领域 </w:t>
      </w:r>
      <w:r>
        <w:rPr>
          <w:spacing w:val="-2"/>
        </w:rPr>
        <w:t>人参产业的发展在很大程度上取决于人参基础研究和应用研究的创新性及先进性，其为人参种植、加</w:t>
      </w:r>
    </w:p>
    <w:p>
      <w:pPr>
        <w:pStyle w:val="BodyText"/>
        <w:spacing w:line="254" w:lineRule="exact"/>
        <w:ind w:right="0"/>
        <w:jc w:val="both"/>
      </w:pPr>
      <w:r>
        <w:rPr/>
        <w:t>工、新产品的研发提供了理论指导和技术支撑。公司率先从基因角度开展人参领域的相关研究，关键技术</w:t>
      </w:r>
    </w:p>
    <w:p>
      <w:pPr>
        <w:spacing w:line="240" w:lineRule="auto" w:before="10"/>
        <w:rPr>
          <w:rFonts w:ascii="宋体" w:hAnsi="宋体" w:cs="宋体" w:eastAsia="宋体" w:hint="default"/>
          <w:sz w:val="14"/>
          <w:szCs w:val="14"/>
        </w:rPr>
      </w:pPr>
    </w:p>
    <w:p>
      <w:pPr>
        <w:pStyle w:val="BodyText"/>
        <w:spacing w:line="240" w:lineRule="auto"/>
        <w:ind w:right="0"/>
        <w:jc w:val="both"/>
      </w:pPr>
      <w:r>
        <w:rPr/>
        <w:t>如下：</w:t>
      </w:r>
    </w:p>
    <w:p>
      <w:pPr>
        <w:spacing w:line="240" w:lineRule="auto" w:before="10"/>
        <w:rPr>
          <w:rFonts w:ascii="宋体" w:hAnsi="宋体" w:cs="宋体" w:eastAsia="宋体" w:hint="default"/>
          <w:sz w:val="14"/>
          <w:szCs w:val="14"/>
        </w:rPr>
      </w:pPr>
    </w:p>
    <w:p>
      <w:pPr>
        <w:pStyle w:val="BodyText"/>
        <w:spacing w:line="386" w:lineRule="auto"/>
        <w:ind w:left="633" w:right="1033"/>
        <w:jc w:val="left"/>
      </w:pPr>
      <w:r>
        <w:rPr/>
        <w:t>（</w:t>
      </w:r>
      <w:r>
        <w:rPr>
          <w:rFonts w:ascii="Times New Roman" w:hAnsi="Times New Roman" w:cs="Times New Roman" w:eastAsia="Times New Roman" w:hint="default"/>
        </w:rPr>
        <w:t>1</w:t>
      </w:r>
      <w:r>
        <w:rPr/>
        <w:t>）人参基因组数据库 以第二代测序技术为主结合第一代测序技术为研究手段，应用新的研究策略，对五种人参（大马牙、</w:t>
      </w:r>
    </w:p>
    <w:p>
      <w:pPr>
        <w:pStyle w:val="BodyText"/>
        <w:spacing w:line="408" w:lineRule="auto" w:before="65"/>
        <w:ind w:right="1131"/>
        <w:jc w:val="both"/>
      </w:pPr>
      <w:r>
        <w:rPr>
          <w:spacing w:val="-1"/>
        </w:rPr>
        <w:t>二马牙、高丽参、西洋参、野山参）进行全基因组测序，建立了覆盖全部人参品系的基因组数据库，该数</w:t>
      </w:r>
      <w:r>
        <w:rPr>
          <w:spacing w:val="-83"/>
        </w:rPr>
        <w:t> </w:t>
      </w:r>
      <w:r>
        <w:rPr>
          <w:spacing w:val="-83"/>
        </w:rPr>
      </w:r>
      <w:r>
        <w:rPr>
          <w:spacing w:val="-1"/>
        </w:rPr>
        <w:t>据库的建立，不仅有利于进行基因水平的优良品种的选育及将相关基因组资源和遗传工具应用于新品种培</w:t>
      </w:r>
      <w:r>
        <w:rPr>
          <w:spacing w:val="-81"/>
        </w:rPr>
        <w:t> </w:t>
      </w:r>
      <w:r>
        <w:rPr>
          <w:spacing w:val="-81"/>
        </w:rPr>
      </w:r>
      <w:r>
        <w:rPr>
          <w:spacing w:val="-1"/>
        </w:rPr>
        <w:t>育，推动人参产业的健康发展；有利于指导人参的病虫害防治、林下地栽参和大地栽参的推广，从而推动</w:t>
      </w:r>
      <w:r>
        <w:rPr>
          <w:spacing w:val="-85"/>
        </w:rPr>
        <w:t> </w:t>
      </w:r>
      <w:r>
        <w:rPr>
          <w:spacing w:val="-85"/>
        </w:rPr>
      </w:r>
      <w:r>
        <w:rPr>
          <w:spacing w:val="-1"/>
        </w:rPr>
        <w:t>人参种植的常规化和规范化。亦能推动其他中药材基因组资源的开发，建立类似模式生物的各种资源数据</w:t>
      </w:r>
      <w:r>
        <w:rPr>
          <w:spacing w:val="-81"/>
        </w:rPr>
        <w:t> </w:t>
      </w:r>
      <w:r>
        <w:rPr>
          <w:spacing w:val="-81"/>
        </w:rPr>
      </w:r>
      <w:r>
        <w:rPr/>
        <w:t>库。</w:t>
      </w:r>
    </w:p>
    <w:p>
      <w:pPr>
        <w:pStyle w:val="BodyText"/>
        <w:spacing w:line="386" w:lineRule="auto" w:before="46"/>
        <w:ind w:left="634" w:right="1120"/>
        <w:jc w:val="left"/>
      </w:pPr>
      <w:r>
        <w:rPr/>
        <w:t>（</w:t>
      </w:r>
      <w:r>
        <w:rPr>
          <w:rFonts w:ascii="Times New Roman" w:hAnsi="Times New Roman" w:cs="Times New Roman" w:eastAsia="Times New Roman" w:hint="default"/>
        </w:rPr>
        <w:t>2</w:t>
      </w:r>
      <w:r>
        <w:rPr/>
        <w:t>）人参基因组鉴别方法 </w:t>
      </w:r>
      <w:r>
        <w:rPr>
          <w:spacing w:val="-2"/>
        </w:rPr>
        <w:t>利用第一代、第二代和第三代测序技术，对野山参、大马牙、二马牙、高丽参、西洋参五种参类进行</w:t>
      </w:r>
    </w:p>
    <w:p>
      <w:pPr>
        <w:pStyle w:val="BodyText"/>
        <w:spacing w:line="408" w:lineRule="auto" w:before="65"/>
        <w:ind w:left="154" w:right="1110"/>
        <w:jc w:val="both"/>
      </w:pPr>
      <w:r>
        <w:rPr>
          <w:spacing w:val="-1"/>
        </w:rPr>
        <w:t>基因组文库的构建、基因组测序和组装等程序的全基因组序列分析。通过对五种人参进行基因组水平比较</w:t>
      </w:r>
      <w:r>
        <w:rPr>
          <w:spacing w:val="-81"/>
        </w:rPr>
        <w:t> </w:t>
      </w:r>
      <w:r>
        <w:rPr>
          <w:spacing w:val="-81"/>
        </w:rPr>
      </w:r>
      <w:r>
        <w:rPr/>
        <w:t>研究，筛分出五种人参的本质差别，从而确定各种人参的真正起源；获得人参重要的药用价值功能基因； 并开发人参种质鉴别的系统方法。以人参本源为始，为人参全面研究奠定物质基础。</w:t>
      </w:r>
    </w:p>
    <w:p>
      <w:pPr>
        <w:pStyle w:val="BodyText"/>
        <w:spacing w:line="240" w:lineRule="auto" w:before="166"/>
        <w:ind w:left="633" w:right="0"/>
        <w:jc w:val="left"/>
      </w:pPr>
      <w:r>
        <w:rPr/>
        <w:t>研究与开发情况</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633" w:right="0"/>
        <w:jc w:val="left"/>
      </w:pPr>
      <w:r>
        <w:rPr>
          <w:rFonts w:ascii="Times New Roman" w:hAnsi="Times New Roman" w:cs="Times New Roman" w:eastAsia="Times New Roman" w:hint="default"/>
        </w:rPr>
        <w:t>1</w:t>
      </w:r>
      <w:r>
        <w:rPr/>
        <w:t>、研发机构设置</w:t>
      </w:r>
    </w:p>
    <w:p>
      <w:pPr>
        <w:spacing w:line="240" w:lineRule="auto" w:before="9"/>
        <w:rPr>
          <w:rFonts w:ascii="宋体" w:hAnsi="宋体" w:cs="宋体" w:eastAsia="宋体" w:hint="default"/>
          <w:sz w:val="22"/>
          <w:szCs w:val="22"/>
        </w:rPr>
      </w:pPr>
    </w:p>
    <w:p>
      <w:pPr>
        <w:pStyle w:val="BodyText"/>
        <w:spacing w:line="403" w:lineRule="auto"/>
        <w:ind w:right="1110" w:firstLine="480"/>
        <w:jc w:val="right"/>
      </w:pPr>
      <w:r>
        <w:rPr>
          <w:spacing w:val="-2"/>
        </w:rPr>
        <w:t>公司设有专门的研发机构</w:t>
      </w:r>
      <w:r>
        <w:rPr>
          <w:rFonts w:ascii="Times New Roman" w:hAnsi="Times New Roman" w:cs="Times New Roman" w:eastAsia="Times New Roman" w:hint="default"/>
          <w:spacing w:val="-2"/>
        </w:rPr>
        <w:t>——</w:t>
      </w:r>
      <w:r>
        <w:rPr>
          <w:spacing w:val="-2"/>
        </w:rPr>
        <w:t>科研生产管理中心，该中心以药品开发、食品开发、中药资源保护与利</w:t>
      </w:r>
      <w:r>
        <w:rPr/>
        <w:t> 用为研究目标，同时解决生产中的工艺和质量问题，该中心拥有吉林省唯一一家企业药剂学二级实验室。 </w:t>
      </w:r>
      <w:r>
        <w:rPr>
          <w:spacing w:val="-2"/>
        </w:rPr>
        <w:t>科研生产管理中心的负责人由中国科学院北京基因组研究所博士后殷金龙担任，该中心分别设立了注</w:t>
      </w:r>
      <w:r>
        <w:rPr/>
        <w:t> </w:t>
      </w:r>
      <w:r>
        <w:rPr>
          <w:spacing w:val="-1"/>
        </w:rPr>
        <w:t>册综合部、药学部、临床部、食化部、中药资源部、药剂学实验室等部室。科研生产管理中心与中科院北</w:t>
      </w:r>
      <w:r>
        <w:rPr/>
        <w:t> </w:t>
      </w:r>
      <w:r>
        <w:rPr>
          <w:spacing w:val="-1"/>
        </w:rPr>
        <w:t>京基因组研究所、中科院应用化学研究所、吉林大学、长春理工大学、长春中医药大学、吉林省人参研究</w:t>
      </w:r>
    </w:p>
    <w:p>
      <w:pPr>
        <w:pStyle w:val="BodyText"/>
        <w:spacing w:line="408" w:lineRule="auto" w:before="50"/>
        <w:ind w:left="634" w:right="1120" w:hanging="480"/>
        <w:jc w:val="left"/>
      </w:pPr>
      <w:r>
        <w:rPr/>
        <w:t>院、吉林农业大学等高等院校及科研机构建立了长期科研合作关系。 </w:t>
      </w:r>
      <w:r>
        <w:rPr>
          <w:spacing w:val="-2"/>
        </w:rPr>
        <w:t>此外，为满足科研的需求，提高技术水平，公司还成立专门从事研发的两个全资子公司，分别为吉林</w:t>
      </w:r>
    </w:p>
    <w:p>
      <w:pPr>
        <w:pStyle w:val="BodyText"/>
        <w:spacing w:line="408" w:lineRule="auto" w:before="46"/>
        <w:ind w:left="154" w:right="1110"/>
        <w:jc w:val="both"/>
      </w:pPr>
      <w:r>
        <w:rPr>
          <w:spacing w:val="-1"/>
        </w:rPr>
        <w:t>紫鑫药物研究有限公司和吉林紫鑫人参研发有限公司。吉林紫鑫药物研究有限公司是以新药、中间体、原</w:t>
      </w:r>
      <w:r>
        <w:rPr>
          <w:spacing w:val="-83"/>
        </w:rPr>
        <w:t> </w:t>
      </w:r>
      <w:r>
        <w:rPr>
          <w:spacing w:val="-83"/>
        </w:rPr>
      </w:r>
      <w:r>
        <w:rPr>
          <w:spacing w:val="-1"/>
        </w:rPr>
        <w:t>料药、生物药为主要研究方向，融研发平台、孵化平台、信息服务平台、审核平台、经营合作平台为一体</w:t>
      </w:r>
      <w:r>
        <w:rPr>
          <w:spacing w:val="-83"/>
        </w:rPr>
        <w:t> </w:t>
      </w:r>
      <w:r>
        <w:rPr>
          <w:spacing w:val="-83"/>
        </w:rPr>
      </w:r>
      <w:r>
        <w:rPr/>
        <w:t>的现代化医药科研机构，承担着公司的新产品和新技术的研究开发、科技项目申报和专利事务管理工作、 </w:t>
      </w:r>
      <w:r>
        <w:rPr>
          <w:spacing w:val="-1"/>
        </w:rPr>
        <w:t>技术合作和交流。吉林紫鑫人参研发有限公司是以人参产品研究为主要目标，进行人参的基础研究（如开</w:t>
      </w:r>
      <w:r>
        <w:rPr>
          <w:spacing w:val="-83"/>
        </w:rPr>
        <w:t> </w:t>
      </w:r>
      <w:r>
        <w:rPr>
          <w:spacing w:val="-83"/>
        </w:rPr>
      </w:r>
      <w:r>
        <w:rPr/>
        <w:t>展人参的质谱研究）、人参保健食品研究、人参新资源食品的开发、人参种植相关技术的研究。</w:t>
      </w:r>
    </w:p>
    <w:p>
      <w:pPr>
        <w:pStyle w:val="BodyText"/>
        <w:spacing w:line="484" w:lineRule="auto" w:before="166"/>
        <w:ind w:left="634" w:right="1120"/>
        <w:jc w:val="left"/>
      </w:pPr>
      <w:r>
        <w:rPr>
          <w:rFonts w:ascii="Times New Roman" w:hAnsi="Times New Roman" w:cs="Times New Roman" w:eastAsia="Times New Roman" w:hint="default"/>
        </w:rPr>
        <w:t>2</w:t>
      </w:r>
      <w:r>
        <w:rPr/>
        <w:t>、研发人员构成 </w:t>
      </w:r>
      <w:r>
        <w:rPr>
          <w:spacing w:val="-2"/>
        </w:rPr>
        <w:t>公司拥有一支较高层次的科研队伍，一是从科研院校聘请知名专家教授组成专家顾问团，解决研发过</w:t>
      </w:r>
    </w:p>
    <w:p>
      <w:pPr>
        <w:pStyle w:val="BodyText"/>
        <w:spacing w:line="254" w:lineRule="exact"/>
        <w:ind w:left="154" w:right="0"/>
        <w:jc w:val="both"/>
      </w:pPr>
      <w:r>
        <w:rPr>
          <w:spacing w:val="-3"/>
        </w:rPr>
        <w:t>程中存在的疑难点；二是从公司内部选择有较强科研能力和经验、熟悉新药开发工作程序的技术骨干人员，</w:t>
      </w:r>
    </w:p>
    <w:p>
      <w:pPr>
        <w:spacing w:line="240" w:lineRule="auto" w:before="10"/>
        <w:rPr>
          <w:rFonts w:ascii="宋体" w:hAnsi="宋体" w:cs="宋体" w:eastAsia="宋体" w:hint="default"/>
          <w:sz w:val="14"/>
          <w:szCs w:val="14"/>
        </w:rPr>
      </w:pPr>
    </w:p>
    <w:p>
      <w:pPr>
        <w:pStyle w:val="BodyText"/>
        <w:spacing w:line="408" w:lineRule="auto"/>
        <w:ind w:left="154" w:right="1110"/>
        <w:jc w:val="both"/>
      </w:pPr>
      <w:r>
        <w:rPr/>
        <w:t>进行新产品的开发；以上两部分人员是公司从事研发工作的主要力量；第三是配备相应的科研辅助人员， 从事科研项目开发的辅助工作。</w:t>
      </w:r>
    </w:p>
    <w:p>
      <w:pPr>
        <w:pStyle w:val="BodyText"/>
        <w:spacing w:line="386" w:lineRule="auto" w:before="46"/>
        <w:ind w:right="1134" w:firstLine="480"/>
        <w:jc w:val="both"/>
      </w:pPr>
      <w:r>
        <w:rPr/>
        <w:t>此外，为促进基因测序产业的快速发展，中科紫鑫于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月聘请中国科学院于军、任鲁风、俞育 德、周晓光四位研究员担任科学顾问，并签署了相关协议，以上四位研究员简介如下：</w:t>
      </w:r>
    </w:p>
    <w:p>
      <w:pPr>
        <w:pStyle w:val="BodyText"/>
        <w:spacing w:line="386" w:lineRule="auto" w:before="65"/>
        <w:ind w:right="1129" w:firstLine="480"/>
        <w:jc w:val="both"/>
      </w:pPr>
      <w:r>
        <w:rPr>
          <w:spacing w:val="-2"/>
        </w:rPr>
        <w:t>于军，博士，研究员，博士生导师，基因所副所长，中国科学院</w:t>
      </w:r>
      <w:r>
        <w:rPr>
          <w:rFonts w:ascii="Times New Roman" w:hAnsi="Times New Roman" w:cs="Times New Roman" w:eastAsia="Times New Roman" w:hint="default"/>
          <w:spacing w:val="-2"/>
        </w:rPr>
        <w:t>”</w:t>
      </w:r>
      <w:r>
        <w:rPr>
          <w:spacing w:val="-2"/>
        </w:rPr>
        <w:t>百人计划</w:t>
      </w:r>
      <w:r>
        <w:rPr>
          <w:rFonts w:ascii="Times New Roman" w:hAnsi="Times New Roman" w:cs="Times New Roman" w:eastAsia="Times New Roman" w:hint="default"/>
          <w:spacing w:val="-2"/>
        </w:rPr>
        <w:t>”</w:t>
      </w:r>
      <w:r>
        <w:rPr>
          <w:spacing w:val="-2"/>
        </w:rPr>
        <w:t>引进专家人才，基因组科</w:t>
      </w:r>
      <w:r>
        <w:rPr/>
        <w:t> </w:t>
      </w:r>
      <w:r>
        <w:rPr>
          <w:spacing w:val="-1"/>
        </w:rPr>
        <w:t>学与信息重点实验室主任，技术研发中心主任。</w:t>
      </w:r>
      <w:r>
        <w:rPr>
          <w:rFonts w:ascii="Times New Roman" w:hAnsi="Times New Roman" w:cs="Times New Roman" w:eastAsia="Times New Roman" w:hint="default"/>
          <w:spacing w:val="-1"/>
        </w:rPr>
        <w:t>1990</w:t>
      </w:r>
      <w:r>
        <w:rPr>
          <w:spacing w:val="-1"/>
        </w:rPr>
        <w:t>年获纽约大学生物医学科学博士，从事细胞生物学与</w:t>
      </w:r>
      <w:r>
        <w:rPr>
          <w:spacing w:val="-81"/>
        </w:rPr>
        <w:t> </w:t>
      </w:r>
      <w:r>
        <w:rPr>
          <w:spacing w:val="-81"/>
        </w:rPr>
      </w:r>
      <w:r>
        <w:rPr>
          <w:spacing w:val="-2"/>
        </w:rPr>
        <w:t>分子生物学研究。</w:t>
      </w:r>
      <w:r>
        <w:rPr>
          <w:rFonts w:ascii="Times New Roman" w:hAnsi="Times New Roman" w:cs="Times New Roman" w:eastAsia="Times New Roman" w:hint="default"/>
          <w:spacing w:val="-2"/>
        </w:rPr>
        <w:t>1993</w:t>
      </w:r>
      <w:r>
        <w:rPr>
          <w:spacing w:val="-2"/>
        </w:rPr>
        <w:t>年加盟基因组研究中心（华盛顿大学），领导实验仪器研发、大规模</w:t>
      </w:r>
      <w:r>
        <w:rPr>
          <w:rFonts w:ascii="Times New Roman" w:hAnsi="Times New Roman" w:cs="Times New Roman" w:eastAsia="Times New Roman" w:hint="default"/>
          <w:spacing w:val="-2"/>
        </w:rPr>
        <w:t>DNA</w:t>
      </w:r>
      <w:r>
        <w:rPr>
          <w:spacing w:val="-2"/>
        </w:rPr>
        <w:t>测序、物</w:t>
      </w:r>
      <w:r>
        <w:rPr>
          <w:spacing w:val="-71"/>
        </w:rPr>
        <w:t> </w:t>
      </w:r>
      <w:r>
        <w:rPr>
          <w:spacing w:val="-71"/>
        </w:rPr>
      </w:r>
      <w:r>
        <w:rPr>
          <w:spacing w:val="-1"/>
        </w:rPr>
        <w:t>理图谱制作、基因组数据的处理和分析等工作。</w:t>
      </w:r>
      <w:r>
        <w:rPr>
          <w:rFonts w:ascii="Times New Roman" w:hAnsi="Times New Roman" w:cs="Times New Roman" w:eastAsia="Times New Roman" w:hint="default"/>
          <w:spacing w:val="-1"/>
        </w:rPr>
        <w:t>1997</w:t>
      </w:r>
      <w:r>
        <w:rPr>
          <w:spacing w:val="-1"/>
        </w:rPr>
        <w:t>年回国工作，先后参与组建中科院遗传所人类基因组</w:t>
      </w:r>
      <w:r>
        <w:rPr>
          <w:spacing w:val="-81"/>
        </w:rPr>
        <w:t> </w:t>
      </w:r>
      <w:r>
        <w:rPr>
          <w:spacing w:val="-81"/>
        </w:rPr>
      </w:r>
      <w:r>
        <w:rPr/>
        <w:t>中心、华大基因研究中心、国家生物信息系统工程中心和中科院北京基因组研究所。</w:t>
      </w:r>
    </w:p>
    <w:p>
      <w:pPr>
        <w:pStyle w:val="BodyText"/>
        <w:spacing w:line="386" w:lineRule="auto" w:before="65"/>
        <w:ind w:right="1130" w:firstLine="480"/>
        <w:jc w:val="both"/>
      </w:pPr>
      <w:r>
        <w:rPr>
          <w:spacing w:val="-2"/>
        </w:rPr>
        <w:t>俞育德，研究员，博士生导师，中国科学院半导体研究所所长。主持和参加了神舟</w:t>
      </w:r>
      <w:r>
        <w:rPr>
          <w:rFonts w:ascii="Times New Roman" w:hAnsi="Times New Roman" w:cs="Times New Roman" w:eastAsia="Times New Roman" w:hint="default"/>
          <w:spacing w:val="-2"/>
        </w:rPr>
        <w:t>2</w:t>
      </w:r>
      <w:r>
        <w:rPr>
          <w:spacing w:val="-2"/>
        </w:rPr>
        <w:t>号、神舟</w:t>
      </w:r>
      <w:r>
        <w:rPr>
          <w:rFonts w:ascii="Times New Roman" w:hAnsi="Times New Roman" w:cs="Times New Roman" w:eastAsia="Times New Roman" w:hint="default"/>
          <w:spacing w:val="-2"/>
        </w:rPr>
        <w:t>3</w:t>
      </w:r>
      <w:r>
        <w:rPr>
          <w:spacing w:val="-2"/>
        </w:rPr>
        <w:t>号与俄</w:t>
      </w:r>
      <w:r>
        <w:rPr/>
        <w:t> </w:t>
      </w:r>
      <w:r>
        <w:rPr>
          <w:spacing w:val="-2"/>
        </w:rPr>
        <w:t>罗斯光子号卫星上开展的空间材料科学研究。</w:t>
      </w:r>
      <w:r>
        <w:rPr>
          <w:rFonts w:ascii="Times New Roman" w:hAnsi="Times New Roman" w:cs="Times New Roman" w:eastAsia="Times New Roman" w:hint="default"/>
          <w:spacing w:val="-2"/>
        </w:rPr>
        <w:t>2003</w:t>
      </w:r>
      <w:r>
        <w:rPr>
          <w:spacing w:val="-2"/>
        </w:rPr>
        <w:t>年至今，主要从事</w:t>
      </w:r>
      <w:r>
        <w:rPr>
          <w:rFonts w:ascii="Times New Roman" w:hAnsi="Times New Roman" w:cs="Times New Roman" w:eastAsia="Times New Roman" w:hint="default"/>
          <w:spacing w:val="-2"/>
        </w:rPr>
        <w:t>DNA</w:t>
      </w:r>
      <w:r>
        <w:rPr>
          <w:spacing w:val="-2"/>
        </w:rPr>
        <w:t>测序、生物传感器、硅基光波导</w:t>
      </w:r>
      <w:r>
        <w:rPr>
          <w:spacing w:val="-66"/>
        </w:rPr>
        <w:t> </w:t>
      </w:r>
      <w:r>
        <w:rPr>
          <w:spacing w:val="-66"/>
        </w:rPr>
      </w:r>
      <w:r>
        <w:rPr/>
        <w:t>器件等方面的研究工作。</w:t>
      </w:r>
    </w:p>
    <w:p>
      <w:pPr>
        <w:pStyle w:val="BodyText"/>
        <w:spacing w:line="240" w:lineRule="auto" w:before="65"/>
        <w:ind w:left="633" w:right="0"/>
        <w:jc w:val="left"/>
      </w:pPr>
      <w:r>
        <w:rPr/>
        <w:t>周晓光，博士，研究员，中组部</w:t>
      </w:r>
      <w:r>
        <w:rPr>
          <w:rFonts w:ascii="Times New Roman" w:hAnsi="Times New Roman" w:cs="Times New Roman" w:eastAsia="Times New Roman" w:hint="default"/>
        </w:rPr>
        <w:t>“</w:t>
      </w:r>
      <w:r>
        <w:rPr/>
        <w:t>千人计划</w:t>
      </w:r>
      <w:r>
        <w:rPr>
          <w:rFonts w:ascii="Times New Roman" w:hAnsi="Times New Roman" w:cs="Times New Roman" w:eastAsia="Times New Roman" w:hint="default"/>
        </w:rPr>
        <w:t>”</w:t>
      </w:r>
      <w:r>
        <w:rPr/>
        <w:t>引进人才，中国科学院半导体研究所技术研发中心顾问委</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91" w:lineRule="auto" w:before="174"/>
        <w:ind w:left="154" w:right="1013"/>
        <w:jc w:val="left"/>
      </w:pPr>
      <w:r>
        <w:rPr/>
        <w:t>员会主任。</w:t>
      </w:r>
      <w:r>
        <w:rPr>
          <w:rFonts w:ascii="Times New Roman" w:hAnsi="Times New Roman" w:cs="Times New Roman" w:eastAsia="Times New Roman" w:hint="default"/>
        </w:rPr>
        <w:t>1988</w:t>
      </w:r>
      <w:r>
        <w:rPr/>
        <w:t>年起加入美国</w:t>
      </w:r>
      <w:r>
        <w:rPr>
          <w:rFonts w:ascii="Times New Roman" w:hAnsi="Times New Roman" w:cs="Times New Roman" w:eastAsia="Times New Roman" w:hint="default"/>
        </w:rPr>
        <w:t>Thermo Finnigan</w:t>
      </w:r>
      <w:r>
        <w:rPr/>
        <w:t>（现为</w:t>
      </w:r>
      <w:r>
        <w:rPr>
          <w:rFonts w:ascii="Times New Roman" w:hAnsi="Times New Roman" w:cs="Times New Roman" w:eastAsia="Times New Roman" w:hint="default"/>
        </w:rPr>
        <w:t>Thermo Fisher</w:t>
      </w:r>
      <w:r>
        <w:rPr>
          <w:rFonts w:ascii="Times New Roman" w:hAnsi="Times New Roman" w:cs="Times New Roman" w:eastAsia="Times New Roman" w:hint="default"/>
          <w:spacing w:val="-19"/>
        </w:rPr>
        <w:t> </w:t>
      </w:r>
      <w:r>
        <w:rPr>
          <w:rFonts w:ascii="Times New Roman" w:hAnsi="Times New Roman" w:cs="Times New Roman" w:eastAsia="Times New Roman" w:hint="default"/>
        </w:rPr>
        <w:t>Scientific</w:t>
      </w:r>
      <w:r>
        <w:rPr/>
        <w:t>）公司，从事生化分析仪器及</w:t>
      </w:r>
      <w:r>
        <w:rPr>
          <w:w w:val="99"/>
        </w:rPr>
        <w:t> </w:t>
      </w:r>
      <w:r>
        <w:rPr/>
        <w:t>软件研究开发工作，参与并领导了高尖端生命科学质谱仪控制系统、数据处理及分析系统、蛋白质生物分</w:t>
      </w:r>
      <w:r>
        <w:rPr>
          <w:w w:val="99"/>
        </w:rPr>
        <w:t> </w:t>
      </w:r>
      <w:r>
        <w:rPr/>
        <w:t>析系统的研发。</w:t>
      </w:r>
      <w:r>
        <w:rPr>
          <w:rFonts w:ascii="Times New Roman" w:hAnsi="Times New Roman" w:cs="Times New Roman" w:eastAsia="Times New Roman" w:hint="default"/>
        </w:rPr>
        <w:t>1995</w:t>
      </w:r>
      <w:r>
        <w:rPr/>
        <w:t>年加入美国</w:t>
      </w:r>
      <w:r>
        <w:rPr>
          <w:rFonts w:ascii="Times New Roman" w:hAnsi="Times New Roman" w:cs="Times New Roman" w:eastAsia="Times New Roman" w:hint="default"/>
        </w:rPr>
        <w:t>Applied</w:t>
      </w:r>
      <w:r>
        <w:rPr>
          <w:rFonts w:ascii="Times New Roman" w:hAnsi="Times New Roman" w:cs="Times New Roman" w:eastAsia="Times New Roman" w:hint="default"/>
          <w:spacing w:val="-20"/>
        </w:rPr>
        <w:t> </w:t>
      </w:r>
      <w:r>
        <w:rPr>
          <w:rFonts w:ascii="Times New Roman" w:hAnsi="Times New Roman" w:cs="Times New Roman" w:eastAsia="Times New Roman" w:hint="default"/>
        </w:rPr>
        <w:t>Biosystems</w:t>
      </w:r>
      <w:r>
        <w:rPr/>
        <w:t>公司，作为公司研发部门的资深管理人员，领导研发团 </w:t>
      </w:r>
      <w:r>
        <w:rPr>
          <w:spacing w:val="-2"/>
        </w:rPr>
        <w:t>队开发了包括蛋白组分析质谱仪的控制及数据系统、组合化学分析平台、蛋白组分析平台、</w:t>
      </w:r>
      <w:r>
        <w:rPr>
          <w:rFonts w:ascii="Times New Roman" w:hAnsi="Times New Roman" w:cs="Times New Roman" w:eastAsia="Times New Roman" w:hint="default"/>
          <w:spacing w:val="-2"/>
        </w:rPr>
        <w:t>SNP</w:t>
      </w:r>
      <w:r>
        <w:rPr>
          <w:spacing w:val="-2"/>
        </w:rPr>
        <w:t>分析系统、</w:t>
      </w:r>
      <w:r>
        <w:rPr/>
        <w:t> 生物标志物分析系统等多项系统与平台。</w:t>
      </w:r>
      <w:r>
        <w:rPr>
          <w:rFonts w:ascii="Times New Roman" w:hAnsi="Times New Roman" w:cs="Times New Roman" w:eastAsia="Times New Roman" w:hint="default"/>
        </w:rPr>
        <w:t>2008</w:t>
      </w:r>
      <w:r>
        <w:rPr/>
        <w:t>年回国工作，主要从事生命科学分析仪器的研究与开发。</w:t>
      </w:r>
    </w:p>
    <w:p>
      <w:pPr>
        <w:pStyle w:val="BodyText"/>
        <w:spacing w:line="400" w:lineRule="auto" w:before="30"/>
        <w:ind w:left="154" w:right="1131" w:firstLine="480"/>
        <w:jc w:val="both"/>
      </w:pPr>
      <w:r>
        <w:rPr>
          <w:spacing w:val="-2"/>
        </w:rPr>
        <w:t>任鲁风，博士，副研究员，基因组所技术研发中心常务副主任。</w:t>
      </w:r>
      <w:r>
        <w:rPr>
          <w:rFonts w:ascii="Times New Roman" w:hAnsi="Times New Roman" w:cs="Times New Roman" w:eastAsia="Times New Roman" w:hint="default"/>
          <w:spacing w:val="-2"/>
        </w:rPr>
        <w:t>2000</w:t>
      </w:r>
      <w:r>
        <w:rPr>
          <w:spacing w:val="-2"/>
        </w:rPr>
        <w:t>年参加工作起先后任天津市妇女</w:t>
      </w:r>
      <w:r>
        <w:rPr/>
        <w:t> </w:t>
      </w:r>
      <w:r>
        <w:rPr>
          <w:spacing w:val="-1"/>
        </w:rPr>
        <w:t>保健所诊断科副主任、本元正阳基因技术有限公司芯片产品事业部技术经理、新药研发部项目经理、技术</w:t>
      </w:r>
      <w:r>
        <w:rPr>
          <w:spacing w:val="-83"/>
        </w:rPr>
        <w:t> </w:t>
      </w:r>
      <w:r>
        <w:rPr>
          <w:spacing w:val="-83"/>
        </w:rPr>
      </w:r>
      <w:r>
        <w:rPr>
          <w:spacing w:val="-1"/>
        </w:rPr>
        <w:t>研发部技术经理、总经理助理，从事人类医学遗传学、分子病毒学、基因组学、分子检测诊断技术等领域</w:t>
      </w:r>
      <w:r>
        <w:rPr>
          <w:spacing w:val="-83"/>
        </w:rPr>
        <w:t> </w:t>
      </w:r>
      <w:r>
        <w:rPr>
          <w:spacing w:val="-83"/>
        </w:rPr>
      </w:r>
      <w:r>
        <w:rPr/>
        <w:t>的研究工作，具有生物医药企业管理经验。</w:t>
      </w:r>
    </w:p>
    <w:p>
      <w:pPr>
        <w:pStyle w:val="BodyText"/>
        <w:spacing w:line="398" w:lineRule="auto" w:before="52"/>
        <w:ind w:right="1129" w:firstLine="468"/>
        <w:jc w:val="both"/>
      </w:pPr>
      <w:r>
        <w:rPr>
          <w:spacing w:val="-2"/>
        </w:rPr>
        <w:t>专利方面，报告期内对公司在研的食品和保健食品进行筛选，确定可申报专利的产品品种；组织各部</w:t>
      </w:r>
      <w:r>
        <w:rPr/>
        <w:t> 门人员对筛选出的</w:t>
      </w:r>
      <w:r>
        <w:rPr>
          <w:rFonts w:ascii="Times New Roman" w:hAnsi="Times New Roman" w:cs="Times New Roman" w:eastAsia="Times New Roman" w:hint="default"/>
        </w:rPr>
        <w:t>7</w:t>
      </w:r>
      <w:r>
        <w:rPr/>
        <w:t>个保健食品和</w:t>
      </w:r>
      <w:r>
        <w:rPr>
          <w:rFonts w:ascii="Times New Roman" w:hAnsi="Times New Roman" w:cs="Times New Roman" w:eastAsia="Times New Roman" w:hint="default"/>
        </w:rPr>
        <w:t>26</w:t>
      </w:r>
      <w:r>
        <w:rPr/>
        <w:t>个食品产品进行专利撰写，目前已完成</w:t>
      </w:r>
      <w:r>
        <w:rPr>
          <w:rFonts w:ascii="Times New Roman" w:hAnsi="Times New Roman" w:cs="Times New Roman" w:eastAsia="Times New Roman" w:hint="default"/>
        </w:rPr>
        <w:t>15</w:t>
      </w:r>
      <w:r>
        <w:rPr/>
        <w:t>个专利的初稿，预计在</w:t>
      </w:r>
      <w:r>
        <w:rPr>
          <w:rFonts w:ascii="Times New Roman" w:hAnsi="Times New Roman" w:cs="Times New Roman" w:eastAsia="Times New Roman" w:hint="default"/>
        </w:rPr>
        <w:t>2015</w:t>
      </w:r>
      <w:r>
        <w:rPr>
          <w:rFonts w:ascii="Times New Roman" w:hAnsi="Times New Roman" w:cs="Times New Roman" w:eastAsia="Times New Roman" w:hint="default"/>
          <w:spacing w:val="25"/>
        </w:rPr>
        <w:t> </w:t>
      </w:r>
      <w:r>
        <w:rPr/>
        <w:t>年修改后进行申报。</w:t>
      </w:r>
    </w:p>
    <w:p>
      <w:pPr>
        <w:pStyle w:val="BodyText"/>
        <w:spacing w:line="240" w:lineRule="auto" w:before="54"/>
        <w:ind w:left="573" w:right="0"/>
        <w:jc w:val="left"/>
      </w:pPr>
      <w:r>
        <w:rPr>
          <w:rFonts w:ascii="Times New Roman" w:hAnsi="Times New Roman" w:cs="Times New Roman" w:eastAsia="Times New Roman" w:hint="default"/>
        </w:rPr>
        <w:t>2014</w:t>
      </w:r>
      <w:r>
        <w:rPr/>
        <w:t>年报告期内，公司获得重要发明专利证书，明细如下：</w:t>
      </w:r>
    </w:p>
    <w:p>
      <w:pPr>
        <w:spacing w:line="240" w:lineRule="auto" w:before="9"/>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708"/>
        <w:gridCol w:w="4787"/>
        <w:gridCol w:w="1559"/>
        <w:gridCol w:w="1469"/>
      </w:tblGrid>
      <w:tr>
        <w:trPr>
          <w:trHeight w:val="503"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宋体" w:hAnsi="宋体" w:cs="宋体" w:eastAsia="宋体" w:hint="default"/>
                <w:sz w:val="21"/>
                <w:szCs w:val="21"/>
              </w:rPr>
            </w:pPr>
            <w:r>
              <w:rPr>
                <w:rFonts w:ascii="宋体" w:hAnsi="宋体" w:cs="宋体" w:eastAsia="宋体" w:hint="default"/>
                <w:b/>
                <w:bCs/>
                <w:sz w:val="21"/>
                <w:szCs w:val="21"/>
              </w:rPr>
              <w:t>所属公司</w:t>
            </w:r>
            <w:r>
              <w:rPr>
                <w:rFonts w:ascii="宋体" w:hAnsi="宋体" w:cs="宋体" w:eastAsia="宋体" w:hint="default"/>
                <w:sz w:val="21"/>
                <w:szCs w:val="21"/>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b/>
                <w:bCs/>
                <w:sz w:val="21"/>
                <w:szCs w:val="21"/>
              </w:rPr>
              <w:t>目前状态</w:t>
            </w:r>
            <w:r>
              <w:rPr>
                <w:rFonts w:ascii="宋体" w:hAnsi="宋体" w:cs="宋体" w:eastAsia="宋体" w:hint="default"/>
                <w:sz w:val="21"/>
                <w:szCs w:val="21"/>
              </w:rPr>
            </w:r>
          </w:p>
        </w:tc>
      </w:tr>
      <w:tr>
        <w:trPr>
          <w:trHeight w:val="504"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1</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宋体" w:hAnsi="宋体" w:cs="宋体" w:eastAsia="宋体" w:hint="default"/>
                <w:sz w:val="21"/>
                <w:szCs w:val="21"/>
              </w:rPr>
            </w:pPr>
            <w:r>
              <w:rPr>
                <w:rFonts w:ascii="宋体" w:hAnsi="宋体" w:cs="宋体" w:eastAsia="宋体" w:hint="default"/>
                <w:sz w:val="21"/>
                <w:szCs w:val="21"/>
              </w:rPr>
              <w:t>一种</w:t>
            </w:r>
            <w:r>
              <w:rPr>
                <w:rFonts w:ascii="Times New Roman" w:hAnsi="Times New Roman" w:cs="Times New Roman" w:eastAsia="Times New Roman" w:hint="default"/>
                <w:sz w:val="21"/>
                <w:szCs w:val="21"/>
              </w:rPr>
              <w:t>DNA</w:t>
            </w:r>
            <w:r>
              <w:rPr>
                <w:rFonts w:ascii="宋体" w:hAnsi="宋体" w:cs="宋体" w:eastAsia="宋体" w:hint="default"/>
                <w:sz w:val="21"/>
                <w:szCs w:val="21"/>
              </w:rPr>
              <w:t>测序仪</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宋体" w:hAnsi="宋体" w:cs="宋体" w:eastAsia="宋体" w:hint="default"/>
                <w:sz w:val="21"/>
                <w:szCs w:val="21"/>
              </w:rPr>
            </w:pPr>
            <w:r>
              <w:rPr>
                <w:rFonts w:ascii="宋体" w:hAnsi="宋体" w:cs="宋体" w:eastAsia="宋体" w:hint="default"/>
                <w:sz w:val="21"/>
                <w:szCs w:val="21"/>
              </w:rPr>
              <w:t>中科紫鑫</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获得证书</w:t>
            </w:r>
          </w:p>
        </w:tc>
      </w:tr>
    </w:tbl>
    <w:p>
      <w:pPr>
        <w:spacing w:line="240" w:lineRule="auto" w:before="0"/>
        <w:rPr>
          <w:rFonts w:ascii="宋体" w:hAnsi="宋体" w:cs="宋体" w:eastAsia="宋体" w:hint="default"/>
          <w:sz w:val="24"/>
          <w:szCs w:val="24"/>
        </w:rPr>
      </w:pPr>
    </w:p>
    <w:p>
      <w:pPr>
        <w:pStyle w:val="Heading2"/>
        <w:spacing w:line="240" w:lineRule="auto" w:before="26"/>
        <w:ind w:left="154" w:right="0"/>
        <w:jc w:val="left"/>
        <w:rPr>
          <w:b w:val="0"/>
          <w:bCs w:val="0"/>
        </w:rPr>
      </w:pPr>
      <w:bookmarkStart w:name="六、投资状况分析" w:id="33"/>
      <w:bookmarkEnd w:id="33"/>
      <w:r>
        <w:rPr>
          <w:b w:val="0"/>
          <w:bCs w:val="0"/>
        </w:rPr>
      </w:r>
      <w:r>
        <w:rPr/>
        <w:t>六、投资状况分析</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left"/>
        <w:rPr>
          <w:b w:val="0"/>
          <w:bCs w:val="0"/>
        </w:rPr>
      </w:pPr>
      <w:bookmarkStart w:name="1、对外股权投资情况" w:id="34"/>
      <w:bookmarkEnd w:id="34"/>
      <w:r>
        <w:rPr>
          <w:b w:val="0"/>
          <w:bCs w:val="0"/>
        </w:rPr>
      </w:r>
      <w:r>
        <w:rPr>
          <w:rFonts w:ascii="Times New Roman" w:hAnsi="Times New Roman" w:cs="Times New Roman" w:eastAsia="Times New Roman" w:hint="default"/>
        </w:rPr>
        <w:t>1</w:t>
      </w:r>
      <w:r>
        <w:rPr/>
        <w:t>、对外股权投资情况</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right="0"/>
        <w:jc w:val="left"/>
        <w:rPr>
          <w:b w:val="0"/>
          <w:bCs w:val="0"/>
        </w:rPr>
      </w:pPr>
      <w:bookmarkStart w:name="（1）对外投资情况" w:id="35"/>
      <w:bookmarkEnd w:id="35"/>
      <w:r>
        <w:rPr>
          <w:b w:val="0"/>
          <w:bCs w:val="0"/>
        </w:rPr>
      </w:r>
      <w:r>
        <w:rPr/>
        <w:t>（</w:t>
      </w:r>
      <w:r>
        <w:rPr>
          <w:rFonts w:ascii="Times New Roman" w:hAnsi="Times New Roman" w:cs="Times New Roman" w:eastAsia="Times New Roman" w:hint="default"/>
        </w:rPr>
        <w:t>1</w:t>
      </w:r>
      <w:r>
        <w:rPr/>
        <w:t>）对外投资情况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489" w:lineRule="auto" w:before="0"/>
        <w:ind w:left="153" w:right="87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公司报告期无对外投资。</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bookmarkStart w:name="（2）持有金融企业股权情况" w:id="36"/>
      <w:bookmarkEnd w:id="36"/>
      <w:r>
        <w:rPr>
          <w:b w:val="0"/>
          <w:bCs w:val="0"/>
        </w:rPr>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820"/>
        <w:gridCol w:w="824"/>
        <w:gridCol w:w="1091"/>
        <w:gridCol w:w="866"/>
        <w:gridCol w:w="762"/>
        <w:gridCol w:w="865"/>
        <w:gridCol w:w="761"/>
        <w:gridCol w:w="1091"/>
        <w:gridCol w:w="1001"/>
        <w:gridCol w:w="812"/>
        <w:gridCol w:w="800"/>
      </w:tblGrid>
      <w:tr>
        <w:trPr>
          <w:trHeight w:val="1026" w:hRule="exact"/>
        </w:trPr>
        <w:tc>
          <w:tcPr>
            <w:tcW w:w="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6"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179" w:right="89" w:hanging="90"/>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22" w:right="67" w:firstLine="44"/>
              <w:jc w:val="left"/>
              <w:rPr>
                <w:rFonts w:ascii="宋体" w:hAnsi="宋体" w:cs="宋体" w:eastAsia="宋体" w:hint="default"/>
                <w:sz w:val="18"/>
                <w:szCs w:val="18"/>
              </w:rPr>
            </w:pPr>
            <w:r>
              <w:rPr>
                <w:rFonts w:ascii="宋体" w:hAnsi="宋体" w:cs="宋体" w:eastAsia="宋体" w:hint="default"/>
                <w:sz w:val="18"/>
                <w:szCs w:val="18"/>
              </w:rPr>
              <w:t>期初持股 数量（股</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期初持</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1"/>
                <w:sz w:val="18"/>
                <w:szCs w:val="18"/>
              </w:rPr>
              <w:t> </w:t>
            </w:r>
            <w:r>
              <w:rPr>
                <w:rFonts w:ascii="宋体" w:hAnsi="宋体" w:cs="宋体" w:eastAsia="宋体" w:hint="default"/>
                <w:sz w:val="18"/>
                <w:szCs w:val="18"/>
              </w:rPr>
              <w:t>股比例</w:t>
            </w:r>
          </w:p>
        </w:tc>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22" w:right="66" w:firstLine="44"/>
              <w:jc w:val="left"/>
              <w:rPr>
                <w:rFonts w:ascii="宋体" w:hAnsi="宋体" w:cs="宋体" w:eastAsia="宋体" w:hint="default"/>
                <w:sz w:val="18"/>
                <w:szCs w:val="18"/>
              </w:rPr>
            </w:pPr>
            <w:r>
              <w:rPr>
                <w:rFonts w:ascii="宋体" w:hAnsi="宋体" w:cs="宋体" w:eastAsia="宋体" w:hint="default"/>
                <w:sz w:val="18"/>
                <w:szCs w:val="18"/>
              </w:rPr>
              <w:t>期末持股 数量（股</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04" w:right="0"/>
              <w:jc w:val="left"/>
              <w:rPr>
                <w:rFonts w:ascii="宋体" w:hAnsi="宋体" w:cs="宋体" w:eastAsia="宋体" w:hint="default"/>
                <w:sz w:val="18"/>
                <w:szCs w:val="18"/>
              </w:rPr>
            </w:pPr>
            <w:r>
              <w:rPr>
                <w:rFonts w:ascii="宋体" w:hAnsi="宋体" w:cs="宋体" w:eastAsia="宋体" w:hint="default"/>
                <w:sz w:val="18"/>
                <w:szCs w:val="18"/>
              </w:rPr>
              <w:t>期末持</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4"/>
                <w:sz w:val="18"/>
                <w:szCs w:val="18"/>
              </w:rPr>
              <w:t> </w:t>
            </w:r>
            <w:r>
              <w:rPr>
                <w:rFonts w:ascii="宋体" w:hAnsi="宋体" w:cs="宋体" w:eastAsia="宋体" w:hint="default"/>
                <w:sz w:val="18"/>
                <w:szCs w:val="18"/>
              </w:rPr>
              <w:t>股比例</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220" w:right="41"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5"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559" w:hRule="exact"/>
        </w:trPr>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 w:right="0"/>
              <w:jc w:val="left"/>
              <w:rPr>
                <w:rFonts w:ascii="宋体" w:hAnsi="宋体" w:cs="宋体" w:eastAsia="宋体" w:hint="default"/>
                <w:sz w:val="18"/>
                <w:szCs w:val="18"/>
              </w:rPr>
            </w:pPr>
            <w:r>
              <w:rPr>
                <w:rFonts w:ascii="宋体" w:hAnsi="宋体" w:cs="宋体" w:eastAsia="宋体" w:hint="default"/>
                <w:sz w:val="18"/>
                <w:szCs w:val="18"/>
              </w:rPr>
              <w:t>长春农村</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商业银行</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28,000,000.00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28,000,000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4.08%</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49,000,000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4.08%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28,000,000.00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9,800,000.00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 w:right="0"/>
              <w:jc w:val="left"/>
              <w:rPr>
                <w:rFonts w:ascii="宋体" w:hAnsi="宋体" w:cs="宋体" w:eastAsia="宋体" w:hint="default"/>
                <w:sz w:val="18"/>
                <w:szCs w:val="18"/>
              </w:rPr>
            </w:pPr>
            <w:r>
              <w:rPr>
                <w:rFonts w:ascii="宋体" w:hAnsi="宋体" w:cs="宋体" w:eastAsia="宋体" w:hint="default"/>
                <w:sz w:val="18"/>
                <w:szCs w:val="18"/>
              </w:rPr>
              <w:t>可供出售</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820"/>
        <w:gridCol w:w="824"/>
        <w:gridCol w:w="1091"/>
        <w:gridCol w:w="866"/>
        <w:gridCol w:w="762"/>
        <w:gridCol w:w="865"/>
        <w:gridCol w:w="761"/>
        <w:gridCol w:w="1091"/>
        <w:gridCol w:w="1001"/>
        <w:gridCol w:w="812"/>
        <w:gridCol w:w="800"/>
      </w:tblGrid>
      <w:tr>
        <w:trPr>
          <w:trHeight w:val="1455" w:hRule="exact"/>
        </w:trPr>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65"/>
              <w:jc w:val="both"/>
              <w:rPr>
                <w:rFonts w:ascii="宋体" w:hAnsi="宋体" w:cs="宋体" w:eastAsia="宋体" w:hint="default"/>
                <w:sz w:val="18"/>
                <w:szCs w:val="18"/>
              </w:rPr>
            </w:pPr>
            <w:r>
              <w:rPr>
                <w:rFonts w:ascii="宋体" w:hAnsi="宋体" w:cs="宋体" w:eastAsia="宋体" w:hint="default"/>
                <w:sz w:val="18"/>
                <w:szCs w:val="18"/>
              </w:rPr>
              <w:t>商业银行 股份有限 公司</w:t>
            </w:r>
          </w:p>
        </w:tc>
        <w:tc>
          <w:tcPr>
            <w:tcW w:w="8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5"/>
              <w:jc w:val="center"/>
              <w:rPr>
                <w:rFonts w:ascii="宋体" w:hAnsi="宋体" w:cs="宋体" w:eastAsia="宋体" w:hint="default"/>
                <w:sz w:val="18"/>
                <w:szCs w:val="18"/>
              </w:rPr>
            </w:pPr>
            <w:r>
              <w:rPr>
                <w:rFonts w:ascii="宋体" w:hAnsi="宋体" w:cs="宋体" w:eastAsia="宋体" w:hint="default"/>
                <w:sz w:val="18"/>
                <w:szCs w:val="18"/>
              </w:rPr>
              <w:t>金融资产</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558" w:hRule="exact"/>
        </w:trPr>
        <w:tc>
          <w:tcPr>
            <w:tcW w:w="16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28,000,000.00</w:t>
            </w:r>
          </w:p>
        </w:tc>
        <w:tc>
          <w:tcPr>
            <w:tcW w:w="8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28,000,000</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5"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49,000,000</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28,000,000.00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9,800,000.00</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2、募集资金使用情况" w:id="37"/>
      <w:bookmarkEnd w:id="37"/>
      <w:r>
        <w:rPr>
          <w:b w:val="0"/>
          <w:bCs w:val="0"/>
        </w:rPr>
      </w:r>
      <w:r>
        <w:rPr>
          <w:rFonts w:ascii="Times New Roman" w:hAnsi="Times New Roman" w:cs="Times New Roman" w:eastAsia="Times New Roman" w:hint="default"/>
        </w:rPr>
        <w:t>2</w:t>
      </w:r>
      <w:r>
        <w:rPr/>
        <w:t>、募集资金使用情况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bookmarkStart w:name="（1）募集资金总体使用情况" w:id="38"/>
      <w:bookmarkEnd w:id="38"/>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4078"/>
        <w:gridCol w:w="5480"/>
      </w:tblGrid>
      <w:tr>
        <w:trPr>
          <w:trHeight w:val="558"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r>
      <w:tr>
        <w:trPr>
          <w:trHeight w:val="558"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2,915.44</w:t>
            </w:r>
          </w:p>
        </w:tc>
      </w:tr>
      <w:tr>
        <w:trPr>
          <w:trHeight w:val="558"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90,347.06</w:t>
            </w:r>
          </w:p>
        </w:tc>
      </w:tr>
      <w:tr>
        <w:trPr>
          <w:trHeight w:val="558"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58"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63"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55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1" w:right="1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6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448" w:lineRule="auto" w:before="129"/>
              <w:ind w:left="11" w:right="22"/>
              <w:jc w:val="left"/>
              <w:rPr>
                <w:rFonts w:ascii="宋体" w:hAnsi="宋体" w:cs="宋体" w:eastAsia="宋体" w:hint="default"/>
                <w:sz w:val="18"/>
                <w:szCs w:val="18"/>
              </w:rPr>
            </w:pPr>
            <w:r>
              <w:rPr>
                <w:rFonts w:ascii="宋体" w:hAnsi="宋体" w:cs="宋体" w:eastAsia="宋体" w:hint="default"/>
                <w:spacing w:val="-2"/>
                <w:sz w:val="18"/>
                <w:szCs w:val="18"/>
              </w:rPr>
              <w:t>经中国证券监督管理委员会《关于核准吉林紫鑫药业股份有限公司非公开发行股票的批复》（证监许可</w:t>
            </w:r>
            <w:r>
              <w:rPr>
                <w:rFonts w:ascii="Times New Roman" w:hAnsi="Times New Roman" w:cs="Times New Roman" w:eastAsia="Times New Roman" w:hint="default"/>
                <w:spacing w:val="-2"/>
                <w:sz w:val="18"/>
                <w:szCs w:val="18"/>
              </w:rPr>
              <w:t>[2010]1815</w:t>
            </w:r>
            <w:r>
              <w:rPr>
                <w:rFonts w:ascii="Times New Roman" w:hAnsi="Times New Roman" w:cs="Times New Roman" w:eastAsia="Times New Roman" w:hint="default"/>
                <w:sz w:val="18"/>
                <w:szCs w:val="18"/>
              </w:rPr>
              <w:t> </w:t>
            </w:r>
            <w:r>
              <w:rPr>
                <w:rFonts w:ascii="宋体" w:hAnsi="宋体" w:cs="宋体" w:eastAsia="宋体" w:hint="default"/>
                <w:sz w:val="18"/>
                <w:szCs w:val="18"/>
              </w:rPr>
              <w:t>号）核</w:t>
            </w:r>
            <w:r>
              <w:rPr>
                <w:rFonts w:ascii="宋体" w:hAnsi="宋体" w:cs="宋体" w:eastAsia="宋体" w:hint="default"/>
                <w:spacing w:val="-71"/>
                <w:sz w:val="18"/>
                <w:szCs w:val="18"/>
              </w:rPr>
              <w:t> </w:t>
            </w:r>
            <w:r>
              <w:rPr>
                <w:rFonts w:ascii="宋体" w:hAnsi="宋体" w:cs="宋体" w:eastAsia="宋体" w:hint="default"/>
                <w:sz w:val="18"/>
                <w:szCs w:val="18"/>
              </w:rPr>
              <w:t>准，公司非公开发行</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股股票</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49,875,311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股，每股面值为人民币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元、每股发行价格为人民币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元，募集资金总额</w:t>
            </w:r>
          </w:p>
          <w:p>
            <w:pPr>
              <w:pStyle w:val="TableParagraph"/>
              <w:spacing w:line="240" w:lineRule="auto" w:before="4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999,999,985.55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元，扣除相关发行费用后，募集资金净额为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986,450,110.24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日，募集资金累计使</w:t>
            </w: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用金额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928,769,276.96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元（含永久补充流动资金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25,298,791.09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尚未使用的募集资金余额为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65,394,022.40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2）募集资金承诺项目情况" w:id="39"/>
      <w:bookmarkEnd w:id="39"/>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75.4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4"/>
                    <w:gridCol w:w="771"/>
                    <w:gridCol w:w="780"/>
                    <w:gridCol w:w="776"/>
                    <w:gridCol w:w="781"/>
                    <w:gridCol w:w="786"/>
                    <w:gridCol w:w="778"/>
                    <w:gridCol w:w="778"/>
                    <w:gridCol w:w="790"/>
                    <w:gridCol w:w="778"/>
                    <w:gridCol w:w="786"/>
                  </w:tblGrid>
                  <w:tr>
                    <w:trPr>
                      <w:trHeight w:val="196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6"/>
                          <w:ind w:left="516" w:right="66"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68" w:lineRule="auto" w:before="129"/>
                          <w:ind w:left="81" w:right="79"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26"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96" w:lineRule="auto" w:before="128"/>
                          <w:ind w:left="22"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6"/>
                          <w:ind w:left="25"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25"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82" w:lineRule="auto" w:before="129"/>
                          <w:ind w:left="21"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6" w:right="1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28" w:right="29"/>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6"/>
                          <w:ind w:left="21" w:right="25"/>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7" w:right="26"/>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558"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49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51" w:lineRule="auto" w:before="128"/>
                          <w:ind w:left="22"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人参产品系列化</w:t>
                        </w:r>
                        <w:r>
                          <w:rPr>
                            <w:rFonts w:ascii="Times New Roman" w:hAnsi="Times New Roman" w:cs="Times New Roman" w:eastAsia="Times New Roman" w:hint="default"/>
                            <w:sz w:val="18"/>
                            <w:szCs w:val="18"/>
                          </w:rPr>
                          <w:t>(</w:t>
                        </w:r>
                        <w:r>
                          <w:rPr>
                            <w:rFonts w:ascii="宋体" w:hAnsi="宋体" w:cs="宋体" w:eastAsia="宋体" w:hint="default"/>
                            <w:sz w:val="18"/>
                            <w:szCs w:val="18"/>
                          </w:rPr>
                          <w:t>通 化</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29,954.21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29,954.21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2,838.83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23,931.98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79.90%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-497.6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49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51" w:lineRule="auto" w:before="128"/>
                          <w:ind w:left="22"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人参产品系列化</w:t>
                        </w:r>
                        <w:r>
                          <w:rPr>
                            <w:rFonts w:ascii="Times New Roman" w:hAnsi="Times New Roman" w:cs="Times New Roman" w:eastAsia="Times New Roman" w:hint="default"/>
                            <w:sz w:val="18"/>
                            <w:szCs w:val="18"/>
                          </w:rPr>
                          <w:t>(</w:t>
                        </w:r>
                        <w:r>
                          <w:rPr>
                            <w:rFonts w:ascii="宋体" w:hAnsi="宋体" w:cs="宋体" w:eastAsia="宋体" w:hint="default"/>
                            <w:sz w:val="18"/>
                            <w:szCs w:val="18"/>
                          </w:rPr>
                          <w:t>延 吉</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29,993.95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29,993.95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27,592.83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91.99%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-922.77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49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51" w:lineRule="auto" w:before="128"/>
                          <w:ind w:left="22"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人参产品系列化</w:t>
                        </w:r>
                        <w:r>
                          <w:rPr>
                            <w:rFonts w:ascii="Times New Roman" w:hAnsi="Times New Roman" w:cs="Times New Roman" w:eastAsia="Times New Roman" w:hint="default"/>
                            <w:sz w:val="18"/>
                            <w:szCs w:val="18"/>
                          </w:rPr>
                          <w:t>(</w:t>
                        </w:r>
                        <w:r>
                          <w:rPr>
                            <w:rFonts w:ascii="宋体" w:hAnsi="宋体" w:cs="宋体" w:eastAsia="宋体" w:hint="default"/>
                            <w:sz w:val="18"/>
                            <w:szCs w:val="18"/>
                          </w:rPr>
                          <w:t>磐 石</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13,989.33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13,989.33</w:t>
                        </w:r>
                      </w:p>
                    </w:tc>
                    <w:tc>
                      <w:tcPr>
                        <w:tcW w:w="78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14,029.62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100.29%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2,471.64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49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51" w:lineRule="auto" w:before="128"/>
                          <w:ind w:left="22"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人参产品系列化</w:t>
                        </w:r>
                        <w:r>
                          <w:rPr>
                            <w:rFonts w:ascii="Times New Roman" w:hAnsi="Times New Roman" w:cs="Times New Roman" w:eastAsia="Times New Roman" w:hint="default"/>
                            <w:sz w:val="18"/>
                            <w:szCs w:val="18"/>
                          </w:rPr>
                          <w:t>(</w:t>
                        </w:r>
                        <w:r>
                          <w:rPr>
                            <w:rFonts w:ascii="宋体" w:hAnsi="宋体" w:cs="宋体" w:eastAsia="宋体" w:hint="default"/>
                            <w:sz w:val="18"/>
                            <w:szCs w:val="18"/>
                          </w:rPr>
                          <w:t>敦 化</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24,719.68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24,719.68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69.05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24,792.63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100.30%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3,722.33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63"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98,657.17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98,657.17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2,915.44</w:t>
                        </w:r>
                      </w:p>
                    </w:tc>
                    <w:tc>
                      <w:tcPr>
                        <w:tcW w:w="78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90,347.06</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4,773.6</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25"/>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26"/>
                          <w:jc w:val="right"/>
                          <w:rPr>
                            <w:rFonts w:ascii="Times New Roman" w:hAnsi="Times New Roman" w:cs="Times New Roman" w:eastAsia="Times New Roman" w:hint="default"/>
                            <w:sz w:val="18"/>
                            <w:szCs w:val="18"/>
                          </w:rPr>
                        </w:pPr>
                        <w:r>
                          <w:rPr>
                            <w:rFonts w:ascii="Times New Roman"/>
                            <w:sz w:val="18"/>
                          </w:rPr>
                          <w:t>--</w:t>
                        </w:r>
                      </w:p>
                    </w:tc>
                  </w:tr>
                  <w:tr>
                    <w:trPr>
                      <w:trHeight w:val="548"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563"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4"/>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3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98,657.17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98,657.17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2,915.44</w:t>
                        </w:r>
                      </w:p>
                    </w:tc>
                    <w:tc>
                      <w:tcPr>
                        <w:tcW w:w="78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90,347.06</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4,773.6</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325"/>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326"/>
                          <w:jc w:val="right"/>
                          <w:rPr>
                            <w:rFonts w:ascii="Times New Roman" w:hAnsi="Times New Roman" w:cs="Times New Roman" w:eastAsia="Times New Roman" w:hint="default"/>
                            <w:sz w:val="18"/>
                            <w:szCs w:val="18"/>
                          </w:rPr>
                        </w:pPr>
                        <w:r>
                          <w:rPr>
                            <w:rFonts w:ascii="Times New Roman"/>
                            <w:sz w:val="18"/>
                          </w:rPr>
                          <w:t>--</w:t>
                        </w:r>
                      </w:p>
                    </w:tc>
                  </w:tr>
                  <w:tr>
                    <w:trPr>
                      <w:trHeight w:val="922"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240" w:lineRule="auto" w:before="129"/>
                          <w:ind w:left="16" w:right="0"/>
                          <w:jc w:val="left"/>
                          <w:rPr>
                            <w:rFonts w:ascii="宋体" w:hAnsi="宋体" w:cs="宋体" w:eastAsia="宋体" w:hint="default"/>
                            <w:sz w:val="18"/>
                            <w:szCs w:val="18"/>
                          </w:rPr>
                        </w:pPr>
                        <w:r>
                          <w:rPr>
                            <w:rFonts w:ascii="宋体" w:hAnsi="宋体" w:cs="宋体" w:eastAsia="宋体" w:hint="default"/>
                            <w:sz w:val="18"/>
                            <w:szCs w:val="18"/>
                          </w:rPr>
                          <w:t>人参产品系列化（通化）项目因政府用地调整，未能如期开工建设，至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24  </w:t>
                        </w:r>
                        <w:r>
                          <w:rPr>
                            <w:rFonts w:ascii="宋体" w:hAnsi="宋体" w:cs="宋体" w:eastAsia="宋体" w:hint="default"/>
                            <w:sz w:val="18"/>
                            <w:szCs w:val="18"/>
                          </w:rPr>
                          <w:t>才开工</w:t>
                        </w:r>
                      </w:p>
                      <w:p>
                        <w:pPr>
                          <w:pStyle w:val="TableParagraph"/>
                          <w:spacing w:line="240" w:lineRule="auto" w:before="9"/>
                          <w:ind w:right="0"/>
                          <w:jc w:val="left"/>
                          <w:rPr>
                            <w:rFonts w:ascii="宋体" w:hAnsi="宋体" w:cs="宋体" w:eastAsia="宋体" w:hint="default"/>
                            <w:sz w:val="16"/>
                            <w:szCs w:val="16"/>
                          </w:rPr>
                        </w:pPr>
                      </w:p>
                      <w:p>
                        <w:pPr>
                          <w:pStyle w:val="TableParagraph"/>
                          <w:spacing w:line="451" w:lineRule="auto"/>
                          <w:ind w:left="16" w:right="20"/>
                          <w:jc w:val="left"/>
                          <w:rPr>
                            <w:rFonts w:ascii="宋体" w:hAnsi="宋体" w:cs="宋体" w:eastAsia="宋体" w:hint="default"/>
                            <w:sz w:val="18"/>
                            <w:szCs w:val="18"/>
                          </w:rPr>
                        </w:pPr>
                        <w:r>
                          <w:rPr>
                            <w:rFonts w:ascii="宋体" w:hAnsi="宋体" w:cs="宋体" w:eastAsia="宋体" w:hint="default"/>
                            <w:sz w:val="18"/>
                            <w:szCs w:val="18"/>
                          </w:rPr>
                          <w:t>导致项目无法按计划进度完成</w:t>
                        </w:r>
                        <w:r>
                          <w:rPr>
                            <w:rFonts w:ascii="Times New Roman" w:hAnsi="Times New Roman" w:cs="Times New Roman" w:eastAsia="Times New Roman" w:hint="default"/>
                            <w:sz w:val="18"/>
                            <w:szCs w:val="18"/>
                          </w:rPr>
                          <w:t>,</w:t>
                        </w:r>
                        <w:r>
                          <w:rPr>
                            <w:rFonts w:ascii="宋体" w:hAnsi="宋体" w:cs="宋体" w:eastAsia="宋体" w:hint="default"/>
                            <w:sz w:val="18"/>
                            <w:szCs w:val="18"/>
                          </w:rPr>
                          <w:t>该项目于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日得药品生产许可证，截止目前，该项目已 经完成，正在进行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GMP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认证；人参产品系列化（延吉）项目已经完成，该项目主要以生产人参食 品为主，</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月份取得饮料（果汁及蔬菜汁类）食品生产许可证。</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月卫生部批准 人参（人工种植）为新资源食品后，公司开始人参食品的生产认证工作；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月已通过人参 </w:t>
                        </w:r>
                        <w:r>
                          <w:rPr>
                            <w:rFonts w:ascii="宋体" w:hAnsi="宋体" w:cs="宋体" w:eastAsia="宋体" w:hint="default"/>
                            <w:spacing w:val="-1"/>
                            <w:sz w:val="18"/>
                            <w:szCs w:val="18"/>
                          </w:rPr>
                          <w:t>糖类、人参蜜片类、人参速溶茶类认证，以人参为主的中药饮片</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pacing w:val="-8"/>
                            <w:sz w:val="18"/>
                            <w:szCs w:val="18"/>
                          </w:rPr>
                          <w:t>已取得《药品生产许可证》，并通</w:t>
                        </w:r>
                      </w:p>
                      <w:p>
                        <w:pPr>
                          <w:pStyle w:val="TableParagraph"/>
                          <w:spacing w:line="240" w:lineRule="auto" w:before="43"/>
                          <w:ind w:left="16" w:right="0"/>
                          <w:jc w:val="left"/>
                          <w:rPr>
                            <w:rFonts w:ascii="宋体" w:hAnsi="宋体" w:cs="宋体" w:eastAsia="宋体" w:hint="default"/>
                            <w:sz w:val="18"/>
                            <w:szCs w:val="18"/>
                          </w:rPr>
                        </w:pPr>
                        <w:r>
                          <w:rPr>
                            <w:rFonts w:ascii="宋体" w:hAnsi="宋体" w:cs="宋体" w:eastAsia="宋体" w:hint="default"/>
                            <w:sz w:val="18"/>
                            <w:szCs w:val="18"/>
                          </w:rPr>
                          <w:t>过了 </w:t>
                        </w:r>
                        <w:r>
                          <w:rPr>
                            <w:rFonts w:ascii="Times New Roman" w:hAnsi="Times New Roman" w:cs="Times New Roman" w:eastAsia="Times New Roman" w:hint="default"/>
                            <w:sz w:val="18"/>
                            <w:szCs w:val="18"/>
                          </w:rPr>
                          <w:t>GMP</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认证，由于该项目生产的产品尚未完全销售，导致项目未达到预期使用效益；人参产品</w:t>
                        </w:r>
                      </w:p>
                    </w:tc>
                  </w:tr>
                  <w:tr>
                    <w:trPr>
                      <w:trHeight w:val="1484"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475" w:lineRule="auto" w:before="129"/>
                          <w:ind w:left="22" w:right="111"/>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4" w:type="dxa"/>
                        <w:gridSpan w:val="10"/>
                        <w:vMerge/>
                        <w:tcBorders>
                          <w:left w:val="single" w:sz="9" w:space="0" w:color="D2D2D2"/>
                          <w:right w:val="single" w:sz="4" w:space="0" w:color="000000"/>
                        </w:tcBorders>
                      </w:tcPr>
                      <w:p>
                        <w:pPr/>
                      </w:p>
                    </w:tc>
                  </w:tr>
                  <w:tr>
                    <w:trPr>
                      <w:trHeight w:val="922"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0" w:right="114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75.4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4"/>
                    <w:gridCol w:w="7804"/>
                  </w:tblGrid>
                  <w:tr>
                    <w:trPr>
                      <w:trHeight w:val="3795"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系列化（磐石）项目未能按照工程进度完成的原因是由于卫生部发布了 </w:t>
                        </w:r>
                        <w:r>
                          <w:rPr>
                            <w:rFonts w:ascii="Times New Roman" w:hAnsi="Times New Roman" w:cs="Times New Roman" w:eastAsia="Times New Roman" w:hint="default"/>
                            <w:sz w:val="18"/>
                            <w:szCs w:val="18"/>
                          </w:rPr>
                          <w:t>2010  </w:t>
                        </w:r>
                        <w:r>
                          <w:rPr>
                            <w:rFonts w:ascii="宋体" w:hAnsi="宋体" w:cs="宋体" w:eastAsia="宋体" w:hint="default"/>
                            <w:sz w:val="18"/>
                            <w:szCs w:val="18"/>
                          </w:rPr>
                          <w:t>版《药品生产质量管</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理规范</w:t>
                        </w:r>
                        <w:r>
                          <w:rPr>
                            <w:rFonts w:ascii="宋体" w:hAnsi="宋体" w:cs="宋体" w:eastAsia="宋体" w:hint="default"/>
                            <w:spacing w:val="-90"/>
                            <w:sz w:val="18"/>
                            <w:szCs w:val="18"/>
                          </w:rPr>
                          <w:t>》</w:t>
                        </w:r>
                        <w:r>
                          <w:rPr>
                            <w:rFonts w:ascii="宋体" w:hAnsi="宋体" w:cs="宋体" w:eastAsia="宋体" w:hint="default"/>
                            <w:spacing w:val="-56"/>
                            <w:sz w:val="18"/>
                            <w:szCs w:val="18"/>
                          </w:rPr>
                          <w:t>，</w:t>
                        </w:r>
                        <w:r>
                          <w:rPr>
                            <w:rFonts w:ascii="宋体" w:hAnsi="宋体" w:cs="宋体" w:eastAsia="宋体" w:hint="default"/>
                            <w:sz w:val="18"/>
                            <w:szCs w:val="18"/>
                          </w:rPr>
                          <w:t>并从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年开始实行</w:t>
                        </w:r>
                        <w:r>
                          <w:rPr>
                            <w:rFonts w:ascii="宋体" w:hAnsi="宋体" w:cs="宋体" w:eastAsia="宋体" w:hint="default"/>
                            <w:spacing w:val="-56"/>
                            <w:sz w:val="18"/>
                            <w:szCs w:val="18"/>
                          </w:rPr>
                          <w:t>，</w:t>
                        </w:r>
                        <w:r>
                          <w:rPr>
                            <w:rFonts w:ascii="宋体" w:hAnsi="宋体" w:cs="宋体" w:eastAsia="宋体" w:hint="default"/>
                            <w:sz w:val="18"/>
                            <w:szCs w:val="18"/>
                          </w:rPr>
                          <w:t>公司根据要求对项目建设方案作了相应调整，</w:t>
                        </w:r>
                        <w:r>
                          <w:rPr>
                            <w:rFonts w:ascii="宋体" w:hAnsi="宋体" w:cs="宋体" w:eastAsia="宋体" w:hint="default"/>
                            <w:spacing w:val="-55"/>
                            <w:sz w:val="18"/>
                            <w:szCs w:val="18"/>
                          </w:rPr>
                          <w:t> </w:t>
                        </w:r>
                        <w:r>
                          <w:rPr>
                            <w:rFonts w:ascii="宋体" w:hAnsi="宋体" w:cs="宋体" w:eastAsia="宋体" w:hint="default"/>
                            <w:sz w:val="18"/>
                            <w:szCs w:val="18"/>
                          </w:rPr>
                          <w:t>该项目于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4  </w:t>
                        </w:r>
                        <w:r>
                          <w:rPr>
                            <w:rFonts w:ascii="宋体" w:hAnsi="宋体" w:cs="宋体" w:eastAsia="宋体" w:hint="default"/>
                            <w:sz w:val="18"/>
                            <w:szCs w:val="18"/>
                          </w:rPr>
                          <w:t>日取得药品生产许可证，丸剂车间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月通过了国家新版 </w:t>
                        </w:r>
                        <w:r>
                          <w:rPr>
                            <w:rFonts w:ascii="Times New Roman" w:hAnsi="Times New Roman" w:cs="Times New Roman" w:eastAsia="Times New Roman" w:hint="default"/>
                            <w:sz w:val="18"/>
                            <w:szCs w:val="18"/>
                          </w:rPr>
                          <w:t>GMP</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认证（详见公司</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2013-027</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号公告）</w:t>
                        </w:r>
                        <w:r>
                          <w:rPr>
                            <w:rFonts w:ascii="Times New Roman" w:hAnsi="Times New Roman" w:cs="Times New Roman" w:eastAsia="Times New Roman" w:hint="default"/>
                            <w:sz w:val="18"/>
                            <w:szCs w:val="18"/>
                          </w:rPr>
                          <w:t>,</w:t>
                        </w:r>
                        <w:r>
                          <w:rPr>
                            <w:rFonts w:ascii="宋体" w:hAnsi="宋体" w:cs="宋体" w:eastAsia="宋体" w:hint="default"/>
                            <w:sz w:val="18"/>
                            <w:szCs w:val="18"/>
                          </w:rPr>
                          <w:t>该项目目前已经完工，但由于产品市场开拓等原因，产能尚未完全释放；人参</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产品系列化（敦化）项目未能按照工程进度完成的原因是：一是由于卫生部发布了 </w:t>
                        </w:r>
                        <w:r>
                          <w:rPr>
                            <w:rFonts w:ascii="Times New Roman" w:hAnsi="Times New Roman" w:cs="Times New Roman" w:eastAsia="Times New Roman" w:hint="default"/>
                            <w:sz w:val="18"/>
                            <w:szCs w:val="18"/>
                          </w:rPr>
                          <w:t>2010  </w:t>
                        </w:r>
                        <w:r>
                          <w:rPr>
                            <w:rFonts w:ascii="宋体" w:hAnsi="宋体" w:cs="宋体" w:eastAsia="宋体" w:hint="default"/>
                            <w:sz w:val="18"/>
                            <w:szCs w:val="18"/>
                          </w:rPr>
                          <w:t>版《药品</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生产质量管理规范</w:t>
                        </w:r>
                        <w:r>
                          <w:rPr>
                            <w:rFonts w:ascii="宋体" w:hAnsi="宋体" w:cs="宋体" w:eastAsia="宋体" w:hint="default"/>
                            <w:spacing w:val="-90"/>
                            <w:sz w:val="18"/>
                            <w:szCs w:val="18"/>
                          </w:rPr>
                          <w:t>》</w:t>
                        </w:r>
                        <w:r>
                          <w:rPr>
                            <w:rFonts w:ascii="宋体" w:hAnsi="宋体" w:cs="宋体" w:eastAsia="宋体" w:hint="default"/>
                            <w:spacing w:val="-26"/>
                            <w:sz w:val="18"/>
                            <w:szCs w:val="18"/>
                          </w:rPr>
                          <w:t>，</w:t>
                        </w:r>
                        <w:r>
                          <w:rPr>
                            <w:rFonts w:ascii="宋体" w:hAnsi="宋体" w:cs="宋体" w:eastAsia="宋体" w:hint="default"/>
                            <w:sz w:val="18"/>
                            <w:szCs w:val="18"/>
                          </w:rPr>
                          <w:t>并从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年开始实行</w:t>
                        </w:r>
                        <w:r>
                          <w:rPr>
                            <w:rFonts w:ascii="宋体" w:hAnsi="宋体" w:cs="宋体" w:eastAsia="宋体" w:hint="default"/>
                            <w:spacing w:val="-26"/>
                            <w:sz w:val="18"/>
                            <w:szCs w:val="18"/>
                          </w:rPr>
                          <w:t>，</w:t>
                        </w:r>
                        <w:r>
                          <w:rPr>
                            <w:rFonts w:ascii="宋体" w:hAnsi="宋体" w:cs="宋体" w:eastAsia="宋体" w:hint="default"/>
                            <w:sz w:val="18"/>
                            <w:szCs w:val="18"/>
                          </w:rPr>
                          <w:t>公司根据要求对项目建设方案作了相应调整</w:t>
                        </w:r>
                        <w:r>
                          <w:rPr>
                            <w:rFonts w:ascii="宋体" w:hAnsi="宋体" w:cs="宋体" w:eastAsia="宋体" w:hint="default"/>
                            <w:spacing w:val="-26"/>
                            <w:sz w:val="18"/>
                            <w:szCs w:val="18"/>
                          </w:rPr>
                          <w:t>；</w:t>
                        </w:r>
                        <w:r>
                          <w:rPr>
                            <w:rFonts w:ascii="宋体" w:hAnsi="宋体" w:cs="宋体" w:eastAsia="宋体" w:hint="default"/>
                            <w:sz w:val="18"/>
                            <w:szCs w:val="18"/>
                          </w:rPr>
                          <w:t>二是公</w:t>
                        </w:r>
                      </w:p>
                      <w:p>
                        <w:pPr>
                          <w:pStyle w:val="TableParagraph"/>
                          <w:spacing w:line="240" w:lineRule="auto" w:before="9"/>
                          <w:ind w:right="0"/>
                          <w:jc w:val="left"/>
                          <w:rPr>
                            <w:rFonts w:ascii="宋体" w:hAnsi="宋体" w:cs="宋体" w:eastAsia="宋体" w:hint="default"/>
                            <w:sz w:val="16"/>
                            <w:szCs w:val="16"/>
                          </w:rPr>
                        </w:pPr>
                      </w:p>
                      <w:p>
                        <w:pPr>
                          <w:pStyle w:val="TableParagraph"/>
                          <w:spacing w:line="451" w:lineRule="auto"/>
                          <w:ind w:left="22" w:right="23"/>
                          <w:jc w:val="left"/>
                          <w:rPr>
                            <w:rFonts w:ascii="宋体" w:hAnsi="宋体" w:cs="宋体" w:eastAsia="宋体" w:hint="default"/>
                            <w:sz w:val="18"/>
                            <w:szCs w:val="18"/>
                          </w:rPr>
                        </w:pPr>
                        <w:r>
                          <w:rPr>
                            <w:rFonts w:ascii="宋体" w:hAnsi="宋体" w:cs="宋体" w:eastAsia="宋体" w:hint="default"/>
                            <w:sz w:val="18"/>
                            <w:szCs w:val="18"/>
                          </w:rPr>
                          <w:t>司追加投资</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万元，项目整体工程量增加，截至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月底，该项目已经完成，并取得《药</w:t>
                        </w:r>
                        <w:r>
                          <w:rPr>
                            <w:rFonts w:ascii="宋体" w:hAnsi="宋体" w:cs="宋体" w:eastAsia="宋体" w:hint="default"/>
                            <w:sz w:val="18"/>
                            <w:szCs w:val="18"/>
                          </w:rPr>
                          <w:t> </w:t>
                        </w:r>
                        <w:r>
                          <w:rPr>
                            <w:rFonts w:ascii="宋体" w:hAnsi="宋体" w:cs="宋体" w:eastAsia="宋体" w:hint="default"/>
                            <w:spacing w:val="-9"/>
                            <w:sz w:val="18"/>
                            <w:szCs w:val="18"/>
                          </w:rPr>
                          <w:t>品生产许可证》，通过了</w:t>
                        </w:r>
                        <w:r>
                          <w:rPr>
                            <w:rFonts w:ascii="宋体" w:hAnsi="宋体" w:cs="宋体" w:eastAsia="宋体" w:hint="default"/>
                            <w:sz w:val="18"/>
                            <w:szCs w:val="18"/>
                          </w:rPr>
                          <w:t> </w:t>
                        </w:r>
                        <w:r>
                          <w:rPr>
                            <w:rFonts w:ascii="Times New Roman" w:hAnsi="Times New Roman" w:cs="Times New Roman" w:eastAsia="Times New Roman" w:hint="default"/>
                            <w:w w:val="99"/>
                            <w:sz w:val="18"/>
                            <w:szCs w:val="18"/>
                          </w:rPr>
                          <w:t>GMP</w:t>
                        </w:r>
                        <w:r>
                          <w:rPr>
                            <w:rFonts w:ascii="Times New Roman" w:hAnsi="Times New Roman" w:cs="Times New Roman" w:eastAsia="Times New Roman" w:hint="default"/>
                            <w:spacing w:val="2"/>
                            <w:w w:val="99"/>
                            <w:sz w:val="18"/>
                            <w:szCs w:val="18"/>
                          </w:rPr>
                          <w:t> </w:t>
                        </w:r>
                        <w:r>
                          <w:rPr>
                            <w:rFonts w:ascii="宋体" w:hAnsi="宋体" w:cs="宋体" w:eastAsia="宋体" w:hint="default"/>
                            <w:sz w:val="18"/>
                            <w:szCs w:val="18"/>
                          </w:rPr>
                          <w:t>认证，但产能尚未完全释放。</w:t>
                        </w:r>
                      </w:p>
                    </w:tc>
                  </w:tr>
                  <w:tr>
                    <w:trPr>
                      <w:trHeight w:val="1026" w:hRule="exact"/>
                    </w:trPr>
                    <w:tc>
                      <w:tcPr>
                        <w:tcW w:w="1764"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477" w:lineRule="auto" w:before="129"/>
                          <w:ind w:left="22" w:right="11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58" w:hRule="exact"/>
                    </w:trPr>
                    <w:tc>
                      <w:tcPr>
                        <w:tcW w:w="1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477" w:lineRule="auto"/>
                          <w:ind w:left="22" w:right="111"/>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0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8"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477" w:lineRule="auto"/>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58" w:hRule="exact"/>
                    </w:trPr>
                    <w:tc>
                      <w:tcPr>
                        <w:tcW w:w="1764" w:type="dxa"/>
                        <w:vMerge/>
                        <w:tcBorders>
                          <w:left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3366"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年第三次临时股东大会审议通过了《关于人参产品系列化（通化）募投项目实施变更的议</w:t>
                        </w:r>
                      </w:p>
                      <w:p>
                        <w:pPr>
                          <w:pStyle w:val="TableParagraph"/>
                          <w:spacing w:line="240" w:lineRule="auto" w:before="8"/>
                          <w:ind w:right="0"/>
                          <w:jc w:val="left"/>
                          <w:rPr>
                            <w:rFonts w:ascii="宋体" w:hAnsi="宋体" w:cs="宋体" w:eastAsia="宋体" w:hint="default"/>
                            <w:sz w:val="16"/>
                            <w:szCs w:val="16"/>
                          </w:rPr>
                        </w:pPr>
                      </w:p>
                      <w:p>
                        <w:pPr>
                          <w:pStyle w:val="TableParagraph"/>
                          <w:spacing w:line="468" w:lineRule="auto"/>
                          <w:ind w:left="22" w:right="21"/>
                          <w:jc w:val="both"/>
                          <w:rPr>
                            <w:rFonts w:ascii="宋体" w:hAnsi="宋体" w:cs="宋体" w:eastAsia="宋体" w:hint="default"/>
                            <w:sz w:val="18"/>
                            <w:szCs w:val="18"/>
                          </w:rPr>
                        </w:pPr>
                        <w:r>
                          <w:rPr>
                            <w:rFonts w:ascii="宋体" w:hAnsi="宋体" w:cs="宋体" w:eastAsia="宋体" w:hint="default"/>
                            <w:spacing w:val="-9"/>
                            <w:sz w:val="18"/>
                            <w:szCs w:val="18"/>
                          </w:rPr>
                          <w:t>案》，通化市人民政府</w:t>
                        </w:r>
                        <w:r>
                          <w:rPr>
                            <w:rFonts w:ascii="宋体" w:hAnsi="宋体" w:cs="宋体" w:eastAsia="宋体" w:hint="default"/>
                            <w:spacing w:val="-46"/>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日出具了《关于置换紫鑫药业人参产品系列化项目建设用地的 </w:t>
                        </w:r>
                        <w:r>
                          <w:rPr>
                            <w:rFonts w:ascii="宋体" w:hAnsi="宋体" w:cs="宋体" w:eastAsia="宋体" w:hint="default"/>
                            <w:spacing w:val="-4"/>
                            <w:sz w:val="18"/>
                            <w:szCs w:val="18"/>
                          </w:rPr>
                          <w:t>通知》，原募投项目用地东昌区经济技术开发区医药大路地块调整为旅游发展用地，人参产品系列化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项目（通化厂区）已不适宜在该地块建设，新项目建设用地由东昌区政府及通化市政府有关部门， 按《通化市城市总体规划》有关要求另行选址安排。</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日，禺拙药业竞得通化市东昌区</w:t>
                        </w:r>
                      </w:p>
                      <w:p>
                        <w:pPr>
                          <w:pStyle w:val="TableParagraph"/>
                          <w:spacing w:line="240" w:lineRule="auto" w:before="29"/>
                          <w:ind w:left="22" w:right="0"/>
                          <w:jc w:val="both"/>
                          <w:rPr>
                            <w:rFonts w:ascii="宋体" w:hAnsi="宋体" w:cs="宋体" w:eastAsia="宋体" w:hint="default"/>
                            <w:sz w:val="18"/>
                            <w:szCs w:val="18"/>
                          </w:rPr>
                        </w:pPr>
                        <w:r>
                          <w:rPr>
                            <w:rFonts w:ascii="宋体" w:hAnsi="宋体" w:cs="宋体" w:eastAsia="宋体" w:hint="default"/>
                            <w:spacing w:val="-2"/>
                            <w:sz w:val="18"/>
                            <w:szCs w:val="18"/>
                          </w:rPr>
                          <w:t>环通乡长流村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恒安药业东侧地块</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，作为人参产品系列化项目（通化厂区）建设用地，并于</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日开工建设。</w:t>
                        </w:r>
                      </w:p>
                    </w:tc>
                  </w:tr>
                  <w:tr>
                    <w:trPr>
                      <w:trHeight w:val="558"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477" w:lineRule="auto"/>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58" w:hRule="exact"/>
                    </w:trPr>
                    <w:tc>
                      <w:tcPr>
                        <w:tcW w:w="1764" w:type="dxa"/>
                        <w:vMerge/>
                        <w:tcBorders>
                          <w:left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96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468" w:lineRule="auto" w:before="129"/>
                          <w:ind w:left="22" w:right="22"/>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年第三次临时股东大会审议通过了《关于人参产品系列化（延吉）募投项目部分变更的议</w:t>
                        </w:r>
                        <w:r>
                          <w:rPr>
                            <w:rFonts w:ascii="宋体" w:hAnsi="宋体" w:cs="宋体" w:eastAsia="宋体" w:hint="default"/>
                            <w:sz w:val="18"/>
                            <w:szCs w:val="18"/>
                          </w:rPr>
                          <w:t> </w:t>
                        </w:r>
                        <w:r>
                          <w:rPr>
                            <w:rFonts w:ascii="宋体" w:hAnsi="宋体" w:cs="宋体" w:eastAsia="宋体" w:hint="default"/>
                            <w:spacing w:val="-5"/>
                            <w:sz w:val="18"/>
                            <w:szCs w:val="18"/>
                          </w:rPr>
                          <w:t>案》、《关于人参产品系列化（磐石）募投项目部分变更的议案》和《关于人参产品系列化（敦化）</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10"/>
                            <w:sz w:val="18"/>
                            <w:szCs w:val="18"/>
                          </w:rPr>
                          <w:t>募投项目部分变更的议案》。对人参产品系列化项目（磐石厂区）、人参产品系列化项目（延吉厂区）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人参产品系列化项目（敦化厂区）进行部分调整。</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before="44"/>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5.2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4"/>
                    <w:gridCol w:w="7804"/>
                  </w:tblGrid>
                  <w:tr>
                    <w:trPr>
                      <w:trHeight w:val="558"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477" w:lineRule="auto"/>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公司第四届董事会第十一次会议审议通过了《关于使用募集资金置换预先已投入募集资金投资项目</w:t>
                        </w: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自筹资金的议案》本公司以募集资金置换已投入募集资金投入项目的自筹资金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12,865.89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558"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18"/>
                          <w:ind w:left="22" w:right="111"/>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1751"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日，公司召开了第四届董事会第十七次会议，审议通过了《关于使用部分闲置募集</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资金暂时补充流动资金的议案</w:t>
                        </w:r>
                        <w:r>
                          <w:rPr>
                            <w:rFonts w:ascii="宋体" w:hAnsi="宋体" w:cs="宋体" w:eastAsia="宋体" w:hint="default"/>
                            <w:spacing w:val="-90"/>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将人参产品系列化项</w:t>
                        </w:r>
                        <w:r>
                          <w:rPr>
                            <w:rFonts w:ascii="宋体" w:hAnsi="宋体" w:cs="宋体" w:eastAsia="宋体" w:hint="default"/>
                            <w:spacing w:val="-13"/>
                            <w:sz w:val="18"/>
                            <w:szCs w:val="18"/>
                          </w:rPr>
                          <w:t>目</w:t>
                        </w:r>
                        <w:r>
                          <w:rPr>
                            <w:rFonts w:ascii="宋体" w:hAnsi="宋体" w:cs="宋体" w:eastAsia="宋体" w:hint="default"/>
                            <w:sz w:val="18"/>
                            <w:szCs w:val="18"/>
                          </w:rPr>
                          <w:t>（通化厂区</w:t>
                        </w:r>
                        <w:r>
                          <w:rPr>
                            <w:rFonts w:ascii="宋体" w:hAnsi="宋体" w:cs="宋体" w:eastAsia="宋体" w:hint="default"/>
                            <w:spacing w:val="-14"/>
                            <w:sz w:val="18"/>
                            <w:szCs w:val="18"/>
                          </w:rPr>
                          <w:t>）</w:t>
                        </w:r>
                        <w:r>
                          <w:rPr>
                            <w:rFonts w:ascii="宋体" w:hAnsi="宋体" w:cs="宋体" w:eastAsia="宋体" w:hint="default"/>
                            <w:sz w:val="18"/>
                            <w:szCs w:val="18"/>
                          </w:rPr>
                          <w:t>募集资金中的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用于补充流动资金</w:t>
                        </w:r>
                        <w:r>
                          <w:rPr>
                            <w:rFonts w:ascii="宋体" w:hAnsi="宋体" w:cs="宋体" w:eastAsia="宋体" w:hint="default"/>
                            <w:spacing w:val="-88"/>
                            <w:sz w:val="18"/>
                            <w:szCs w:val="18"/>
                          </w:rPr>
                          <w:t>，</w:t>
                        </w:r>
                        <w:r>
                          <w:rPr>
                            <w:rFonts w:ascii="宋体" w:hAnsi="宋体" w:cs="宋体" w:eastAsia="宋体" w:hint="default"/>
                            <w:sz w:val="18"/>
                            <w:szCs w:val="18"/>
                          </w:rPr>
                          <w:t>占募集资金净额的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9.12%</w:t>
                        </w:r>
                        <w:r>
                          <w:rPr>
                            <w:rFonts w:ascii="宋体" w:hAnsi="宋体" w:cs="宋体" w:eastAsia="宋体" w:hint="default"/>
                            <w:spacing w:val="-88"/>
                            <w:sz w:val="18"/>
                            <w:szCs w:val="18"/>
                          </w:rPr>
                          <w:t>，</w:t>
                        </w:r>
                        <w:r>
                          <w:rPr>
                            <w:rFonts w:ascii="宋体" w:hAnsi="宋体" w:cs="宋体" w:eastAsia="宋体" w:hint="default"/>
                            <w:sz w:val="18"/>
                            <w:szCs w:val="18"/>
                          </w:rPr>
                          <w:t>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宋体" w:hAnsi="宋体" w:cs="宋体" w:eastAsia="宋体" w:hint="default"/>
                            <w:spacing w:val="-88"/>
                            <w:sz w:val="18"/>
                            <w:szCs w:val="18"/>
                          </w:rPr>
                          <w:t>，</w:t>
                        </w:r>
                        <w:r>
                          <w:rPr>
                            <w:rFonts w:ascii="宋体" w:hAnsi="宋体" w:cs="宋体" w:eastAsia="宋体" w:hint="default"/>
                            <w:sz w:val="18"/>
                            <w:szCs w:val="18"/>
                          </w:rPr>
                          <w:t>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日止。公司已于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日将上述暂时补充流动资金的募集资金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万元全部归</w:t>
                        </w:r>
                      </w:p>
                      <w:p>
                        <w:pPr>
                          <w:pStyle w:val="TableParagraph"/>
                          <w:spacing w:line="240" w:lineRule="auto" w:before="9"/>
                          <w:ind w:right="0"/>
                          <w:jc w:val="left"/>
                          <w:rPr>
                            <w:rFonts w:ascii="宋体" w:hAnsi="宋体" w:cs="宋体" w:eastAsia="宋体" w:hint="default"/>
                            <w:sz w:val="16"/>
                            <w:szCs w:val="16"/>
                          </w:rPr>
                        </w:pPr>
                      </w:p>
                      <w:p>
                        <w:pPr>
                          <w:pStyle w:val="TableParagraph"/>
                          <w:spacing w:line="458" w:lineRule="auto"/>
                          <w:ind w:left="22" w:right="23"/>
                          <w:jc w:val="left"/>
                          <w:rPr>
                            <w:rFonts w:ascii="宋体" w:hAnsi="宋体" w:cs="宋体" w:eastAsia="宋体" w:hint="default"/>
                            <w:sz w:val="18"/>
                            <w:szCs w:val="18"/>
                          </w:rPr>
                        </w:pPr>
                        <w:r>
                          <w:rPr>
                            <w:rFonts w:ascii="宋体" w:hAnsi="宋体" w:cs="宋体" w:eastAsia="宋体" w:hint="default"/>
                            <w:sz w:val="18"/>
                            <w:szCs w:val="18"/>
                          </w:rPr>
                          <w:t>还至募集资金专户，使用期限未超过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日，公司召开了第四届董事会第二十 </w:t>
                        </w:r>
                        <w:r>
                          <w:rPr>
                            <w:rFonts w:ascii="宋体" w:hAnsi="宋体" w:cs="宋体" w:eastAsia="宋体" w:hint="default"/>
                            <w:spacing w:val="-4"/>
                            <w:sz w:val="18"/>
                            <w:szCs w:val="18"/>
                          </w:rPr>
                          <w:t>三次会议，审议通过了《关于继续使用闲置募投资金暂时补充流动资金的议案》，将人参产品系列化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项目（通化厂区）募集资金中的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万元暂时用于补充流动资金，占募集资金净额的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5.07%</w:t>
                        </w:r>
                        <w:r>
                          <w:rPr>
                            <w:rFonts w:ascii="宋体" w:hAnsi="宋体" w:cs="宋体" w:eastAsia="宋体" w:hint="default"/>
                            <w:sz w:val="18"/>
                            <w:szCs w:val="18"/>
                          </w:rPr>
                          <w:t>，使 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个月，从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日止。公司已于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日将</w:t>
                        </w:r>
                      </w:p>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上述暂时补充流动资金的募集资金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万元返还至募集资金专用账户，使用期限未超过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日，公司召开了第四届董事会第二十八次会议，审议通过了《关于使用部分闲置募</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集资金暂时补充流动资金的议案</w:t>
                        </w:r>
                        <w:r>
                          <w:rPr>
                            <w:rFonts w:ascii="宋体" w:hAnsi="宋体" w:cs="宋体" w:eastAsia="宋体" w:hint="default"/>
                            <w:spacing w:val="-90"/>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将人参产品系列化项</w:t>
                        </w:r>
                        <w:r>
                          <w:rPr>
                            <w:rFonts w:ascii="宋体" w:hAnsi="宋体" w:cs="宋体" w:eastAsia="宋体" w:hint="default"/>
                            <w:spacing w:val="-13"/>
                            <w:sz w:val="18"/>
                            <w:szCs w:val="18"/>
                          </w:rPr>
                          <w:t>目</w:t>
                        </w:r>
                        <w:r>
                          <w:rPr>
                            <w:rFonts w:ascii="宋体" w:hAnsi="宋体" w:cs="宋体" w:eastAsia="宋体" w:hint="default"/>
                            <w:sz w:val="18"/>
                            <w:szCs w:val="18"/>
                          </w:rPr>
                          <w:t>（通化厂区</w:t>
                        </w:r>
                        <w:r>
                          <w:rPr>
                            <w:rFonts w:ascii="宋体" w:hAnsi="宋体" w:cs="宋体" w:eastAsia="宋体" w:hint="default"/>
                            <w:spacing w:val="-13"/>
                            <w:sz w:val="18"/>
                            <w:szCs w:val="18"/>
                          </w:rPr>
                          <w:t>）</w:t>
                        </w:r>
                        <w:r>
                          <w:rPr>
                            <w:rFonts w:ascii="宋体" w:hAnsi="宋体" w:cs="宋体" w:eastAsia="宋体" w:hint="default"/>
                            <w:sz w:val="18"/>
                            <w:szCs w:val="18"/>
                          </w:rPr>
                          <w:t>募集资金中的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时用于补充流动资金，占募集资金净额的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5.07%</w:t>
                        </w:r>
                        <w:r>
                          <w:rPr>
                            <w:rFonts w:ascii="宋体" w:hAnsi="宋体" w:cs="宋体" w:eastAsia="宋体" w:hint="default"/>
                            <w:sz w:val="18"/>
                            <w:szCs w:val="18"/>
                          </w:rPr>
                          <w:t>，使用期限不超过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个月，从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日至</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日止。 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日将上述暂时补充流动资金的募集资金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w:t>
                        </w:r>
                      </w:p>
                      <w:p>
                        <w:pPr>
                          <w:pStyle w:val="TableParagraph"/>
                          <w:spacing w:line="240" w:lineRule="auto" w:before="9"/>
                          <w:ind w:right="0"/>
                          <w:jc w:val="left"/>
                          <w:rPr>
                            <w:rFonts w:ascii="宋体" w:hAnsi="宋体" w:cs="宋体" w:eastAsia="宋体" w:hint="default"/>
                            <w:sz w:val="16"/>
                            <w:szCs w:val="16"/>
                          </w:rPr>
                        </w:pPr>
                      </w:p>
                      <w:p>
                        <w:pPr>
                          <w:pStyle w:val="TableParagraph"/>
                          <w:spacing w:line="451" w:lineRule="auto"/>
                          <w:ind w:left="22" w:right="74"/>
                          <w:jc w:val="both"/>
                          <w:rPr>
                            <w:rFonts w:ascii="宋体" w:hAnsi="宋体" w:cs="宋体" w:eastAsia="宋体" w:hint="default"/>
                            <w:sz w:val="18"/>
                            <w:szCs w:val="18"/>
                          </w:rPr>
                        </w:pPr>
                        <w:r>
                          <w:rPr>
                            <w:rFonts w:ascii="宋体" w:hAnsi="宋体" w:cs="宋体" w:eastAsia="宋体" w:hint="default"/>
                            <w:sz w:val="18"/>
                            <w:szCs w:val="18"/>
                          </w:rPr>
                          <w:t>部归还至募集资金专户，使用期限未超过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日，公司召开了第五届董事会第 一次会议，审议通过了《关于使用部分闲置募集资金暂时补充流动资金的议案》</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将人参产品系列 化项目（通化厂区）募集资金中的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万元暂时用于补充流动资金，占募集资金净额的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4.05%</w:t>
                        </w:r>
                        <w:r>
                          <w:rPr>
                            <w:rFonts w:ascii="宋体" w:hAnsi="宋体" w:cs="宋体" w:eastAsia="宋体" w:hint="default"/>
                            <w:sz w:val="18"/>
                            <w:szCs w:val="18"/>
                          </w:rPr>
                          <w:t>， 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个月， 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4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日将上述暂时补充流动资金的募集资金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万元返还至募集资金专用账户，使用期限未超过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日，公司召开了第五届董事会第六次会议，审议通过了《关于使用部分闲置</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14"/>
                          <w:jc w:val="left"/>
                          <w:rPr>
                            <w:rFonts w:ascii="宋体" w:hAnsi="宋体" w:cs="宋体" w:eastAsia="宋体" w:hint="default"/>
                            <w:sz w:val="18"/>
                            <w:szCs w:val="18"/>
                          </w:rPr>
                        </w:pPr>
                        <w:r>
                          <w:rPr>
                            <w:rFonts w:ascii="宋体" w:hAnsi="宋体" w:cs="宋体" w:eastAsia="宋体" w:hint="default"/>
                            <w:sz w:val="18"/>
                            <w:szCs w:val="18"/>
                          </w:rPr>
                          <w:t>募集资金暂时补充流动资金的议案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，拟将该项目募集资金中的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万元暂时用于补充流动资金，</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占募集资金净额的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4.05%</w:t>
                        </w:r>
                        <w:r>
                          <w:rPr>
                            <w:rFonts w:ascii="宋体" w:hAnsi="宋体" w:cs="宋体" w:eastAsia="宋体" w:hint="default"/>
                            <w:sz w:val="18"/>
                            <w:szCs w:val="18"/>
                          </w:rPr>
                          <w:t>，使用期限不超过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公司已于</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日将上述暂时补充流动资金的募集资金</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万元返还至募集资金专用账户</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使用期限未超过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日，公司召开了第五届董事会第十二次会议，审议通过了</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《关于使用部分闲置募集资金暂时补充流动资金的议案</w:t>
                        </w:r>
                        <w:r>
                          <w:rPr>
                            <w:rFonts w:ascii="宋体" w:hAnsi="宋体" w:cs="宋体" w:eastAsia="宋体" w:hint="default"/>
                            <w:spacing w:val="-90"/>
                            <w:sz w:val="18"/>
                            <w:szCs w:val="18"/>
                          </w:rPr>
                          <w:t>》</w:t>
                        </w:r>
                        <w:r>
                          <w:rPr>
                            <w:rFonts w:ascii="宋体" w:hAnsi="宋体" w:cs="宋体" w:eastAsia="宋体" w:hint="default"/>
                            <w:spacing w:val="-38"/>
                            <w:sz w:val="18"/>
                            <w:szCs w:val="18"/>
                          </w:rPr>
                          <w:t>，</w:t>
                        </w:r>
                        <w:r>
                          <w:rPr>
                            <w:rFonts w:ascii="宋体" w:hAnsi="宋体" w:cs="宋体" w:eastAsia="宋体" w:hint="default"/>
                            <w:sz w:val="18"/>
                            <w:szCs w:val="18"/>
                          </w:rPr>
                          <w:t>拟将该项目募集资金中的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用于补充流动资金，占募集资金净额的</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5.07%</w:t>
                        </w:r>
                        <w:r>
                          <w:rPr>
                            <w:rFonts w:ascii="宋体" w:hAnsi="宋体" w:cs="宋体" w:eastAsia="宋体" w:hint="default"/>
                            <w:spacing w:val="-5"/>
                            <w:sz w:val="18"/>
                            <w:szCs w:val="18"/>
                          </w:rPr>
                          <w:t>，使用期限不超过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16"/>
                            <w:sz w:val="18"/>
                            <w:szCs w:val="18"/>
                          </w:rPr>
                          <w:t>个月，从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64"/>
        <w:gridCol w:w="7804"/>
      </w:tblGrid>
      <w:tr>
        <w:trPr>
          <w:trHeight w:val="986"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88"/>
              <w:ind w:left="22" w:right="2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日止。公司已于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日将上述暂时补充流动资金的募集资金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万元返还至 募集资金专用账户。</w:t>
            </w:r>
          </w:p>
        </w:tc>
      </w:tr>
      <w:tr>
        <w:trPr>
          <w:trHeight w:val="558"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54"/>
              <w:ind w:left="22" w:right="111"/>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4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463" w:lineRule="auto" w:before="129"/>
              <w:ind w:left="22" w:right="20"/>
              <w:jc w:val="both"/>
              <w:rPr>
                <w:rFonts w:ascii="宋体" w:hAnsi="宋体" w:cs="宋体" w:eastAsia="宋体" w:hint="default"/>
                <w:sz w:val="18"/>
                <w:szCs w:val="18"/>
              </w:rPr>
            </w:pPr>
            <w:r>
              <w:rPr>
                <w:rFonts w:ascii="宋体" w:hAnsi="宋体" w:cs="宋体" w:eastAsia="宋体" w:hint="default"/>
                <w:sz w:val="18"/>
                <w:szCs w:val="18"/>
              </w:rPr>
              <w:t>在项目建设过程中，公司从项目的实际情况出发，严格管理，秉承节约、合理及有效的原则使用募 集资金，合理配置资源，采取成本控制、优化生产工艺流程等措施，节约了项目投资。</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日，公司召开第五届董事会第十次会议，会议审议通过了《关于单项节余募集资金永久补充流动</w:t>
            </w:r>
          </w:p>
          <w:p>
            <w:pPr>
              <w:pStyle w:val="TableParagraph"/>
              <w:spacing w:line="468" w:lineRule="auto" w:before="33"/>
              <w:ind w:left="22" w:right="20"/>
              <w:jc w:val="both"/>
              <w:rPr>
                <w:rFonts w:ascii="Times New Roman" w:hAnsi="Times New Roman" w:cs="Times New Roman" w:eastAsia="Times New Roman" w:hint="default"/>
                <w:sz w:val="18"/>
                <w:szCs w:val="18"/>
              </w:rPr>
            </w:pPr>
            <w:r>
              <w:rPr>
                <w:rFonts w:ascii="宋体" w:hAnsi="宋体" w:cs="宋体" w:eastAsia="宋体" w:hint="default"/>
                <w:spacing w:val="-8"/>
                <w:sz w:val="18"/>
                <w:szCs w:val="18"/>
              </w:rPr>
              <w:t>资金的议案》，计划将人参产品系列化项目（延吉厂区）节余募集资金专户余额约为</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2,537.44</w:t>
            </w:r>
            <w:r>
              <w:rPr>
                <w:rFonts w:ascii="Times New Roman" w:hAnsi="Times New Roman" w:cs="Times New Roman" w:eastAsia="Times New Roman" w:hint="default"/>
                <w:spacing w:val="5"/>
                <w:sz w:val="18"/>
                <w:szCs w:val="18"/>
              </w:rPr>
              <w:t> </w:t>
            </w:r>
            <w:r>
              <w:rPr>
                <w:rFonts w:ascii="宋体" w:hAnsi="宋体" w:cs="宋体" w:eastAsia="宋体" w:hint="default"/>
                <w:spacing w:val="-17"/>
                <w:sz w:val="18"/>
                <w:szCs w:val="18"/>
              </w:rPr>
              <w:t>万元（包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括利息收入）永久补充流动资金。鉴于延吉厂区项目建设已全部完成，根据《深圳证券交易所股票 </w:t>
            </w:r>
            <w:r>
              <w:rPr>
                <w:rFonts w:ascii="宋体" w:hAnsi="宋体" w:cs="宋体" w:eastAsia="宋体" w:hint="default"/>
                <w:spacing w:val="-8"/>
                <w:sz w:val="18"/>
                <w:szCs w:val="18"/>
              </w:rPr>
              <w:t>上市规则》、《深圳证券交易所中小企业板上市公司规范运作指引》、《中小企业板信息披露业务备忘</w:t>
            </w:r>
            <w:r>
              <w:rPr>
                <w:rFonts w:ascii="宋体" w:hAnsi="宋体" w:cs="宋体" w:eastAsia="宋体" w:hint="default"/>
                <w:sz w:val="18"/>
                <w:szCs w:val="18"/>
              </w:rPr>
              <w:t> 录第</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号：募集资金使用》以及公司《募集资金管理制度》等法律法规有关规定，公司为了提高节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余募集资金的使用效率，降低公司的财务费用，为公司和股东创造更大的利益，且延吉厂区节余募 集资金永久补充流动资金不对其他募投项目厂区产生任何影响，故计划将延吉厂区节余募集资金约 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2,537.44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万元（包括利息收入）永久补充流动资金，用于公司日常生产经营活动。</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29"/>
              <w:ind w:left="22" w:right="0"/>
              <w:jc w:val="both"/>
              <w:rPr>
                <w:rFonts w:ascii="宋体" w:hAnsi="宋体" w:cs="宋体" w:eastAsia="宋体" w:hint="default"/>
                <w:sz w:val="18"/>
                <w:szCs w:val="18"/>
              </w:rPr>
            </w:pPr>
            <w:r>
              <w:rPr>
                <w:rFonts w:ascii="宋体" w:hAnsi="宋体" w:cs="宋体" w:eastAsia="宋体" w:hint="default"/>
                <w:spacing w:val="-11"/>
                <w:sz w:val="18"/>
                <w:szCs w:val="18"/>
              </w:rPr>
              <w:t>日，公司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年第一次临时股东大会审议通过上述事项。公司承诺延吉厂区已完工募投项目应付未</w:t>
            </w:r>
          </w:p>
          <w:p>
            <w:pPr>
              <w:pStyle w:val="TableParagraph"/>
              <w:spacing w:line="240" w:lineRule="auto" w:before="10"/>
              <w:ind w:right="0"/>
              <w:jc w:val="left"/>
              <w:rPr>
                <w:rFonts w:ascii="宋体" w:hAnsi="宋体" w:cs="宋体" w:eastAsia="宋体" w:hint="default"/>
                <w:sz w:val="16"/>
                <w:szCs w:val="16"/>
              </w:rPr>
            </w:pPr>
          </w:p>
          <w:p>
            <w:pPr>
              <w:pStyle w:val="TableParagraph"/>
              <w:spacing w:line="465" w:lineRule="auto"/>
              <w:ind w:left="22" w:right="21"/>
              <w:jc w:val="both"/>
              <w:rPr>
                <w:rFonts w:ascii="宋体" w:hAnsi="宋体" w:cs="宋体" w:eastAsia="宋体" w:hint="default"/>
                <w:sz w:val="18"/>
                <w:szCs w:val="18"/>
              </w:rPr>
            </w:pPr>
            <w:r>
              <w:rPr>
                <w:rFonts w:ascii="宋体" w:hAnsi="宋体" w:cs="宋体" w:eastAsia="宋体" w:hint="default"/>
                <w:spacing w:val="-3"/>
                <w:sz w:val="18"/>
                <w:szCs w:val="18"/>
              </w:rPr>
              <w:t>付款项（约为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151.03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万元质保金）在满足付款条件时将使用公司自有资金支付。公司过去十二个月 内未进行风险投资，同时，公司承诺永久补充流动资金后十二个月内不进行证券投资等高风险投资 及为他人提供财务资助。截止本报告期末，此承诺已履行完毕。</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11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原定用途</w:t>
            </w:r>
          </w:p>
        </w:tc>
      </w:tr>
      <w:tr>
        <w:trPr>
          <w:trHeight w:val="149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109"/>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3）募集资金变更项目情况" w:id="40"/>
      <w:bookmarkEnd w:id="40"/>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489" w:lineRule="auto" w:before="0"/>
        <w:ind w:left="15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w:t>
      </w:r>
    </w:p>
    <w:p>
      <w:pPr>
        <w:spacing w:after="0" w:line="48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3、主要子公司、参股公司分析" w:id="41"/>
      <w:bookmarkEnd w:id="41"/>
      <w:r>
        <w:rPr>
          <w:b w:val="0"/>
          <w:bCs w:val="0"/>
        </w:rPr>
      </w:r>
      <w:r>
        <w:rPr>
          <w:rFonts w:ascii="Times New Roman" w:hAnsi="Times New Roman" w:cs="Times New Roman" w:eastAsia="Times New Roman" w:hint="default"/>
        </w:rPr>
        <w:t>3</w:t>
      </w:r>
      <w:r>
        <w:rPr/>
        <w:t>、主要子公司、参股公司分析</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489" w:lineRule="auto" w:before="0"/>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主要子公司、参股公司情况</w:t>
      </w:r>
    </w:p>
    <w:p>
      <w:pPr>
        <w:spacing w:before="8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1026"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92" w:right="23" w:hanging="270"/>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336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3"/>
              <w:ind w:left="22" w:right="25"/>
              <w:jc w:val="both"/>
              <w:rPr>
                <w:rFonts w:ascii="宋体" w:hAnsi="宋体" w:cs="宋体" w:eastAsia="宋体" w:hint="default"/>
                <w:sz w:val="18"/>
                <w:szCs w:val="18"/>
              </w:rPr>
            </w:pPr>
            <w:r>
              <w:rPr>
                <w:rFonts w:ascii="宋体" w:hAnsi="宋体" w:cs="宋体" w:eastAsia="宋体" w:hint="default"/>
                <w:sz w:val="18"/>
                <w:szCs w:val="18"/>
              </w:rPr>
              <w:t>吉林紫鑫般 若药业有限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中成药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23"/>
              <w:jc w:val="left"/>
              <w:rPr>
                <w:rFonts w:ascii="宋体" w:hAnsi="宋体" w:cs="宋体" w:eastAsia="宋体" w:hint="default"/>
                <w:sz w:val="18"/>
                <w:szCs w:val="18"/>
              </w:rPr>
            </w:pPr>
            <w:r>
              <w:rPr>
                <w:rFonts w:ascii="宋体" w:hAnsi="宋体" w:cs="宋体" w:eastAsia="宋体" w:hint="default"/>
                <w:sz w:val="18"/>
                <w:szCs w:val="18"/>
              </w:rPr>
              <w:t>丸剂制造、 销售，中草 药收购，农 副土特产 品、人参收 购及初加 工、销售。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448,683,368</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205,448,776</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104,059,883</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22,102,972.</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24,716,374.</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w:t>
            </w:r>
          </w:p>
        </w:tc>
      </w:tr>
      <w:tr>
        <w:trPr>
          <w:trHeight w:val="711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477" w:lineRule="auto"/>
              <w:ind w:left="22" w:right="27"/>
              <w:jc w:val="both"/>
              <w:rPr>
                <w:rFonts w:ascii="宋体" w:hAnsi="宋体" w:cs="宋体" w:eastAsia="宋体" w:hint="default"/>
                <w:sz w:val="18"/>
                <w:szCs w:val="18"/>
              </w:rPr>
            </w:pPr>
            <w:r>
              <w:rPr>
                <w:rFonts w:ascii="宋体" w:hAnsi="宋体" w:cs="宋体" w:eastAsia="宋体" w:hint="default"/>
                <w:sz w:val="18"/>
                <w:szCs w:val="18"/>
              </w:rPr>
              <w:t>吉林草还丹 药业有限公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中成药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23"/>
              <w:jc w:val="both"/>
              <w:rPr>
                <w:rFonts w:ascii="宋体" w:hAnsi="宋体" w:cs="宋体" w:eastAsia="宋体" w:hint="default"/>
                <w:sz w:val="18"/>
                <w:szCs w:val="18"/>
              </w:rPr>
            </w:pPr>
            <w:r>
              <w:rPr>
                <w:rFonts w:ascii="宋体" w:hAnsi="宋体" w:cs="宋体" w:eastAsia="宋体" w:hint="default"/>
                <w:sz w:val="18"/>
                <w:szCs w:val="18"/>
              </w:rPr>
              <w:t>中成药、中 药材、化学 药品制剂加 工销售，食 品加工、销 售，酒精、 白酒及饮料 酒制造，针 织品加工， 广告业，种 养殖业，在 法律法规允 许范围内从 事进出口业 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z w:val="18"/>
              </w:rPr>
              <w:t>931,931,234</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0"/>
              <w:jc w:val="right"/>
              <w:rPr>
                <w:rFonts w:ascii="Times New Roman" w:hAnsi="Times New Roman" w:cs="Times New Roman" w:eastAsia="Times New Roman" w:hint="default"/>
                <w:sz w:val="18"/>
                <w:szCs w:val="18"/>
              </w:rPr>
            </w:pPr>
            <w:r>
              <w:rPr>
                <w:rFonts w:ascii="Times New Roman"/>
                <w:sz w:val="18"/>
              </w:rPr>
              <w:t>643,957,517</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0"/>
              <w:jc w:val="right"/>
              <w:rPr>
                <w:rFonts w:ascii="Times New Roman" w:hAnsi="Times New Roman" w:cs="Times New Roman" w:eastAsia="Times New Roman" w:hint="default"/>
                <w:sz w:val="18"/>
                <w:szCs w:val="18"/>
              </w:rPr>
            </w:pPr>
            <w:r>
              <w:rPr>
                <w:rFonts w:ascii="Times New Roman"/>
                <w:sz w:val="18"/>
              </w:rPr>
              <w:t>134,786,087</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pacing w:val="-1"/>
                <w:sz w:val="18"/>
              </w:rPr>
              <w:t>34,344,300.</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0"/>
              <w:jc w:val="right"/>
              <w:rPr>
                <w:rFonts w:ascii="Times New Roman" w:hAnsi="Times New Roman" w:cs="Times New Roman" w:eastAsia="Times New Roman" w:hint="default"/>
                <w:sz w:val="18"/>
                <w:szCs w:val="18"/>
              </w:rPr>
            </w:pPr>
            <w:r>
              <w:rPr>
                <w:rFonts w:ascii="Times New Roman"/>
                <w:spacing w:val="-1"/>
                <w:sz w:val="18"/>
              </w:rPr>
              <w:t>37,223,343.</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24.302994pt;margin-top:537.339966pt;width:71.55pt;height:58.5pt;mso-position-horizontal-relative:page;mso-position-vertical-relative:page;z-index:-915904" type="#_x0000_t202" filled="false" stroked="false">
            <v:textbox inset="0,0,0,0">
              <w:txbxContent>
                <w:p>
                  <w:pPr>
                    <w:spacing w:line="240" w:lineRule="auto" w:before="7"/>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坚果、</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711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477" w:lineRule="auto"/>
              <w:ind w:left="22" w:right="27"/>
              <w:jc w:val="both"/>
              <w:rPr>
                <w:rFonts w:ascii="宋体" w:hAnsi="宋体" w:cs="宋体" w:eastAsia="宋体" w:hint="default"/>
                <w:sz w:val="18"/>
                <w:szCs w:val="18"/>
              </w:rPr>
            </w:pPr>
            <w:r>
              <w:rPr>
                <w:rFonts w:ascii="宋体" w:hAnsi="宋体" w:cs="宋体" w:eastAsia="宋体" w:hint="default"/>
                <w:sz w:val="18"/>
                <w:szCs w:val="18"/>
              </w:rPr>
              <w:t>吉林紫鑫初 元药业有限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477" w:lineRule="auto"/>
              <w:ind w:left="22" w:right="20"/>
              <w:jc w:val="left"/>
              <w:rPr>
                <w:rFonts w:ascii="宋体" w:hAnsi="宋体" w:cs="宋体" w:eastAsia="宋体" w:hint="default"/>
                <w:sz w:val="18"/>
                <w:szCs w:val="18"/>
              </w:rPr>
            </w:pPr>
            <w:r>
              <w:rPr>
                <w:rFonts w:ascii="宋体" w:hAnsi="宋体" w:cs="宋体" w:eastAsia="宋体" w:hint="default"/>
                <w:sz w:val="18"/>
                <w:szCs w:val="18"/>
              </w:rPr>
              <w:t>中成药、人 参食品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23"/>
              <w:jc w:val="both"/>
              <w:rPr>
                <w:rFonts w:ascii="宋体" w:hAnsi="宋体" w:cs="宋体" w:eastAsia="宋体" w:hint="default"/>
                <w:sz w:val="18"/>
                <w:szCs w:val="18"/>
              </w:rPr>
            </w:pPr>
            <w:r>
              <w:rPr>
                <w:rFonts w:ascii="宋体" w:hAnsi="宋体" w:cs="宋体" w:eastAsia="宋体" w:hint="default"/>
                <w:sz w:val="18"/>
                <w:szCs w:val="18"/>
              </w:rPr>
              <w:t>加工、销售 中成药、化 学药制剂； 人参收购、 销售、粗加 工，生产饮 料；生产： 中药饮片、 直接服用饮 片、中药提 取药、糖果 制品、含茶 制品或代用 茶、饮料、 蜜饯。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2"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sz w:val="18"/>
              </w:rPr>
              <w:t>807,159,721</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z w:val="18"/>
              </w:rPr>
              <w:t>299,507,560</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spacing w:val="-1"/>
                <w:sz w:val="18"/>
              </w:rPr>
              <w:t>14,307,312.</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spacing w:val="-1"/>
                <w:sz w:val="18"/>
              </w:rPr>
              <w:t>-10,977,611</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pacing w:val="-1"/>
                <w:sz w:val="18"/>
              </w:rPr>
              <w:t>-9,227,719.</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w:t>
            </w:r>
          </w:p>
        </w:tc>
      </w:tr>
      <w:tr>
        <w:trPr>
          <w:trHeight w:val="336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477" w:lineRule="auto"/>
              <w:ind w:left="22" w:right="27"/>
              <w:jc w:val="both"/>
              <w:rPr>
                <w:rFonts w:ascii="宋体" w:hAnsi="宋体" w:cs="宋体" w:eastAsia="宋体" w:hint="default"/>
                <w:sz w:val="18"/>
                <w:szCs w:val="18"/>
              </w:rPr>
            </w:pPr>
            <w:r>
              <w:rPr>
                <w:rFonts w:ascii="宋体" w:hAnsi="宋体" w:cs="宋体" w:eastAsia="宋体" w:hint="default"/>
                <w:sz w:val="18"/>
                <w:szCs w:val="18"/>
              </w:rPr>
              <w:t>吉林紫鑫禺 拙药业有限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23"/>
              <w:jc w:val="left"/>
              <w:rPr>
                <w:rFonts w:ascii="宋体" w:hAnsi="宋体" w:cs="宋体" w:eastAsia="宋体" w:hint="default"/>
                <w:sz w:val="18"/>
                <w:szCs w:val="18"/>
              </w:rPr>
            </w:pPr>
            <w:r>
              <w:rPr>
                <w:rFonts w:ascii="宋体" w:hAnsi="宋体" w:cs="宋体" w:eastAsia="宋体" w:hint="default"/>
                <w:sz w:val="18"/>
                <w:szCs w:val="18"/>
              </w:rPr>
              <w:t>生产片剂、 硬胶囊剂、 颗粒剂、中 药饮片；人 参、蘑菇、 木耳、 鹿茸销售。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0"/>
                <w:szCs w:val="10"/>
              </w:rPr>
            </w:pPr>
          </w:p>
          <w:p>
            <w:pPr>
              <w:pStyle w:val="TableParagraph"/>
              <w:spacing w:line="117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pict>
                <v:group style="width:47.35pt;height:58.5pt;mso-position-horizontal-relative:char;mso-position-vertical-relative:line" coordorigin="0,0" coordsize="947,1170">
                  <v:group style="position:absolute;left:0;top:0;width:947;height:1170" coordorigin="0,0" coordsize="947,1170">
                    <v:shape style="position:absolute;left:0;top:0;width:947;height:1170" coordorigin="0,0" coordsize="947,1170" path="m0,1170l947,1170,947,0,0,0,0,1170xe" filled="true" fillcolor="#ffffff" stroked="false">
                      <v:path arrowok="t"/>
                      <v:fill type="solid"/>
                    </v:shape>
                  </v:group>
                </v:group>
              </w:pict>
            </w:r>
            <w:r>
              <w:rPr>
                <w:rFonts w:ascii="Times New Roman" w:hAnsi="Times New Roman" w:cs="Times New Roman" w:eastAsia="Times New Roman" w:hint="default"/>
                <w:position w:val="-22"/>
                <w:sz w:val="20"/>
                <w:szCs w:val="20"/>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300,055,195</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294,897,399</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-4,975,986.</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-4,975,986.</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w:t>
            </w:r>
          </w:p>
        </w:tc>
      </w:tr>
      <w:tr>
        <w:trPr>
          <w:trHeight w:val="33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477" w:lineRule="auto"/>
              <w:ind w:left="22" w:right="25"/>
              <w:jc w:val="both"/>
              <w:rPr>
                <w:rFonts w:ascii="宋体" w:hAnsi="宋体" w:cs="宋体" w:eastAsia="宋体" w:hint="default"/>
                <w:sz w:val="18"/>
                <w:szCs w:val="18"/>
              </w:rPr>
            </w:pPr>
            <w:r>
              <w:rPr>
                <w:rFonts w:ascii="宋体" w:hAnsi="宋体" w:cs="宋体" w:eastAsia="宋体" w:hint="default"/>
                <w:sz w:val="18"/>
                <w:szCs w:val="18"/>
              </w:rPr>
              <w:t>吉林紫鑫人 参销售有限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23"/>
              <w:jc w:val="left"/>
              <w:rPr>
                <w:rFonts w:ascii="宋体" w:hAnsi="宋体" w:cs="宋体" w:eastAsia="宋体" w:hint="default"/>
                <w:sz w:val="18"/>
                <w:szCs w:val="18"/>
              </w:rPr>
            </w:pPr>
            <w:r>
              <w:rPr>
                <w:rFonts w:ascii="宋体" w:hAnsi="宋体" w:cs="宋体" w:eastAsia="宋体" w:hint="default"/>
                <w:sz w:val="18"/>
                <w:szCs w:val="18"/>
              </w:rPr>
              <w:t>人参及相关 产品的销 售；预包装 食品【粮食 加工品、调 味品、肉制</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品、饮料、</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45,858,409.</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40,294,311.</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4,178,553.0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-5,653,228.</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-5,653,243.</w:t>
            </w:r>
            <w:r>
              <w:rPr>
                <w:rFonts w:ascii="Times New Roman"/>
                <w:sz w:val="18"/>
              </w:rPr>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15.302994pt;margin-top:72.47998pt;width:80.55pt;height:610.5pt;mso-position-horizontal-relative:page;mso-position-vertical-relative:page;z-index:-9158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42"/>
                    <w:ind w:left="0" w:right="0" w:firstLine="0"/>
                    <w:jc w:val="left"/>
                    <w:rPr>
                      <w:rFonts w:ascii="宋体" w:hAnsi="宋体" w:cs="宋体" w:eastAsia="宋体" w:hint="default"/>
                      <w:sz w:val="18"/>
                      <w:szCs w:val="18"/>
                    </w:rPr>
                  </w:pPr>
                  <w:r>
                    <w:rPr>
                      <w:rFonts w:ascii="宋体" w:hAnsi="宋体" w:cs="宋体" w:eastAsia="宋体" w:hint="default"/>
                      <w:sz w:val="18"/>
                      <w:szCs w:val="18"/>
                    </w:rPr>
                    <w:t>豆制品、</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62"/>
                    <w:ind w:left="0" w:right="351" w:firstLine="0"/>
                    <w:jc w:val="center"/>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473" w:hRule="exact"/>
        </w:trPr>
        <w:tc>
          <w:tcPr>
            <w:tcW w:w="960"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蛋制品、糕</w:t>
            </w:r>
          </w:p>
        </w:tc>
        <w:tc>
          <w:tcPr>
            <w:tcW w:w="956" w:type="dxa"/>
            <w:vMerge w:val="restart"/>
            <w:tcBorders>
              <w:top w:val="single" w:sz="4" w:space="0" w:color="000000"/>
              <w:left w:val="single" w:sz="4" w:space="0" w:color="000000"/>
              <w:right w:val="single" w:sz="4" w:space="0" w:color="000000"/>
            </w:tcBorders>
          </w:tcPr>
          <w:p>
            <w:pPr>
              <w:pStyle w:val="TableParagraph"/>
              <w:spacing w:line="1220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3"/>
                <w:sz w:val="20"/>
                <w:szCs w:val="20"/>
              </w:rPr>
              <w:pict>
                <v:group style="width:47.35pt;height:610.5pt;mso-position-horizontal-relative:char;mso-position-vertical-relative:line" coordorigin="0,0" coordsize="947,12210">
                  <v:group style="position:absolute;left:0;top:0;width:947;height:12210" coordorigin="0,0" coordsize="947,12210">
                    <v:shape style="position:absolute;left:0;top:0;width:947;height:12210" coordorigin="0,0" coordsize="947,12210" path="m0,12210l947,12210,947,0,0,0,0,12210xe" filled="true" fillcolor="#ffffff" stroked="false">
                      <v:path arrowok="t"/>
                      <v:fill type="solid"/>
                    </v:shape>
                  </v:group>
                </v:group>
              </w:pict>
            </w:r>
            <w:r>
              <w:rPr>
                <w:rFonts w:ascii="Times New Roman" w:hAnsi="Times New Roman" w:cs="Times New Roman" w:eastAsia="Times New Roman" w:hint="default"/>
                <w:position w:val="-243"/>
                <w:sz w:val="20"/>
                <w:szCs w:val="20"/>
              </w:rPr>
            </w:r>
          </w:p>
        </w:tc>
        <w:tc>
          <w:tcPr>
            <w:tcW w:w="956"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7"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点、</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糖果制品</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（含巧克力</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及制品</w:t>
            </w:r>
            <w:r>
              <w:rPr>
                <w:rFonts w:ascii="宋体" w:hAnsi="宋体" w:cs="宋体" w:eastAsia="宋体" w:hint="default"/>
                <w:spacing w:val="-90"/>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方</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便食品、饼</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干、罐头、</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酒类制品、</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蔬菜制品、</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水果制品、</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炒货食品及</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坚果制品、</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茶叶及相关</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制品、可可</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及烘焙咖啡</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产品、特殊</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膳食食品】</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乳制品（不</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含婴幼儿配</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方乳粉）批</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发兼零售；</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土特产品、</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日用百货、</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化妆品、保</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9"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健食品销</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513" w:hRule="exact"/>
        </w:trPr>
        <w:tc>
          <w:tcPr>
            <w:tcW w:w="960"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956"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r>
      <w:tr>
        <w:trPr>
          <w:trHeight w:val="411" w:hRule="exact"/>
        </w:trPr>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吉林紫鑫红</w:t>
            </w: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中药材种植</w:t>
            </w: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223"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22" w:right="0"/>
              <w:jc w:val="left"/>
              <w:rPr>
                <w:rFonts w:ascii="Times New Roman" w:hAnsi="Times New Roman" w:cs="Times New Roman" w:eastAsia="Times New Roman" w:hint="default"/>
                <w:sz w:val="18"/>
                <w:szCs w:val="18"/>
              </w:rPr>
            </w:pPr>
            <w:r>
              <w:rPr>
                <w:rFonts w:ascii="Times New Roman"/>
                <w:sz w:val="18"/>
              </w:rPr>
              <w:t>10,000,000.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04" w:lineRule="exact"/>
              <w:ind w:right="21"/>
              <w:jc w:val="right"/>
              <w:rPr>
                <w:rFonts w:ascii="Times New Roman" w:hAnsi="Times New Roman" w:cs="Times New Roman" w:eastAsia="Times New Roman" w:hint="default"/>
                <w:sz w:val="18"/>
                <w:szCs w:val="18"/>
              </w:rPr>
            </w:pPr>
            <w:r>
              <w:rPr>
                <w:rFonts w:ascii="Times New Roman"/>
                <w:sz w:val="18"/>
              </w:rPr>
              <w:t>480,203,514</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04" w:lineRule="exact"/>
              <w:ind w:right="20"/>
              <w:jc w:val="right"/>
              <w:rPr>
                <w:rFonts w:ascii="Times New Roman" w:hAnsi="Times New Roman" w:cs="Times New Roman" w:eastAsia="Times New Roman" w:hint="default"/>
                <w:sz w:val="18"/>
                <w:szCs w:val="18"/>
              </w:rPr>
            </w:pPr>
            <w:r>
              <w:rPr>
                <w:rFonts w:ascii="Times New Roman"/>
                <w:spacing w:val="-1"/>
                <w:sz w:val="18"/>
              </w:rPr>
              <w:t>51,541,067.</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04" w:lineRule="exact"/>
              <w:ind w:right="21"/>
              <w:jc w:val="right"/>
              <w:rPr>
                <w:rFonts w:ascii="Times New Roman" w:hAnsi="Times New Roman" w:cs="Times New Roman" w:eastAsia="Times New Roman" w:hint="default"/>
                <w:sz w:val="18"/>
                <w:szCs w:val="18"/>
              </w:rPr>
            </w:pPr>
            <w:r>
              <w:rPr>
                <w:rFonts w:ascii="Times New Roman"/>
                <w:spacing w:val="-1"/>
                <w:sz w:val="18"/>
              </w:rPr>
              <w:t>21,713,982.</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04" w:lineRule="exact"/>
              <w:ind w:right="21"/>
              <w:jc w:val="right"/>
              <w:rPr>
                <w:rFonts w:ascii="Times New Roman" w:hAnsi="Times New Roman" w:cs="Times New Roman" w:eastAsia="Times New Roman" w:hint="default"/>
                <w:sz w:val="18"/>
                <w:szCs w:val="18"/>
              </w:rPr>
            </w:pPr>
            <w:r>
              <w:rPr>
                <w:rFonts w:ascii="Times New Roman"/>
                <w:spacing w:val="-1"/>
                <w:sz w:val="18"/>
              </w:rPr>
              <w:t>-4,304,723.</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04" w:lineRule="exact"/>
              <w:ind w:right="20"/>
              <w:jc w:val="right"/>
              <w:rPr>
                <w:rFonts w:ascii="Times New Roman" w:hAnsi="Times New Roman" w:cs="Times New Roman" w:eastAsia="Times New Roman" w:hint="default"/>
                <w:sz w:val="18"/>
                <w:szCs w:val="18"/>
              </w:rPr>
            </w:pPr>
            <w:r>
              <w:rPr>
                <w:rFonts w:ascii="Times New Roman"/>
                <w:spacing w:val="-1"/>
                <w:sz w:val="18"/>
              </w:rPr>
              <w:t>-4,315,970.</w:t>
            </w:r>
          </w:p>
        </w:tc>
      </w:tr>
      <w:tr>
        <w:trPr>
          <w:trHeight w:val="244"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石种养殖有</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中药材种植</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23" w:lineRule="exact"/>
              <w:ind w:left="22" w:right="0"/>
              <w:jc w:val="left"/>
              <w:rPr>
                <w:rFonts w:ascii="宋体" w:hAnsi="宋体" w:cs="宋体" w:eastAsia="宋体" w:hint="default"/>
                <w:sz w:val="18"/>
                <w:szCs w:val="18"/>
              </w:rPr>
            </w:pPr>
            <w:r>
              <w:rPr>
                <w:rFonts w:ascii="宋体" w:hAnsi="宋体" w:cs="宋体" w:eastAsia="宋体" w:hint="default"/>
                <w:sz w:val="18"/>
                <w:szCs w:val="18"/>
              </w:rPr>
              <w:t>销售、农副</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224"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z w:val="18"/>
              </w:rPr>
              <w:t>.57</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68</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53</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45</w:t>
            </w:r>
          </w:p>
        </w:tc>
      </w:tr>
      <w:tr>
        <w:trPr>
          <w:trHeight w:val="392" w:hRule="exact"/>
        </w:trPr>
        <w:tc>
          <w:tcPr>
            <w:tcW w:w="960" w:type="dxa"/>
            <w:tcBorders>
              <w:top w:val="nil" w:sz="6" w:space="0" w:color="auto"/>
              <w:left w:val="single" w:sz="4" w:space="0" w:color="000000"/>
              <w:bottom w:val="single" w:sz="4" w:space="0" w:color="000000"/>
              <w:right w:val="single" w:sz="4" w:space="0" w:color="000000"/>
            </w:tcBorders>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22" w:lineRule="exact"/>
              <w:ind w:left="22" w:right="0"/>
              <w:jc w:val="left"/>
              <w:rPr>
                <w:rFonts w:ascii="宋体" w:hAnsi="宋体" w:cs="宋体" w:eastAsia="宋体" w:hint="default"/>
                <w:sz w:val="18"/>
                <w:szCs w:val="18"/>
              </w:rPr>
            </w:pPr>
            <w:r>
              <w:rPr>
                <w:rFonts w:ascii="宋体" w:hAnsi="宋体" w:cs="宋体" w:eastAsia="宋体" w:hint="default"/>
                <w:sz w:val="18"/>
                <w:szCs w:val="18"/>
              </w:rPr>
              <w:t>产品收购</w:t>
            </w: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2391"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23"/>
              <w:jc w:val="both"/>
              <w:rPr>
                <w:rFonts w:ascii="宋体" w:hAnsi="宋体" w:cs="宋体" w:eastAsia="宋体" w:hint="default"/>
                <w:sz w:val="18"/>
                <w:szCs w:val="18"/>
              </w:rPr>
            </w:pPr>
            <w:r>
              <w:rPr>
                <w:rFonts w:ascii="宋体" w:hAnsi="宋体" w:cs="宋体" w:eastAsia="宋体" w:hint="default"/>
                <w:sz w:val="18"/>
                <w:szCs w:val="18"/>
              </w:rPr>
              <w:t>（以上项目 国家法律、 法规需前置 审批的凭许 可证经营）</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1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477" w:lineRule="auto"/>
              <w:ind w:left="22" w:right="25"/>
              <w:jc w:val="both"/>
              <w:rPr>
                <w:rFonts w:ascii="宋体" w:hAnsi="宋体" w:cs="宋体" w:eastAsia="宋体" w:hint="default"/>
                <w:sz w:val="18"/>
                <w:szCs w:val="18"/>
              </w:rPr>
            </w:pPr>
            <w:r>
              <w:rPr>
                <w:rFonts w:ascii="宋体" w:hAnsi="宋体" w:cs="宋体" w:eastAsia="宋体" w:hint="default"/>
                <w:sz w:val="18"/>
                <w:szCs w:val="18"/>
              </w:rPr>
              <w:t>吉林中科紫 鑫科技有限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基因测序仪</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23"/>
              <w:jc w:val="left"/>
              <w:rPr>
                <w:rFonts w:ascii="宋体" w:hAnsi="宋体" w:cs="宋体" w:eastAsia="宋体" w:hint="default"/>
                <w:sz w:val="18"/>
                <w:szCs w:val="18"/>
              </w:rPr>
            </w:pPr>
            <w:r>
              <w:rPr>
                <w:rFonts w:ascii="宋体" w:hAnsi="宋体" w:cs="宋体" w:eastAsia="宋体" w:hint="default"/>
                <w:sz w:val="18"/>
                <w:szCs w:val="18"/>
              </w:rPr>
              <w:t>为基因测序 仪、基因测 序仪配套试 剂、检测试 剂盒的生产 与销售，新 药、保健食 品及食品、 化学原料 药、人参及 相关产品的 研发、技术 转让、技术 咨询、成果 转让</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39,017,244.</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pacing w:val="-1"/>
                <w:sz w:val="18"/>
              </w:rPr>
              <w:t>17,476,763.</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-2,407,222.</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pacing w:val="-1"/>
                <w:sz w:val="18"/>
              </w:rPr>
              <w:t>-2,386,273.</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w:t>
            </w:r>
          </w:p>
        </w:tc>
      </w:tr>
      <w:tr>
        <w:trPr>
          <w:trHeight w:val="426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477" w:lineRule="auto"/>
              <w:ind w:left="22" w:right="27"/>
              <w:jc w:val="both"/>
              <w:rPr>
                <w:rFonts w:ascii="宋体" w:hAnsi="宋体" w:cs="宋体" w:eastAsia="宋体" w:hint="default"/>
                <w:sz w:val="18"/>
                <w:szCs w:val="18"/>
              </w:rPr>
            </w:pPr>
            <w:r>
              <w:rPr>
                <w:rFonts w:ascii="宋体" w:hAnsi="宋体" w:cs="宋体" w:eastAsia="宋体" w:hint="default"/>
                <w:sz w:val="18"/>
                <w:szCs w:val="18"/>
              </w:rPr>
              <w:t>吉林环境能 源交易所有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477" w:lineRule="auto"/>
              <w:ind w:left="22" w:right="20"/>
              <w:jc w:val="both"/>
              <w:rPr>
                <w:rFonts w:ascii="宋体" w:hAnsi="宋体" w:cs="宋体" w:eastAsia="宋体" w:hint="default"/>
                <w:sz w:val="18"/>
                <w:szCs w:val="18"/>
              </w:rPr>
            </w:pPr>
            <w:r>
              <w:rPr>
                <w:rFonts w:ascii="宋体" w:hAnsi="宋体" w:cs="宋体" w:eastAsia="宋体" w:hint="default"/>
                <w:sz w:val="18"/>
                <w:szCs w:val="18"/>
              </w:rPr>
              <w:t>节能减排、 环境保护与 能源领域</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23"/>
              <w:jc w:val="both"/>
              <w:rPr>
                <w:rFonts w:ascii="宋体" w:hAnsi="宋体" w:cs="宋体" w:eastAsia="宋体" w:hint="default"/>
                <w:sz w:val="18"/>
                <w:szCs w:val="18"/>
              </w:rPr>
            </w:pPr>
            <w:r>
              <w:rPr>
                <w:rFonts w:ascii="宋体" w:hAnsi="宋体" w:cs="宋体" w:eastAsia="宋体" w:hint="default"/>
                <w:sz w:val="18"/>
                <w:szCs w:val="18"/>
              </w:rPr>
              <w:t>节能减排、 环境保护与 能源领域中 权益交易、 环境能源利 用权交易、 环境能源利 用权益交易</w:t>
            </w:r>
          </w:p>
          <w:p>
            <w:pPr>
              <w:pStyle w:val="TableParagraph"/>
              <w:spacing w:line="240" w:lineRule="auto" w:before="54"/>
              <w:ind w:left="22" w:right="0"/>
              <w:jc w:val="both"/>
              <w:rPr>
                <w:rFonts w:ascii="宋体" w:hAnsi="宋体" w:cs="宋体" w:eastAsia="宋体" w:hint="default"/>
                <w:sz w:val="18"/>
                <w:szCs w:val="18"/>
              </w:rPr>
            </w:pPr>
            <w:r>
              <w:rPr>
                <w:rFonts w:ascii="宋体" w:hAnsi="宋体" w:cs="宋体" w:eastAsia="宋体" w:hint="default"/>
                <w:sz w:val="18"/>
                <w:szCs w:val="18"/>
              </w:rPr>
              <w:t>服务，提供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22"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1"/>
              <w:jc w:val="right"/>
              <w:rPr>
                <w:rFonts w:ascii="Times New Roman" w:hAnsi="Times New Roman" w:cs="Times New Roman" w:eastAsia="Times New Roman" w:hint="default"/>
                <w:sz w:val="18"/>
                <w:szCs w:val="18"/>
              </w:rPr>
            </w:pPr>
            <w:r>
              <w:rPr>
                <w:rFonts w:ascii="Times New Roman"/>
                <w:spacing w:val="-1"/>
                <w:sz w:val="18"/>
              </w:rPr>
              <w:t>13,594,889.</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0"/>
              <w:jc w:val="right"/>
              <w:rPr>
                <w:rFonts w:ascii="Times New Roman" w:hAnsi="Times New Roman" w:cs="Times New Roman" w:eastAsia="Times New Roman" w:hint="default"/>
                <w:sz w:val="18"/>
                <w:szCs w:val="18"/>
              </w:rPr>
            </w:pPr>
            <w:r>
              <w:rPr>
                <w:rFonts w:ascii="Times New Roman"/>
                <w:spacing w:val="-1"/>
                <w:sz w:val="18"/>
              </w:rPr>
              <w:t>13,314,053.</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1"/>
              <w:jc w:val="right"/>
              <w:rPr>
                <w:rFonts w:ascii="Times New Roman" w:hAnsi="Times New Roman" w:cs="Times New Roman" w:eastAsia="Times New Roman" w:hint="default"/>
                <w:sz w:val="18"/>
                <w:szCs w:val="18"/>
              </w:rPr>
            </w:pPr>
            <w:r>
              <w:rPr>
                <w:rFonts w:ascii="Times New Roman"/>
                <w:spacing w:val="-1"/>
                <w:sz w:val="18"/>
              </w:rPr>
              <w:t>-1,596,644.</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0"/>
              <w:jc w:val="right"/>
              <w:rPr>
                <w:rFonts w:ascii="Times New Roman" w:hAnsi="Times New Roman" w:cs="Times New Roman" w:eastAsia="Times New Roman" w:hint="default"/>
                <w:sz w:val="18"/>
                <w:szCs w:val="18"/>
              </w:rPr>
            </w:pPr>
            <w:r>
              <w:rPr>
                <w:rFonts w:ascii="Times New Roman"/>
                <w:spacing w:val="-1"/>
                <w:sz w:val="18"/>
              </w:rPr>
              <w:t>-1,355,891.</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7071"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23"/>
              <w:jc w:val="left"/>
              <w:rPr>
                <w:rFonts w:ascii="宋体" w:hAnsi="宋体" w:cs="宋体" w:eastAsia="宋体" w:hint="default"/>
                <w:sz w:val="18"/>
                <w:szCs w:val="18"/>
              </w:rPr>
            </w:pPr>
            <w:r>
              <w:rPr>
                <w:rFonts w:ascii="宋体" w:hAnsi="宋体" w:cs="宋体" w:eastAsia="宋体" w:hint="default"/>
                <w:sz w:val="18"/>
                <w:szCs w:val="18"/>
              </w:rPr>
              <w:t>节能减排咨 询、项目设 计、项目价 值评价、经 营策划、项 目包装、项 目技术支撑 等专业服 务，信息服 务业务，合 同能源管 理、低碳管 理培训、能 源调查、碳 计量</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660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477" w:lineRule="auto"/>
              <w:ind w:left="22" w:right="27"/>
              <w:jc w:val="both"/>
              <w:rPr>
                <w:rFonts w:ascii="宋体" w:hAnsi="宋体" w:cs="宋体" w:eastAsia="宋体" w:hint="default"/>
                <w:sz w:val="18"/>
                <w:szCs w:val="18"/>
              </w:rPr>
            </w:pPr>
            <w:r>
              <w:rPr>
                <w:rFonts w:ascii="宋体" w:hAnsi="宋体" w:cs="宋体" w:eastAsia="宋体" w:hint="default"/>
                <w:sz w:val="18"/>
                <w:szCs w:val="18"/>
              </w:rPr>
              <w:t>长春农村商 业银行股份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23"/>
              <w:jc w:val="left"/>
              <w:rPr>
                <w:rFonts w:ascii="宋体" w:hAnsi="宋体" w:cs="宋体" w:eastAsia="宋体" w:hint="default"/>
                <w:sz w:val="18"/>
                <w:szCs w:val="18"/>
              </w:rPr>
            </w:pPr>
            <w:r>
              <w:rPr>
                <w:rFonts w:ascii="宋体" w:hAnsi="宋体" w:cs="宋体" w:eastAsia="宋体" w:hint="default"/>
                <w:sz w:val="18"/>
                <w:szCs w:val="18"/>
              </w:rPr>
              <w:t>吸收人民币 公众存款； 发放人民币 短期、中期 和长期贷 款；办理国 内结算；办 理票据承兑 和贴现；代 理发行、代 理兑付、成 效政府债 券；买卖政</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府债券；金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40,823,512,</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428" w:right="0"/>
              <w:jc w:val="left"/>
              <w:rPr>
                <w:rFonts w:ascii="Times New Roman" w:hAnsi="Times New Roman" w:cs="Times New Roman" w:eastAsia="Times New Roman" w:hint="default"/>
                <w:sz w:val="18"/>
                <w:szCs w:val="18"/>
              </w:rPr>
            </w:pPr>
            <w:r>
              <w:rPr>
                <w:rFonts w:ascii="Times New Roman"/>
                <w:sz w:val="18"/>
              </w:rPr>
              <w:t>197.13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2,510,530,7</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28.10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1,196,922,6</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01.90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571,223,962</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428,327,738</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473" w:hRule="exact"/>
        </w:trPr>
        <w:tc>
          <w:tcPr>
            <w:tcW w:w="960"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融债券，参</w:t>
            </w:r>
          </w:p>
        </w:tc>
        <w:tc>
          <w:tcPr>
            <w:tcW w:w="956"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7"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与货币市</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场；从事同</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业拆借；代</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理收付款项</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及代理保险</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业务；提供</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保险箱服</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务；从事银</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行卡业务。</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经中国银行</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业监督管理</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委员会批准</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469"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的其他业</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513" w:hRule="exact"/>
        </w:trPr>
        <w:tc>
          <w:tcPr>
            <w:tcW w:w="960"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956"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r>
    </w:tbl>
    <w:p>
      <w:pPr>
        <w:spacing w:line="240" w:lineRule="auto" w:before="4"/>
        <w:rPr>
          <w:rFonts w:ascii="Times New Roman" w:hAnsi="Times New Roman" w:cs="Times New Roman" w:eastAsia="Times New Roman" w:hint="default"/>
          <w:sz w:val="7"/>
          <w:szCs w:val="7"/>
        </w:rPr>
      </w:pPr>
    </w:p>
    <w:p>
      <w:pPr>
        <w:spacing w:line="518" w:lineRule="auto" w:before="44"/>
        <w:ind w:left="154" w:right="8052"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 报告期内取得和处置子公司的情况</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bookmarkStart w:name="4、非募集资金投资的重大项目情况" w:id="42"/>
      <w:bookmarkEnd w:id="42"/>
      <w:r>
        <w:rPr>
          <w:b w:val="0"/>
          <w:bCs w:val="0"/>
        </w:rPr>
      </w:r>
      <w:r>
        <w:rPr>
          <w:rFonts w:ascii="Times New Roman" w:hAnsi="Times New Roman" w:cs="Times New Roman" w:eastAsia="Times New Roman" w:hint="default"/>
        </w:rPr>
        <w:t>4</w:t>
      </w:r>
      <w:r>
        <w:rPr/>
        <w:t>、非募集资金投资的重大项目情况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149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0"/>
              <w:jc w:val="right"/>
              <w:rPr>
                <w:rFonts w:ascii="宋体" w:hAnsi="宋体" w:cs="宋体" w:eastAsia="宋体" w:hint="default"/>
                <w:sz w:val="18"/>
                <w:szCs w:val="18"/>
              </w:rPr>
            </w:pPr>
            <w:r>
              <w:rPr>
                <w:rFonts w:ascii="宋体" w:hAnsi="宋体" w:cs="宋体" w:eastAsia="宋体" w:hint="default"/>
                <w:sz w:val="18"/>
                <w:szCs w:val="18"/>
              </w:rPr>
              <w:t>计划投资总额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413" w:right="50"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52" w:right="52"/>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2"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3" w:right="0"/>
              <w:jc w:val="left"/>
              <w:rPr>
                <w:rFonts w:ascii="宋体" w:hAnsi="宋体" w:cs="宋体" w:eastAsia="宋体" w:hint="default"/>
                <w:sz w:val="18"/>
                <w:szCs w:val="18"/>
              </w:rPr>
            </w:pPr>
            <w:r>
              <w:rPr>
                <w:rFonts w:ascii="宋体" w:hAnsi="宋体" w:cs="宋体" w:eastAsia="宋体" w:hint="default"/>
                <w:sz w:val="18"/>
                <w:szCs w:val="18"/>
              </w:rPr>
              <w:t>项目收益情况</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412" w:right="53" w:hanging="360"/>
              <w:jc w:val="left"/>
              <w:rPr>
                <w:rFonts w:ascii="宋体" w:hAnsi="宋体" w:cs="宋体" w:eastAsia="宋体" w:hint="default"/>
                <w:sz w:val="18"/>
                <w:szCs w:val="18"/>
              </w:rPr>
            </w:pPr>
            <w:r>
              <w:rPr>
                <w:rFonts w:ascii="宋体" w:hAnsi="宋体" w:cs="宋体" w:eastAsia="宋体" w:hint="default"/>
                <w:sz w:val="18"/>
                <w:szCs w:val="18"/>
              </w:rPr>
              <w:t>披露日期（如 有）</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412" w:right="50" w:hanging="360"/>
              <w:jc w:val="left"/>
              <w:rPr>
                <w:rFonts w:ascii="宋体" w:hAnsi="宋体" w:cs="宋体" w:eastAsia="宋体" w:hint="default"/>
                <w:sz w:val="18"/>
                <w:szCs w:val="18"/>
              </w:rPr>
            </w:pPr>
            <w:r>
              <w:rPr>
                <w:rFonts w:ascii="宋体" w:hAnsi="宋体" w:cs="宋体" w:eastAsia="宋体" w:hint="default"/>
                <w:sz w:val="18"/>
                <w:szCs w:val="18"/>
              </w:rPr>
              <w:t>披露索引（如 有）</w:t>
            </w:r>
          </w:p>
        </w:tc>
      </w:tr>
      <w:tr>
        <w:trPr>
          <w:trHeight w:val="149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83"/>
              <w:jc w:val="both"/>
              <w:rPr>
                <w:rFonts w:ascii="宋体" w:hAnsi="宋体" w:cs="宋体" w:eastAsia="宋体" w:hint="default"/>
                <w:sz w:val="18"/>
                <w:szCs w:val="18"/>
              </w:rPr>
            </w:pPr>
            <w:r>
              <w:rPr>
                <w:rFonts w:ascii="宋体" w:hAnsi="宋体" w:cs="宋体" w:eastAsia="宋体" w:hint="default"/>
                <w:sz w:val="18"/>
                <w:szCs w:val="18"/>
              </w:rPr>
              <w:t>柳河医药产业 园建设项目一 期工程</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57,021.36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33" w:right="0"/>
              <w:jc w:val="left"/>
              <w:rPr>
                <w:rFonts w:ascii="Times New Roman" w:hAnsi="Times New Roman" w:cs="Times New Roman" w:eastAsia="Times New Roman" w:hint="default"/>
                <w:sz w:val="18"/>
                <w:szCs w:val="18"/>
              </w:rPr>
            </w:pPr>
            <w:r>
              <w:rPr>
                <w:rFonts w:ascii="Times New Roman"/>
                <w:sz w:val="18"/>
              </w:rPr>
              <w:t>1,545.96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33" w:right="0"/>
              <w:jc w:val="left"/>
              <w:rPr>
                <w:rFonts w:ascii="Times New Roman" w:hAnsi="Times New Roman" w:cs="Times New Roman" w:eastAsia="Times New Roman" w:hint="default"/>
                <w:sz w:val="18"/>
                <w:szCs w:val="18"/>
              </w:rPr>
            </w:pPr>
            <w:r>
              <w:rPr>
                <w:rFonts w:ascii="Times New Roman"/>
                <w:sz w:val="18"/>
              </w:rPr>
              <w:t>1,545.96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2.71%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49"/>
              <w:ind w:left="22" w:right="80"/>
              <w:jc w:val="both"/>
              <w:rPr>
                <w:rFonts w:ascii="宋体" w:hAnsi="宋体" w:cs="宋体" w:eastAsia="宋体" w:hint="default"/>
                <w:sz w:val="18"/>
                <w:szCs w:val="18"/>
              </w:rPr>
            </w:pPr>
            <w:r>
              <w:rPr>
                <w:rFonts w:ascii="宋体" w:hAnsi="宋体" w:cs="宋体" w:eastAsia="宋体" w:hint="default"/>
                <w:sz w:val="18"/>
                <w:szCs w:val="18"/>
              </w:rPr>
              <w:t>《第五届董事 会第十八次会 议决议公告》</w:t>
            </w:r>
          </w:p>
        </w:tc>
      </w:tr>
    </w:tbl>
    <w:p>
      <w:pPr>
        <w:spacing w:after="0" w:line="477"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3795" w:hRule="exact"/>
        </w:trPr>
        <w:tc>
          <w:tcPr>
            <w:tcW w:w="1198"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2014-045</w:t>
            </w:r>
            <w:r>
              <w:rPr>
                <w:rFonts w:ascii="宋体" w:hAnsi="宋体" w:cs="宋体" w:eastAsia="宋体" w:hint="default"/>
                <w:sz w:val="18"/>
                <w:szCs w:val="18"/>
              </w:rPr>
              <w:t>）</w:t>
            </w:r>
          </w:p>
          <w:p>
            <w:pPr>
              <w:pStyle w:val="TableParagraph"/>
              <w:spacing w:line="240" w:lineRule="auto" w:before="9"/>
              <w:ind w:right="0"/>
              <w:jc w:val="left"/>
              <w:rPr>
                <w:rFonts w:ascii="宋体" w:hAnsi="宋体" w:cs="宋体" w:eastAsia="宋体" w:hint="default"/>
                <w:sz w:val="16"/>
                <w:szCs w:val="16"/>
              </w:rPr>
            </w:pPr>
          </w:p>
          <w:p>
            <w:pPr>
              <w:pStyle w:val="TableParagraph"/>
              <w:spacing w:line="463" w:lineRule="auto"/>
              <w:ind w:left="22" w:right="36"/>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 次临时股东大 会决议公告》</w:t>
            </w:r>
          </w:p>
          <w:p>
            <w:pPr>
              <w:pStyle w:val="TableParagraph"/>
              <w:spacing w:line="240" w:lineRule="auto" w:before="65"/>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2014-051</w:t>
            </w:r>
            <w:r>
              <w:rPr>
                <w:rFonts w:ascii="宋体" w:hAnsi="宋体" w:cs="宋体" w:eastAsia="宋体" w:hint="default"/>
                <w:spacing w:val="-90"/>
                <w:sz w:val="18"/>
                <w:szCs w:val="18"/>
              </w:rPr>
              <w:t>）巨</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潮资讯网</w:t>
            </w:r>
          </w:p>
          <w:p>
            <w:pPr>
              <w:pStyle w:val="TableParagraph"/>
              <w:spacing w:line="470" w:lineRule="atLeast" w:before="9"/>
              <w:ind w:left="22" w:right="62"/>
              <w:jc w:val="both"/>
              <w:rPr>
                <w:rFonts w:ascii="Times New Roman" w:hAnsi="Times New Roman" w:cs="Times New Roman" w:eastAsia="Times New Roman" w:hint="default"/>
                <w:sz w:val="18"/>
                <w:szCs w:val="18"/>
              </w:rPr>
            </w:pPr>
            <w:hyperlink r:id="rId12">
              <w:r>
                <w:rPr>
                  <w:rFonts w:ascii="Times New Roman"/>
                  <w:spacing w:val="-2"/>
                  <w:sz w:val="18"/>
                </w:rPr>
                <w:t>www.cninfo.co</w:t>
              </w:r>
            </w:hyperlink>
            <w:r>
              <w:rPr>
                <w:rFonts w:ascii="Times New Roman"/>
                <w:spacing w:val="-34"/>
                <w:sz w:val="18"/>
              </w:rPr>
              <w:t> </w:t>
            </w:r>
            <w:r>
              <w:rPr>
                <w:rFonts w:ascii="Times New Roman"/>
                <w:spacing w:val="-34"/>
                <w:sz w:val="18"/>
              </w:rPr>
            </w:r>
            <w:r>
              <w:rPr>
                <w:rFonts w:ascii="Times New Roman"/>
                <w:sz w:val="18"/>
              </w:rPr>
              <w:t>m.cn</w:t>
            </w:r>
          </w:p>
        </w:tc>
      </w:tr>
      <w:tr>
        <w:trPr>
          <w:trHeight w:val="558"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57,021.36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33" w:right="0"/>
              <w:jc w:val="left"/>
              <w:rPr>
                <w:rFonts w:ascii="Times New Roman" w:hAnsi="Times New Roman" w:cs="Times New Roman" w:eastAsia="Times New Roman" w:hint="default"/>
                <w:sz w:val="18"/>
                <w:szCs w:val="18"/>
              </w:rPr>
            </w:pPr>
            <w:r>
              <w:rPr>
                <w:rFonts w:ascii="Times New Roman"/>
                <w:sz w:val="18"/>
              </w:rPr>
              <w:t>1,545.96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33" w:right="0"/>
              <w:jc w:val="left"/>
              <w:rPr>
                <w:rFonts w:ascii="Times New Roman" w:hAnsi="Times New Roman" w:cs="Times New Roman" w:eastAsia="Times New Roman" w:hint="default"/>
                <w:sz w:val="18"/>
                <w:szCs w:val="18"/>
              </w:rPr>
            </w:pPr>
            <w:r>
              <w:rPr>
                <w:rFonts w:ascii="Times New Roman"/>
                <w:sz w:val="18"/>
              </w:rPr>
              <w:t>1,545.96</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4"/>
          <w:szCs w:val="24"/>
        </w:rPr>
      </w:pPr>
    </w:p>
    <w:p>
      <w:pPr>
        <w:pStyle w:val="Heading2"/>
        <w:spacing w:line="240" w:lineRule="auto" w:before="26"/>
        <w:ind w:left="154" w:right="0"/>
        <w:jc w:val="left"/>
        <w:rPr>
          <w:b w:val="0"/>
          <w:bCs w:val="0"/>
        </w:rPr>
      </w:pPr>
      <w:bookmarkStart w:name="七、公司控制的特殊目的主体情况" w:id="43"/>
      <w:bookmarkEnd w:id="43"/>
      <w:r>
        <w:rPr>
          <w:b w:val="0"/>
          <w:bCs w:val="0"/>
        </w:rPr>
      </w:r>
      <w:r>
        <w:rPr/>
        <w:t>七、公司控制的特殊目的主体情况</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八、公司未来发展的展望" w:id="44"/>
      <w:bookmarkEnd w:id="44"/>
      <w:r>
        <w:rPr>
          <w:b w:val="0"/>
          <w:bCs w:val="0"/>
        </w:rPr>
      </w:r>
      <w:r>
        <w:rPr/>
        <w:t>八、公司未来发展的展望</w:t>
      </w:r>
      <w:r>
        <w:rPr>
          <w:b w:val="0"/>
          <w:bCs w:val="0"/>
        </w:rPr>
      </w:r>
    </w:p>
    <w:p>
      <w:pPr>
        <w:spacing w:line="240" w:lineRule="auto" w:before="0"/>
        <w:rPr>
          <w:rFonts w:ascii="宋体" w:hAnsi="宋体" w:cs="宋体" w:eastAsia="宋体" w:hint="default"/>
          <w:b/>
          <w:bCs/>
          <w:sz w:val="24"/>
          <w:szCs w:val="24"/>
        </w:rPr>
      </w:pPr>
    </w:p>
    <w:p>
      <w:pPr>
        <w:pStyle w:val="BodyText"/>
        <w:spacing w:line="494" w:lineRule="auto" w:before="164"/>
        <w:ind w:left="633" w:right="1121" w:hanging="480"/>
        <w:jc w:val="left"/>
      </w:pPr>
      <w:r>
        <w:rPr/>
        <w:t>一、公司发展战略 </w:t>
      </w:r>
      <w:r>
        <w:rPr>
          <w:spacing w:val="-2"/>
        </w:rPr>
        <w:t>公司未来发展战略为中成药、人参产业、基因测序仪三大产业齐头发展。公司以中成药发展为企业的</w:t>
      </w:r>
    </w:p>
    <w:p>
      <w:pPr>
        <w:pStyle w:val="BodyText"/>
        <w:spacing w:line="245" w:lineRule="exact"/>
        <w:ind w:right="0"/>
        <w:jc w:val="left"/>
      </w:pPr>
      <w:r>
        <w:rPr/>
        <w:t>立足之本，以中药现代化为目标，促使中药更好、更便捷地走进生活，服务大众的身体健康；继承与创新</w:t>
      </w:r>
    </w:p>
    <w:p>
      <w:pPr>
        <w:spacing w:line="240" w:lineRule="auto" w:before="10"/>
        <w:rPr>
          <w:rFonts w:ascii="宋体" w:hAnsi="宋体" w:cs="宋体" w:eastAsia="宋体" w:hint="default"/>
          <w:sz w:val="14"/>
          <w:szCs w:val="14"/>
        </w:rPr>
      </w:pPr>
    </w:p>
    <w:p>
      <w:pPr>
        <w:pStyle w:val="BodyText"/>
        <w:spacing w:line="408" w:lineRule="auto"/>
        <w:ind w:right="1024"/>
        <w:jc w:val="left"/>
      </w:pPr>
      <w:r>
        <w:rPr/>
        <w:t>相结合，提升技术创新能力，加快品牌发展，占有更高市场份额，积极履行企业社会责任，与各相关方和 谐共进。人参产业作为企业未来发展的排头兵，将依托公司的先进加工技术，积极开展关键技术攻关，实 </w:t>
      </w:r>
      <w:r>
        <w:rPr>
          <w:spacing w:val="-3"/>
        </w:rPr>
        <w:t>现合理的结构调整，提升人参产品的品质，使紫鑫人参成为国际、国内知名品牌，进一步提高核心竞争力，</w:t>
      </w:r>
      <w:r>
        <w:rPr>
          <w:spacing w:val="-96"/>
        </w:rPr>
        <w:t> </w:t>
      </w:r>
      <w:r>
        <w:rPr>
          <w:spacing w:val="-96"/>
        </w:rPr>
      </w:r>
      <w:r>
        <w:rPr/>
        <w:t>为提高人类生活品质做出应尽的社会责任。基因测序产业是一个在国内新兴和朝阳的产业，紫鑫药业与中</w:t>
      </w:r>
      <w:r>
        <w:rPr/>
        <w:t> </w:t>
      </w:r>
      <w:r>
        <w:rPr>
          <w:spacing w:val="3"/>
        </w:rPr>
        <w:t>国科学院北京基因组研究所共同研发的国产化第二代测序仪将缓解测序仪核心技术受制于国外公司的现</w:t>
      </w:r>
      <w:r>
        <w:rPr>
          <w:spacing w:val="-82"/>
        </w:rPr>
        <w:t> </w:t>
      </w:r>
      <w:r>
        <w:rPr>
          <w:spacing w:val="-82"/>
        </w:rPr>
      </w:r>
      <w:r>
        <w:rPr/>
        <w:t>状，在未来时间里，实现甲级以上医院的普及使用，降低基因检测成本，为国人健康提供有效帮助。</w:t>
      </w:r>
    </w:p>
    <w:p>
      <w:pPr>
        <w:pStyle w:val="BodyText"/>
        <w:spacing w:line="408" w:lineRule="auto" w:before="145"/>
        <w:ind w:right="1024" w:firstLine="480"/>
        <w:jc w:val="left"/>
      </w:pPr>
      <w:r>
        <w:rPr>
          <w:spacing w:val="-2"/>
        </w:rPr>
        <w:t>公司通过进一步加大对药品、人参食品、保健品、基因测序仪的研发投入，坚持自主创新，不断提高</w:t>
      </w:r>
      <w:r>
        <w:rPr/>
        <w:t> 药品、人参食品、保健品、基因测序仪的质量标准，扩充产能储备；通过扩大产能，完善产品结构，丰富 给类产品线，迅速占领市场，提高产品的市场份额；通过持续建设和完善市场营销网络，加大对市场的投 </w:t>
      </w:r>
      <w:r>
        <w:rPr>
          <w:spacing w:val="-3"/>
        </w:rPr>
        <w:t>入，进一步完善营销人员的专业结构，提升品牌专业形象；通过人才引进、管理创新、完善公司治理结构、</w:t>
      </w:r>
      <w:r>
        <w:rPr>
          <w:spacing w:val="-94"/>
        </w:rPr>
        <w:t> </w:t>
      </w:r>
      <w:r>
        <w:rPr>
          <w:spacing w:val="-94"/>
        </w:rPr>
      </w:r>
      <w:r>
        <w:rPr/>
        <w:t>优化人力资源管理等手段，努力提高公司的经营决策水平；保证公司核心产品的稳步提升，提高营销网络</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96" w:lineRule="auto" w:before="175"/>
        <w:ind w:right="6343"/>
        <w:jc w:val="left"/>
      </w:pPr>
      <w:r>
        <w:rPr/>
        <w:t>运行效率，为公司发展提供稳定的现金流支持。 二、业务发展目标</w:t>
      </w:r>
    </w:p>
    <w:p>
      <w:pPr>
        <w:pStyle w:val="BodyText"/>
        <w:spacing w:line="468" w:lineRule="auto" w:before="69"/>
        <w:ind w:left="633" w:right="1126" w:hanging="480"/>
        <w:jc w:val="left"/>
      </w:pPr>
      <w:r>
        <w:rPr>
          <w:rFonts w:ascii="Times New Roman" w:hAnsi="Times New Roman" w:cs="Times New Roman" w:eastAsia="Times New Roman" w:hint="default"/>
        </w:rPr>
        <w:t>1</w:t>
      </w:r>
      <w:r>
        <w:rPr/>
        <w:t>、中成药发展目标 </w:t>
      </w:r>
      <w:r>
        <w:rPr>
          <w:spacing w:val="-1"/>
        </w:rPr>
        <w:t>公司将继续坚持</w:t>
      </w:r>
      <w:r>
        <w:rPr>
          <w:rFonts w:ascii="Times New Roman" w:hAnsi="Times New Roman" w:cs="Times New Roman" w:eastAsia="Times New Roman" w:hint="default"/>
          <w:spacing w:val="-1"/>
        </w:rPr>
        <w:t>“</w:t>
      </w:r>
      <w:r>
        <w:rPr>
          <w:spacing w:val="-1"/>
        </w:rPr>
        <w:t>科学管理，挖潜增效</w:t>
      </w:r>
      <w:r>
        <w:rPr>
          <w:rFonts w:ascii="Times New Roman" w:hAnsi="Times New Roman" w:cs="Times New Roman" w:eastAsia="Times New Roman" w:hint="default"/>
          <w:spacing w:val="-1"/>
        </w:rPr>
        <w:t>”</w:t>
      </w:r>
      <w:r>
        <w:rPr>
          <w:spacing w:val="-1"/>
        </w:rPr>
        <w:t>的既定原则和</w:t>
      </w:r>
      <w:r>
        <w:rPr>
          <w:rFonts w:ascii="Times New Roman" w:hAnsi="Times New Roman" w:cs="Times New Roman" w:eastAsia="Times New Roman" w:hint="default"/>
          <w:spacing w:val="-1"/>
        </w:rPr>
        <w:t>“</w:t>
      </w:r>
      <w:r>
        <w:rPr>
          <w:spacing w:val="-1"/>
        </w:rPr>
        <w:t>以品树人、以德酿药</w:t>
      </w:r>
      <w:r>
        <w:rPr>
          <w:rFonts w:ascii="Times New Roman" w:hAnsi="Times New Roman" w:cs="Times New Roman" w:eastAsia="Times New Roman" w:hint="default"/>
          <w:spacing w:val="-1"/>
        </w:rPr>
        <w:t>”</w:t>
      </w:r>
      <w:r>
        <w:rPr>
          <w:spacing w:val="-1"/>
        </w:rPr>
        <w:t>的企业文化为指引牢牢抓</w:t>
      </w:r>
    </w:p>
    <w:p>
      <w:pPr>
        <w:pStyle w:val="BodyText"/>
        <w:spacing w:line="231" w:lineRule="exact"/>
        <w:ind w:right="0"/>
        <w:jc w:val="both"/>
      </w:pPr>
      <w:r>
        <w:rPr/>
        <w:t>住中成药发展这一主线，以心脑血管、抗肿瘤等药品为主攻方向，通过与科研机构、大专院校强强合作的</w:t>
      </w:r>
    </w:p>
    <w:p>
      <w:pPr>
        <w:spacing w:line="240" w:lineRule="auto" w:before="10"/>
        <w:rPr>
          <w:rFonts w:ascii="宋体" w:hAnsi="宋体" w:cs="宋体" w:eastAsia="宋体" w:hint="default"/>
          <w:sz w:val="14"/>
          <w:szCs w:val="14"/>
        </w:rPr>
      </w:pPr>
    </w:p>
    <w:p>
      <w:pPr>
        <w:pStyle w:val="BodyText"/>
        <w:spacing w:line="410" w:lineRule="auto"/>
        <w:ind w:right="1131"/>
        <w:jc w:val="both"/>
      </w:pPr>
      <w:r>
        <w:rPr>
          <w:spacing w:val="-1"/>
        </w:rPr>
        <w:t>方式开发新药，形成公司独特的竞争优势，进一步加大对研发的投入。同时公司将通过资本运营与生产经</w:t>
      </w:r>
      <w:r>
        <w:rPr>
          <w:spacing w:val="-83"/>
        </w:rPr>
        <w:t> </w:t>
      </w:r>
      <w:r>
        <w:rPr>
          <w:spacing w:val="-83"/>
        </w:rPr>
      </w:r>
      <w:r>
        <w:rPr>
          <w:spacing w:val="-1"/>
        </w:rPr>
        <w:t>营并举，通过收购、并购参股等形式，有计划、有步骤、有目标积极稳妥的收购一些优良药品品种，进而</w:t>
      </w:r>
      <w:r>
        <w:rPr>
          <w:spacing w:val="-83"/>
        </w:rPr>
        <w:t> </w:t>
      </w:r>
      <w:r>
        <w:rPr>
          <w:spacing w:val="-83"/>
        </w:rPr>
      </w:r>
      <w:r>
        <w:rPr/>
        <w:t>实现公司的持续健康发展。</w:t>
      </w:r>
    </w:p>
    <w:p>
      <w:pPr>
        <w:pStyle w:val="BodyText"/>
        <w:spacing w:line="468" w:lineRule="auto" w:before="143"/>
        <w:ind w:left="633" w:right="1121" w:hanging="480"/>
        <w:jc w:val="left"/>
      </w:pPr>
      <w:r>
        <w:rPr>
          <w:rFonts w:ascii="Times New Roman" w:hAnsi="Times New Roman" w:cs="Times New Roman" w:eastAsia="Times New Roman" w:hint="default"/>
        </w:rPr>
        <w:t>2</w:t>
      </w:r>
      <w:r>
        <w:rPr/>
        <w:t>、人参食品发展目标 </w:t>
      </w:r>
      <w:r>
        <w:rPr>
          <w:spacing w:val="-2"/>
        </w:rPr>
        <w:t>人参（人工种植）已被卫生部批准为新资源食品，随着大众对健康的关注日益强烈，人参食品、保健</w:t>
      </w:r>
    </w:p>
    <w:p>
      <w:pPr>
        <w:pStyle w:val="BodyText"/>
        <w:spacing w:line="398" w:lineRule="auto"/>
        <w:ind w:right="1110"/>
        <w:jc w:val="both"/>
      </w:pPr>
      <w:r>
        <w:rPr/>
        <w:t>品的需求量也将大幅提升。</w:t>
      </w:r>
      <w:r>
        <w:rPr>
          <w:rFonts w:ascii="Times New Roman" w:hAnsi="Times New Roman" w:cs="Times New Roman" w:eastAsia="Times New Roman" w:hint="default"/>
        </w:rPr>
        <w:t>2009</w:t>
      </w:r>
      <w:r>
        <w:rPr/>
        <w:t>年公司进军人参产业，经历了五年的发展，公司已经研发出</w:t>
      </w:r>
      <w:r>
        <w:rPr>
          <w:rFonts w:ascii="Times New Roman" w:hAnsi="Times New Roman" w:cs="Times New Roman" w:eastAsia="Times New Roman" w:hint="default"/>
        </w:rPr>
        <w:t>500</w:t>
      </w:r>
      <w:r>
        <w:rPr/>
        <w:t>余个人参</w:t>
      </w:r>
      <w:r>
        <w:rPr>
          <w:spacing w:val="-27"/>
        </w:rPr>
        <w:t> </w:t>
      </w:r>
      <w:r>
        <w:rPr>
          <w:spacing w:val="-27"/>
        </w:rPr>
      </w:r>
      <w:r>
        <w:rPr/>
        <w:t>食品、保健品、化妆品等品种，目前已将数十款人参产品推向市场，以人参果蔬发酵饮料、参呼吸饮料、 </w:t>
      </w:r>
      <w:r>
        <w:rPr>
          <w:spacing w:val="-1"/>
        </w:rPr>
        <w:t>玉红颜红参阿胶糕、鲜人参蜜片等为代表的产品已经得到了消费者的极大好评。公司今年将会主推参呼吸</w:t>
      </w:r>
      <w:r>
        <w:rPr>
          <w:spacing w:val="-81"/>
        </w:rPr>
        <w:t> </w:t>
      </w:r>
      <w:r>
        <w:rPr>
          <w:spacing w:val="-81"/>
        </w:rPr>
      </w:r>
      <w:r>
        <w:rPr/>
        <w:t>饮料，以长春为中心，广告投入辐射东北三省，同时在南方省份打造</w:t>
      </w:r>
      <w:r>
        <w:rPr>
          <w:rFonts w:ascii="Times New Roman" w:hAnsi="Times New Roman" w:cs="Times New Roman" w:eastAsia="Times New Roman" w:hint="default"/>
        </w:rPr>
        <w:t>5</w:t>
      </w:r>
      <w:r>
        <w:rPr>
          <w:rFonts w:ascii="Times New Roman" w:hAnsi="Times New Roman" w:cs="Times New Roman" w:eastAsia="Times New Roman" w:hint="default"/>
        </w:rPr>
        <w:t>—</w:t>
      </w:r>
      <w:r>
        <w:rPr>
          <w:rFonts w:ascii="Times New Roman" w:hAnsi="Times New Roman" w:cs="Times New Roman" w:eastAsia="Times New Roman" w:hint="default"/>
        </w:rPr>
        <w:t>10</w:t>
      </w:r>
      <w:r>
        <w:rPr/>
        <w:t>个样板市场，将参呼吸饮料逐</w:t>
      </w:r>
      <w:r>
        <w:rPr>
          <w:spacing w:val="-31"/>
        </w:rPr>
        <w:t> </w:t>
      </w:r>
      <w:r>
        <w:rPr>
          <w:spacing w:val="-31"/>
        </w:rPr>
      </w:r>
      <w:r>
        <w:rPr/>
        <w:t>渐推向全国市场。</w:t>
      </w:r>
    </w:p>
    <w:p>
      <w:pPr>
        <w:pStyle w:val="BodyText"/>
        <w:spacing w:line="393" w:lineRule="auto" w:before="153"/>
        <w:ind w:right="1024" w:firstLine="480"/>
        <w:jc w:val="left"/>
      </w:pPr>
      <w:r>
        <w:rPr>
          <w:spacing w:val="-2"/>
        </w:rPr>
        <w:t>未来人参产业作为企业的主要利润增长点，公司将采用研发</w:t>
      </w:r>
      <w:r>
        <w:rPr>
          <w:rFonts w:ascii="Times New Roman" w:hAnsi="Times New Roman" w:cs="Times New Roman" w:eastAsia="Times New Roman" w:hint="default"/>
          <w:spacing w:val="-2"/>
        </w:rPr>
        <w:t>—</w:t>
      </w:r>
      <w:r>
        <w:rPr>
          <w:spacing w:val="-2"/>
        </w:rPr>
        <w:t>生产</w:t>
      </w:r>
      <w:r>
        <w:rPr>
          <w:rFonts w:ascii="Times New Roman" w:hAnsi="Times New Roman" w:cs="Times New Roman" w:eastAsia="Times New Roman" w:hint="default"/>
          <w:spacing w:val="-2"/>
        </w:rPr>
        <w:t>—</w:t>
      </w:r>
      <w:r>
        <w:rPr>
          <w:spacing w:val="-2"/>
        </w:rPr>
        <w:t>销售全程无缝对接的模式，以销</w:t>
      </w:r>
      <w:r>
        <w:rPr/>
        <w:t> </w:t>
      </w:r>
      <w:r>
        <w:rPr>
          <w:spacing w:val="-3"/>
        </w:rPr>
        <w:t>售为导向，研发出更多适合消费者的人参品种。公司的战略是将研发出全系列的人参品种，根据市场需求，</w:t>
      </w:r>
      <w:r>
        <w:rPr>
          <w:spacing w:val="-90"/>
        </w:rPr>
        <w:t> </w:t>
      </w:r>
      <w:r>
        <w:rPr>
          <w:spacing w:val="-90"/>
        </w:rPr>
      </w:r>
      <w:r>
        <w:rPr/>
        <w:t>将不同的人参品种在未来</w:t>
      </w:r>
      <w:r>
        <w:rPr>
          <w:rFonts w:ascii="Times New Roman" w:hAnsi="Times New Roman" w:cs="Times New Roman" w:eastAsia="Times New Roman" w:hint="default"/>
        </w:rPr>
        <w:t>5</w:t>
      </w:r>
      <w:r>
        <w:rPr/>
        <w:t>年内全部推向市场，进一步提高人参产业在市场的占有率，进一步巩固人参产</w:t>
      </w:r>
      <w:r>
        <w:rPr>
          <w:spacing w:val="-32"/>
        </w:rPr>
        <w:t> </w:t>
      </w:r>
      <w:r>
        <w:rPr>
          <w:spacing w:val="-32"/>
        </w:rPr>
      </w:r>
      <w:r>
        <w:rPr/>
        <w:t>业龙头企业的地位。</w:t>
      </w:r>
    </w:p>
    <w:p>
      <w:pPr>
        <w:pStyle w:val="BodyText"/>
        <w:spacing w:line="468" w:lineRule="auto" w:before="158"/>
        <w:ind w:left="633" w:right="0" w:hanging="480"/>
        <w:jc w:val="left"/>
      </w:pPr>
      <w:r>
        <w:rPr>
          <w:rFonts w:ascii="Times New Roman" w:hAnsi="Times New Roman" w:cs="Times New Roman" w:eastAsia="Times New Roman" w:hint="default"/>
        </w:rPr>
        <w:t>3</w:t>
      </w:r>
      <w:r>
        <w:rPr/>
        <w:t>、基因测序产业发展目标 </w:t>
      </w:r>
      <w:r>
        <w:rPr>
          <w:spacing w:val="2"/>
        </w:rPr>
        <w:t>目前我公司研发的基因测序仪是国内第一台能够达到和部分超越国际主流设备技术指标的国产化第</w:t>
      </w:r>
    </w:p>
    <w:p>
      <w:pPr>
        <w:pStyle w:val="BodyText"/>
        <w:spacing w:line="398" w:lineRule="auto"/>
        <w:ind w:right="1131"/>
        <w:jc w:val="both"/>
      </w:pPr>
      <w:r>
        <w:rPr/>
        <w:t>二代测序仪，且成本低于进口设备的</w:t>
      </w:r>
      <w:r>
        <w:rPr>
          <w:rFonts w:ascii="Times New Roman" w:hAnsi="Times New Roman" w:cs="Times New Roman" w:eastAsia="Times New Roman" w:hint="default"/>
        </w:rPr>
        <w:t>1/2</w:t>
      </w:r>
      <w:r>
        <w:rPr/>
        <w:t>以上，应用成本低于进口设备的</w:t>
      </w:r>
      <w:r>
        <w:rPr>
          <w:rFonts w:ascii="Times New Roman" w:hAnsi="Times New Roman" w:cs="Times New Roman" w:eastAsia="Times New Roman" w:hint="default"/>
        </w:rPr>
        <w:t>1/3</w:t>
      </w:r>
      <w:r>
        <w:rPr/>
        <w:t>以上。虽然基因测序仪项目尚</w:t>
      </w:r>
      <w:r>
        <w:rPr>
          <w:spacing w:val="-44"/>
        </w:rPr>
        <w:t> </w:t>
      </w:r>
      <w:r>
        <w:rPr>
          <w:spacing w:val="-44"/>
        </w:rPr>
      </w:r>
      <w:r>
        <w:rPr>
          <w:spacing w:val="-1"/>
        </w:rPr>
        <w:t>处研发试生产阶段，不能为公司贡献利润，但公司相信也有决心在未来，基因测序仪产业将成为公司重要</w:t>
      </w:r>
      <w:r>
        <w:rPr>
          <w:spacing w:val="-83"/>
        </w:rPr>
        <w:t> </w:t>
      </w:r>
      <w:r>
        <w:rPr>
          <w:spacing w:val="-83"/>
        </w:rPr>
      </w:r>
      <w:r>
        <w:rPr/>
        <w:t>利润点增长之一。</w:t>
      </w:r>
    </w:p>
    <w:p>
      <w:pPr>
        <w:pStyle w:val="BodyText"/>
        <w:spacing w:line="400" w:lineRule="auto" w:before="153"/>
        <w:ind w:right="1132" w:firstLine="480"/>
        <w:jc w:val="both"/>
      </w:pPr>
      <w:r>
        <w:rPr>
          <w:spacing w:val="-2"/>
        </w:rPr>
        <w:t>基因测序的技术团队为中科院北京基因组研究所核心团队，多年来从事基因组学与生物信息学基础研</w:t>
      </w:r>
      <w:r>
        <w:rPr/>
        <w:t> </w:t>
      </w:r>
      <w:r>
        <w:rPr>
          <w:spacing w:val="-1"/>
        </w:rPr>
        <w:t>究和应用开发工作，具备充分的技术服务专业基础，技术已经达到国际一流水平。此外，为促进基因测序</w:t>
      </w:r>
      <w:r>
        <w:rPr>
          <w:spacing w:val="-86"/>
        </w:rPr>
        <w:t> </w:t>
      </w:r>
      <w:r>
        <w:rPr>
          <w:spacing w:val="-86"/>
        </w:rPr>
      </w:r>
      <w:r>
        <w:rPr/>
        <w:t>产业的快速发展，中科紫鑫于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月聘请中国科学院于军、任鲁风、俞育德、周晓光四位研究员担任</w:t>
      </w:r>
      <w:r>
        <w:rPr>
          <w:spacing w:val="-33"/>
        </w:rPr>
        <w:t> </w:t>
      </w:r>
      <w:r>
        <w:rPr>
          <w:spacing w:val="-33"/>
        </w:rPr>
      </w:r>
      <w:r>
        <w:rPr/>
        <w:t>科学顾问，并签署了相关协议。</w:t>
      </w:r>
    </w:p>
    <w:p>
      <w:pPr>
        <w:spacing w:after="0" w:line="40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80"/>
        <w:jc w:val="both"/>
      </w:pPr>
      <w:r>
        <w:rPr>
          <w:spacing w:val="-2"/>
        </w:rPr>
        <w:t>基因测序仪的用途：传染性疾病的预防、控制和诊疗，生物恐怖因子、食源性致病因子和转基因成分</w:t>
      </w:r>
      <w:r>
        <w:rPr/>
        <w:t> </w:t>
      </w:r>
      <w:r>
        <w:rPr>
          <w:spacing w:val="-1"/>
        </w:rPr>
        <w:t>鉴定，口岸卫生和有害生物防御性检疫，以及针对人类遗传多样性而产生的疾病早期预警和个体化用药相</w:t>
      </w:r>
      <w:r>
        <w:rPr>
          <w:spacing w:val="-81"/>
        </w:rPr>
        <w:t> </w:t>
      </w:r>
      <w:r>
        <w:rPr>
          <w:spacing w:val="-81"/>
        </w:rPr>
      </w:r>
      <w:r>
        <w:rPr>
          <w:spacing w:val="-1"/>
        </w:rPr>
        <w:t>关基因的检测分析等。该系统的国产化可以极大程度降低相关科研机构在设备试剂上的投入，减轻对国外</w:t>
      </w:r>
      <w:r>
        <w:rPr>
          <w:spacing w:val="-81"/>
        </w:rPr>
        <w:t> </w:t>
      </w:r>
      <w:r>
        <w:rPr>
          <w:spacing w:val="-81"/>
        </w:rPr>
      </w:r>
      <w:r>
        <w:rPr/>
        <w:t>厂商的依赖和高额资金负担，提高科研经费利用效率。</w:t>
      </w:r>
    </w:p>
    <w:p>
      <w:pPr>
        <w:pStyle w:val="BodyText"/>
        <w:spacing w:line="240" w:lineRule="auto" w:before="145"/>
        <w:ind w:right="0"/>
        <w:jc w:val="left"/>
      </w:pPr>
      <w:r>
        <w:rPr/>
        <w:t>三、公司未来发展计划</w:t>
      </w:r>
    </w:p>
    <w:p>
      <w:pPr>
        <w:spacing w:line="240" w:lineRule="auto" w:before="6"/>
        <w:rPr>
          <w:rFonts w:ascii="宋体" w:hAnsi="宋体" w:cs="宋体" w:eastAsia="宋体" w:hint="default"/>
          <w:sz w:val="22"/>
          <w:szCs w:val="22"/>
        </w:rPr>
      </w:pPr>
    </w:p>
    <w:p>
      <w:pPr>
        <w:pStyle w:val="BodyText"/>
        <w:spacing w:line="468" w:lineRule="auto"/>
        <w:ind w:left="633" w:right="1121" w:hanging="480"/>
        <w:jc w:val="left"/>
      </w:pPr>
      <w:r>
        <w:rPr>
          <w:rFonts w:ascii="Times New Roman" w:hAnsi="Times New Roman" w:cs="Times New Roman" w:eastAsia="Times New Roman" w:hint="default"/>
        </w:rPr>
        <w:t>1</w:t>
      </w:r>
      <w:r>
        <w:rPr/>
        <w:t>、技术开发和创新 </w:t>
      </w:r>
      <w:r>
        <w:rPr>
          <w:spacing w:val="-2"/>
        </w:rPr>
        <w:t>公司将通过持续开展技术开发和创新以保证产品的技术和质量优势。公司将利用新工艺、新技术、新</w:t>
      </w:r>
    </w:p>
    <w:p>
      <w:pPr>
        <w:pStyle w:val="BodyText"/>
        <w:spacing w:line="405" w:lineRule="auto"/>
        <w:ind w:right="1024"/>
        <w:jc w:val="left"/>
      </w:pPr>
      <w:r>
        <w:rPr>
          <w:spacing w:val="-3"/>
        </w:rPr>
        <w:t>材料、新设备对现有产品不断的进行改造升级，严格按照</w:t>
      </w:r>
      <w:r>
        <w:rPr>
          <w:rFonts w:ascii="Times New Roman" w:hAnsi="Times New Roman" w:cs="Times New Roman" w:eastAsia="Times New Roman" w:hint="default"/>
          <w:spacing w:val="-3"/>
        </w:rPr>
        <w:t>GMP</w:t>
      </w:r>
      <w:r>
        <w:rPr>
          <w:spacing w:val="-3"/>
        </w:rPr>
        <w:t>、</w:t>
      </w:r>
      <w:r>
        <w:rPr>
          <w:rFonts w:ascii="Times New Roman" w:hAnsi="Times New Roman" w:cs="Times New Roman" w:eastAsia="Times New Roman" w:hint="default"/>
          <w:spacing w:val="-3"/>
        </w:rPr>
        <w:t>GSP</w:t>
      </w:r>
      <w:r>
        <w:rPr>
          <w:spacing w:val="-3"/>
        </w:rPr>
        <w:t>要求进行生产、销售，提高产品质量、</w:t>
      </w:r>
      <w:r>
        <w:rPr>
          <w:spacing w:val="-94"/>
        </w:rPr>
        <w:t> </w:t>
      </w:r>
      <w:r>
        <w:rPr>
          <w:spacing w:val="-94"/>
        </w:rPr>
      </w:r>
      <w:r>
        <w:rPr/>
        <w:t>降低原材料和能源的消耗，提高生产过程的自动化水平，优化和更新生产工艺。公司将加大科研队伍的建</w:t>
      </w:r>
      <w:r>
        <w:rPr/>
        <w:t> 设力度，从资金、政策方面给以极大的扶持力度，注重提升现有科研人员的素质，同时加大引进高素质人 才充实到科研人员队伍中。公司将加强与外部科研机构的合作，充分利用外部的优势，提高科研技术开发 </w:t>
      </w:r>
      <w:r>
        <w:rPr>
          <w:spacing w:val="-3"/>
        </w:rPr>
        <w:t>水平，实现公司可持续快速的发展。在开展技术开发和创新的同时，公司将注重保护和完善知识产品体系，</w:t>
      </w:r>
      <w:r>
        <w:rPr>
          <w:spacing w:val="-90"/>
        </w:rPr>
        <w:t> </w:t>
      </w:r>
      <w:r>
        <w:rPr>
          <w:spacing w:val="-90"/>
        </w:rPr>
      </w:r>
      <w:r>
        <w:rPr/>
        <w:t>通过申请专利、签订《保密协议》和提高科研人员薪酬待遇等激励方法进行对技术开发和创新成果的保密</w:t>
      </w:r>
      <w:r>
        <w:rPr/>
        <w:t> 性。</w:t>
      </w:r>
    </w:p>
    <w:p>
      <w:pPr>
        <w:pStyle w:val="BodyText"/>
        <w:spacing w:line="468" w:lineRule="auto" w:before="148"/>
        <w:ind w:left="634" w:right="0" w:hanging="480"/>
        <w:jc w:val="left"/>
      </w:pPr>
      <w:r>
        <w:rPr>
          <w:rFonts w:ascii="Times New Roman" w:hAnsi="Times New Roman" w:cs="Times New Roman" w:eastAsia="Times New Roman" w:hint="default"/>
        </w:rPr>
        <w:t>2</w:t>
      </w:r>
      <w:r>
        <w:rPr/>
        <w:t>、产品的开发计划 </w:t>
      </w:r>
      <w:r>
        <w:rPr>
          <w:spacing w:val="-4"/>
        </w:rPr>
        <w:t>公司仍将坚持</w:t>
      </w:r>
      <w:r>
        <w:rPr>
          <w:rFonts w:ascii="Times New Roman" w:hAnsi="Times New Roman" w:cs="Times New Roman" w:eastAsia="Times New Roman" w:hint="default"/>
          <w:spacing w:val="-4"/>
        </w:rPr>
        <w:t>“</w:t>
      </w:r>
      <w:r>
        <w:rPr>
          <w:spacing w:val="-4"/>
        </w:rPr>
        <w:t>规划一代、研发一代、储备一代、生产一代</w:t>
      </w:r>
      <w:r>
        <w:rPr>
          <w:rFonts w:ascii="Times New Roman" w:hAnsi="Times New Roman" w:cs="Times New Roman" w:eastAsia="Times New Roman" w:hint="default"/>
          <w:spacing w:val="-4"/>
        </w:rPr>
        <w:t>”</w:t>
      </w:r>
      <w:r>
        <w:rPr>
          <w:spacing w:val="-4"/>
        </w:rPr>
        <w:t>的原则，坚持中成药发展、人参产业发展、</w:t>
      </w:r>
    </w:p>
    <w:p>
      <w:pPr>
        <w:pStyle w:val="BodyText"/>
        <w:spacing w:line="247" w:lineRule="exact"/>
        <w:ind w:left="154" w:right="0"/>
        <w:jc w:val="left"/>
      </w:pPr>
      <w:r>
        <w:rPr/>
        <w:t>基因测序仪产业发展三条主线同时走路的方式。加大处方药研发力度，争取在未来</w:t>
      </w:r>
      <w:r>
        <w:rPr>
          <w:rFonts w:ascii="Times New Roman" w:hAnsi="Times New Roman" w:cs="Times New Roman" w:eastAsia="Times New Roman" w:hint="default"/>
        </w:rPr>
        <w:t>3</w:t>
      </w:r>
      <w:r>
        <w:rPr>
          <w:rFonts w:ascii="Times New Roman" w:hAnsi="Times New Roman" w:cs="Times New Roman" w:eastAsia="Times New Roman" w:hint="default"/>
        </w:rPr>
        <w:t>—</w:t>
      </w:r>
      <w:r>
        <w:rPr>
          <w:rFonts w:ascii="Times New Roman" w:hAnsi="Times New Roman" w:cs="Times New Roman" w:eastAsia="Times New Roman" w:hint="default"/>
        </w:rPr>
        <w:t>5</w:t>
      </w:r>
      <w:r>
        <w:rPr/>
        <w:t>年内研发出</w:t>
      </w:r>
      <w:r>
        <w:rPr>
          <w:rFonts w:ascii="Times New Roman" w:hAnsi="Times New Roman" w:cs="Times New Roman" w:eastAsia="Times New Roman" w:hint="default"/>
        </w:rPr>
        <w:t>3</w:t>
      </w:r>
      <w:r>
        <w:rPr>
          <w:rFonts w:ascii="Times New Roman" w:hAnsi="Times New Roman" w:cs="Times New Roman" w:eastAsia="Times New Roman" w:hint="default"/>
        </w:rPr>
        <w:t>—</w:t>
      </w:r>
      <w:r>
        <w:rPr>
          <w:rFonts w:ascii="Times New Roman" w:hAnsi="Times New Roman" w:cs="Times New Roman" w:eastAsia="Times New Roman" w:hint="default"/>
        </w:rPr>
        <w:t>5</w:t>
      </w:r>
      <w:r>
        <w:rPr/>
        <w:t>个</w:t>
      </w:r>
    </w:p>
    <w:p>
      <w:pPr>
        <w:pStyle w:val="BodyText"/>
        <w:spacing w:line="410" w:lineRule="auto" w:before="177"/>
        <w:ind w:right="1131"/>
        <w:jc w:val="both"/>
      </w:pPr>
      <w:r>
        <w:rPr>
          <w:spacing w:val="-1"/>
        </w:rPr>
        <w:t>国家一类新药。深挖人参的药用、食用功效，对人参食品要坚持以市场为导向，建立快速反应机制，在推</w:t>
      </w:r>
      <w:r>
        <w:rPr>
          <w:spacing w:val="-83"/>
        </w:rPr>
        <w:t> </w:t>
      </w:r>
      <w:r>
        <w:rPr>
          <w:spacing w:val="-83"/>
        </w:rPr>
      </w:r>
      <w:r>
        <w:rPr>
          <w:spacing w:val="-1"/>
        </w:rPr>
        <w:t>出产品之前，要建立好流通网络渠道。基因测序方面，将已经研发成功的二代基因测序仪进行批量生产的</w:t>
      </w:r>
      <w:r>
        <w:rPr>
          <w:spacing w:val="-83"/>
        </w:rPr>
        <w:t> </w:t>
      </w:r>
      <w:r>
        <w:rPr>
          <w:spacing w:val="-83"/>
        </w:rPr>
      </w:r>
      <w:r>
        <w:rPr/>
        <w:t>同时，组织技术人员对三代测序仪的技术攻关，力争在短期内研发出第三代测序仪，抢占国际市场。</w:t>
      </w:r>
    </w:p>
    <w:p>
      <w:pPr>
        <w:pStyle w:val="BodyText"/>
        <w:spacing w:line="240" w:lineRule="auto" w:before="143"/>
        <w:ind w:right="0"/>
        <w:jc w:val="left"/>
      </w:pPr>
      <w:r>
        <w:rPr>
          <w:rFonts w:ascii="Times New Roman" w:hAnsi="Times New Roman" w:cs="Times New Roman" w:eastAsia="Times New Roman" w:hint="default"/>
        </w:rPr>
        <w:t>3</w:t>
      </w:r>
      <w:r>
        <w:rPr/>
        <w:t>、市场开拓计划</w:t>
      </w:r>
    </w:p>
    <w:p>
      <w:pPr>
        <w:spacing w:line="240" w:lineRule="auto" w:before="1"/>
        <w:rPr>
          <w:rFonts w:ascii="宋体" w:hAnsi="宋体" w:cs="宋体" w:eastAsia="宋体" w:hint="default"/>
          <w:sz w:val="21"/>
          <w:szCs w:val="21"/>
        </w:rPr>
      </w:pPr>
    </w:p>
    <w:p>
      <w:pPr>
        <w:pStyle w:val="BodyText"/>
        <w:spacing w:line="398" w:lineRule="auto"/>
        <w:ind w:right="0" w:firstLine="480"/>
        <w:jc w:val="left"/>
      </w:pPr>
      <w:r>
        <w:rPr/>
        <w:t>在市场开拓方面，公司一直坚持采取</w:t>
      </w:r>
      <w:r>
        <w:rPr>
          <w:rFonts w:ascii="Times New Roman" w:hAnsi="Times New Roman" w:cs="Times New Roman" w:eastAsia="Times New Roman" w:hint="default"/>
        </w:rPr>
        <w:t>“</w:t>
      </w:r>
      <w:r>
        <w:rPr/>
        <w:t>品种树立品牌、品牌带动品种</w:t>
      </w:r>
      <w:r>
        <w:rPr>
          <w:rFonts w:ascii="Times New Roman" w:hAnsi="Times New Roman" w:cs="Times New Roman" w:eastAsia="Times New Roman" w:hint="default"/>
        </w:rPr>
        <w:t>”</w:t>
      </w:r>
      <w:r>
        <w:rPr/>
        <w:t>的策略。公司中成药的市场已经 形成了较为完善的销售渠道，紫鑫品牌已经得到了市场的认可。未来几年公司将大力巩固药品销售市场， 积极参加各地方政府、医院组织的招标会，进一步提高公司的市场占有率。人参产品在初期发展过程中， 公司将利用几个科技含量高、易取得消费者认可的主力品种提升企业的知名度，在品牌形象初步树立后， 带动公司已经研发出的</w:t>
      </w:r>
      <w:r>
        <w:rPr>
          <w:rFonts w:ascii="Times New Roman" w:hAnsi="Times New Roman" w:cs="Times New Roman" w:eastAsia="Times New Roman" w:hint="default"/>
        </w:rPr>
        <w:t>500</w:t>
      </w:r>
      <w:r>
        <w:rPr/>
        <w:t>多个人参食品、保健品品种按照市场的需求分批次的推向市场。人参产品的销</w:t>
      </w:r>
      <w:r>
        <w:rPr>
          <w:spacing w:val="-34"/>
        </w:rPr>
        <w:t> </w:t>
      </w:r>
      <w:r>
        <w:rPr>
          <w:spacing w:val="-34"/>
        </w:rPr>
      </w:r>
      <w:r>
        <w:rPr>
          <w:spacing w:val="-3"/>
        </w:rPr>
        <w:t>售模式将采取</w:t>
      </w:r>
      <w:r>
        <w:rPr>
          <w:rFonts w:ascii="Times New Roman" w:hAnsi="Times New Roman" w:cs="Times New Roman" w:eastAsia="Times New Roman" w:hint="default"/>
          <w:spacing w:val="-3"/>
        </w:rPr>
        <w:t>“</w:t>
      </w:r>
      <w:r>
        <w:rPr>
          <w:spacing w:val="-3"/>
        </w:rPr>
        <w:t>旗舰店</w:t>
      </w:r>
      <w:r>
        <w:rPr>
          <w:rFonts w:ascii="Times New Roman" w:hAnsi="Times New Roman" w:cs="Times New Roman" w:eastAsia="Times New Roman" w:hint="default"/>
          <w:spacing w:val="-3"/>
        </w:rPr>
        <w:t>+</w:t>
      </w:r>
      <w:r>
        <w:rPr>
          <w:spacing w:val="-3"/>
        </w:rPr>
        <w:t>专卖店</w:t>
      </w:r>
      <w:r>
        <w:rPr>
          <w:rFonts w:ascii="Times New Roman" w:hAnsi="Times New Roman" w:cs="Times New Roman" w:eastAsia="Times New Roman" w:hint="default"/>
          <w:spacing w:val="-3"/>
        </w:rPr>
        <w:t>+</w:t>
      </w:r>
      <w:r>
        <w:rPr>
          <w:spacing w:val="-3"/>
        </w:rPr>
        <w:t>大流通渠道</w:t>
      </w:r>
      <w:r>
        <w:rPr>
          <w:rFonts w:ascii="Times New Roman" w:hAnsi="Times New Roman" w:cs="Times New Roman" w:eastAsia="Times New Roman" w:hint="default"/>
          <w:spacing w:val="-3"/>
        </w:rPr>
        <w:t>”</w:t>
      </w:r>
      <w:r>
        <w:rPr>
          <w:spacing w:val="-3"/>
        </w:rPr>
        <w:t>的模式进行开展，针对不同的产品，相应采用灵活的销售方式。</w:t>
      </w:r>
      <w:r>
        <w:rPr>
          <w:spacing w:val="-89"/>
        </w:rPr>
        <w:t> </w:t>
      </w:r>
      <w:r>
        <w:rPr>
          <w:spacing w:val="-89"/>
        </w:rPr>
      </w:r>
      <w:r>
        <w:rPr/>
        <w:t>基因测序仪产业的市场主要是面向国家三甲医院、体检中心以及科研机构，测序仪的销售不是单纯销售仪</w:t>
      </w:r>
    </w:p>
    <w:p>
      <w:pPr>
        <w:spacing w:after="0" w:line="39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10" w:lineRule="auto" w:before="174"/>
        <w:ind w:right="0"/>
        <w:jc w:val="left"/>
      </w:pPr>
      <w:r>
        <w:rPr>
          <w:spacing w:val="-1"/>
        </w:rPr>
        <w:t>器，而是售后的一系列保证服务，公司将有针对性的培训专业人才，为客户提供良好的售后保证服务，让</w:t>
      </w:r>
      <w:r>
        <w:rPr>
          <w:spacing w:val="-85"/>
        </w:rPr>
        <w:t> </w:t>
      </w:r>
      <w:r>
        <w:rPr>
          <w:spacing w:val="-85"/>
        </w:rPr>
      </w:r>
      <w:r>
        <w:rPr/>
        <w:t>公司的服务成为口碑。</w:t>
      </w:r>
    </w:p>
    <w:p>
      <w:pPr>
        <w:pStyle w:val="BodyText"/>
        <w:spacing w:line="468" w:lineRule="auto" w:before="143"/>
        <w:ind w:left="633" w:right="1121" w:hanging="480"/>
        <w:jc w:val="left"/>
      </w:pPr>
      <w:r>
        <w:rPr>
          <w:rFonts w:ascii="Times New Roman" w:hAnsi="Times New Roman" w:cs="Times New Roman" w:eastAsia="Times New Roman" w:hint="default"/>
        </w:rPr>
        <w:t>4</w:t>
      </w:r>
      <w:r>
        <w:rPr/>
        <w:t>、人力资源发展计划 </w:t>
      </w:r>
      <w:r>
        <w:rPr>
          <w:spacing w:val="-2"/>
        </w:rPr>
        <w:t>根据公司发展规划，未来两年公司将增强处方药的研发，积极开拓人参销售渠道，大力研制基因测序</w:t>
      </w:r>
    </w:p>
    <w:p>
      <w:pPr>
        <w:pStyle w:val="BodyText"/>
        <w:spacing w:line="410" w:lineRule="auto"/>
        <w:ind w:right="1132"/>
        <w:jc w:val="both"/>
      </w:pPr>
      <w:r>
        <w:rPr>
          <w:spacing w:val="-1"/>
        </w:rPr>
        <w:t>仪，为保证上述项目的顺利实施和满足正常生产运营的需要，公司计划加大对生产、销售、管理、研发等</w:t>
      </w:r>
      <w:r>
        <w:rPr>
          <w:spacing w:val="-83"/>
        </w:rPr>
        <w:t> </w:t>
      </w:r>
      <w:r>
        <w:rPr>
          <w:spacing w:val="-83"/>
        </w:rPr>
      </w:r>
      <w:r>
        <w:rPr>
          <w:spacing w:val="-1"/>
        </w:rPr>
        <w:t>人员的引进，并通过在职培训、脱产学习等多种方式，加强公司后备生产经营管理、技术研发等人才的培</w:t>
      </w:r>
      <w:r>
        <w:rPr>
          <w:spacing w:val="-85"/>
        </w:rPr>
        <w:t> </w:t>
      </w:r>
      <w:r>
        <w:rPr>
          <w:spacing w:val="-85"/>
        </w:rPr>
      </w:r>
      <w:r>
        <w:rPr/>
        <w:t>养，满足公司快速发展中对相关人才的迫切需求。</w:t>
      </w:r>
    </w:p>
    <w:p>
      <w:pPr>
        <w:pStyle w:val="BodyText"/>
        <w:spacing w:line="240" w:lineRule="auto" w:before="142"/>
        <w:ind w:right="0"/>
        <w:jc w:val="left"/>
      </w:pPr>
      <w:r>
        <w:rPr/>
        <w:t>四、可能面对的风险</w:t>
      </w:r>
    </w:p>
    <w:p>
      <w:pPr>
        <w:spacing w:line="240" w:lineRule="auto" w:before="10"/>
        <w:rPr>
          <w:rFonts w:ascii="宋体" w:hAnsi="宋体" w:cs="宋体" w:eastAsia="宋体" w:hint="default"/>
          <w:sz w:val="14"/>
          <w:szCs w:val="14"/>
        </w:rPr>
      </w:pPr>
    </w:p>
    <w:p>
      <w:pPr>
        <w:pStyle w:val="BodyText"/>
        <w:spacing w:line="386" w:lineRule="auto"/>
        <w:ind w:left="573" w:right="0" w:hanging="420"/>
        <w:jc w:val="left"/>
      </w:pPr>
      <w:r>
        <w:rPr>
          <w:rFonts w:ascii="Times New Roman" w:hAnsi="Times New Roman" w:cs="Times New Roman" w:eastAsia="Times New Roman" w:hint="default"/>
        </w:rPr>
        <w:t>1</w:t>
      </w:r>
      <w:r>
        <w:rPr/>
        <w:t>、新产品开发风险 </w:t>
      </w:r>
      <w:r>
        <w:rPr>
          <w:spacing w:val="-1"/>
        </w:rPr>
        <w:t>由于新药产品开发从研制、临床试验报批到投产的周期长、环节多、投入大，新药研发风险较大。根</w:t>
      </w:r>
    </w:p>
    <w:p>
      <w:pPr>
        <w:pStyle w:val="BodyText"/>
        <w:spacing w:line="408" w:lineRule="auto" w:before="65"/>
        <w:ind w:right="1093"/>
        <w:jc w:val="left"/>
      </w:pPr>
      <w:r>
        <w:rPr/>
        <w:t>据《药品注册管理办法》等法规的相关规定，新药注册一般需经过临床前基础工作、新药临床研究审批、 </w:t>
      </w:r>
      <w:r>
        <w:rPr>
          <w:spacing w:val="-1"/>
        </w:rPr>
        <w:t>新药生产审批等阶段，如果最终未能通过新药注册审批，则可能导致新药研发失败，进而影响到公司前期</w:t>
      </w:r>
      <w:r>
        <w:rPr>
          <w:spacing w:val="-83"/>
        </w:rPr>
        <w:t> </w:t>
      </w:r>
      <w:r>
        <w:rPr>
          <w:spacing w:val="-83"/>
        </w:rPr>
      </w:r>
      <w:r>
        <w:rPr/>
        <w:t>投入的回收和经济效益的实现。 另外，</w:t>
      </w:r>
      <w:r>
        <w:rPr>
          <w:spacing w:val="-42"/>
        </w:rPr>
        <w:t> </w:t>
      </w:r>
      <w:r>
        <w:rPr/>
        <w:t>如果公司新药不能很好适应不断变化的市场需求，或者开发的新</w:t>
      </w:r>
      <w:r>
        <w:rPr/>
        <w:t> 药未能很快被市场接受，将加大公司的运营成本，对公司的盈利水平和未来发展产生一定影响。 </w:t>
      </w:r>
      <w:r>
        <w:rPr>
          <w:rFonts w:ascii="Times New Roman" w:hAnsi="Times New Roman" w:cs="Times New Roman" w:eastAsia="Times New Roman" w:hint="default"/>
        </w:rPr>
        <w:t>2</w:t>
      </w:r>
      <w:r>
        <w:rPr/>
        <w:t>、规模快速扩张带来的管理风险</w:t>
      </w:r>
    </w:p>
    <w:p>
      <w:pPr>
        <w:pStyle w:val="BodyText"/>
        <w:spacing w:line="408" w:lineRule="auto" w:before="14"/>
        <w:ind w:right="1093" w:firstLine="420"/>
        <w:jc w:val="left"/>
      </w:pPr>
      <w:r>
        <w:rPr>
          <w:spacing w:val="-1"/>
        </w:rPr>
        <w:t>公司在历经十五年的发展过程中，已积累了一定的管理经验并培养出一批管理人员。随着募集资金投</w:t>
      </w:r>
      <w:r>
        <w:rPr/>
        <w:t> 资项目的逐步实施，公司的资产和业务规模都将迅速扩大。规模快速扩张将使管理任务加重、</w:t>
      </w:r>
      <w:r>
        <w:rPr>
          <w:spacing w:val="-20"/>
        </w:rPr>
        <w:t> </w:t>
      </w:r>
      <w:r>
        <w:rPr/>
        <w:t>管理难度</w:t>
      </w:r>
      <w:r>
        <w:rPr/>
        <w:t> 加大。若公司的组织模式、管理制度和人员不能适应公司的快速发展，将会给公司的发展带来不利影响。 </w:t>
      </w:r>
      <w:r>
        <w:rPr>
          <w:rFonts w:ascii="Times New Roman" w:hAnsi="Times New Roman" w:cs="Times New Roman" w:eastAsia="Times New Roman" w:hint="default"/>
        </w:rPr>
        <w:t>3</w:t>
      </w:r>
      <w:r>
        <w:rPr/>
        <w:t>、新增固定资产折旧及净资产收益率下降的风险</w:t>
      </w:r>
    </w:p>
    <w:p>
      <w:pPr>
        <w:pStyle w:val="BodyText"/>
        <w:spacing w:line="408" w:lineRule="auto" w:before="14"/>
        <w:ind w:left="154" w:right="1131" w:firstLine="420"/>
        <w:jc w:val="both"/>
      </w:pPr>
      <w:r>
        <w:rPr>
          <w:spacing w:val="-1"/>
        </w:rPr>
        <w:t>募集资金投资项目完工后，公司固定资产将有较大幅度的增加，产生的折旧费用将会有所增加，从而</w:t>
      </w:r>
      <w:r>
        <w:rPr/>
        <w:t> </w:t>
      </w:r>
      <w:r>
        <w:rPr>
          <w:spacing w:val="-1"/>
        </w:rPr>
        <w:t>增加公司生产经营的成本。如果市场出现变化或者出现其他事先无法预期的情况导致新增产能的效益情况</w:t>
      </w:r>
      <w:r>
        <w:rPr>
          <w:spacing w:val="-81"/>
        </w:rPr>
        <w:t> </w:t>
      </w:r>
      <w:r>
        <w:rPr>
          <w:spacing w:val="-81"/>
        </w:rPr>
      </w:r>
      <w:r>
        <w:rPr/>
        <w:t>未达到预期目标，折旧费用的增加将对公司未来整体经营业绩造成一定影响。</w:t>
      </w:r>
    </w:p>
    <w:p>
      <w:pPr>
        <w:pStyle w:val="BodyText"/>
        <w:spacing w:line="240" w:lineRule="auto" w:before="46"/>
        <w:ind w:left="154" w:right="0"/>
        <w:jc w:val="left"/>
      </w:pPr>
      <w:r>
        <w:rPr>
          <w:rFonts w:ascii="Times New Roman" w:hAnsi="Times New Roman" w:cs="Times New Roman" w:eastAsia="Times New Roman" w:hint="default"/>
        </w:rPr>
        <w:t>4</w:t>
      </w:r>
      <w:r>
        <w:rPr/>
        <w:t>、原材料风险</w:t>
      </w:r>
    </w:p>
    <w:p>
      <w:pPr>
        <w:pStyle w:val="BodyText"/>
        <w:spacing w:line="408" w:lineRule="auto" w:before="177"/>
        <w:ind w:left="154" w:right="1131" w:firstLine="420"/>
        <w:jc w:val="both"/>
      </w:pPr>
      <w:r>
        <w:rPr>
          <w:spacing w:val="-1"/>
        </w:rPr>
        <w:t>如果公司不能保证充足的原材料供应，将导致公司总产能无法完全释放，给公司的主营业务收入和募</w:t>
      </w:r>
      <w:r>
        <w:rPr/>
        <w:t> </w:t>
      </w:r>
      <w:r>
        <w:rPr>
          <w:spacing w:val="-1"/>
        </w:rPr>
        <w:t>投项目的预期效益带来不利影响。而原材料供应不足导致的价格波动将造成公司采购成本的攀升，进而影</w:t>
      </w:r>
      <w:r>
        <w:rPr>
          <w:spacing w:val="-81"/>
        </w:rPr>
        <w:t> </w:t>
      </w:r>
      <w:r>
        <w:rPr>
          <w:spacing w:val="-81"/>
        </w:rPr>
      </w:r>
      <w:r>
        <w:rPr/>
        <w:t>响公司的经营业绩。</w:t>
      </w:r>
    </w:p>
    <w:p>
      <w:pPr>
        <w:pStyle w:val="BodyText"/>
        <w:spacing w:line="240" w:lineRule="auto" w:before="46"/>
        <w:ind w:left="154" w:right="0"/>
        <w:jc w:val="left"/>
      </w:pPr>
      <w:r>
        <w:rPr>
          <w:rFonts w:ascii="Times New Roman" w:hAnsi="Times New Roman" w:cs="Times New Roman" w:eastAsia="Times New Roman" w:hint="default"/>
        </w:rPr>
        <w:t>5</w:t>
      </w:r>
      <w:r>
        <w:rPr/>
        <w:t>、销售风险</w:t>
      </w:r>
    </w:p>
    <w:p>
      <w:pPr>
        <w:pStyle w:val="BodyText"/>
        <w:spacing w:line="408" w:lineRule="auto" w:before="177"/>
        <w:ind w:left="154" w:right="1132" w:firstLine="420"/>
        <w:jc w:val="both"/>
      </w:pPr>
      <w:r>
        <w:rPr>
          <w:spacing w:val="-1"/>
        </w:rPr>
        <w:t>随着公司人参食品新品种不断推出，产品种类的增加和整体产能的扩张也将为公司的销售能力带来新</w:t>
      </w:r>
      <w:r>
        <w:rPr/>
        <w:t> </w:t>
      </w:r>
      <w:r>
        <w:rPr>
          <w:spacing w:val="-1"/>
        </w:rPr>
        <w:t>的挑战，部分产品在市场投放方式、销售渠道、销售模式上与公司现有的中成药存在一定的区别，销售额</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能否同步增长面临着营销投入和网络建设的制约。公司如果不能在产品品质、资金投入、销售策略等方面</w:t>
      </w:r>
      <w:r>
        <w:rPr>
          <w:spacing w:val="-83"/>
        </w:rPr>
        <w:t> </w:t>
      </w:r>
      <w:r>
        <w:rPr>
          <w:spacing w:val="-83"/>
        </w:rPr>
      </w:r>
      <w:r>
        <w:rPr/>
        <w:t>取得竞争优势，将影响到公司的营业收入和整体业绩。</w:t>
      </w:r>
    </w:p>
    <w:p>
      <w:pPr>
        <w:pStyle w:val="BodyText"/>
        <w:spacing w:line="386" w:lineRule="auto" w:before="46"/>
        <w:ind w:left="573" w:right="1118" w:hanging="420"/>
        <w:jc w:val="left"/>
      </w:pPr>
      <w:r>
        <w:rPr>
          <w:rFonts w:ascii="Times New Roman" w:hAnsi="Times New Roman" w:cs="Times New Roman" w:eastAsia="Times New Roman" w:hint="default"/>
        </w:rPr>
        <w:t>6</w:t>
      </w:r>
      <w:r>
        <w:rPr/>
        <w:t>、人才储备风险 </w:t>
      </w:r>
      <w:r>
        <w:rPr>
          <w:spacing w:val="-1"/>
        </w:rPr>
        <w:t>随着公司发展过程中产品多样化的逐步体现及产能的不断扩张，对人才队伍的数量、质量与专业构成</w:t>
      </w:r>
    </w:p>
    <w:p>
      <w:pPr>
        <w:pStyle w:val="BodyText"/>
        <w:spacing w:line="408" w:lineRule="auto" w:before="65"/>
        <w:ind w:right="1131"/>
        <w:jc w:val="both"/>
      </w:pPr>
      <w:r>
        <w:rPr>
          <w:spacing w:val="-1"/>
        </w:rPr>
        <w:t>等方面都提出了更高的要求。另外，随着中药产业的发展以及行业内竞争的加剧，对企业技术研发能力将</w:t>
      </w:r>
      <w:r>
        <w:rPr>
          <w:spacing w:val="-83"/>
        </w:rPr>
        <w:t> </w:t>
      </w:r>
      <w:r>
        <w:rPr>
          <w:spacing w:val="-83"/>
        </w:rPr>
      </w:r>
      <w:r>
        <w:rPr>
          <w:spacing w:val="-1"/>
        </w:rPr>
        <w:t>推出更高要求。如果公司不能采取有效的措施进一步充实人才队伍并提高科技实力，将对公司未来的发展</w:t>
      </w:r>
      <w:r>
        <w:rPr>
          <w:spacing w:val="-81"/>
        </w:rPr>
        <w:t> </w:t>
      </w:r>
      <w:r>
        <w:rPr>
          <w:spacing w:val="-81"/>
        </w:rPr>
      </w:r>
      <w:r>
        <w:rPr/>
        <w:t>带来一定制约。</w:t>
      </w:r>
    </w:p>
    <w:p>
      <w:pPr>
        <w:spacing w:line="240" w:lineRule="auto" w:before="9"/>
        <w:rPr>
          <w:rFonts w:ascii="宋体" w:hAnsi="宋体" w:cs="宋体" w:eastAsia="宋体" w:hint="default"/>
          <w:sz w:val="24"/>
          <w:szCs w:val="24"/>
        </w:rPr>
      </w:pPr>
    </w:p>
    <w:p>
      <w:pPr>
        <w:pStyle w:val="Heading2"/>
        <w:spacing w:line="240" w:lineRule="auto"/>
        <w:ind w:right="0"/>
        <w:jc w:val="both"/>
        <w:rPr>
          <w:b w:val="0"/>
          <w:bCs w:val="0"/>
        </w:rPr>
      </w:pPr>
      <w:bookmarkStart w:name="九、董事会、监事会对会计师事务所本报告期“非标准审计报告”的说明" w:id="45"/>
      <w:bookmarkEnd w:id="45"/>
      <w:r>
        <w:rPr>
          <w:b w:val="0"/>
          <w:bCs w:val="0"/>
        </w:rPr>
      </w:r>
      <w:r>
        <w:rPr/>
        <w:t>九、董事会、监事会对会计师事务所本报告期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0"/>
        <w:rPr>
          <w:rFonts w:ascii="宋体" w:hAnsi="宋体" w:cs="宋体" w:eastAsia="宋体" w:hint="default"/>
          <w:b/>
          <w:bCs/>
          <w:sz w:val="24"/>
          <w:szCs w:val="24"/>
        </w:rPr>
      </w:pPr>
    </w:p>
    <w:p>
      <w:pPr>
        <w:spacing w:before="171"/>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both"/>
        <w:rPr>
          <w:b w:val="0"/>
          <w:bCs w:val="0"/>
        </w:rPr>
      </w:pPr>
      <w:bookmarkStart w:name="十、与上年度财务报告相比，会计政策、会计估计和核算方法发生变化的情况说明" w:id="46"/>
      <w:bookmarkEnd w:id="46"/>
      <w:r>
        <w:rPr>
          <w:b w:val="0"/>
          <w:bCs w:val="0"/>
        </w:rPr>
      </w:r>
      <w:r>
        <w:rPr/>
        <w:t>十、与上年度财务报告相比，会计政策、会计估计和核算方法发生变化的情况说明</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7"/>
          <w:szCs w:val="17"/>
        </w:rPr>
      </w:pPr>
    </w:p>
    <w:p>
      <w:pPr>
        <w:pStyle w:val="BodyText"/>
        <w:spacing w:line="240" w:lineRule="auto"/>
        <w:ind w:left="573" w:right="0"/>
        <w:jc w:val="left"/>
      </w:pPr>
      <w:r>
        <w:rPr>
          <w:spacing w:val="-3"/>
        </w:rPr>
        <w:t>本公司于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w:t>
      </w:r>
      <w:r>
        <w:rPr>
          <w:spacing w:val="-3"/>
        </w:rPr>
        <w:t>日起执行财政部于</w:t>
      </w:r>
      <w:r>
        <w:rPr>
          <w:rFonts w:ascii="Times New Roman" w:hAnsi="Times New Roman" w:cs="Times New Roman" w:eastAsia="Times New Roman" w:hint="default"/>
          <w:spacing w:val="-3"/>
        </w:rPr>
        <w:t>2014</w:t>
      </w:r>
      <w:r>
        <w:rPr>
          <w:spacing w:val="-3"/>
        </w:rPr>
        <w:t>年修订及新颁布的《企业会计准则</w:t>
      </w:r>
      <w:r>
        <w:rPr>
          <w:rFonts w:ascii="Times New Roman" w:hAnsi="Times New Roman" w:cs="Times New Roman" w:eastAsia="Times New Roman" w:hint="default"/>
          <w:spacing w:val="-3"/>
        </w:rPr>
        <w:t>—</w:t>
      </w:r>
      <w:r>
        <w:rPr>
          <w:spacing w:val="-3"/>
        </w:rPr>
        <w:t>基本准则》（修订）、</w:t>
      </w:r>
    </w:p>
    <w:p>
      <w:pPr>
        <w:pStyle w:val="BodyText"/>
        <w:spacing w:line="386" w:lineRule="auto" w:before="177"/>
        <w:ind w:right="1093"/>
        <w:jc w:val="left"/>
      </w:pPr>
      <w:r>
        <w:rPr>
          <w:spacing w:val="-5"/>
        </w:rPr>
        <w:t>《企业会计准则第</w:t>
      </w:r>
      <w:r>
        <w:rPr>
          <w:rFonts w:ascii="Times New Roman" w:hAnsi="Times New Roman" w:cs="Times New Roman" w:eastAsia="Times New Roman" w:hint="default"/>
          <w:spacing w:val="-5"/>
        </w:rPr>
        <w:t>2</w:t>
      </w:r>
      <w:r>
        <w:rPr>
          <w:spacing w:val="-5"/>
        </w:rPr>
        <w:t>号</w:t>
      </w:r>
      <w:r>
        <w:rPr>
          <w:rFonts w:ascii="Times New Roman" w:hAnsi="Times New Roman" w:cs="Times New Roman" w:eastAsia="Times New Roman" w:hint="default"/>
          <w:spacing w:val="-5"/>
        </w:rPr>
        <w:t>——</w:t>
      </w:r>
      <w:r>
        <w:rPr>
          <w:spacing w:val="-5"/>
        </w:rPr>
        <w:t>长期股权投资》（修订）、《企业会计准则第</w:t>
      </w:r>
      <w:r>
        <w:rPr>
          <w:rFonts w:ascii="Times New Roman" w:hAnsi="Times New Roman" w:cs="Times New Roman" w:eastAsia="Times New Roman" w:hint="default"/>
          <w:spacing w:val="-5"/>
        </w:rPr>
        <w:t>9</w:t>
      </w:r>
      <w:r>
        <w:rPr>
          <w:spacing w:val="-5"/>
        </w:rPr>
        <w:t>号</w:t>
      </w:r>
      <w:r>
        <w:rPr>
          <w:rFonts w:ascii="Times New Roman" w:hAnsi="Times New Roman" w:cs="Times New Roman" w:eastAsia="Times New Roman" w:hint="default"/>
          <w:spacing w:val="-5"/>
        </w:rPr>
        <w:t>——</w:t>
      </w:r>
      <w:r>
        <w:rPr>
          <w:spacing w:val="-5"/>
        </w:rPr>
        <w:t>职工薪酬》（修订）、《企</w:t>
      </w:r>
      <w:r>
        <w:rPr>
          <w:spacing w:val="-103"/>
        </w:rPr>
        <w:t> </w:t>
      </w:r>
      <w:r>
        <w:rPr>
          <w:spacing w:val="-103"/>
        </w:rPr>
      </w:r>
      <w:r>
        <w:rPr/>
        <w:t>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财务报表列报》（修订）、《企业会计准则第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合并财务报表》（修订）、</w:t>
      </w:r>
    </w:p>
    <w:p>
      <w:pPr>
        <w:pStyle w:val="BodyText"/>
        <w:spacing w:line="386" w:lineRule="auto" w:before="35"/>
        <w:ind w:right="1132"/>
        <w:jc w:val="both"/>
      </w:pPr>
      <w:r>
        <w:rPr>
          <w:spacing w:val="-1"/>
        </w:rPr>
        <w:t>《企业会计准则第</w:t>
      </w:r>
      <w:r>
        <w:rPr>
          <w:rFonts w:ascii="Times New Roman" w:hAnsi="Times New Roman" w:cs="Times New Roman" w:eastAsia="Times New Roman" w:hint="default"/>
          <w:spacing w:val="-1"/>
        </w:rPr>
        <w:t>37</w:t>
      </w:r>
      <w:r>
        <w:rPr>
          <w:spacing w:val="-1"/>
        </w:rPr>
        <w:t>号</w:t>
      </w:r>
      <w:r>
        <w:rPr>
          <w:rFonts w:ascii="Times New Roman" w:hAnsi="Times New Roman" w:cs="Times New Roman" w:eastAsia="Times New Roman" w:hint="default"/>
          <w:spacing w:val="-1"/>
        </w:rPr>
        <w:t>——</w:t>
      </w:r>
      <w:r>
        <w:rPr>
          <w:spacing w:val="-1"/>
        </w:rPr>
        <w:t>金融工具列报》（修订）、《企业会计准则第</w:t>
      </w:r>
      <w:r>
        <w:rPr>
          <w:rFonts w:ascii="Times New Roman" w:hAnsi="Times New Roman" w:cs="Times New Roman" w:eastAsia="Times New Roman" w:hint="default"/>
          <w:spacing w:val="-1"/>
        </w:rPr>
        <w:t>39</w:t>
      </w:r>
      <w:r>
        <w:rPr>
          <w:spacing w:val="-1"/>
        </w:rPr>
        <w:t>号</w:t>
      </w:r>
      <w:r>
        <w:rPr>
          <w:rFonts w:ascii="Times New Roman" w:hAnsi="Times New Roman" w:cs="Times New Roman" w:eastAsia="Times New Roman" w:hint="default"/>
          <w:spacing w:val="-1"/>
        </w:rPr>
        <w:t>——</w:t>
      </w:r>
      <w:r>
        <w:rPr>
          <w:spacing w:val="-1"/>
        </w:rPr>
        <w:t>公允价值计量》、《企</w:t>
      </w:r>
      <w:r>
        <w:rPr>
          <w:spacing w:val="-88"/>
        </w:rPr>
        <w:t> </w:t>
      </w:r>
      <w:r>
        <w:rPr>
          <w:spacing w:val="-88"/>
        </w:rPr>
      </w:r>
      <w:r>
        <w:rPr>
          <w:spacing w:val="-1"/>
        </w:rPr>
        <w:t>业会计准则第</w:t>
      </w:r>
      <w:r>
        <w:rPr>
          <w:rFonts w:ascii="Times New Roman" w:hAnsi="Times New Roman" w:cs="Times New Roman" w:eastAsia="Times New Roman" w:hint="default"/>
          <w:spacing w:val="-1"/>
        </w:rPr>
        <w:t>40</w:t>
      </w:r>
      <w:r>
        <w:rPr>
          <w:spacing w:val="-1"/>
        </w:rPr>
        <w:t>号</w:t>
      </w:r>
      <w:r>
        <w:rPr>
          <w:rFonts w:ascii="Times New Roman" w:hAnsi="Times New Roman" w:cs="Times New Roman" w:eastAsia="Times New Roman" w:hint="default"/>
          <w:spacing w:val="-1"/>
        </w:rPr>
        <w:t>——</w:t>
      </w:r>
      <w:r>
        <w:rPr>
          <w:spacing w:val="-1"/>
        </w:rPr>
        <w:t>合营安排》、《企业会计准则第</w:t>
      </w:r>
      <w:r>
        <w:rPr>
          <w:rFonts w:ascii="Times New Roman" w:hAnsi="Times New Roman" w:cs="Times New Roman" w:eastAsia="Times New Roman" w:hint="default"/>
          <w:spacing w:val="-1"/>
        </w:rPr>
        <w:t>41</w:t>
      </w:r>
      <w:r>
        <w:rPr>
          <w:spacing w:val="-1"/>
        </w:rPr>
        <w:t>号</w:t>
      </w:r>
      <w:r>
        <w:rPr>
          <w:rFonts w:ascii="Times New Roman" w:hAnsi="Times New Roman" w:cs="Times New Roman" w:eastAsia="Times New Roman" w:hint="default"/>
          <w:spacing w:val="-1"/>
        </w:rPr>
        <w:t>——</w:t>
      </w:r>
      <w:r>
        <w:rPr>
          <w:spacing w:val="-1"/>
        </w:rPr>
        <w:t>在其他主体中权益的披露》等八项具体准</w:t>
      </w:r>
      <w:r>
        <w:rPr>
          <w:spacing w:val="-85"/>
        </w:rPr>
        <w:t> </w:t>
      </w:r>
      <w:r>
        <w:rPr>
          <w:spacing w:val="-85"/>
        </w:rPr>
      </w:r>
      <w:r>
        <w:rPr/>
        <w:t>则。本公司已按新修订及新颁布的《企业会计准则》对比较财务报表进行了追溯重述。</w:t>
      </w:r>
    </w:p>
    <w:p>
      <w:pPr>
        <w:pStyle w:val="BodyText"/>
        <w:spacing w:line="400" w:lineRule="auto" w:before="65"/>
        <w:ind w:right="1131" w:firstLine="420"/>
        <w:jc w:val="both"/>
      </w:pPr>
      <w:r>
        <w:rPr/>
        <w:t>因本公司生产经营活动涉及本次《企业会计准则第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长期股权投资》（修订）的修订内容，本 </w:t>
      </w:r>
      <w:r>
        <w:rPr>
          <w:spacing w:val="-1"/>
        </w:rPr>
        <w:t>公司对被投资单位不具有共同控制或重大影响，并且在活跃市场中没有报价、公允价值不能可靠计量的投</w:t>
      </w:r>
      <w:r>
        <w:rPr>
          <w:spacing w:val="-81"/>
        </w:rPr>
        <w:t> </w:t>
      </w:r>
      <w:r>
        <w:rPr>
          <w:spacing w:val="-81"/>
        </w:rPr>
      </w:r>
      <w:r>
        <w:rPr>
          <w:spacing w:val="-1"/>
        </w:rPr>
        <w:t>资从长期股权投资中分类至可供出售金融资产核算，并进行了追溯调整。主要影响长期股权投资与可供出</w:t>
      </w:r>
      <w:r>
        <w:rPr>
          <w:spacing w:val="-81"/>
        </w:rPr>
        <w:t> </w:t>
      </w:r>
      <w:r>
        <w:rPr>
          <w:spacing w:val="-81"/>
        </w:rPr>
      </w:r>
      <w:r>
        <w:rPr/>
        <w:t>售金融资产金额为</w:t>
      </w:r>
      <w:r>
        <w:rPr>
          <w:rFonts w:ascii="Times New Roman" w:hAnsi="Times New Roman" w:cs="Times New Roman" w:eastAsia="Times New Roman" w:hint="default"/>
        </w:rPr>
        <w:t>2,800</w:t>
      </w:r>
      <w:r>
        <w:rPr/>
        <w:t>万元。</w:t>
      </w:r>
    </w:p>
    <w:p>
      <w:pPr>
        <w:pStyle w:val="BodyText"/>
        <w:spacing w:line="240" w:lineRule="auto" w:before="62"/>
        <w:ind w:left="154" w:right="0"/>
        <w:jc w:val="both"/>
      </w:pPr>
      <w:r>
        <w:rPr/>
        <w:t>除上述追溯调整影响外，对本公司上期财务报表无影响。</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2"/>
        <w:spacing w:line="240" w:lineRule="auto"/>
        <w:ind w:right="0"/>
        <w:jc w:val="both"/>
        <w:rPr>
          <w:b w:val="0"/>
          <w:bCs w:val="0"/>
        </w:rPr>
      </w:pPr>
      <w:bookmarkStart w:name="十一、报告期内发生重大会计差错更正需追溯重述的情况说明" w:id="47"/>
      <w:bookmarkEnd w:id="47"/>
      <w:r>
        <w:rPr>
          <w:b w:val="0"/>
          <w:bCs w:val="0"/>
        </w:rPr>
      </w:r>
      <w:r>
        <w:rPr/>
        <w:t>十一、报告期内发生重大会计差错更正需追溯重述的情况说明</w:t>
      </w:r>
      <w:r>
        <w:rPr>
          <w:b w:val="0"/>
          <w:bCs w:val="0"/>
        </w:rPr>
      </w:r>
    </w:p>
    <w:p>
      <w:pPr>
        <w:spacing w:line="240" w:lineRule="auto" w:before="0"/>
        <w:rPr>
          <w:rFonts w:ascii="宋体" w:hAnsi="宋体" w:cs="宋体" w:eastAsia="宋体" w:hint="default"/>
          <w:b/>
          <w:bCs/>
          <w:sz w:val="24"/>
          <w:szCs w:val="24"/>
        </w:rPr>
      </w:pPr>
    </w:p>
    <w:p>
      <w:pPr>
        <w:spacing w:line="489" w:lineRule="auto" w:before="19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after="0" w:line="48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2"/>
        <w:spacing w:line="240" w:lineRule="auto" w:before="26"/>
        <w:ind w:right="0"/>
        <w:jc w:val="left"/>
        <w:rPr>
          <w:b w:val="0"/>
          <w:bCs w:val="0"/>
        </w:rPr>
      </w:pPr>
      <w:bookmarkStart w:name="十二、与上年度财务报告相比，合并报表范围发生变化的情况说明" w:id="48"/>
      <w:bookmarkEnd w:id="48"/>
      <w:r>
        <w:rPr>
          <w:b w:val="0"/>
          <w:bCs w:val="0"/>
        </w:rPr>
      </w:r>
      <w:r>
        <w:rPr/>
        <w:t>十二、与上年度财务报告相比，合并报表范围发生变化的情况说明</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BodyText"/>
        <w:spacing w:line="391" w:lineRule="auto"/>
        <w:ind w:right="1127" w:firstLine="411"/>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日经公司第五届董事会第一次会议审议通过，本公司以</w:t>
      </w:r>
      <w:r>
        <w:rPr>
          <w:spacing w:val="-46"/>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元对价受让吉林省新能源投 资有限公司持有的吉林环境能源交易所有限公司（以下简称</w:t>
      </w:r>
      <w:r>
        <w:rPr>
          <w:rFonts w:ascii="Times New Roman" w:hAnsi="Times New Roman" w:cs="Times New Roman" w:eastAsia="Times New Roman" w:hint="default"/>
        </w:rPr>
        <w:t>“</w:t>
      </w:r>
      <w:r>
        <w:rPr/>
        <w:t>能源交易所公司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28%</w:t>
      </w:r>
      <w:r>
        <w:rPr/>
        <w:t>的股权，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spacing w:val="-73"/>
        </w:rPr>
        <w:t> </w:t>
      </w:r>
      <w:r>
        <w:rPr>
          <w:rFonts w:ascii="Times New Roman" w:hAnsi="Times New Roman" w:cs="Times New Roman" w:eastAsia="Times New Roman" w:hint="default"/>
        </w:rPr>
        <w:t>20</w:t>
      </w:r>
      <w:r>
        <w:rPr/>
        <w:t>日公司第五届董事会第九次会议审议通过，同意公司以</w:t>
      </w:r>
      <w:r>
        <w:rPr>
          <w:rFonts w:ascii="Times New Roman" w:hAnsi="Times New Roman" w:cs="Times New Roman" w:eastAsia="Times New Roman" w:hint="default"/>
        </w:rPr>
        <w:t>0</w:t>
      </w:r>
      <w:r>
        <w:rPr/>
        <w:t>元对价受让吉林长春产权交易中心持有的能源</w:t>
      </w:r>
      <w:r>
        <w:rPr>
          <w:spacing w:val="-31"/>
        </w:rPr>
        <w:t> </w:t>
      </w:r>
      <w:r>
        <w:rPr>
          <w:spacing w:val="-31"/>
        </w:rPr>
      </w:r>
      <w:r>
        <w:rPr/>
        <w:t>交易所公司</w:t>
      </w:r>
      <w:r>
        <w:rPr>
          <w:rFonts w:ascii="Times New Roman" w:hAnsi="Times New Roman" w:cs="Times New Roman" w:eastAsia="Times New Roman" w:hint="default"/>
        </w:rPr>
        <w:t>28%</w:t>
      </w:r>
      <w:r>
        <w:rPr/>
        <w:t>的股权、吉林省瑞特环境科技股份有限公司持有的能源交易所公司</w:t>
      </w:r>
      <w:r>
        <w:rPr>
          <w:rFonts w:ascii="Times New Roman" w:hAnsi="Times New Roman" w:cs="Times New Roman" w:eastAsia="Times New Roman" w:hint="default"/>
        </w:rPr>
        <w:t>12%</w:t>
      </w:r>
      <w:r>
        <w:rPr/>
        <w:t>的股权；以上所转</w:t>
      </w:r>
      <w:r>
        <w:rPr>
          <w:spacing w:val="-60"/>
        </w:rPr>
        <w:t> </w:t>
      </w:r>
      <w:r>
        <w:rPr>
          <w:spacing w:val="-60"/>
        </w:rPr>
      </w:r>
      <w:r>
        <w:rPr>
          <w:spacing w:val="-1"/>
        </w:rPr>
        <w:t>让股权是三家公司认缴注册资本尚未出资部分金额。本次股权转让后，公司合计持有能源交易所公司注册</w:t>
      </w:r>
      <w:r>
        <w:rPr>
          <w:spacing w:val="-81"/>
        </w:rPr>
        <w:t> </w:t>
      </w:r>
      <w:r>
        <w:rPr>
          <w:spacing w:val="-81"/>
        </w:rPr>
      </w:r>
      <w:r>
        <w:rPr>
          <w:spacing w:val="-1"/>
        </w:rPr>
        <w:t>资本</w:t>
      </w:r>
      <w:r>
        <w:rPr>
          <w:rFonts w:ascii="Times New Roman" w:hAnsi="Times New Roman" w:cs="Times New Roman" w:eastAsia="Times New Roman" w:hint="default"/>
          <w:spacing w:val="-1"/>
        </w:rPr>
        <w:t>83%</w:t>
      </w:r>
      <w:r>
        <w:rPr>
          <w:spacing w:val="-1"/>
        </w:rPr>
        <w:t>的股权，本公司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7</w:t>
      </w:r>
      <w:r>
        <w:rPr>
          <w:spacing w:val="-1"/>
        </w:rPr>
        <w:t>日支付了对吉林环境能源交易所有限公司的股权受让及增资款</w:t>
      </w:r>
      <w:r>
        <w:rPr>
          <w:rFonts w:ascii="Times New Roman" w:hAnsi="Times New Roman" w:cs="Times New Roman" w:eastAsia="Times New Roman" w:hint="default"/>
          <w:spacing w:val="-1"/>
        </w:rPr>
        <w:t>1,600</w:t>
      </w:r>
      <w:r>
        <w:rPr>
          <w:spacing w:val="-1"/>
        </w:rPr>
        <w:t>万</w:t>
      </w:r>
      <w:r>
        <w:rPr>
          <w:spacing w:val="-97"/>
        </w:rPr>
        <w:t> </w:t>
      </w:r>
      <w:r>
        <w:rPr/>
        <w:t>元</w:t>
      </w:r>
      <w:r>
        <w:rPr>
          <w:spacing w:val="-54"/>
        </w:rPr>
        <w:t> </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日能源交易所公司取得工商行政管理局变更后的营业执照</w:t>
      </w:r>
      <w:r>
        <w:rPr>
          <w:spacing w:val="-53"/>
        </w:rPr>
        <w:t> </w:t>
      </w:r>
      <w:r>
        <w:rPr/>
        <w:t>。</w:t>
      </w:r>
      <w:r>
        <w:rPr/>
        <w:t> </w:t>
      </w:r>
      <w:r>
        <w:rPr>
          <w:spacing w:val="-1"/>
        </w:rPr>
        <w:t>根据非同一控制下企业合并中对成本的调整，按照合并时的确认公允价值，本公司将原有投资成本进行了</w:t>
      </w:r>
      <w:r>
        <w:rPr>
          <w:spacing w:val="-80"/>
        </w:rPr>
        <w:t> </w:t>
      </w:r>
      <w:r>
        <w:rPr>
          <w:spacing w:val="-80"/>
        </w:rPr>
      </w:r>
      <w:r>
        <w:rPr/>
        <w:t>处置还原为</w:t>
      </w:r>
      <w:r>
        <w:rPr>
          <w:rFonts w:ascii="Times New Roman" w:hAnsi="Times New Roman" w:cs="Times New Roman" w:eastAsia="Times New Roman" w:hint="default"/>
        </w:rPr>
        <w:t>0</w:t>
      </w:r>
      <w:r>
        <w:rPr/>
        <w:t>价值，同时按照吉林环境能源交易所有限公司期末净资产中本公司应享有的份额与支付对价</w:t>
      </w:r>
      <w:r>
        <w:rPr>
          <w:spacing w:val="-34"/>
        </w:rPr>
        <w:t> </w:t>
      </w:r>
      <w:r>
        <w:rPr>
          <w:spacing w:val="-34"/>
        </w:rPr>
      </w:r>
      <w:r>
        <w:rPr/>
        <w:t>之间的差异确认了商誉，商誉价值为</w:t>
      </w:r>
      <w:r>
        <w:rPr>
          <w:rFonts w:ascii="Times New Roman" w:hAnsi="Times New Roman" w:cs="Times New Roman" w:eastAsia="Times New Roman" w:hint="default"/>
        </w:rPr>
        <w:t>3,823,945.58</w:t>
      </w:r>
      <w:r>
        <w:rPr/>
        <w:t>元。</w:t>
      </w:r>
    </w:p>
    <w:p>
      <w:pPr>
        <w:spacing w:line="240" w:lineRule="auto" w:before="7"/>
        <w:rPr>
          <w:rFonts w:ascii="宋体" w:hAnsi="宋体" w:cs="宋体" w:eastAsia="宋体" w:hint="default"/>
          <w:sz w:val="23"/>
          <w:szCs w:val="23"/>
        </w:rPr>
      </w:pPr>
    </w:p>
    <w:p>
      <w:pPr>
        <w:pStyle w:val="Heading2"/>
        <w:spacing w:line="240" w:lineRule="auto"/>
        <w:ind w:right="0"/>
        <w:jc w:val="left"/>
        <w:rPr>
          <w:b w:val="0"/>
          <w:bCs w:val="0"/>
        </w:rPr>
      </w:pPr>
      <w:bookmarkStart w:name="十三、公司利润分配及分红派息情况" w:id="49"/>
      <w:bookmarkEnd w:id="49"/>
      <w:r>
        <w:rPr>
          <w:b w:val="0"/>
          <w:bCs w:val="0"/>
        </w:rPr>
      </w:r>
      <w:r>
        <w:rPr/>
        <w:t>十三、公司利润分配及分红派息情况</w:t>
      </w:r>
      <w:r>
        <w:rPr>
          <w:b w:val="0"/>
          <w:bCs w:val="0"/>
        </w:rPr>
      </w:r>
    </w:p>
    <w:p>
      <w:pPr>
        <w:spacing w:line="240" w:lineRule="auto" w:before="0"/>
        <w:rPr>
          <w:rFonts w:ascii="宋体" w:hAnsi="宋体" w:cs="宋体" w:eastAsia="宋体" w:hint="default"/>
          <w:b/>
          <w:bCs/>
          <w:sz w:val="24"/>
          <w:szCs w:val="24"/>
        </w:rPr>
      </w:pPr>
    </w:p>
    <w:p>
      <w:pPr>
        <w:spacing w:before="19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报告期内利润分配政策的制定、执行或调整情况</w:t>
      </w:r>
    </w:p>
    <w:p>
      <w:pPr>
        <w:spacing w:line="240" w:lineRule="auto" w:before="10"/>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年（含报告期）的利润分配预案或方案及资本公积金转增股本预案或方案情况</w:t>
      </w:r>
    </w:p>
    <w:p>
      <w:pPr>
        <w:spacing w:line="240" w:lineRule="auto" w:before="11"/>
        <w:rPr>
          <w:rFonts w:ascii="宋体" w:hAnsi="宋体" w:cs="宋体" w:eastAsia="宋体" w:hint="default"/>
          <w:sz w:val="17"/>
          <w:szCs w:val="17"/>
        </w:rPr>
      </w:pPr>
    </w:p>
    <w:p>
      <w:pPr>
        <w:spacing w:before="0"/>
        <w:ind w:left="573" w:right="0" w:firstLine="0"/>
        <w:jc w:val="left"/>
        <w:rPr>
          <w:rFonts w:ascii="宋体" w:hAnsi="宋体" w:cs="宋体" w:eastAsia="宋体" w:hint="default"/>
          <w:sz w:val="18"/>
          <w:szCs w:val="18"/>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年利润分配方案：</w:t>
      </w:r>
    </w:p>
    <w:p>
      <w:pPr>
        <w:spacing w:line="240" w:lineRule="auto" w:before="6"/>
        <w:rPr>
          <w:rFonts w:ascii="宋体" w:hAnsi="宋体" w:cs="宋体" w:eastAsia="宋体" w:hint="default"/>
          <w:sz w:val="16"/>
          <w:szCs w:val="16"/>
        </w:rPr>
      </w:pPr>
    </w:p>
    <w:p>
      <w:pPr>
        <w:pStyle w:val="BodyText"/>
        <w:spacing w:line="386" w:lineRule="auto"/>
        <w:ind w:right="1154" w:firstLine="464"/>
        <w:jc w:val="left"/>
      </w:pPr>
      <w:r>
        <w:rPr/>
        <w:t>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日召开的</w:t>
      </w:r>
      <w:r>
        <w:rPr>
          <w:rFonts w:ascii="Times New Roman" w:hAnsi="Times New Roman" w:cs="Times New Roman" w:eastAsia="Times New Roman" w:hint="default"/>
        </w:rPr>
        <w:t>2012</w:t>
      </w:r>
      <w:r>
        <w:rPr/>
        <w:t>年度股东大会审议通过了</w:t>
      </w:r>
      <w:r>
        <w:rPr>
          <w:rFonts w:ascii="Times New Roman" w:hAnsi="Times New Roman" w:cs="Times New Roman" w:eastAsia="Times New Roman" w:hint="default"/>
        </w:rPr>
        <w:t>2012</w:t>
      </w:r>
      <w:r>
        <w:rPr/>
        <w:t>年度利润分配方案，公司对</w:t>
      </w:r>
      <w:r>
        <w:rPr>
          <w:rFonts w:ascii="Times New Roman" w:hAnsi="Times New Roman" w:cs="Times New Roman" w:eastAsia="Times New Roman" w:hint="default"/>
        </w:rPr>
        <w:t>2012</w:t>
      </w:r>
      <w:r>
        <w:rPr/>
        <w:t>年度不 进行利润分配，也不进行资本公积金转增股本。</w:t>
      </w:r>
    </w:p>
    <w:p>
      <w:pPr>
        <w:pStyle w:val="BodyText"/>
        <w:spacing w:line="417" w:lineRule="auto" w:before="106"/>
        <w:ind w:left="618" w:right="1153"/>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2013</w:t>
      </w:r>
      <w:r>
        <w:rPr/>
        <w:t>年利润分配方案： 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日召开的</w:t>
      </w:r>
      <w:r>
        <w:rPr>
          <w:rFonts w:ascii="Times New Roman" w:hAnsi="Times New Roman" w:cs="Times New Roman" w:eastAsia="Times New Roman" w:hint="default"/>
        </w:rPr>
        <w:t>2012</w:t>
      </w:r>
      <w:r>
        <w:rPr/>
        <w:t>年度股东大会审议通过了</w:t>
      </w:r>
      <w:r>
        <w:rPr>
          <w:rFonts w:ascii="Times New Roman" w:hAnsi="Times New Roman" w:cs="Times New Roman" w:eastAsia="Times New Roman" w:hint="default"/>
        </w:rPr>
        <w:t>2013</w:t>
      </w:r>
      <w:r>
        <w:rPr/>
        <w:t>年度利润分配方案，公司对</w:t>
      </w:r>
      <w:r>
        <w:rPr>
          <w:rFonts w:ascii="Times New Roman" w:hAnsi="Times New Roman" w:cs="Times New Roman" w:eastAsia="Times New Roman" w:hint="default"/>
        </w:rPr>
        <w:t>2013</w:t>
      </w:r>
      <w:r>
        <w:rPr/>
        <w:t>年度不</w:t>
      </w:r>
    </w:p>
    <w:p>
      <w:pPr>
        <w:pStyle w:val="BodyText"/>
        <w:spacing w:line="240" w:lineRule="auto" w:before="6"/>
        <w:ind w:right="0"/>
        <w:jc w:val="left"/>
      </w:pPr>
      <w:r>
        <w:rPr/>
        <w:t>进行利润分配，也不进行资本公积金转增股本。</w:t>
      </w:r>
    </w:p>
    <w:p>
      <w:pPr>
        <w:spacing w:line="240" w:lineRule="auto" w:before="10"/>
        <w:rPr>
          <w:rFonts w:ascii="宋体" w:hAnsi="宋体" w:cs="宋体" w:eastAsia="宋体" w:hint="default"/>
          <w:sz w:val="17"/>
          <w:szCs w:val="17"/>
        </w:rPr>
      </w:pPr>
    </w:p>
    <w:p>
      <w:pPr>
        <w:pStyle w:val="BodyText"/>
        <w:spacing w:line="468" w:lineRule="auto"/>
        <w:ind w:left="634" w:right="0" w:hanging="16"/>
        <w:jc w:val="left"/>
      </w:pPr>
      <w:r>
        <w:rPr>
          <w:rFonts w:ascii="Times New Roman" w:hAnsi="Times New Roman" w:cs="Times New Roman" w:eastAsia="Times New Roman" w:hint="default"/>
        </w:rPr>
        <w:t>3</w:t>
      </w:r>
      <w:r>
        <w:rPr/>
        <w:t>、本报告期利润分配预案： </w:t>
      </w:r>
      <w:r>
        <w:rPr>
          <w:spacing w:val="-1"/>
        </w:rPr>
        <w:t>根据中准会计师事务所（特殊普通合伙）出具的中准审字</w:t>
      </w:r>
      <w:r>
        <w:rPr>
          <w:rFonts w:ascii="Times New Roman" w:hAnsi="Times New Roman" w:cs="Times New Roman" w:eastAsia="Times New Roman" w:hint="default"/>
          <w:spacing w:val="-1"/>
        </w:rPr>
        <w:t>[2015]1023</w:t>
      </w:r>
      <w:r>
        <w:rPr>
          <w:spacing w:val="-1"/>
        </w:rPr>
        <w:t>号审计报告，</w:t>
      </w:r>
      <w:r>
        <w:rPr>
          <w:rFonts w:ascii="Times New Roman" w:hAnsi="Times New Roman" w:cs="Times New Roman" w:eastAsia="Times New Roman" w:hint="default"/>
          <w:spacing w:val="-1"/>
        </w:rPr>
        <w:t>2014</w:t>
      </w:r>
      <w:r>
        <w:rPr>
          <w:spacing w:val="-1"/>
        </w:rPr>
        <w:t>年度公司合并</w:t>
      </w:r>
    </w:p>
    <w:p>
      <w:pPr>
        <w:pStyle w:val="BodyText"/>
        <w:spacing w:line="247" w:lineRule="exact"/>
        <w:ind w:right="0"/>
        <w:jc w:val="left"/>
      </w:pPr>
      <w:r>
        <w:rPr/>
        <w:t>报表归属于上市公司股东的净利润为</w:t>
      </w:r>
      <w:r>
        <w:rPr>
          <w:rFonts w:ascii="Times New Roman" w:hAnsi="Times New Roman" w:cs="Times New Roman" w:eastAsia="Times New Roman" w:hint="default"/>
        </w:rPr>
        <w:t>47,193,156.40</w:t>
      </w:r>
      <w:r>
        <w:rPr/>
        <w:t>元，母公司实现税后利润</w:t>
      </w:r>
      <w:r>
        <w:rPr>
          <w:rFonts w:ascii="Times New Roman" w:hAnsi="Times New Roman" w:cs="Times New Roman" w:eastAsia="Times New Roman" w:hint="default"/>
        </w:rPr>
        <w:t>14,255,831.62</w:t>
      </w:r>
      <w:r>
        <w:rPr/>
        <w:t>元，提取</w:t>
      </w:r>
      <w:r>
        <w:rPr>
          <w:rFonts w:ascii="Times New Roman" w:hAnsi="Times New Roman" w:cs="Times New Roman" w:eastAsia="Times New Roman" w:hint="default"/>
        </w:rPr>
        <w:t>10%</w:t>
      </w:r>
      <w:r>
        <w:rPr/>
        <w:t>法定</w:t>
      </w:r>
    </w:p>
    <w:p>
      <w:pPr>
        <w:pStyle w:val="BodyText"/>
        <w:spacing w:line="386" w:lineRule="auto" w:before="177"/>
        <w:ind w:left="154" w:right="0"/>
        <w:jc w:val="left"/>
      </w:pPr>
      <w:r>
        <w:rPr>
          <w:spacing w:val="-1"/>
        </w:rPr>
        <w:t>盈余公积</w:t>
      </w:r>
      <w:r>
        <w:rPr>
          <w:rFonts w:ascii="Times New Roman" w:hAnsi="Times New Roman" w:cs="Times New Roman" w:eastAsia="Times New Roman" w:hint="default"/>
          <w:spacing w:val="-1"/>
        </w:rPr>
        <w:t>1,425,583.16</w:t>
      </w:r>
      <w:r>
        <w:rPr>
          <w:spacing w:val="-1"/>
        </w:rPr>
        <w:t>元后，本年可供股东分配利润为</w:t>
      </w:r>
      <w:r>
        <w:rPr>
          <w:rFonts w:ascii="Times New Roman" w:hAnsi="Times New Roman" w:cs="Times New Roman" w:eastAsia="Times New Roman" w:hint="default"/>
          <w:spacing w:val="-1"/>
        </w:rPr>
        <w:t>12,830,248.46</w:t>
      </w:r>
      <w:r>
        <w:rPr>
          <w:spacing w:val="-1"/>
        </w:rPr>
        <w:t>元，截至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日，母公司累计</w:t>
      </w:r>
      <w:r>
        <w:rPr>
          <w:spacing w:val="-76"/>
        </w:rPr>
        <w:t> </w:t>
      </w:r>
      <w:r>
        <w:rPr>
          <w:spacing w:val="-76"/>
        </w:rPr>
      </w:r>
      <w:r>
        <w:rPr/>
        <w:t>可供股东分配的利润为</w:t>
      </w:r>
      <w:r>
        <w:rPr>
          <w:rFonts w:ascii="Times New Roman" w:hAnsi="Times New Roman" w:cs="Times New Roman" w:eastAsia="Times New Roman" w:hint="default"/>
        </w:rPr>
        <w:t>419,781,014.71</w:t>
      </w:r>
      <w:r>
        <w:rPr/>
        <w:t>元。</w:t>
      </w:r>
    </w:p>
    <w:p>
      <w:pPr>
        <w:spacing w:after="0" w:line="38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1128"/>
        <w:jc w:val="both"/>
      </w:pPr>
      <w:r>
        <w:rPr/>
        <w:t>公司</w:t>
      </w:r>
      <w:r>
        <w:rPr>
          <w:rFonts w:ascii="Times New Roman" w:hAnsi="Times New Roman" w:cs="Times New Roman" w:eastAsia="Times New Roman" w:hint="default"/>
        </w:rPr>
        <w:t>2014</w:t>
      </w:r>
      <w:r>
        <w:rPr/>
        <w:t>年度利润分配预案为：拟以公司</w:t>
      </w:r>
      <w:r>
        <w:rPr>
          <w:rFonts w:ascii="Times New Roman" w:hAnsi="Times New Roman" w:cs="Times New Roman" w:eastAsia="Times New Roman" w:hint="default"/>
        </w:rPr>
        <w:t>2014</w:t>
      </w:r>
      <w:r>
        <w:rPr/>
        <w:t>年末的总股本</w:t>
      </w:r>
      <w:r>
        <w:rPr>
          <w:rFonts w:ascii="Times New Roman" w:hAnsi="Times New Roman" w:cs="Times New Roman" w:eastAsia="Times New Roman" w:hint="default"/>
        </w:rPr>
        <w:t>512,991,382 </w:t>
      </w:r>
      <w:r>
        <w:rPr/>
        <w:t>股为基数</w:t>
      </w:r>
      <w:r>
        <w:rPr>
          <w:rFonts w:ascii="Times New Roman" w:hAnsi="Times New Roman" w:cs="Times New Roman" w:eastAsia="Times New Roman" w:hint="default"/>
        </w:rPr>
        <w:t>,</w:t>
      </w:r>
      <w:r>
        <w:rPr/>
        <w:t>以未分配利润向全体股</w:t>
      </w:r>
      <w:r>
        <w:rPr>
          <w:spacing w:val="-84"/>
        </w:rPr>
        <w:t> </w:t>
      </w:r>
      <w:r>
        <w:rPr>
          <w:spacing w:val="-84"/>
        </w:rPr>
      </w:r>
      <w:r>
        <w:rPr/>
        <w:t>东每</w:t>
      </w:r>
      <w:r>
        <w:rPr>
          <w:rFonts w:ascii="Times New Roman" w:hAnsi="Times New Roman" w:cs="Times New Roman" w:eastAsia="Times New Roman" w:hint="default"/>
        </w:rPr>
        <w:t>10</w:t>
      </w:r>
      <w:r>
        <w:rPr/>
        <w:t>股派现金红利</w:t>
      </w:r>
      <w:r>
        <w:rPr>
          <w:rFonts w:ascii="Times New Roman" w:hAnsi="Times New Roman" w:cs="Times New Roman" w:eastAsia="Times New Roman" w:hint="default"/>
        </w:rPr>
        <w:t>0.38</w:t>
      </w:r>
      <w:r>
        <w:rPr/>
        <w:t>元（含税），共分配利润</w:t>
      </w:r>
      <w:r>
        <w:rPr>
          <w:rFonts w:ascii="Times New Roman" w:hAnsi="Times New Roman" w:cs="Times New Roman" w:eastAsia="Times New Roman" w:hint="default"/>
        </w:rPr>
        <w:t>19,493,672.52</w:t>
      </w:r>
      <w:r>
        <w:rPr/>
        <w:t>元，尚余未分配利润</w:t>
      </w:r>
      <w:r>
        <w:rPr>
          <w:rFonts w:ascii="Times New Roman" w:hAnsi="Times New Roman" w:cs="Times New Roman" w:eastAsia="Times New Roman" w:hint="default"/>
        </w:rPr>
        <w:t>400,287,342.19</w:t>
      </w:r>
      <w:r>
        <w:rPr/>
        <w:t>元留待</w:t>
      </w:r>
      <w:r>
        <w:rPr>
          <w:spacing w:val="-78"/>
        </w:rPr>
        <w:t> </w:t>
      </w:r>
      <w:r>
        <w:rPr>
          <w:spacing w:val="-1"/>
        </w:rPr>
        <w:t>以后年度分配，公司本年度不进行送股和资本公积金转增股本。本预案需经</w:t>
      </w:r>
      <w:r>
        <w:rPr>
          <w:rFonts w:ascii="Times New Roman" w:hAnsi="Times New Roman" w:cs="Times New Roman" w:eastAsia="Times New Roman" w:hint="default"/>
          <w:spacing w:val="-1"/>
        </w:rPr>
        <w:t>2014</w:t>
      </w:r>
      <w:r>
        <w:rPr>
          <w:spacing w:val="-1"/>
        </w:rPr>
        <w:t>年年度股东大会审议批准</w:t>
      </w:r>
      <w:r>
        <w:rPr>
          <w:spacing w:val="-79"/>
        </w:rPr>
        <w:t> </w:t>
      </w:r>
      <w:r>
        <w:rPr/>
        <w:t>后实施。</w:t>
      </w:r>
    </w:p>
    <w:p>
      <w:pPr>
        <w:spacing w:before="131"/>
        <w:ind w:left="153" w:right="0" w:firstLine="0"/>
        <w:jc w:val="both"/>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line="240" w:lineRule="auto" w:before="12"/>
        <w:rPr>
          <w:rFonts w:ascii="宋体" w:hAnsi="宋体" w:cs="宋体" w:eastAsia="宋体" w:hint="default"/>
          <w:sz w:val="20"/>
          <w:szCs w:val="20"/>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239"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9"/>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9"/>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9"/>
              <w:ind w:left="72"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9"/>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234"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477" w:lineRule="auto" w:before="129"/>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548"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234"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239"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55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19,493,672.52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47,193,156.40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41.31%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50,480,288.62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86,311,393.11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line="240" w:lineRule="auto" w:before="12"/>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十四、本报告期利润分配及资本公积金转增股本预案" w:id="50"/>
      <w:bookmarkEnd w:id="50"/>
      <w:r>
        <w:rPr>
          <w:b w:val="0"/>
          <w:bCs w:val="0"/>
        </w:rPr>
      </w:r>
      <w:r>
        <w:rPr/>
        <w:t>十四、本报告期利润分配及资本公积金转增股本预案</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693"/>
        <w:gridCol w:w="5864"/>
      </w:tblGrid>
      <w:tr>
        <w:trPr>
          <w:trHeight w:val="559"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58"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0.38</w:t>
            </w:r>
          </w:p>
        </w:tc>
      </w:tr>
      <w:tr>
        <w:trPr>
          <w:trHeight w:val="558"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58"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512,991,382</w:t>
            </w:r>
          </w:p>
        </w:tc>
      </w:tr>
      <w:tr>
        <w:trPr>
          <w:trHeight w:val="558"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19,493,672.52</w:t>
            </w:r>
          </w:p>
        </w:tc>
      </w:tr>
      <w:tr>
        <w:trPr>
          <w:trHeight w:val="558"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419,781,014.71</w:t>
            </w:r>
          </w:p>
        </w:tc>
      </w:tr>
      <w:tr>
        <w:trPr>
          <w:trHeight w:val="558"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558"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558"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1"/>
        <w:rPr>
          <w:rFonts w:ascii="宋体" w:hAnsi="宋体" w:cs="宋体" w:eastAsia="宋体" w:hint="default"/>
          <w:sz w:val="28"/>
          <w:szCs w:val="28"/>
        </w:rPr>
      </w:pPr>
    </w:p>
    <w:p>
      <w:pPr>
        <w:spacing w:line="2898" w:lineRule="exact"/>
        <w:ind w:left="154" w:right="0" w:firstLine="0"/>
        <w:rPr>
          <w:rFonts w:ascii="宋体" w:hAnsi="宋体" w:cs="宋体" w:eastAsia="宋体" w:hint="default"/>
          <w:sz w:val="20"/>
          <w:szCs w:val="20"/>
        </w:rPr>
      </w:pPr>
      <w:r>
        <w:rPr>
          <w:rFonts w:ascii="宋体" w:hAnsi="宋体" w:cs="宋体" w:eastAsia="宋体" w:hint="default"/>
          <w:position w:val="-57"/>
          <w:sz w:val="20"/>
          <w:szCs w:val="20"/>
        </w:rPr>
        <w:pict>
          <v:shape style="width:478.45pt;height:144.950pt;mso-position-horizontal-relative:char;mso-position-vertical-relative:line" type="#_x0000_t202" filled="false" stroked="true" strokeweight=".48pt" strokecolor="#000000">
            <w10:anchorlock/>
            <v:textbox inset="0,0,0,0">
              <w:txbxContent>
                <w:p>
                  <w:pPr>
                    <w:spacing w:line="451" w:lineRule="auto" w:before="129"/>
                    <w:ind w:left="22" w:right="23" w:firstLine="0"/>
                    <w:jc w:val="left"/>
                    <w:rPr>
                      <w:rFonts w:ascii="宋体" w:hAnsi="宋体" w:cs="宋体" w:eastAsia="宋体" w:hint="default"/>
                      <w:sz w:val="18"/>
                      <w:szCs w:val="18"/>
                    </w:rPr>
                  </w:pPr>
                  <w:r>
                    <w:rPr>
                      <w:rFonts w:ascii="宋体" w:hAnsi="宋体" w:cs="宋体" w:eastAsia="宋体" w:hint="default"/>
                      <w:sz w:val="18"/>
                      <w:szCs w:val="18"/>
                    </w:rPr>
                    <w:t>根据中准会计师事务所（特殊普通合伙）出具的中准审字</w:t>
                  </w:r>
                  <w:r>
                    <w:rPr>
                      <w:rFonts w:ascii="Times New Roman" w:hAnsi="Times New Roman" w:cs="Times New Roman" w:eastAsia="Times New Roman" w:hint="default"/>
                      <w:sz w:val="18"/>
                      <w:szCs w:val="18"/>
                    </w:rPr>
                    <w:t>[2015]1023</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号审计报告，</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年度公司合并报表归属于上市公司 股东的净利润为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47,193,156.40 </w:t>
                  </w:r>
                  <w:r>
                    <w:rPr>
                      <w:rFonts w:ascii="宋体" w:hAnsi="宋体" w:cs="宋体" w:eastAsia="宋体" w:hint="default"/>
                      <w:spacing w:val="-3"/>
                      <w:sz w:val="18"/>
                      <w:szCs w:val="18"/>
                    </w:rPr>
                    <w:t>元，母公司实现税后利润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14,255,831.62 </w:t>
                  </w:r>
                  <w:r>
                    <w:rPr>
                      <w:rFonts w:ascii="宋体" w:hAnsi="宋体" w:cs="宋体" w:eastAsia="宋体" w:hint="default"/>
                      <w:spacing w:val="-8"/>
                      <w:sz w:val="18"/>
                      <w:szCs w:val="18"/>
                    </w:rPr>
                    <w:t>元，提取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法定盈余公积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1,425,583.16</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元后，本年</w:t>
                  </w:r>
                </w:p>
                <w:p>
                  <w:pPr>
                    <w:spacing w:before="43"/>
                    <w:ind w:left="22" w:right="0" w:firstLine="0"/>
                    <w:jc w:val="left"/>
                    <w:rPr>
                      <w:rFonts w:ascii="宋体" w:hAnsi="宋体" w:cs="宋体" w:eastAsia="宋体" w:hint="default"/>
                      <w:sz w:val="18"/>
                      <w:szCs w:val="18"/>
                    </w:rPr>
                  </w:pPr>
                  <w:r>
                    <w:rPr>
                      <w:rFonts w:ascii="宋体" w:hAnsi="宋体" w:cs="宋体" w:eastAsia="宋体" w:hint="default"/>
                      <w:sz w:val="18"/>
                      <w:szCs w:val="18"/>
                    </w:rPr>
                    <w:t>可供股东分配利润为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12,830,248.46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日，母公司累计可供股东分配的利润为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419,781,014.71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16"/>
                      <w:szCs w:val="16"/>
                    </w:rPr>
                  </w:pPr>
                </w:p>
                <w:p>
                  <w:pPr>
                    <w:spacing w:before="0"/>
                    <w:ind w:left="22" w:right="0"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年度利润分配预案为：拟以公司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年末的总股本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512,991,382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股为基数</w:t>
                  </w:r>
                  <w:r>
                    <w:rPr>
                      <w:rFonts w:ascii="Times New Roman" w:hAnsi="Times New Roman" w:cs="Times New Roman" w:eastAsia="Times New Roman" w:hint="default"/>
                      <w:sz w:val="18"/>
                      <w:szCs w:val="18"/>
                    </w:rPr>
                    <w:t>,</w:t>
                  </w:r>
                  <w:r>
                    <w:rPr>
                      <w:rFonts w:ascii="宋体" w:hAnsi="宋体" w:cs="宋体" w:eastAsia="宋体" w:hint="default"/>
                      <w:sz w:val="18"/>
                      <w:szCs w:val="18"/>
                    </w:rPr>
                    <w:t>以未分配利润向全体股东每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w:t>
                  </w:r>
                </w:p>
                <w:p>
                  <w:pPr>
                    <w:spacing w:line="240" w:lineRule="auto" w:before="9"/>
                    <w:rPr>
                      <w:rFonts w:ascii="宋体" w:hAnsi="宋体" w:cs="宋体" w:eastAsia="宋体" w:hint="default"/>
                      <w:sz w:val="16"/>
                      <w:szCs w:val="16"/>
                    </w:rPr>
                  </w:pPr>
                </w:p>
                <w:p>
                  <w:pPr>
                    <w:spacing w:before="0"/>
                    <w:ind w:left="22" w:right="0" w:firstLine="0"/>
                    <w:jc w:val="left"/>
                    <w:rPr>
                      <w:rFonts w:ascii="宋体" w:hAnsi="宋体" w:cs="宋体" w:eastAsia="宋体" w:hint="default"/>
                      <w:sz w:val="18"/>
                      <w:szCs w:val="18"/>
                    </w:rPr>
                  </w:pPr>
                  <w:r>
                    <w:rPr>
                      <w:rFonts w:ascii="宋体" w:hAnsi="宋体" w:cs="宋体" w:eastAsia="宋体" w:hint="default"/>
                      <w:sz w:val="18"/>
                      <w:szCs w:val="18"/>
                    </w:rPr>
                    <w:t>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0.38</w:t>
                  </w:r>
                  <w:r>
                    <w:rPr>
                      <w:rFonts w:ascii="Times New Roman" w:hAnsi="Times New Roman" w:cs="Times New Roman" w:eastAsia="Times New Roman" w:hint="default"/>
                      <w:spacing w:val="-1"/>
                      <w:sz w:val="18"/>
                      <w:szCs w:val="18"/>
                    </w:rPr>
                    <w:t> </w:t>
                  </w:r>
                  <w:r>
                    <w:rPr>
                      <w:rFonts w:ascii="宋体" w:hAnsi="宋体" w:cs="宋体" w:eastAsia="宋体" w:hint="default"/>
                      <w:spacing w:val="-18"/>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18"/>
                      <w:sz w:val="18"/>
                      <w:szCs w:val="18"/>
                    </w:rPr>
                    <w:t>，</w:t>
                  </w:r>
                  <w:r>
                    <w:rPr>
                      <w:rFonts w:ascii="宋体" w:hAnsi="宋体" w:cs="宋体" w:eastAsia="宋体" w:hint="default"/>
                      <w:sz w:val="18"/>
                      <w:szCs w:val="18"/>
                    </w:rPr>
                    <w:t>共分配利润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19,493,672.52 </w:t>
                  </w:r>
                  <w:r>
                    <w:rPr>
                      <w:rFonts w:ascii="宋体" w:hAnsi="宋体" w:cs="宋体" w:eastAsia="宋体" w:hint="default"/>
                      <w:sz w:val="18"/>
                      <w:szCs w:val="18"/>
                    </w:rPr>
                    <w:t>元，</w:t>
                  </w:r>
                  <w:r>
                    <w:rPr>
                      <w:rFonts w:ascii="宋体" w:hAnsi="宋体" w:cs="宋体" w:eastAsia="宋体" w:hint="default"/>
                      <w:spacing w:val="-20"/>
                      <w:sz w:val="18"/>
                      <w:szCs w:val="18"/>
                    </w:rPr>
                    <w:t> </w:t>
                  </w:r>
                  <w:r>
                    <w:rPr>
                      <w:rFonts w:ascii="宋体" w:hAnsi="宋体" w:cs="宋体" w:eastAsia="宋体" w:hint="default"/>
                      <w:sz w:val="18"/>
                      <w:szCs w:val="18"/>
                    </w:rPr>
                    <w:t>尚余未分配利润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400,287,342</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19 </w:t>
                  </w:r>
                  <w:r>
                    <w:rPr>
                      <w:rFonts w:ascii="宋体" w:hAnsi="宋体" w:cs="宋体" w:eastAsia="宋体" w:hint="default"/>
                      <w:sz w:val="18"/>
                      <w:szCs w:val="18"/>
                    </w:rPr>
                    <w:t>元留待以后年度分配</w:t>
                  </w:r>
                  <w:r>
                    <w:rPr>
                      <w:rFonts w:ascii="宋体" w:hAnsi="宋体" w:cs="宋体" w:eastAsia="宋体" w:hint="default"/>
                      <w:spacing w:val="-18"/>
                      <w:sz w:val="18"/>
                      <w:szCs w:val="18"/>
                    </w:rPr>
                    <w:t>，</w:t>
                  </w:r>
                  <w:r>
                    <w:rPr>
                      <w:rFonts w:ascii="宋体" w:hAnsi="宋体" w:cs="宋体" w:eastAsia="宋体" w:hint="default"/>
                      <w:sz w:val="18"/>
                      <w:szCs w:val="18"/>
                    </w:rPr>
                    <w:t>公司本年</w:t>
                  </w:r>
                </w:p>
                <w:p>
                  <w:pPr>
                    <w:spacing w:line="240" w:lineRule="auto" w:before="11"/>
                    <w:rPr>
                      <w:rFonts w:ascii="宋体" w:hAnsi="宋体" w:cs="宋体" w:eastAsia="宋体" w:hint="default"/>
                      <w:sz w:val="16"/>
                      <w:szCs w:val="16"/>
                    </w:rPr>
                  </w:pPr>
                </w:p>
                <w:p>
                  <w:pPr>
                    <w:spacing w:before="0"/>
                    <w:ind w:left="22" w:right="0" w:firstLine="0"/>
                    <w:jc w:val="left"/>
                    <w:rPr>
                      <w:rFonts w:ascii="宋体" w:hAnsi="宋体" w:cs="宋体" w:eastAsia="宋体" w:hint="default"/>
                      <w:sz w:val="18"/>
                      <w:szCs w:val="18"/>
                    </w:rPr>
                  </w:pPr>
                  <w:r>
                    <w:rPr>
                      <w:rFonts w:ascii="宋体" w:hAnsi="宋体" w:cs="宋体" w:eastAsia="宋体" w:hint="default"/>
                      <w:sz w:val="18"/>
                      <w:szCs w:val="18"/>
                    </w:rPr>
                    <w:t>度不进行送股和资本公积金转增股本。本预案需经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年年度股东大会审议批准后实施。</w:t>
                  </w:r>
                </w:p>
              </w:txbxContent>
            </v:textbox>
          </v:shape>
        </w:pict>
      </w:r>
      <w:r>
        <w:rPr>
          <w:rFonts w:ascii="宋体" w:hAnsi="宋体" w:cs="宋体" w:eastAsia="宋体" w:hint="default"/>
          <w:position w:val="-57"/>
          <w:sz w:val="20"/>
          <w:szCs w:val="20"/>
        </w:rPr>
      </w:r>
    </w:p>
    <w:p>
      <w:pPr>
        <w:spacing w:line="240" w:lineRule="auto" w:before="5"/>
        <w:rPr>
          <w:rFonts w:ascii="宋体" w:hAnsi="宋体" w:cs="宋体" w:eastAsia="宋体" w:hint="default"/>
          <w:sz w:val="24"/>
          <w:szCs w:val="24"/>
        </w:rPr>
      </w:pPr>
    </w:p>
    <w:p>
      <w:pPr>
        <w:pStyle w:val="Heading2"/>
        <w:spacing w:line="240" w:lineRule="auto" w:before="26"/>
        <w:ind w:left="154" w:right="0"/>
        <w:jc w:val="left"/>
        <w:rPr>
          <w:b w:val="0"/>
          <w:bCs w:val="0"/>
        </w:rPr>
      </w:pPr>
      <w:bookmarkStart w:name="十五、社会责任情况" w:id="51"/>
      <w:bookmarkEnd w:id="51"/>
      <w:r>
        <w:rPr>
          <w:b w:val="0"/>
          <w:bCs w:val="0"/>
        </w:rPr>
      </w:r>
      <w:r>
        <w:rPr/>
        <w:t>十五、社会责任情况</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pStyle w:val="BodyText"/>
        <w:spacing w:line="400" w:lineRule="auto"/>
        <w:ind w:right="1027" w:firstLine="464"/>
        <w:jc w:val="left"/>
      </w:pPr>
      <w:r>
        <w:rPr/>
        <w:t>紫鑫药业一直本着</w:t>
      </w:r>
      <w:r>
        <w:rPr>
          <w:rFonts w:ascii="Times New Roman" w:hAnsi="Times New Roman" w:cs="Times New Roman" w:eastAsia="Times New Roman" w:hint="default"/>
        </w:rPr>
        <w:t>“</w:t>
      </w:r>
      <w:r>
        <w:rPr/>
        <w:t>产品质量关系企业生命，药品质量关系患者生命</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两个生命观</w:t>
      </w:r>
      <w:r>
        <w:rPr>
          <w:rFonts w:ascii="Times New Roman" w:hAnsi="Times New Roman" w:cs="Times New Roman" w:eastAsia="Times New Roman" w:hint="default"/>
        </w:rPr>
        <w:t>”</w:t>
      </w:r>
      <w:r>
        <w:rPr/>
        <w:t>的质量意识进行 着生产经营活动。狠抓中药材的种植质量关。从选种、育苗、种植、除草、施肥，到采收加工、贮藏严格 按照</w:t>
      </w:r>
      <w:r>
        <w:rPr>
          <w:rFonts w:ascii="Times New Roman" w:hAnsi="Times New Roman" w:cs="Times New Roman" w:eastAsia="Times New Roman" w:hint="default"/>
        </w:rPr>
        <w:t>GAP</w:t>
      </w:r>
      <w:r>
        <w:rPr/>
        <w:t>标准执行。所产药材均无重金属超标、农药残留等现象，确保了在生产源头上原料质量上乘。采 用新型药材种植合作方式。采用</w:t>
      </w:r>
      <w:r>
        <w:rPr>
          <w:rFonts w:ascii="Times New Roman" w:hAnsi="Times New Roman" w:cs="Times New Roman" w:eastAsia="Times New Roman" w:hint="default"/>
        </w:rPr>
        <w:t>“</w:t>
      </w:r>
      <w:r>
        <w:rPr/>
        <w:t>农户</w:t>
      </w:r>
      <w:r>
        <w:rPr>
          <w:rFonts w:ascii="Times New Roman" w:hAnsi="Times New Roman" w:cs="Times New Roman" w:eastAsia="Times New Roman" w:hint="default"/>
        </w:rPr>
        <w:t>-</w:t>
      </w:r>
      <w:r>
        <w:rPr/>
        <w:t>政府</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研究所</w:t>
      </w:r>
      <w:r>
        <w:rPr>
          <w:rFonts w:ascii="Times New Roman" w:hAnsi="Times New Roman" w:cs="Times New Roman" w:eastAsia="Times New Roman" w:hint="default"/>
        </w:rPr>
        <w:t>”</w:t>
      </w:r>
      <w:r>
        <w:rPr/>
        <w:t>四位一体的方式培育自己的药材基地，这种方式 不仅为公司的原料供应和科研开发提供坚实的质量保障，也带动了当地农村产业化发展，为周边地区提供 了上千个就业机会。坚持</w:t>
      </w:r>
      <w:r>
        <w:rPr>
          <w:rFonts w:ascii="Times New Roman" w:hAnsi="Times New Roman" w:cs="Times New Roman" w:eastAsia="Times New Roman" w:hint="default"/>
        </w:rPr>
        <w:t>“</w:t>
      </w:r>
      <w:r>
        <w:rPr/>
        <w:t>挚真质纯</w:t>
      </w:r>
      <w:r>
        <w:rPr>
          <w:rFonts w:ascii="Times New Roman" w:hAnsi="Times New Roman" w:cs="Times New Roman" w:eastAsia="Times New Roman" w:hint="default"/>
        </w:rPr>
        <w:t>”</w:t>
      </w:r>
      <w:r>
        <w:rPr/>
        <w:t>的经营理念。从设备的选型、人才的招揽到技术的使用和原材料的购 进都做到了最先进、最好、最精。每批次产品从中药材的投料到半成品、成品及留样观察都按高于国家法 定标准来监控，不让一粒不合格的产品出厂。应用先进的生产技术和设备。采用高效液相色谱仪、紫外可 见分光光度仪、片剂碎度仪、全自动喷码机等先进检验设备进行质量检测，并把超细粉碎酶技术、二氧化 碳超临界萃取技术、薄膜包衣技术、大孔树脂吸附分离技术等高科技制药工艺应用到生产中，引进国外现 代化生产线，将浸膏烘干、制粒、包衣一步完成，提高了产品科技含量。秉承</w:t>
      </w:r>
      <w:r>
        <w:rPr>
          <w:rFonts w:ascii="Times New Roman" w:hAnsi="Times New Roman" w:cs="Times New Roman" w:eastAsia="Times New Roman" w:hint="default"/>
        </w:rPr>
        <w:t>“</w:t>
      </w:r>
      <w:r>
        <w:rPr/>
        <w:t>销售是企业生存的命脉</w:t>
      </w:r>
      <w:r>
        <w:rPr>
          <w:rFonts w:ascii="Times New Roman" w:hAnsi="Times New Roman" w:cs="Times New Roman" w:eastAsia="Times New Roman" w:hint="default"/>
        </w:rPr>
        <w:t>”</w:t>
      </w:r>
      <w:r>
        <w:rPr/>
        <w:t>的 销售理念。公司在经营战略上一直把销售摆在重要位置上，明确提出了大力实施品牌战略的销售策略，建 设一流的销售队伍，完善一体化的销售体制，实现了产品定位、物流调度、分配考核、价格管理、市场划 分等五个统一，优化了资源配置，全面开创销售工作新局面。坚持</w:t>
      </w:r>
      <w:r>
        <w:rPr>
          <w:rFonts w:ascii="Times New Roman" w:hAnsi="Times New Roman" w:cs="Times New Roman" w:eastAsia="Times New Roman" w:hint="default"/>
        </w:rPr>
        <w:t>“</w:t>
      </w:r>
      <w:r>
        <w:rPr/>
        <w:t>以人为本</w:t>
      </w:r>
      <w:r>
        <w:rPr>
          <w:rFonts w:ascii="Times New Roman" w:hAnsi="Times New Roman" w:cs="Times New Roman" w:eastAsia="Times New Roman" w:hint="default"/>
        </w:rPr>
        <w:t>”</w:t>
      </w:r>
      <w:r>
        <w:rPr/>
        <w:t>的原则。公司在研发激励机 制、人力资源配备、技术管理方面制定了切实有效的制度和实施程序。每个员工在公司里都有一个自己的 成长和表演的舞台，机会面前人人平等，对于优秀人才和对公司有突出贡献的员工给予重用和重奖，充分 </w:t>
      </w:r>
      <w:r>
        <w:rPr>
          <w:spacing w:val="-3"/>
        </w:rPr>
        <w:t>调动了全体员工的积极性。义不容辞地担负着社会责任。公司自成立之时起本着造福于社会民众为出发点，</w:t>
      </w:r>
      <w:r>
        <w:rPr>
          <w:spacing w:val="-92"/>
        </w:rPr>
        <w:t> </w:t>
      </w:r>
      <w:r>
        <w:rPr>
          <w:spacing w:val="-92"/>
        </w:rPr>
      </w:r>
      <w:r>
        <w:rPr/>
        <w:t>积极投身捐助、修路等社会公益事业中，创造近千个就业机会。全身心地履行着社会责任。</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489" w:lineRule="auto" w:before="0"/>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上市公司及其子公司是否存在其他重大社会安全问题</w:t>
      </w:r>
    </w:p>
    <w:p>
      <w:pPr>
        <w:spacing w:line="489" w:lineRule="auto" w:before="86"/>
        <w:ind w:left="154" w:right="87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报告期内是否被行政处罚</w:t>
      </w:r>
    </w:p>
    <w:p>
      <w:pPr>
        <w:spacing w:before="85"/>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left="154" w:right="0"/>
        <w:jc w:val="left"/>
        <w:rPr>
          <w:b w:val="0"/>
          <w:bCs w:val="0"/>
        </w:rPr>
      </w:pPr>
      <w:bookmarkStart w:name="十六、报告期内接待调研、沟通、采访等活动登记表" w:id="52"/>
      <w:bookmarkEnd w:id="52"/>
      <w:r>
        <w:rPr>
          <w:b w:val="0"/>
          <w:bCs w:val="0"/>
        </w:rPr>
      </w:r>
      <w:r>
        <w:rPr/>
        <w:t>十六、报告期内接待调研、沟通、采访等活动登记表</w:t>
      </w:r>
      <w:r>
        <w:rPr>
          <w:b w:val="0"/>
          <w:bCs w:val="0"/>
        </w:rPr>
      </w:r>
    </w:p>
    <w:p>
      <w:pPr>
        <w:spacing w:line="240" w:lineRule="auto" w:before="0"/>
        <w:rPr>
          <w:rFonts w:ascii="宋体" w:hAnsi="宋体" w:cs="宋体" w:eastAsia="宋体" w:hint="default"/>
          <w:b/>
          <w:bCs/>
          <w:sz w:val="24"/>
          <w:szCs w:val="24"/>
        </w:rPr>
      </w:pPr>
    </w:p>
    <w:p>
      <w:pPr>
        <w:spacing w:before="188"/>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spacing w:line="468" w:lineRule="exact"/>
        <w:ind w:left="7664"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101.6pt;height:23.4pt;mso-position-horizontal-relative:char;mso-position-vertical-relative:line" coordorigin="0,0" coordsize="2032,468">
            <v:group style="position:absolute;left:0;top:0;width:2032;height:468" coordorigin="0,0" coordsize="2032,468">
              <v:shape style="position:absolute;left:0;top:0;width:2032;height:468" coordorigin="0,0" coordsize="2032,468" path="m0,468l2032,468,2032,0,0,0,0,468xe" filled="true" fillcolor="#ffffff" stroked="false">
                <v:path arrowok="t"/>
                <v:fill type="solid"/>
              </v:shape>
            </v:group>
          </v:group>
        </w:pict>
      </w:r>
      <w:r>
        <w:rPr>
          <w:rFonts w:ascii="宋体" w:hAnsi="宋体" w:cs="宋体" w:eastAsia="宋体" w:hint="default"/>
          <w:position w:val="-8"/>
          <w:sz w:val="20"/>
          <w:szCs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468" w:lineRule="exact"/>
        <w:ind w:left="7664"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101.6pt;height:23.4pt;mso-position-horizontal-relative:char;mso-position-vertical-relative:line" coordorigin="0,0" coordsize="2032,468">
            <v:group style="position:absolute;left:0;top:0;width:2032;height:468" coordorigin="0,0" coordsize="2032,468">
              <v:shape style="position:absolute;left:0;top:0;width:2032;height:468" coordorigin="0,0" coordsize="2032,468" path="m0,468l2032,468,2032,0,0,0,0,468xe" filled="true" fillcolor="#ffffff" stroked="false">
                <v:path arrowok="t"/>
                <v:fill type="solid"/>
              </v:shape>
            </v:group>
          </v:group>
        </w:pict>
      </w:r>
      <w:r>
        <w:rPr>
          <w:rFonts w:ascii="宋体" w:hAnsi="宋体" w:cs="宋体" w:eastAsia="宋体" w:hint="default"/>
          <w:position w:val="-8"/>
          <w:sz w:val="20"/>
          <w:szCs w:val="20"/>
        </w:rPr>
      </w:r>
    </w:p>
    <w:p>
      <w:pPr>
        <w:spacing w:before="88"/>
        <w:ind w:left="0" w:right="1139" w:firstLine="0"/>
        <w:jc w:val="right"/>
        <w:rPr>
          <w:rFonts w:ascii="宋体" w:hAnsi="宋体" w:cs="宋体" w:eastAsia="宋体" w:hint="default"/>
          <w:sz w:val="18"/>
          <w:szCs w:val="18"/>
        </w:rPr>
      </w:pPr>
      <w:r>
        <w:rPr/>
        <w:pict>
          <v:shape style="position:absolute;margin-left:56.459999pt;margin-top:-315.708282pt;width:479.25pt;height:480.0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4"/>
                    <w:gridCol w:w="1498"/>
                    <w:gridCol w:w="1497"/>
                    <w:gridCol w:w="1498"/>
                    <w:gridCol w:w="1508"/>
                    <w:gridCol w:w="2075"/>
                  </w:tblGrid>
                  <w:tr>
                    <w:trPr>
                      <w:trHeight w:val="1026"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846"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董事会办公室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11" w:right="72"/>
                          <w:jc w:val="left"/>
                          <w:rPr>
                            <w:rFonts w:ascii="宋体" w:hAnsi="宋体" w:cs="宋体" w:eastAsia="宋体" w:hint="default"/>
                            <w:sz w:val="18"/>
                            <w:szCs w:val="18"/>
                          </w:rPr>
                        </w:pPr>
                        <w:r>
                          <w:rPr>
                            <w:rFonts w:ascii="宋体" w:hAnsi="宋体" w:cs="宋体" w:eastAsia="宋体" w:hint="default"/>
                            <w:sz w:val="18"/>
                            <w:szCs w:val="18"/>
                          </w:rPr>
                          <w:t>基因测序项目、人参食品 进展</w:t>
                        </w:r>
                      </w:p>
                    </w:tc>
                  </w:tr>
                  <w:tr>
                    <w:trPr>
                      <w:trHeight w:val="7539"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北京中科</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08"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477" w:lineRule="auto"/>
                          <w:ind w:left="22" w:right="-33"/>
                          <w:jc w:val="both"/>
                          <w:rPr>
                            <w:rFonts w:ascii="宋体" w:hAnsi="宋体" w:cs="宋体" w:eastAsia="宋体" w:hint="default"/>
                            <w:sz w:val="18"/>
                            <w:szCs w:val="18"/>
                          </w:rPr>
                        </w:pPr>
                        <w:r>
                          <w:rPr>
                            <w:rFonts w:ascii="宋体" w:hAnsi="宋体" w:cs="宋体" w:eastAsia="宋体" w:hint="default"/>
                            <w:sz w:val="18"/>
                            <w:szCs w:val="18"/>
                          </w:rPr>
                          <w:t>申银万国证券研究 所、汇弘资产、国 </w:t>
                        </w:r>
                        <w:r>
                          <w:rPr>
                            <w:rFonts w:ascii="宋体" w:hAnsi="宋体" w:cs="宋体" w:eastAsia="宋体" w:hint="default"/>
                            <w:spacing w:val="-14"/>
                            <w:sz w:val="18"/>
                            <w:szCs w:val="18"/>
                          </w:rPr>
                          <w:t>富基金、财富证券、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华西证券、民族证</w:t>
                        </w:r>
                        <w:r>
                          <w:rPr>
                            <w:rFonts w:ascii="宋体" w:hAnsi="宋体" w:cs="宋体" w:eastAsia="宋体" w:hint="default"/>
                            <w:sz w:val="18"/>
                            <w:szCs w:val="18"/>
                          </w:rPr>
                          <w:t> </w:t>
                        </w:r>
                        <w:r>
                          <w:rPr>
                            <w:rFonts w:ascii="宋体" w:hAnsi="宋体" w:cs="宋体" w:eastAsia="宋体" w:hint="default"/>
                            <w:spacing w:val="-14"/>
                            <w:sz w:val="18"/>
                            <w:szCs w:val="18"/>
                          </w:rPr>
                          <w:t>券、上海彤源投资、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安邦资产、北京金</w:t>
                        </w:r>
                        <w:r>
                          <w:rPr>
                            <w:rFonts w:ascii="宋体" w:hAnsi="宋体" w:cs="宋体" w:eastAsia="宋体" w:hint="default"/>
                            <w:sz w:val="18"/>
                            <w:szCs w:val="18"/>
                          </w:rPr>
                          <w:t> 立方投资、星耀环 球资产</w:t>
                        </w:r>
                      </w:p>
                    </w:tc>
                    <w:tc>
                      <w:tcPr>
                        <w:tcW w:w="2075" w:type="dxa"/>
                        <w:tcBorders>
                          <w:top w:val="single" w:sz="4" w:space="0" w:color="000000"/>
                          <w:left w:val="single" w:sz="13" w:space="0" w:color="FFFFFF"/>
                          <w:bottom w:val="single" w:sz="4" w:space="0" w:color="000000"/>
                          <w:right w:val="single" w:sz="4" w:space="0" w:color="000000"/>
                        </w:tcBorders>
                      </w:tcPr>
                      <w:p>
                        <w:pPr>
                          <w:pStyle w:val="TableParagraph"/>
                          <w:spacing w:line="472" w:lineRule="auto" w:before="129"/>
                          <w:ind w:right="23"/>
                          <w:jc w:val="left"/>
                          <w:rPr>
                            <w:rFonts w:ascii="宋体" w:hAnsi="宋体" w:cs="宋体" w:eastAsia="宋体" w:hint="default"/>
                            <w:sz w:val="18"/>
                            <w:szCs w:val="18"/>
                          </w:rPr>
                        </w:pPr>
                        <w:r>
                          <w:rPr>
                            <w:rFonts w:ascii="宋体" w:hAnsi="宋体" w:cs="宋体" w:eastAsia="宋体" w:hint="default"/>
                            <w:sz w:val="18"/>
                            <w:szCs w:val="18"/>
                          </w:rPr>
                          <w:t>一、公司情况介绍</w:t>
                        </w:r>
                        <w:r>
                          <w:rPr>
                            <w:rFonts w:ascii="Times New Roman" w:hAnsi="Times New Roman" w:cs="Times New Roman" w:eastAsia="Times New Roman" w:hint="default"/>
                            <w:sz w:val="18"/>
                            <w:szCs w:val="18"/>
                          </w:rPr>
                          <w:t>:</w:t>
                        </w:r>
                        <w:r>
                          <w:rPr>
                            <w:rFonts w:ascii="宋体" w:hAnsi="宋体" w:cs="宋体" w:eastAsia="宋体" w:hint="default"/>
                            <w:sz w:val="18"/>
                            <w:szCs w:val="18"/>
                          </w:rPr>
                          <w:t>公司成 立于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上市。公司目前的发展战 略为中成药、人参产业、 基因测序仪三大产业齐头 发展。公司以中成药发展 为企业的立足之本，以中 药现代化为目标，促使中 药更好、更便捷地走进生 </w:t>
                        </w:r>
                        <w:r>
                          <w:rPr>
                            <w:rFonts w:ascii="宋体" w:hAnsi="宋体" w:cs="宋体" w:eastAsia="宋体" w:hint="default"/>
                            <w:spacing w:val="-4"/>
                            <w:sz w:val="18"/>
                            <w:szCs w:val="18"/>
                          </w:rPr>
                          <w:t>活，服务大众的身体健康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人参产业作为企业未来发 展的排头兵，将依托公司 的先进加工技术，积极开 展关键技术攻关，实现合 理的结构调整，提升人参</w:t>
                        </w:r>
                      </w:p>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产品的品质，使紫鑫人参</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56.459999pt;margin-top:71.759979pt;width:479pt;height:680.2pt;mso-position-horizontal-relative:page;mso-position-vertical-relative:page;z-index:-915736" coordorigin="1129,1435" coordsize="9580,13604">
            <v:group style="position:absolute;left:1139;top:1445;width:1485;height:2" coordorigin="1139,1445" coordsize="1485,2">
              <v:shape style="position:absolute;left:1139;top:1445;width:1485;height:2" coordorigin="1139,1445" coordsize="1485,0" path="m1139,1445l2624,1445e" filled="false" stroked="true" strokeweight=".48pt" strokecolor="#000000">
                <v:path arrowok="t"/>
              </v:shape>
            </v:group>
            <v:group style="position:absolute;left:2633;top:1445;width:1488;height:2" coordorigin="2633,1445" coordsize="1488,2">
              <v:shape style="position:absolute;left:2633;top:1445;width:1488;height:2" coordorigin="2633,1445" coordsize="1488,0" path="m2633,1445l4121,1445e" filled="false" stroked="true" strokeweight=".48pt" strokecolor="#000000">
                <v:path arrowok="t"/>
              </v:shape>
            </v:group>
            <v:group style="position:absolute;left:4131;top:1445;width:1488;height:2" coordorigin="4131,1445" coordsize="1488,2">
              <v:shape style="position:absolute;left:4131;top:1445;width:1488;height:2" coordorigin="4131,1445" coordsize="1488,0" path="m4131,1445l5618,1445e" filled="false" stroked="true" strokeweight=".48pt" strokecolor="#000000">
                <v:path arrowok="t"/>
              </v:shape>
            </v:group>
            <v:group style="position:absolute;left:5628;top:1445;width:1488;height:2" coordorigin="5628,1445" coordsize="1488,2">
              <v:shape style="position:absolute;left:5628;top:1445;width:1488;height:2" coordorigin="5628,1445" coordsize="1488,0" path="m5628,1445l7116,1445e" filled="false" stroked="true" strokeweight=".48pt" strokecolor="#000000">
                <v:path arrowok="t"/>
              </v:shape>
            </v:group>
            <v:group style="position:absolute;left:7125;top:1445;width:1488;height:2" coordorigin="7125,1445" coordsize="1488,2">
              <v:shape style="position:absolute;left:7125;top:1445;width:1488;height:2" coordorigin="7125,1445" coordsize="1488,0" path="m7125,1445l8612,1445e" filled="false" stroked="true" strokeweight=".48pt" strokecolor="#000000">
                <v:path arrowok="t"/>
              </v:shape>
            </v:group>
            <v:group style="position:absolute;left:8622;top:1445;width:2078;height:2" coordorigin="8622,1445" coordsize="2078,2">
              <v:shape style="position:absolute;left:8622;top:1445;width:2078;height:2" coordorigin="8622,1445" coordsize="2078,0" path="m8622,1445l10699,1445e" filled="false" stroked="true" strokeweight=".48pt" strokecolor="#000000">
                <v:path arrowok="t"/>
              </v:shape>
            </v:group>
            <v:group style="position:absolute;left:1134;top:1440;width:2;height:13594" coordorigin="1134,1440" coordsize="2,13594">
              <v:shape style="position:absolute;left:1134;top:1440;width:2;height:13594" coordorigin="1134,1440" coordsize="0,13594" path="m1134,1440l1134,15034e" filled="false" stroked="true" strokeweight=".48pt" strokecolor="#000000">
                <v:path arrowok="t"/>
              </v:shape>
            </v:group>
            <v:group style="position:absolute;left:1139;top:15029;width:1485;height:2" coordorigin="1139,15029" coordsize="1485,2">
              <v:shape style="position:absolute;left:1139;top:15029;width:1485;height:2" coordorigin="1139,15029" coordsize="1485,0" path="m1139,15029l2624,15029e" filled="false" stroked="true" strokeweight=".48pt" strokecolor="#000000">
                <v:path arrowok="t"/>
              </v:shape>
            </v:group>
            <v:group style="position:absolute;left:2628;top:1440;width:2;height:13594" coordorigin="2628,1440" coordsize="2,13594">
              <v:shape style="position:absolute;left:2628;top:1440;width:2;height:13594" coordorigin="2628,1440" coordsize="0,13594" path="m2628,1440l2628,15034e" filled="false" stroked="true" strokeweight=".48pt" strokecolor="#000000">
                <v:path arrowok="t"/>
              </v:shape>
            </v:group>
            <v:group style="position:absolute;left:2633;top:15029;width:1488;height:2" coordorigin="2633,15029" coordsize="1488,2">
              <v:shape style="position:absolute;left:2633;top:15029;width:1488;height:2" coordorigin="2633,15029" coordsize="1488,0" path="m2633,15029l4121,15029e" filled="false" stroked="true" strokeweight=".48pt" strokecolor="#000000">
                <v:path arrowok="t"/>
              </v:shape>
            </v:group>
            <v:group style="position:absolute;left:4126;top:1440;width:2;height:13594" coordorigin="4126,1440" coordsize="2,13594">
              <v:shape style="position:absolute;left:4126;top:1440;width:2;height:13594" coordorigin="4126,1440" coordsize="0,13594" path="m4126,1440l4126,15034e" filled="false" stroked="true" strokeweight=".48pt" strokecolor="#000000">
                <v:path arrowok="t"/>
              </v:shape>
            </v:group>
            <v:group style="position:absolute;left:4131;top:15029;width:1488;height:2" coordorigin="4131,15029" coordsize="1488,2">
              <v:shape style="position:absolute;left:4131;top:15029;width:1488;height:2" coordorigin="4131,15029" coordsize="1488,0" path="m4131,15029l5618,15029e" filled="false" stroked="true" strokeweight=".48pt" strokecolor="#000000">
                <v:path arrowok="t"/>
              </v:shape>
            </v:group>
            <v:group style="position:absolute;left:5623;top:1440;width:2;height:13594" coordorigin="5623,1440" coordsize="2,13594">
              <v:shape style="position:absolute;left:5623;top:1440;width:2;height:13594" coordorigin="5623,1440" coordsize="0,13594" path="m5623,1440l5623,15034e" filled="false" stroked="true" strokeweight=".48pt" strokecolor="#000000">
                <v:path arrowok="t"/>
              </v:shape>
            </v:group>
            <v:group style="position:absolute;left:5628;top:15029;width:1488;height:2" coordorigin="5628,15029" coordsize="1488,2">
              <v:shape style="position:absolute;left:5628;top:15029;width:1488;height:2" coordorigin="5628,15029" coordsize="1488,0" path="m5628,15029l7116,15029e" filled="false" stroked="true" strokeweight=".48pt" strokecolor="#000000">
                <v:path arrowok="t"/>
              </v:shape>
            </v:group>
            <v:group style="position:absolute;left:7120;top:1440;width:2;height:13594" coordorigin="7120,1440" coordsize="2,13594">
              <v:shape style="position:absolute;left:7120;top:1440;width:2;height:13594" coordorigin="7120,1440" coordsize="0,13594" path="m7120,1440l7120,15034e" filled="false" stroked="true" strokeweight=".48pt" strokecolor="#000000">
                <v:path arrowok="t"/>
              </v:shape>
            </v:group>
            <v:group style="position:absolute;left:7125;top:15029;width:1488;height:2" coordorigin="7125,15029" coordsize="1488,2">
              <v:shape style="position:absolute;left:7125;top:15029;width:1488;height:2" coordorigin="7125,15029" coordsize="1488,0" path="m7125,15029l8612,15029e" filled="false" stroked="true" strokeweight=".48pt" strokecolor="#000000">
                <v:path arrowok="t"/>
              </v:shape>
            </v:group>
            <v:group style="position:absolute;left:8617;top:1440;width:2;height:13594" coordorigin="8617,1440" coordsize="2,13594">
              <v:shape style="position:absolute;left:8617;top:1440;width:2;height:13594" coordorigin="8617,1440" coordsize="0,13594" path="m8617,1440l8617,15034e" filled="false" stroked="true" strokeweight=".48pt" strokecolor="#000000">
                <v:path arrowok="t"/>
              </v:shape>
            </v:group>
            <v:group style="position:absolute;left:8622;top:15029;width:2078;height:2" coordorigin="8622,15029" coordsize="2078,2">
              <v:shape style="position:absolute;left:8622;top:15029;width:2078;height:2" coordorigin="8622,15029" coordsize="2078,0" path="m8622,15029l10699,15029e" filled="false" stroked="true" strokeweight=".48pt" strokecolor="#000000">
                <v:path arrowok="t"/>
              </v:shape>
            </v:group>
            <v:group style="position:absolute;left:10704;top:1440;width:2;height:13594" coordorigin="10704,1440" coordsize="2,13594">
              <v:shape style="position:absolute;left:10704;top:1440;width:2;height:13594" coordorigin="10704,1440" coordsize="0,13594" path="m10704,1440l10704,15034e" filled="false" stroked="true" strokeweight=".48pt" strokecolor="#000000">
                <v:path arrowok="t"/>
              </v:shape>
            </v:group>
            <w10:wrap type="none"/>
          </v:group>
        </w:pict>
      </w:r>
    </w:p>
    <w:p>
      <w:pPr>
        <w:spacing w:line="240" w:lineRule="auto" w:before="13"/>
        <w:rPr>
          <w:rFonts w:ascii="宋体" w:hAnsi="宋体" w:cs="宋体" w:eastAsia="宋体" w:hint="default"/>
          <w:sz w:val="15"/>
          <w:szCs w:val="15"/>
        </w:rPr>
      </w:pPr>
    </w:p>
    <w:p>
      <w:pPr>
        <w:spacing w:before="0"/>
        <w:ind w:left="0" w:right="1139" w:firstLine="0"/>
        <w:jc w:val="right"/>
        <w:rPr>
          <w:rFonts w:ascii="宋体" w:hAnsi="宋体" w:cs="宋体" w:eastAsia="宋体" w:hint="default"/>
          <w:sz w:val="18"/>
          <w:szCs w:val="18"/>
        </w:rPr>
      </w:pPr>
      <w:r>
        <w:rPr>
          <w:rFonts w:ascii="宋体" w:hAnsi="宋体" w:cs="宋体" w:eastAsia="宋体" w:hint="default"/>
          <w:spacing w:val="-4"/>
          <w:sz w:val="18"/>
          <w:szCs w:val="18"/>
        </w:rPr>
        <w:t>成为国际、国内知名品牌，</w:t>
      </w:r>
    </w:p>
    <w:p>
      <w:pPr>
        <w:spacing w:line="240" w:lineRule="auto" w:before="5"/>
        <w:rPr>
          <w:rFonts w:ascii="宋体" w:hAnsi="宋体" w:cs="宋体" w:eastAsia="宋体" w:hint="default"/>
          <w:sz w:val="14"/>
          <w:szCs w:val="14"/>
        </w:rPr>
      </w:pPr>
    </w:p>
    <w:p>
      <w:pPr>
        <w:spacing w:line="477" w:lineRule="auto" w:before="44"/>
        <w:ind w:left="7664" w:right="1130" w:firstLine="0"/>
        <w:jc w:val="left"/>
        <w:rPr>
          <w:rFonts w:ascii="宋体" w:hAnsi="宋体" w:cs="宋体" w:eastAsia="宋体" w:hint="default"/>
          <w:sz w:val="18"/>
          <w:szCs w:val="18"/>
        </w:rPr>
      </w:pPr>
      <w:r>
        <w:rPr>
          <w:rFonts w:ascii="宋体" w:hAnsi="宋体" w:cs="宋体" w:eastAsia="宋体" w:hint="default"/>
          <w:sz w:val="18"/>
          <w:szCs w:val="18"/>
        </w:rPr>
        <w:t>进一步提高核心竞争力， 为提高人类生活品质做出 应尽的社会责任。基因测 序产业是一个在国内新兴 和朝阳的产业，紫鑫药业 与中国科学院北京基因组 研究所共同研发的国产化 第二代测序仪将缓解测序 仪核心技术受制于国外公 </w:t>
      </w:r>
      <w:r>
        <w:rPr>
          <w:rFonts w:ascii="宋体" w:hAnsi="宋体" w:cs="宋体" w:eastAsia="宋体" w:hint="default"/>
          <w:spacing w:val="-4"/>
          <w:sz w:val="18"/>
          <w:szCs w:val="18"/>
        </w:rPr>
        <w:t>司的现状，在未来时间里，</w:t>
      </w:r>
    </w:p>
    <w:p>
      <w:pPr>
        <w:spacing w:line="477" w:lineRule="auto" w:before="54"/>
        <w:ind w:left="7664" w:right="1130" w:firstLine="0"/>
        <w:jc w:val="left"/>
        <w:rPr>
          <w:rFonts w:ascii="宋体" w:hAnsi="宋体" w:cs="宋体" w:eastAsia="宋体" w:hint="default"/>
          <w:sz w:val="18"/>
          <w:szCs w:val="18"/>
        </w:rPr>
      </w:pPr>
      <w:r>
        <w:rPr>
          <w:rFonts w:ascii="宋体" w:hAnsi="宋体" w:cs="宋体" w:eastAsia="宋体" w:hint="default"/>
          <w:sz w:val="18"/>
          <w:szCs w:val="18"/>
        </w:rPr>
        <w:t>实现甲级以上医院的普及 </w:t>
      </w:r>
      <w:r>
        <w:rPr>
          <w:rFonts w:ascii="宋体" w:hAnsi="宋体" w:cs="宋体" w:eastAsia="宋体" w:hint="default"/>
          <w:spacing w:val="-4"/>
          <w:sz w:val="18"/>
          <w:szCs w:val="18"/>
        </w:rPr>
        <w:t>使用，降低基因检测成本，</w:t>
      </w:r>
    </w:p>
    <w:p>
      <w:pPr>
        <w:spacing w:line="477" w:lineRule="auto" w:before="54"/>
        <w:ind w:left="7664" w:right="1130" w:firstLine="0"/>
        <w:jc w:val="left"/>
        <w:rPr>
          <w:rFonts w:ascii="宋体" w:hAnsi="宋体" w:cs="宋体" w:eastAsia="宋体" w:hint="default"/>
          <w:sz w:val="18"/>
          <w:szCs w:val="18"/>
        </w:rPr>
      </w:pPr>
      <w:r>
        <w:rPr>
          <w:rFonts w:ascii="宋体" w:hAnsi="宋体" w:cs="宋体" w:eastAsia="宋体" w:hint="default"/>
          <w:sz w:val="18"/>
          <w:szCs w:val="18"/>
        </w:rPr>
        <w:t>为国人健康提供有效帮 助。二、中成药产业的情 况中成药方面，公司主要 从事中成药的研发、生产 和销售以及人参产品的生 产和销售，以治疗风湿免 疫类、耳鼻喉类、泌尿系 统、心脑血管、肝胆类和 消化系统类疾病的中成药 为主导产品。主要中成药 </w:t>
      </w:r>
      <w:r>
        <w:rPr>
          <w:rFonts w:ascii="宋体" w:hAnsi="宋体" w:cs="宋体" w:eastAsia="宋体" w:hint="default"/>
          <w:spacing w:val="-4"/>
          <w:sz w:val="18"/>
          <w:szCs w:val="18"/>
        </w:rPr>
        <w:t>产品包括四妙丸、藿丹片、</w:t>
      </w:r>
    </w:p>
    <w:p>
      <w:pPr>
        <w:spacing w:before="54"/>
        <w:ind w:left="0" w:right="1139" w:firstLine="0"/>
        <w:jc w:val="right"/>
        <w:rPr>
          <w:rFonts w:ascii="宋体" w:hAnsi="宋体" w:cs="宋体" w:eastAsia="宋体" w:hint="default"/>
          <w:sz w:val="18"/>
          <w:szCs w:val="18"/>
        </w:rPr>
      </w:pPr>
      <w:r>
        <w:rPr>
          <w:rFonts w:ascii="宋体" w:hAnsi="宋体" w:cs="宋体" w:eastAsia="宋体" w:hint="default"/>
          <w:spacing w:val="-4"/>
          <w:sz w:val="18"/>
          <w:szCs w:val="18"/>
        </w:rPr>
        <w:t>肾复康胶囊、活血通脉片、</w:t>
      </w:r>
    </w:p>
    <w:p>
      <w:pPr>
        <w:spacing w:line="240" w:lineRule="auto" w:before="5"/>
        <w:rPr>
          <w:rFonts w:ascii="宋体" w:hAnsi="宋体" w:cs="宋体" w:eastAsia="宋体" w:hint="default"/>
          <w:sz w:val="14"/>
          <w:szCs w:val="14"/>
        </w:rPr>
      </w:pPr>
    </w:p>
    <w:p>
      <w:pPr>
        <w:spacing w:line="477" w:lineRule="auto" w:before="44"/>
        <w:ind w:left="7664" w:right="1262" w:firstLine="0"/>
        <w:jc w:val="left"/>
        <w:rPr>
          <w:rFonts w:ascii="宋体" w:hAnsi="宋体" w:cs="宋体" w:eastAsia="宋体" w:hint="default"/>
          <w:sz w:val="18"/>
          <w:szCs w:val="18"/>
        </w:rPr>
      </w:pPr>
      <w:r>
        <w:rPr>
          <w:rFonts w:ascii="宋体" w:hAnsi="宋体" w:cs="宋体" w:eastAsia="宋体" w:hint="default"/>
          <w:sz w:val="18"/>
          <w:szCs w:val="18"/>
        </w:rPr>
        <w:t>萆薢分清丸和内消瘰疬 丸，人参产品主要包括粗 加工产品、精加工产品以 及参苗。三、人参产业的</w:t>
      </w:r>
    </w:p>
    <w:p>
      <w:pPr>
        <w:spacing w:after="0" w:line="47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5pt;height:679.7pt;mso-position-horizontal-relative:page;mso-position-vertical-relative:page;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473" w:hRule="exact"/>
                    </w:trPr>
                    <w:tc>
                      <w:tcPr>
                        <w:tcW w:w="1494" w:type="dxa"/>
                        <w:vMerge w:val="restart"/>
                        <w:tcBorders>
                          <w:top w:val="single" w:sz="4" w:space="0" w:color="000000"/>
                          <w:left w:val="single" w:sz="4" w:space="0" w:color="000000"/>
                          <w:right w:val="single" w:sz="4" w:space="0" w:color="000000"/>
                        </w:tcBorders>
                      </w:tcPr>
                      <w:p>
                        <w:pPr/>
                      </w:p>
                    </w:tc>
                    <w:tc>
                      <w:tcPr>
                        <w:tcW w:w="1498" w:type="dxa"/>
                        <w:vMerge w:val="restart"/>
                        <w:tcBorders>
                          <w:top w:val="single" w:sz="4" w:space="0" w:color="000000"/>
                          <w:left w:val="single" w:sz="4" w:space="0" w:color="000000"/>
                          <w:right w:val="single" w:sz="4" w:space="0" w:color="000000"/>
                        </w:tcBorders>
                      </w:tcPr>
                      <w:p>
                        <w:pPr/>
                      </w:p>
                    </w:tc>
                    <w:tc>
                      <w:tcPr>
                        <w:tcW w:w="1497" w:type="dxa"/>
                        <w:vMerge w:val="restart"/>
                        <w:tcBorders>
                          <w:top w:val="single" w:sz="4" w:space="0" w:color="000000"/>
                          <w:left w:val="single" w:sz="4" w:space="0" w:color="000000"/>
                          <w:right w:val="single" w:sz="4" w:space="0" w:color="000000"/>
                        </w:tcBorders>
                      </w:tcPr>
                      <w:p>
                        <w:pPr/>
                      </w:p>
                    </w:tc>
                    <w:tc>
                      <w:tcPr>
                        <w:tcW w:w="1498" w:type="dxa"/>
                        <w:vMerge w:val="restart"/>
                        <w:tcBorders>
                          <w:top w:val="single" w:sz="4" w:space="0" w:color="000000"/>
                          <w:left w:val="single" w:sz="4" w:space="0" w:color="000000"/>
                          <w:right w:val="single" w:sz="4" w:space="0" w:color="000000"/>
                        </w:tcBorders>
                      </w:tcPr>
                      <w:p>
                        <w:pPr/>
                      </w:p>
                    </w:tc>
                    <w:tc>
                      <w:tcPr>
                        <w:tcW w:w="1497" w:type="dxa"/>
                        <w:vMerge w:val="restart"/>
                        <w:tcBorders>
                          <w:top w:val="single" w:sz="4" w:space="0" w:color="000000"/>
                          <w:left w:val="single" w:sz="4" w:space="0" w:color="000000"/>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情况人参（人工种植）已</w:t>
                        </w:r>
                      </w:p>
                    </w:tc>
                  </w:tr>
                  <w:tr>
                    <w:trPr>
                      <w:trHeight w:val="468"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被卫生部批准为新资源食</w:t>
                        </w:r>
                      </w:p>
                    </w:tc>
                  </w:tr>
                  <w:tr>
                    <w:trPr>
                      <w:trHeight w:val="468"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品，随着大众对健康的关</w:t>
                        </w:r>
                      </w:p>
                    </w:tc>
                  </w:tr>
                  <w:tr>
                    <w:trPr>
                      <w:trHeight w:val="468"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注日益强烈，人参食品、</w:t>
                        </w:r>
                      </w:p>
                    </w:tc>
                  </w:tr>
                  <w:tr>
                    <w:trPr>
                      <w:trHeight w:val="468"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保健品的需求量也将大幅</w:t>
                        </w:r>
                      </w:p>
                    </w:tc>
                  </w:tr>
                  <w:tr>
                    <w:trPr>
                      <w:trHeight w:val="473"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提升。</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年公司进军人</w:t>
                        </w:r>
                      </w:p>
                    </w:tc>
                  </w:tr>
                  <w:tr>
                    <w:trPr>
                      <w:trHeight w:val="463"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参产业，经历了五年的发</w:t>
                        </w:r>
                      </w:p>
                    </w:tc>
                  </w:tr>
                  <w:tr>
                    <w:trPr>
                      <w:trHeight w:val="473"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展，公司已经研发出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p>
                    </w:tc>
                  </w:tr>
                  <w:tr>
                    <w:trPr>
                      <w:trHeight w:val="463"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余个人参食品、保健品、</w:t>
                        </w:r>
                      </w:p>
                    </w:tc>
                  </w:tr>
                  <w:tr>
                    <w:trPr>
                      <w:trHeight w:val="468"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化妆品等品种，目前已将</w:t>
                        </w:r>
                      </w:p>
                    </w:tc>
                  </w:tr>
                  <w:tr>
                    <w:trPr>
                      <w:trHeight w:val="468"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数十款人参产品推向市</w:t>
                        </w:r>
                      </w:p>
                    </w:tc>
                  </w:tr>
                  <w:tr>
                    <w:trPr>
                      <w:trHeight w:val="468"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场，以人参果蔬酵素、参</w:t>
                        </w:r>
                      </w:p>
                    </w:tc>
                  </w:tr>
                  <w:tr>
                    <w:trPr>
                      <w:trHeight w:val="468"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pacing w:val="-4"/>
                            <w:sz w:val="18"/>
                            <w:szCs w:val="18"/>
                          </w:rPr>
                          <w:t>呼吸饮料、玉红颜阿胶膏</w:t>
                        </w:r>
                      </w:p>
                    </w:tc>
                  </w:tr>
                  <w:tr>
                    <w:trPr>
                      <w:trHeight w:val="468"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人参蜜片等为代表的产品</w:t>
                        </w:r>
                      </w:p>
                    </w:tc>
                  </w:tr>
                  <w:tr>
                    <w:trPr>
                      <w:trHeight w:val="468"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已经在得到了消费者的极</w:t>
                        </w:r>
                      </w:p>
                    </w:tc>
                  </w:tr>
                  <w:tr>
                    <w:trPr>
                      <w:trHeight w:val="473"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pacing w:val="-7"/>
                            <w:sz w:val="18"/>
                            <w:szCs w:val="18"/>
                          </w:rPr>
                          <w:t>大好评。公司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年下半</w:t>
                        </w:r>
                      </w:p>
                    </w:tc>
                  </w:tr>
                  <w:tr>
                    <w:trPr>
                      <w:trHeight w:val="468"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年至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年将会主推参呼</w:t>
                        </w:r>
                      </w:p>
                    </w:tc>
                  </w:tr>
                  <w:tr>
                    <w:trPr>
                      <w:trHeight w:val="463"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吸饮料，以长春为中心，</w:t>
                        </w:r>
                      </w:p>
                    </w:tc>
                  </w:tr>
                  <w:tr>
                    <w:trPr>
                      <w:trHeight w:val="468"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广告投入辐射东北三省，</w:t>
                        </w:r>
                      </w:p>
                    </w:tc>
                  </w:tr>
                  <w:tr>
                    <w:trPr>
                      <w:trHeight w:val="468"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同时在南方省份打造</w:t>
                        </w:r>
                      </w:p>
                    </w:tc>
                  </w:tr>
                  <w:tr>
                    <w:trPr>
                      <w:trHeight w:val="473"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个样板市场</w:t>
                        </w:r>
                        <w:r>
                          <w:rPr>
                            <w:rFonts w:ascii="宋体" w:hAnsi="宋体" w:cs="宋体" w:eastAsia="宋体" w:hint="default"/>
                            <w:spacing w:val="-85"/>
                            <w:sz w:val="18"/>
                            <w:szCs w:val="18"/>
                          </w:rPr>
                          <w:t>，</w:t>
                        </w:r>
                        <w:r>
                          <w:rPr>
                            <w:rFonts w:ascii="宋体" w:hAnsi="宋体" w:cs="宋体" w:eastAsia="宋体" w:hint="default"/>
                            <w:sz w:val="18"/>
                            <w:szCs w:val="18"/>
                          </w:rPr>
                          <w:t>将参呼</w:t>
                        </w:r>
                      </w:p>
                    </w:tc>
                  </w:tr>
                  <w:tr>
                    <w:trPr>
                      <w:trHeight w:val="463"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吸饮料逐渐推向全国市</w:t>
                        </w:r>
                      </w:p>
                    </w:tc>
                  </w:tr>
                  <w:tr>
                    <w:trPr>
                      <w:trHeight w:val="468"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场。四、基因测序产业的</w:t>
                        </w:r>
                      </w:p>
                    </w:tc>
                  </w:tr>
                  <w:tr>
                    <w:trPr>
                      <w:trHeight w:val="468"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情况目前我公司研发的基</w:t>
                        </w:r>
                      </w:p>
                    </w:tc>
                  </w:tr>
                  <w:tr>
                    <w:trPr>
                      <w:trHeight w:val="468"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因测序仪是国内第一台能</w:t>
                        </w:r>
                      </w:p>
                    </w:tc>
                  </w:tr>
                  <w:tr>
                    <w:trPr>
                      <w:trHeight w:val="468"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够达到和部分超越国际主</w:t>
                        </w:r>
                      </w:p>
                    </w:tc>
                  </w:tr>
                  <w:tr>
                    <w:trPr>
                      <w:trHeight w:val="468"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流设备技术指标的国产化</w:t>
                        </w:r>
                      </w:p>
                    </w:tc>
                  </w:tr>
                  <w:tr>
                    <w:trPr>
                      <w:trHeight w:val="468"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第二代测序仪，且成本低</w:t>
                        </w:r>
                      </w:p>
                    </w:tc>
                  </w:tr>
                  <w:tr>
                    <w:trPr>
                      <w:trHeight w:val="474" w:hRule="exact"/>
                    </w:trPr>
                    <w:tc>
                      <w:tcPr>
                        <w:tcW w:w="1494"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497"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497" w:type="dxa"/>
                        <w:vMerge/>
                        <w:tcBorders>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于进口设备的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以上</w:t>
                        </w:r>
                        <w:r>
                          <w:rPr>
                            <w:rFonts w:ascii="宋体" w:hAnsi="宋体" w:cs="宋体" w:eastAsia="宋体" w:hint="default"/>
                            <w:spacing w:val="-89"/>
                            <w:sz w:val="18"/>
                            <w:szCs w:val="18"/>
                          </w:rPr>
                          <w:t>，</w:t>
                        </w:r>
                        <w:r>
                          <w:rPr>
                            <w:rFonts w:ascii="宋体" w:hAnsi="宋体" w:cs="宋体" w:eastAsia="宋体" w:hint="default"/>
                            <w:sz w:val="18"/>
                            <w:szCs w:val="18"/>
                          </w:rPr>
                          <w:t>应</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473" w:hRule="exact"/>
        </w:trPr>
        <w:tc>
          <w:tcPr>
            <w:tcW w:w="1494" w:type="dxa"/>
            <w:vMerge w:val="restart"/>
            <w:tcBorders>
              <w:top w:val="single" w:sz="4" w:space="0" w:color="000000"/>
              <w:left w:val="single" w:sz="4" w:space="0" w:color="000000"/>
              <w:right w:val="single" w:sz="4" w:space="0" w:color="000000"/>
            </w:tcBorders>
          </w:tcPr>
          <w:p>
            <w:pPr/>
          </w:p>
        </w:tc>
        <w:tc>
          <w:tcPr>
            <w:tcW w:w="1498" w:type="dxa"/>
            <w:vMerge w:val="restart"/>
            <w:tcBorders>
              <w:top w:val="single" w:sz="4" w:space="0" w:color="000000"/>
              <w:left w:val="single" w:sz="4" w:space="0" w:color="000000"/>
              <w:right w:val="single" w:sz="4" w:space="0" w:color="000000"/>
            </w:tcBorders>
          </w:tcPr>
          <w:p>
            <w:pPr/>
          </w:p>
        </w:tc>
        <w:tc>
          <w:tcPr>
            <w:tcW w:w="1497" w:type="dxa"/>
            <w:vMerge w:val="restart"/>
            <w:tcBorders>
              <w:top w:val="single" w:sz="4" w:space="0" w:color="000000"/>
              <w:left w:val="single" w:sz="4" w:space="0" w:color="000000"/>
              <w:right w:val="single" w:sz="4" w:space="0" w:color="000000"/>
            </w:tcBorders>
          </w:tcPr>
          <w:p>
            <w:pPr/>
          </w:p>
        </w:tc>
        <w:tc>
          <w:tcPr>
            <w:tcW w:w="1498" w:type="dxa"/>
            <w:vMerge w:val="restart"/>
            <w:tcBorders>
              <w:top w:val="single" w:sz="4" w:space="0" w:color="000000"/>
              <w:left w:val="single" w:sz="4" w:space="0" w:color="000000"/>
              <w:right w:val="single" w:sz="4" w:space="0" w:color="000000"/>
            </w:tcBorders>
          </w:tcPr>
          <w:p>
            <w:pPr/>
          </w:p>
        </w:tc>
        <w:tc>
          <w:tcPr>
            <w:tcW w:w="1497" w:type="dxa"/>
            <w:vMerge w:val="restart"/>
            <w:tcBorders>
              <w:top w:val="single" w:sz="4" w:space="0" w:color="000000"/>
              <w:left w:val="single" w:sz="4" w:space="0" w:color="000000"/>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用成本低于进口设备的</w:t>
            </w:r>
          </w:p>
        </w:tc>
      </w:tr>
      <w:tr>
        <w:trPr>
          <w:trHeight w:val="473"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以上。公司采用通过设</w:t>
            </w:r>
          </w:p>
        </w:tc>
      </w:tr>
      <w:tr>
        <w:trPr>
          <w:trHeight w:val="463"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备销售和消耗品的滚动式</w:t>
            </w:r>
          </w:p>
        </w:tc>
      </w:tr>
      <w:tr>
        <w:trPr>
          <w:trHeight w:val="468"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销售体系实现盈利模式。</w:t>
            </w:r>
          </w:p>
        </w:tc>
      </w:tr>
      <w:tr>
        <w:trPr>
          <w:trHeight w:val="468"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基因测序的技术团队为中</w:t>
            </w:r>
          </w:p>
        </w:tc>
      </w:tr>
      <w:tr>
        <w:trPr>
          <w:trHeight w:val="468"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科院北京基因组研究所核</w:t>
            </w:r>
          </w:p>
        </w:tc>
      </w:tr>
      <w:tr>
        <w:trPr>
          <w:trHeight w:val="468"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心团队，多年来从事基因</w:t>
            </w:r>
          </w:p>
        </w:tc>
      </w:tr>
      <w:tr>
        <w:trPr>
          <w:trHeight w:val="468"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组学与生物信息学基础研</w:t>
            </w:r>
          </w:p>
        </w:tc>
      </w:tr>
      <w:tr>
        <w:trPr>
          <w:trHeight w:val="468"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究和应用开发工作，具备</w:t>
            </w:r>
          </w:p>
        </w:tc>
      </w:tr>
      <w:tr>
        <w:trPr>
          <w:trHeight w:val="468"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充分的技术服务专业基</w:t>
            </w:r>
          </w:p>
        </w:tc>
      </w:tr>
      <w:tr>
        <w:trPr>
          <w:trHeight w:val="469"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础，技术已经达到国际一</w:t>
            </w:r>
          </w:p>
        </w:tc>
      </w:tr>
      <w:tr>
        <w:trPr>
          <w:trHeight w:val="513" w:hRule="exact"/>
        </w:trPr>
        <w:tc>
          <w:tcPr>
            <w:tcW w:w="1494"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497"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497" w:type="dxa"/>
            <w:vMerge/>
            <w:tcBorders>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流水平。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p>
      <w:pPr>
        <w:pStyle w:val="Heading1"/>
        <w:spacing w:line="240" w:lineRule="auto"/>
        <w:ind w:right="3763"/>
        <w:jc w:val="center"/>
        <w:rPr>
          <w:b w:val="0"/>
          <w:bCs w:val="0"/>
        </w:rPr>
      </w:pPr>
      <w:bookmarkStart w:name="_TOC_250007" w:id="53"/>
      <w:bookmarkStart w:name="第五节 重要事项" w:id="54"/>
      <w:r>
        <w:rPr>
          <w:b w:val="0"/>
          <w:bCs w:val="0"/>
        </w:rPr>
      </w:r>
      <w:r>
        <w:rPr/>
        <w:t>第五节</w:t>
      </w:r>
      <w:r>
        <w:rPr>
          <w:spacing w:val="-5"/>
        </w:rPr>
        <w:t> </w:t>
      </w:r>
      <w:r>
        <w:rPr/>
        <w:t>重要事项</w:t>
      </w:r>
      <w:bookmarkEnd w:id="53"/>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8"/>
          <w:szCs w:val="18"/>
        </w:rPr>
      </w:pPr>
    </w:p>
    <w:p>
      <w:pPr>
        <w:pStyle w:val="Heading2"/>
        <w:spacing w:line="240" w:lineRule="auto" w:before="26"/>
        <w:ind w:right="0"/>
        <w:jc w:val="left"/>
        <w:rPr>
          <w:b w:val="0"/>
          <w:bCs w:val="0"/>
        </w:rPr>
      </w:pPr>
      <w:bookmarkStart w:name="一、重大诉讼仲裁事项" w:id="55"/>
      <w:bookmarkEnd w:id="55"/>
      <w:r>
        <w:rPr>
          <w:b w:val="0"/>
          <w:bCs w:val="0"/>
        </w:rPr>
      </w:r>
      <w:r>
        <w:rPr/>
        <w:t>一、重大诉讼仲裁事项</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1476"/>
        <w:gridCol w:w="1099"/>
        <w:gridCol w:w="1283"/>
        <w:gridCol w:w="966"/>
        <w:gridCol w:w="1411"/>
        <w:gridCol w:w="1282"/>
        <w:gridCol w:w="1093"/>
        <w:gridCol w:w="1084"/>
      </w:tblGrid>
      <w:tr>
        <w:trPr>
          <w:trHeight w:val="1025"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30"/>
              <w:ind w:left="642" w:right="42"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364" w:right="20" w:hanging="342"/>
              <w:jc w:val="left"/>
              <w:rPr>
                <w:rFonts w:ascii="宋体" w:hAnsi="宋体" w:cs="宋体" w:eastAsia="宋体" w:hint="default"/>
                <w:sz w:val="18"/>
                <w:szCs w:val="18"/>
              </w:rPr>
            </w:pPr>
            <w:r>
              <w:rPr>
                <w:rFonts w:ascii="宋体" w:hAnsi="宋体" w:cs="宋体" w:eastAsia="宋体" w:hint="default"/>
                <w:spacing w:val="-6"/>
                <w:sz w:val="18"/>
                <w:szCs w:val="18"/>
              </w:rPr>
              <w:t>涉案金额（万</w:t>
            </w:r>
            <w:r>
              <w:rPr>
                <w:rFonts w:ascii="宋体" w:hAnsi="宋体" w:cs="宋体" w:eastAsia="宋体" w:hint="default"/>
                <w:sz w:val="18"/>
                <w:szCs w:val="18"/>
              </w:rPr>
              <w:t> 元）</w:t>
            </w:r>
          </w:p>
        </w:tc>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457" w:right="94"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30"/>
              <w:ind w:left="297" w:right="56"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30"/>
              <w:ind w:left="249" w:right="101"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30"/>
              <w:ind w:left="276" w:right="35"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176"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40" w:lineRule="auto" w:before="8"/>
              <w:ind w:right="0"/>
              <w:jc w:val="left"/>
              <w:rPr>
                <w:rFonts w:ascii="宋体" w:hAnsi="宋体" w:cs="宋体" w:eastAsia="宋体" w:hint="default"/>
                <w:sz w:val="16"/>
                <w:szCs w:val="16"/>
              </w:rPr>
            </w:pPr>
          </w:p>
          <w:p>
            <w:pPr>
              <w:pStyle w:val="TableParagraph"/>
              <w:spacing w:line="472" w:lineRule="auto"/>
              <w:ind w:left="22" w:right="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日接到吉林 省长春市中级人 </w:t>
            </w:r>
            <w:r>
              <w:rPr>
                <w:rFonts w:ascii="宋体" w:hAnsi="宋体" w:cs="宋体" w:eastAsia="宋体" w:hint="default"/>
                <w:spacing w:val="-3"/>
                <w:sz w:val="18"/>
                <w:szCs w:val="18"/>
              </w:rPr>
              <w:t>民法院传票，涉及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原告共计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r>
              <w:rPr>
                <w:rFonts w:ascii="宋体" w:hAnsi="宋体" w:cs="宋体" w:eastAsia="宋体" w:hint="default"/>
                <w:spacing w:val="1"/>
                <w:sz w:val="18"/>
                <w:szCs w:val="18"/>
              </w:rPr>
              <w:t> </w:t>
            </w:r>
            <w:r>
              <w:rPr>
                <w:rFonts w:ascii="宋体" w:hAnsi="宋体" w:cs="宋体" w:eastAsia="宋体" w:hint="default"/>
                <w:sz w:val="18"/>
                <w:szCs w:val="18"/>
              </w:rPr>
              <w:t>以证券虚假陈述</w:t>
            </w:r>
            <w:r>
              <w:rPr>
                <w:rFonts w:ascii="宋体" w:hAnsi="宋体" w:cs="宋体" w:eastAsia="宋体" w:hint="default"/>
                <w:sz w:val="18"/>
                <w:szCs w:val="18"/>
              </w:rPr>
              <w:t> </w:t>
            </w:r>
            <w:r>
              <w:rPr>
                <w:rFonts w:ascii="宋体" w:hAnsi="宋体" w:cs="宋体" w:eastAsia="宋体" w:hint="default"/>
                <w:spacing w:val="-3"/>
                <w:sz w:val="18"/>
                <w:szCs w:val="18"/>
              </w:rPr>
              <w:t>责任纠纷为由，分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别向吉林省长春 市中级人民法院 </w:t>
            </w:r>
            <w:r>
              <w:rPr>
                <w:rFonts w:ascii="宋体" w:hAnsi="宋体" w:cs="宋体" w:eastAsia="宋体" w:hint="default"/>
                <w:spacing w:val="-3"/>
                <w:sz w:val="18"/>
                <w:szCs w:val="18"/>
              </w:rPr>
              <w:t>提起诉讼，要求本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公司就前述事项 承担民事赔偿责 任。</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297" w:right="0"/>
              <w:jc w:val="left"/>
              <w:rPr>
                <w:rFonts w:ascii="Times New Roman" w:hAnsi="Times New Roman" w:cs="Times New Roman" w:eastAsia="Times New Roman" w:hint="default"/>
                <w:sz w:val="18"/>
                <w:szCs w:val="18"/>
              </w:rPr>
            </w:pPr>
            <w:r>
              <w:rPr>
                <w:rFonts w:ascii="Times New Roman"/>
                <w:sz w:val="18"/>
              </w:rPr>
              <w:t>182.76</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1"/>
              <w:ind w:left="22"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目前，上述 案件已进入 诉讼程序， 但未开始审 理，本公司 将积极参加 诉讼。</w:t>
            </w:r>
            <w:r>
              <w:rPr>
                <w:rFonts w:ascii="Times New Roman" w:hAnsi="Times New Roman" w:cs="Times New Roman" w:eastAsia="Times New Roman" w:hint="default"/>
                <w:sz w:val="18"/>
                <w:szCs w:val="18"/>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3"/>
              <w:ind w:left="22" w:right="21"/>
              <w:jc w:val="left"/>
              <w:rPr>
                <w:rFonts w:ascii="宋体" w:hAnsi="宋体" w:cs="宋体" w:eastAsia="宋体" w:hint="default"/>
                <w:sz w:val="18"/>
                <w:szCs w:val="18"/>
              </w:rPr>
            </w:pPr>
            <w:r>
              <w:rPr>
                <w:rFonts w:ascii="宋体" w:hAnsi="宋体" w:cs="宋体" w:eastAsia="宋体" w:hint="default"/>
                <w:sz w:val="18"/>
                <w:szCs w:val="18"/>
              </w:rPr>
              <w:t>因案件未开始审 </w:t>
            </w:r>
            <w:r>
              <w:rPr>
                <w:rFonts w:ascii="宋体" w:hAnsi="宋体" w:cs="宋体" w:eastAsia="宋体" w:hint="default"/>
                <w:spacing w:val="-11"/>
                <w:sz w:val="18"/>
                <w:szCs w:val="18"/>
              </w:rPr>
              <w:t>理，涉案人数及金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额存在不确定因 </w:t>
            </w:r>
            <w:r>
              <w:rPr>
                <w:rFonts w:ascii="宋体" w:hAnsi="宋体" w:cs="宋体" w:eastAsia="宋体" w:hint="default"/>
                <w:spacing w:val="-11"/>
                <w:sz w:val="18"/>
                <w:szCs w:val="18"/>
              </w:rPr>
              <w:t>素，且涉案金额数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目较小，对公司生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产经营、本期利润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或期后利润不构 成重大影响。</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477" w:lineRule="auto"/>
              <w:ind w:left="22" w:right="167"/>
              <w:jc w:val="left"/>
              <w:rPr>
                <w:rFonts w:ascii="宋体" w:hAnsi="宋体" w:cs="宋体" w:eastAsia="宋体" w:hint="default"/>
                <w:sz w:val="18"/>
                <w:szCs w:val="18"/>
              </w:rPr>
            </w:pPr>
            <w:r>
              <w:rPr>
                <w:rFonts w:ascii="宋体" w:hAnsi="宋体" w:cs="宋体" w:eastAsia="宋体" w:hint="default"/>
                <w:sz w:val="18"/>
                <w:szCs w:val="18"/>
              </w:rPr>
              <w:t>未开庭，未判 决。</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4"/>
          <w:szCs w:val="24"/>
        </w:rPr>
      </w:pPr>
    </w:p>
    <w:p>
      <w:pPr>
        <w:pStyle w:val="Heading2"/>
        <w:spacing w:line="240" w:lineRule="auto" w:before="26"/>
        <w:ind w:left="154" w:right="0"/>
        <w:jc w:val="left"/>
        <w:rPr>
          <w:b w:val="0"/>
          <w:bCs w:val="0"/>
        </w:rPr>
      </w:pPr>
      <w:bookmarkStart w:name="二、媒体质疑情况" w:id="56"/>
      <w:bookmarkEnd w:id="56"/>
      <w:r>
        <w:rPr>
          <w:b w:val="0"/>
          <w:bCs w:val="0"/>
        </w:rPr>
      </w:r>
      <w:r>
        <w:rPr/>
        <w:t>二、媒体质疑情况</w:t>
      </w:r>
      <w:r>
        <w:rPr>
          <w:b w:val="0"/>
          <w:bCs w:val="0"/>
        </w:rPr>
      </w:r>
    </w:p>
    <w:p>
      <w:pPr>
        <w:spacing w:line="240" w:lineRule="auto" w:before="0"/>
        <w:rPr>
          <w:rFonts w:ascii="宋体" w:hAnsi="宋体" w:cs="宋体" w:eastAsia="宋体" w:hint="default"/>
          <w:b/>
          <w:bCs/>
          <w:sz w:val="24"/>
          <w:szCs w:val="24"/>
        </w:rPr>
      </w:pPr>
    </w:p>
    <w:p>
      <w:pPr>
        <w:spacing w:line="489" w:lineRule="auto" w:before="189"/>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本报告期公司无媒体普遍质疑事项。</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三、控股股东及其关联方对上市公司的非经营性占用资金情况" w:id="57"/>
      <w:bookmarkEnd w:id="57"/>
      <w:r>
        <w:rPr>
          <w:b w:val="0"/>
          <w:bCs w:val="0"/>
        </w:rPr>
      </w:r>
      <w:r>
        <w:rPr/>
        <w:t>三、控股股东及其关联方对上市公司的非经营性占用资金情况</w:t>
      </w:r>
      <w:r>
        <w:rPr>
          <w:b w:val="0"/>
          <w:bCs w:val="0"/>
        </w:rPr>
      </w:r>
    </w:p>
    <w:p>
      <w:pPr>
        <w:spacing w:line="240" w:lineRule="auto" w:before="0"/>
        <w:rPr>
          <w:rFonts w:ascii="宋体" w:hAnsi="宋体" w:cs="宋体" w:eastAsia="宋体" w:hint="default"/>
          <w:b/>
          <w:bCs/>
          <w:sz w:val="24"/>
          <w:szCs w:val="24"/>
        </w:rPr>
      </w:pPr>
    </w:p>
    <w:p>
      <w:pPr>
        <w:spacing w:line="489" w:lineRule="auto" w:before="190"/>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after="0" w:line="48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2"/>
        <w:spacing w:line="240" w:lineRule="auto" w:before="26"/>
        <w:ind w:right="0"/>
        <w:jc w:val="left"/>
        <w:rPr>
          <w:b w:val="0"/>
          <w:bCs w:val="0"/>
        </w:rPr>
      </w:pPr>
      <w:bookmarkStart w:name="四、破产重整相关事项" w:id="58"/>
      <w:bookmarkEnd w:id="58"/>
      <w:r>
        <w:rPr>
          <w:b w:val="0"/>
          <w:bCs w:val="0"/>
        </w:rPr>
      </w:r>
      <w:r>
        <w:rPr/>
        <w:t>四、破产重整相关事项</w:t>
      </w:r>
      <w:r>
        <w:rPr>
          <w:b w:val="0"/>
          <w:bCs w:val="0"/>
        </w:rPr>
      </w:r>
    </w:p>
    <w:p>
      <w:pPr>
        <w:spacing w:line="240" w:lineRule="auto" w:before="0"/>
        <w:rPr>
          <w:rFonts w:ascii="宋体" w:hAnsi="宋体" w:cs="宋体" w:eastAsia="宋体" w:hint="default"/>
          <w:b/>
          <w:bCs/>
          <w:sz w:val="24"/>
          <w:szCs w:val="24"/>
        </w:rPr>
      </w:pPr>
    </w:p>
    <w:p>
      <w:pPr>
        <w:spacing w:line="489" w:lineRule="auto" w:before="189"/>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bookmarkStart w:name="五、资产交易事项" w:id="59"/>
      <w:bookmarkEnd w:id="59"/>
      <w:r>
        <w:rPr>
          <w:b w:val="0"/>
          <w:bCs w:val="0"/>
        </w:rPr>
      </w:r>
      <w:r>
        <w:rPr/>
        <w:t>五、资产交易事项</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1"/>
        <w:ind w:right="0"/>
        <w:jc w:val="left"/>
        <w:rPr>
          <w:b w:val="0"/>
          <w:bCs w:val="0"/>
        </w:rPr>
      </w:pPr>
      <w:bookmarkStart w:name="1、收购资产情况" w:id="60"/>
      <w:bookmarkEnd w:id="60"/>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489" w:lineRule="auto" w:before="0"/>
        <w:ind w:left="153" w:right="87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公司报告期未收购资产。</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bookmarkStart w:name="2、出售资产情况" w:id="61"/>
      <w:bookmarkEnd w:id="61"/>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489" w:lineRule="auto" w:before="0"/>
        <w:ind w:left="153" w:right="87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公司报告期未出售资产。</w:t>
      </w:r>
    </w:p>
    <w:p>
      <w:pPr>
        <w:spacing w:line="240" w:lineRule="auto" w:before="5"/>
        <w:rPr>
          <w:rFonts w:ascii="宋体" w:hAnsi="宋体" w:cs="宋体" w:eastAsia="宋体" w:hint="default"/>
          <w:sz w:val="24"/>
          <w:szCs w:val="24"/>
        </w:rPr>
      </w:pPr>
    </w:p>
    <w:p>
      <w:pPr>
        <w:pStyle w:val="Heading4"/>
        <w:spacing w:line="240" w:lineRule="auto"/>
        <w:ind w:left="154" w:right="0"/>
        <w:jc w:val="left"/>
        <w:rPr>
          <w:b w:val="0"/>
          <w:bCs w:val="0"/>
        </w:rPr>
      </w:pPr>
      <w:bookmarkStart w:name="3、企业合并情况" w:id="62"/>
      <w:bookmarkEnd w:id="62"/>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3"/>
          <w:szCs w:val="23"/>
        </w:rPr>
      </w:pPr>
    </w:p>
    <w:p>
      <w:pPr>
        <w:pStyle w:val="BodyText"/>
        <w:spacing w:line="386" w:lineRule="auto"/>
        <w:ind w:right="1131" w:firstLine="420"/>
        <w:jc w:val="both"/>
      </w:pPr>
      <w:r>
        <w:rPr>
          <w:spacing w:val="-2"/>
        </w:rPr>
        <w:t>本公司于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7</w:t>
      </w:r>
      <w:r>
        <w:rPr>
          <w:spacing w:val="-2"/>
        </w:rPr>
        <w:t>日对吉林环境能源交易所有限公司进行增资</w:t>
      </w:r>
      <w:r>
        <w:rPr>
          <w:rFonts w:ascii="Times New Roman" w:hAnsi="Times New Roman" w:cs="Times New Roman" w:eastAsia="Times New Roman" w:hint="default"/>
          <w:spacing w:val="-2"/>
        </w:rPr>
        <w:t>1600</w:t>
      </w:r>
      <w:r>
        <w:rPr>
          <w:spacing w:val="-2"/>
        </w:rPr>
        <w:t>万元，注册资本</w:t>
      </w:r>
      <w:r>
        <w:rPr>
          <w:rFonts w:ascii="Times New Roman" w:hAnsi="Times New Roman" w:cs="Times New Roman" w:eastAsia="Times New Roman" w:hint="default"/>
          <w:spacing w:val="-2"/>
        </w:rPr>
        <w:t>2,000</w:t>
      </w:r>
      <w:r>
        <w:rPr>
          <w:spacing w:val="-2"/>
        </w:rPr>
        <w:t>万元，并于</w:t>
      </w:r>
      <w:r>
        <w:rPr/>
        <w:t> </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10</w:t>
      </w:r>
      <w:r>
        <w:rPr>
          <w:spacing w:val="-1"/>
        </w:rPr>
        <w:t>日取得吉林省工商行政管理局变更后的企业法人营业执照（注册号：</w:t>
      </w:r>
      <w:r>
        <w:rPr>
          <w:rFonts w:ascii="Times New Roman" w:hAnsi="Times New Roman" w:cs="Times New Roman" w:eastAsia="Times New Roman" w:hint="default"/>
          <w:spacing w:val="-1"/>
        </w:rPr>
        <w:t>220000000162454</w:t>
      </w:r>
      <w:r>
        <w:rPr>
          <w:spacing w:val="-1"/>
        </w:rPr>
        <w:t>）。增</w:t>
      </w:r>
      <w:r>
        <w:rPr>
          <w:spacing w:val="-76"/>
        </w:rPr>
        <w:t> </w:t>
      </w:r>
      <w:r>
        <w:rPr>
          <w:spacing w:val="-76"/>
        </w:rPr>
      </w:r>
      <w:r>
        <w:rPr/>
        <w:t>资前本公司对吉林环境能源交易所有限公司出资金额为</w:t>
      </w:r>
      <w:r>
        <w:rPr>
          <w:rFonts w:ascii="Times New Roman" w:hAnsi="Times New Roman" w:cs="Times New Roman" w:eastAsia="Times New Roman" w:hint="default"/>
        </w:rPr>
        <w:t>60</w:t>
      </w:r>
      <w:r>
        <w:rPr/>
        <w:t>万元，持股比例为</w:t>
      </w:r>
      <w:r>
        <w:rPr>
          <w:rFonts w:ascii="Times New Roman" w:hAnsi="Times New Roman" w:cs="Times New Roman" w:eastAsia="Times New Roman" w:hint="default"/>
        </w:rPr>
        <w:t>15%</w:t>
      </w:r>
      <w:r>
        <w:rPr/>
        <w:t>；增资后出资金额为</w:t>
      </w:r>
      <w:r>
        <w:rPr>
          <w:rFonts w:ascii="Times New Roman" w:hAnsi="Times New Roman" w:cs="Times New Roman" w:eastAsia="Times New Roman" w:hint="default"/>
        </w:rPr>
        <w:t>1660</w:t>
      </w:r>
      <w:r>
        <w:rPr>
          <w:rFonts w:ascii="Times New Roman" w:hAnsi="Times New Roman" w:cs="Times New Roman" w:eastAsia="Times New Roman" w:hint="default"/>
          <w:spacing w:val="-44"/>
        </w:rPr>
        <w:t> </w:t>
      </w:r>
      <w:r>
        <w:rPr>
          <w:rFonts w:ascii="Times New Roman" w:hAnsi="Times New Roman" w:cs="Times New Roman" w:eastAsia="Times New Roman" w:hint="default"/>
          <w:spacing w:val="-44"/>
        </w:rPr>
      </w:r>
      <w:r>
        <w:rPr/>
        <w:t>万元，持股比例为</w:t>
      </w:r>
      <w:r>
        <w:rPr>
          <w:rFonts w:ascii="Times New Roman" w:hAnsi="Times New Roman" w:cs="Times New Roman" w:eastAsia="Times New Roman" w:hint="default"/>
        </w:rPr>
        <w:t>83%</w:t>
      </w:r>
      <w:r>
        <w:rPr/>
        <w:t>。</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bookmarkStart w:name="六、重大关联交易" w:id="63"/>
      <w:bookmarkEnd w:id="63"/>
      <w:r>
        <w:rPr>
          <w:b w:val="0"/>
          <w:bCs w:val="0"/>
        </w:rPr>
      </w:r>
      <w:r>
        <w:rPr/>
        <w:t>六、重大关联交易</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left"/>
        <w:rPr>
          <w:b w:val="0"/>
          <w:bCs w:val="0"/>
        </w:rPr>
      </w:pPr>
      <w:bookmarkStart w:name="1、与日常经营相关的关联交易" w:id="64"/>
      <w:bookmarkEnd w:id="64"/>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489" w:lineRule="auto" w:before="0"/>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after="0" w:line="48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2、资产收购、出售发生的关联交易" w:id="65"/>
      <w:bookmarkEnd w:id="65"/>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489" w:lineRule="auto" w:before="0"/>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公司报告期未发生资产收购、出售的关联交易。</w:t>
      </w: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bookmarkStart w:name="3、共同对外投资的关联交易" w:id="66"/>
      <w:bookmarkEnd w:id="66"/>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spacing w:line="489"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bookmarkStart w:name="4、关联债权债务往来" w:id="67"/>
      <w:bookmarkEnd w:id="67"/>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489"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bookmarkStart w:name="5、其他关联交易" w:id="68"/>
      <w:bookmarkEnd w:id="68"/>
      <w:r>
        <w:rPr>
          <w:b w:val="0"/>
          <w:bCs w:val="0"/>
        </w:rPr>
      </w:r>
      <w:r>
        <w:rPr>
          <w:rFonts w:ascii="Times New Roman" w:hAnsi="Times New Roman" w:cs="Times New Roman" w:eastAsia="Times New Roman" w:hint="default"/>
        </w:rPr>
        <w:t>5</w:t>
      </w:r>
      <w:r>
        <w:rPr/>
        <w:t>、其他关联交易</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7"/>
          <w:szCs w:val="17"/>
        </w:rPr>
      </w:pPr>
    </w:p>
    <w:p>
      <w:pPr>
        <w:pStyle w:val="BodyText"/>
        <w:spacing w:line="396" w:lineRule="auto"/>
        <w:ind w:right="1129" w:firstLine="336"/>
        <w:jc w:val="left"/>
      </w:pPr>
      <w:r>
        <w:rPr>
          <w:spacing w:val="-2"/>
        </w:rPr>
        <w:t>报告期内，由于公司的年度审计机构中准会计师事务所</w:t>
      </w:r>
      <w:r>
        <w:rPr>
          <w:rFonts w:ascii="Times New Roman" w:hAnsi="Times New Roman" w:cs="Times New Roman" w:eastAsia="Times New Roman" w:hint="default"/>
          <w:spacing w:val="-2"/>
        </w:rPr>
        <w:t>(</w:t>
      </w:r>
      <w:r>
        <w:rPr>
          <w:spacing w:val="-2"/>
        </w:rPr>
        <w:t>特殊普通合伙</w:t>
      </w:r>
      <w:r>
        <w:rPr>
          <w:rFonts w:ascii="Times New Roman" w:hAnsi="Times New Roman" w:cs="Times New Roman" w:eastAsia="Times New Roman" w:hint="default"/>
          <w:spacing w:val="-2"/>
        </w:rPr>
        <w:t>)</w:t>
      </w:r>
      <w:r>
        <w:rPr>
          <w:spacing w:val="-2"/>
        </w:rPr>
        <w:t>连续三年对公司账面存货中野山</w:t>
      </w:r>
      <w:r>
        <w:rPr/>
        <w:t> </w:t>
      </w:r>
      <w:r>
        <w:rPr>
          <w:spacing w:val="-1"/>
        </w:rPr>
        <w:t>参认定的恰当性出具保留意见，公司考虑到野山参货品稀有而名贵，单位价值较高，短时间内难以形成对</w:t>
      </w:r>
      <w:r>
        <w:rPr>
          <w:spacing w:val="-83"/>
        </w:rPr>
        <w:t> </w:t>
      </w:r>
      <w:r>
        <w:rPr>
          <w:spacing w:val="-83"/>
        </w:rPr>
      </w:r>
      <w:r>
        <w:rPr>
          <w:spacing w:val="-1"/>
        </w:rPr>
        <w:t>外销售实现资金回款，同时也难以找到令人信服的市场交易报价体系，为解决上述困难，公司第一大股康</w:t>
      </w:r>
      <w:r>
        <w:rPr>
          <w:spacing w:val="-83"/>
        </w:rPr>
        <w:t> </w:t>
      </w:r>
      <w:r>
        <w:rPr>
          <w:spacing w:val="-83"/>
        </w:rPr>
      </w:r>
      <w:r>
        <w:rPr/>
        <w:t>平公司同意承接公司账面存货中的野山参，本次交易于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日经公司第五届董事会第十一次会议 审议通过，公司关联董事曹恩辉，郭春林、祖春香、殷金龙回避表决；于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日经</w:t>
      </w:r>
      <w:r>
        <w:rPr>
          <w:rFonts w:ascii="Times New Roman" w:hAnsi="Times New Roman" w:cs="Times New Roman" w:eastAsia="Times New Roman" w:hint="default"/>
        </w:rPr>
        <w:t>2013</w:t>
      </w:r>
      <w:r>
        <w:rPr/>
        <w:t>年年度股 东大会决议审议通过，公司第一大股东康平公司及其一致行动人第二大股东仲维光先生回避表决，</w:t>
      </w:r>
    </w:p>
    <w:p>
      <w:pPr>
        <w:pStyle w:val="BodyText"/>
        <w:spacing w:line="393" w:lineRule="auto" w:before="56"/>
        <w:ind w:right="1130" w:firstLine="252"/>
        <w:jc w:val="both"/>
      </w:pPr>
      <w:r>
        <w:rPr/>
        <w:t>康平公司由于经营范围原因，委托其全资子公司华韵工贸与公司进行野山参交易，</w:t>
      </w:r>
      <w:r>
        <w:rPr>
          <w:spacing w:val="-62"/>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日公司 </w:t>
      </w:r>
      <w:r>
        <w:rPr>
          <w:spacing w:val="-1"/>
        </w:rPr>
        <w:t>与康平公司、华韵工贸签署了交易合同；公司以野山参购入成本加上期间的持有成本，持有成本以持有期</w:t>
      </w:r>
      <w:r>
        <w:rPr>
          <w:spacing w:val="-83"/>
        </w:rPr>
        <w:t> </w:t>
      </w:r>
      <w:r>
        <w:rPr>
          <w:spacing w:val="-83"/>
        </w:rPr>
      </w:r>
      <w:r>
        <w:rPr/>
        <w:t>间同期银行</w:t>
      </w:r>
      <w:r>
        <w:rPr>
          <w:rFonts w:ascii="Times New Roman" w:hAnsi="Times New Roman" w:cs="Times New Roman" w:eastAsia="Times New Roman" w:hint="default"/>
        </w:rPr>
        <w:t>1</w:t>
      </w:r>
      <w:r>
        <w:rPr/>
        <w:t>年期贷款基准利率为基础计算作为定价依据，签署了含税总价款为</w:t>
      </w:r>
      <w:r>
        <w:rPr>
          <w:rFonts w:ascii="Times New Roman" w:hAnsi="Times New Roman" w:cs="Times New Roman" w:eastAsia="Times New Roman" w:hint="default"/>
        </w:rPr>
        <w:t>156,198,796.42</w:t>
      </w:r>
      <w:r>
        <w:rPr/>
        <w:t>元的交易合 同。截止本报告日，公司与华韵工贸已完成了野山参交割事宜，相关款项已经结清。</w:t>
      </w:r>
    </w:p>
    <w:p>
      <w:pPr>
        <w:spacing w:before="125"/>
        <w:ind w:left="153" w:right="0" w:firstLine="0"/>
        <w:jc w:val="left"/>
        <w:rPr>
          <w:rFonts w:ascii="宋体" w:hAnsi="宋体" w:cs="宋体" w:eastAsia="宋体" w:hint="default"/>
          <w:sz w:val="18"/>
          <w:szCs w:val="18"/>
        </w:rPr>
      </w:pPr>
      <w:r>
        <w:rPr>
          <w:rFonts w:ascii="宋体" w:hAnsi="宋体" w:cs="宋体" w:eastAsia="宋体" w:hint="default"/>
          <w:sz w:val="18"/>
          <w:szCs w:val="18"/>
        </w:rPr>
        <w:t>关联交易临时报告披露网站相关查询</w:t>
      </w:r>
    </w:p>
    <w:p>
      <w:pPr>
        <w:spacing w:line="240" w:lineRule="auto" w:before="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558"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558"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第五届董事会第十一次会议决议公告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558"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58"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line="240" w:lineRule="auto" w:before="0"/>
        <w:rPr>
          <w:rFonts w:ascii="宋体" w:hAnsi="宋体" w:cs="宋体" w:eastAsia="宋体" w:hint="default"/>
          <w:sz w:val="24"/>
          <w:szCs w:val="24"/>
        </w:rPr>
      </w:pPr>
    </w:p>
    <w:p>
      <w:pPr>
        <w:pStyle w:val="Heading2"/>
        <w:spacing w:line="240" w:lineRule="auto" w:before="26"/>
        <w:ind w:left="154" w:right="0"/>
        <w:jc w:val="left"/>
        <w:rPr>
          <w:b w:val="0"/>
          <w:bCs w:val="0"/>
        </w:rPr>
      </w:pPr>
      <w:bookmarkStart w:name="七、重大合同及其履行情况" w:id="69"/>
      <w:bookmarkEnd w:id="69"/>
      <w:r>
        <w:rPr>
          <w:b w:val="0"/>
          <w:bCs w:val="0"/>
        </w:rPr>
      </w:r>
      <w:r>
        <w:rPr/>
        <w:t>七、重大合同及其履行情况</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left"/>
        <w:rPr>
          <w:b w:val="0"/>
          <w:bCs w:val="0"/>
        </w:rPr>
      </w:pPr>
      <w:bookmarkStart w:name="1、托管、承包、租赁事项情况" w:id="70"/>
      <w:bookmarkEnd w:id="70"/>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right="0"/>
        <w:jc w:val="left"/>
        <w:rPr>
          <w:b w:val="0"/>
          <w:bCs w:val="0"/>
        </w:rPr>
      </w:pPr>
      <w:bookmarkStart w:name="（1）托管情况" w:id="71"/>
      <w:bookmarkEnd w:id="71"/>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489"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bookmarkStart w:name="（2）承包情况" w:id="72"/>
      <w:bookmarkEnd w:id="72"/>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489"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bookmarkStart w:name="（3）租赁情况" w:id="73"/>
      <w:bookmarkEnd w:id="73"/>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489"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bookmarkStart w:name="2、担保情况" w:id="74"/>
      <w:bookmarkEnd w:id="74"/>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604"/>
        <w:gridCol w:w="942"/>
        <w:gridCol w:w="932"/>
        <w:gridCol w:w="1212"/>
        <w:gridCol w:w="1176"/>
        <w:gridCol w:w="1093"/>
        <w:gridCol w:w="1017"/>
        <w:gridCol w:w="806"/>
        <w:gridCol w:w="786"/>
      </w:tblGrid>
      <w:tr>
        <w:trPr>
          <w:trHeight w:val="558"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978"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494" w:hRule="exact"/>
        </w:trPr>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5"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05"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6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10"/>
              <w:ind w:right="0"/>
              <w:jc w:val="left"/>
              <w:rPr>
                <w:rFonts w:ascii="宋体" w:hAnsi="宋体" w:cs="宋体" w:eastAsia="宋体" w:hint="default"/>
                <w:sz w:val="17"/>
                <w:szCs w:val="17"/>
              </w:rPr>
            </w:pPr>
          </w:p>
          <w:p>
            <w:pPr>
              <w:pStyle w:val="TableParagraph"/>
              <w:spacing w:line="477" w:lineRule="auto"/>
              <w:ind w:left="421" w:right="149" w:hanging="271"/>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3"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558"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04"/>
        <w:gridCol w:w="936"/>
        <w:gridCol w:w="938"/>
        <w:gridCol w:w="1218"/>
        <w:gridCol w:w="1170"/>
        <w:gridCol w:w="1088"/>
        <w:gridCol w:w="1023"/>
        <w:gridCol w:w="806"/>
        <w:gridCol w:w="786"/>
      </w:tblGrid>
      <w:tr>
        <w:trPr>
          <w:trHeight w:val="1494" w:hRule="exact"/>
        </w:trPr>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05"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6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477" w:lineRule="auto"/>
              <w:ind w:left="421" w:right="155" w:hanging="271"/>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56"/>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56"/>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026"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29"/>
              <w:jc w:val="left"/>
              <w:rPr>
                <w:rFonts w:ascii="宋体" w:hAnsi="宋体" w:cs="宋体" w:eastAsia="宋体" w:hint="default"/>
                <w:sz w:val="18"/>
                <w:szCs w:val="18"/>
              </w:rPr>
            </w:pPr>
            <w:r>
              <w:rPr>
                <w:rFonts w:ascii="宋体" w:hAnsi="宋体" w:cs="宋体" w:eastAsia="宋体" w:hint="default"/>
                <w:sz w:val="18"/>
                <w:szCs w:val="18"/>
              </w:rPr>
              <w:t>吉林草还丹药业有 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29"/>
              <w:jc w:val="left"/>
              <w:rPr>
                <w:rFonts w:ascii="宋体" w:hAnsi="宋体" w:cs="宋体" w:eastAsia="宋体" w:hint="default"/>
                <w:sz w:val="18"/>
                <w:szCs w:val="18"/>
              </w:rPr>
            </w:pPr>
            <w:r>
              <w:rPr>
                <w:rFonts w:ascii="宋体" w:hAnsi="宋体" w:cs="宋体" w:eastAsia="宋体" w:hint="default"/>
                <w:sz w:val="18"/>
                <w:szCs w:val="18"/>
              </w:rPr>
              <w:t>吉林草还丹药业有 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二年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29"/>
              <w:jc w:val="left"/>
              <w:rPr>
                <w:rFonts w:ascii="宋体" w:hAnsi="宋体" w:cs="宋体" w:eastAsia="宋体" w:hint="default"/>
                <w:sz w:val="18"/>
                <w:szCs w:val="18"/>
              </w:rPr>
            </w:pPr>
            <w:r>
              <w:rPr>
                <w:rFonts w:ascii="宋体" w:hAnsi="宋体" w:cs="宋体" w:eastAsia="宋体" w:hint="default"/>
                <w:sz w:val="18"/>
                <w:szCs w:val="18"/>
              </w:rPr>
              <w:t>吉林红石种养殖有 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二年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29"/>
              <w:jc w:val="left"/>
              <w:rPr>
                <w:rFonts w:ascii="宋体" w:hAnsi="宋体" w:cs="宋体" w:eastAsia="宋体" w:hint="default"/>
                <w:sz w:val="18"/>
                <w:szCs w:val="18"/>
              </w:rPr>
            </w:pPr>
            <w:r>
              <w:rPr>
                <w:rFonts w:ascii="宋体" w:hAnsi="宋体" w:cs="宋体" w:eastAsia="宋体" w:hint="default"/>
                <w:sz w:val="18"/>
                <w:szCs w:val="18"/>
              </w:rPr>
              <w:t>吉林紫鑫初元药业 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二年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29"/>
              <w:jc w:val="left"/>
              <w:rPr>
                <w:rFonts w:ascii="宋体" w:hAnsi="宋体" w:cs="宋体" w:eastAsia="宋体" w:hint="default"/>
                <w:sz w:val="18"/>
                <w:szCs w:val="18"/>
              </w:rPr>
            </w:pPr>
            <w:r>
              <w:rPr>
                <w:rFonts w:ascii="宋体" w:hAnsi="宋体" w:cs="宋体" w:eastAsia="宋体" w:hint="default"/>
                <w:sz w:val="18"/>
                <w:szCs w:val="18"/>
              </w:rPr>
              <w:t>吉林草还丹药业有 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二年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29"/>
              <w:jc w:val="left"/>
              <w:rPr>
                <w:rFonts w:ascii="宋体" w:hAnsi="宋体" w:cs="宋体" w:eastAsia="宋体" w:hint="default"/>
                <w:sz w:val="18"/>
                <w:szCs w:val="18"/>
              </w:rPr>
            </w:pPr>
            <w:r>
              <w:rPr>
                <w:rFonts w:ascii="宋体" w:hAnsi="宋体" w:cs="宋体" w:eastAsia="宋体" w:hint="default"/>
                <w:sz w:val="18"/>
                <w:szCs w:val="18"/>
              </w:rPr>
              <w:t>吉林草还丹药业有 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二年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57"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23,000</w:t>
            </w:r>
          </w:p>
        </w:tc>
        <w:tc>
          <w:tcPr>
            <w:tcW w:w="22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7" w:right="0"/>
              <w:jc w:val="left"/>
              <w:rPr>
                <w:rFonts w:ascii="宋体" w:hAnsi="宋体" w:cs="宋体" w:eastAsia="宋体" w:hint="default"/>
                <w:sz w:val="18"/>
                <w:szCs w:val="18"/>
              </w:rPr>
            </w:pPr>
            <w:r>
              <w:rPr>
                <w:rFonts w:ascii="宋体" w:hAnsi="宋体" w:cs="宋体" w:eastAsia="宋体" w:hint="default"/>
                <w:sz w:val="18"/>
                <w:szCs w:val="18"/>
              </w:rPr>
              <w:t>报告期内对子公司担保实际</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23,000</w:t>
            </w:r>
          </w:p>
        </w:tc>
      </w:tr>
      <w:tr>
        <w:trPr>
          <w:trHeight w:val="1031"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57"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56,000</w:t>
            </w:r>
          </w:p>
        </w:tc>
        <w:tc>
          <w:tcPr>
            <w:tcW w:w="22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7" w:right="0"/>
              <w:jc w:val="left"/>
              <w:rPr>
                <w:rFonts w:ascii="宋体" w:hAnsi="宋体" w:cs="宋体" w:eastAsia="宋体" w:hint="default"/>
                <w:sz w:val="18"/>
                <w:szCs w:val="18"/>
              </w:rPr>
            </w:pPr>
            <w:r>
              <w:rPr>
                <w:rFonts w:ascii="宋体" w:hAnsi="宋体" w:cs="宋体" w:eastAsia="宋体" w:hint="default"/>
                <w:sz w:val="18"/>
                <w:szCs w:val="18"/>
              </w:rPr>
              <w:t>报告期末对子公司实际担保</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43,000</w:t>
            </w:r>
          </w:p>
        </w:tc>
      </w:tr>
      <w:tr>
        <w:trPr>
          <w:trHeight w:val="548"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1031"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4"/>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57"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23,000</w:t>
            </w:r>
          </w:p>
        </w:tc>
        <w:tc>
          <w:tcPr>
            <w:tcW w:w="22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4"/>
              <w:ind w:left="17" w:right="0"/>
              <w:jc w:val="left"/>
              <w:rPr>
                <w:rFonts w:ascii="宋体" w:hAnsi="宋体" w:cs="宋体" w:eastAsia="宋体" w:hint="default"/>
                <w:sz w:val="18"/>
                <w:szCs w:val="18"/>
              </w:rPr>
            </w:pPr>
            <w:r>
              <w:rPr>
                <w:rFonts w:ascii="宋体" w:hAnsi="宋体" w:cs="宋体" w:eastAsia="宋体" w:hint="default"/>
                <w:sz w:val="18"/>
                <w:szCs w:val="18"/>
              </w:rPr>
              <w:t>报告期内担保实际发生额合</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23,000</w:t>
            </w:r>
          </w:p>
        </w:tc>
      </w:tr>
      <w:tr>
        <w:trPr>
          <w:trHeight w:val="1026"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57"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56,000</w:t>
            </w:r>
          </w:p>
        </w:tc>
        <w:tc>
          <w:tcPr>
            <w:tcW w:w="22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7"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43,000</w:t>
            </w:r>
          </w:p>
        </w:tc>
      </w:tr>
      <w:tr>
        <w:trPr>
          <w:trHeight w:val="563" w:hRule="exact"/>
        </w:trPr>
        <w:tc>
          <w:tcPr>
            <w:tcW w:w="469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2"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21.57%</w:t>
            </w:r>
          </w:p>
        </w:tc>
      </w:tr>
      <w:tr>
        <w:trPr>
          <w:trHeight w:val="553"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690"/>
        <w:gridCol w:w="4878"/>
      </w:tblGrid>
      <w:tr>
        <w:trPr>
          <w:trHeight w:val="558" w:hRule="exact"/>
        </w:trPr>
        <w:tc>
          <w:tcPr>
            <w:tcW w:w="4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4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8" w:hRule="exact"/>
        </w:trPr>
        <w:tc>
          <w:tcPr>
            <w:tcW w:w="4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5"/>
        <w:rPr>
          <w:rFonts w:ascii="Times New Roman" w:hAnsi="Times New Roman" w:cs="Times New Roman" w:eastAsia="Times New Roman" w:hint="default"/>
          <w:sz w:val="7"/>
          <w:szCs w:val="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left="154" w:right="0"/>
        <w:jc w:val="left"/>
        <w:rPr>
          <w:b w:val="0"/>
          <w:bCs w:val="0"/>
        </w:rPr>
      </w:pPr>
      <w:bookmarkStart w:name="（1）违规对外担保情况" w:id="75"/>
      <w:bookmarkEnd w:id="75"/>
      <w:r>
        <w:rPr>
          <w:b w:val="0"/>
          <w:bCs w:val="0"/>
        </w:rPr>
      </w:r>
      <w:r>
        <w:rPr/>
        <w:t>（</w:t>
      </w:r>
      <w:r>
        <w:rPr>
          <w:rFonts w:ascii="Times New Roman" w:hAnsi="Times New Roman" w:cs="Times New Roman" w:eastAsia="Times New Roman" w:hint="default"/>
        </w:rPr>
        <w:t>1</w:t>
      </w:r>
      <w:r>
        <w:rPr/>
        <w:t>）违规对外担保情况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489"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bookmarkStart w:name="3、其他重大合同" w:id="76"/>
      <w:bookmarkEnd w:id="76"/>
      <w:r>
        <w:rPr>
          <w:b w:val="0"/>
          <w:bCs w:val="0"/>
        </w:rPr>
      </w:r>
      <w:r>
        <w:rPr>
          <w:rFonts w:ascii="Times New Roman" w:hAnsi="Times New Roman" w:cs="Times New Roman" w:eastAsia="Times New Roman" w:hint="default"/>
        </w:rPr>
        <w:t>3</w:t>
      </w:r>
      <w:r>
        <w:rPr/>
        <w:t>、其他重大合同</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489"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bookmarkStart w:name="4、其他重大交易" w:id="77"/>
      <w:bookmarkEnd w:id="77"/>
      <w:r>
        <w:rPr>
          <w:b w:val="0"/>
          <w:bCs w:val="0"/>
        </w:rPr>
      </w:r>
      <w:r>
        <w:rPr>
          <w:rFonts w:ascii="Times New Roman" w:hAnsi="Times New Roman" w:cs="Times New Roman" w:eastAsia="Times New Roman" w:hint="default"/>
        </w:rPr>
        <w:t>4</w:t>
      </w:r>
      <w:r>
        <w:rPr/>
        <w:t>、其他重大交易</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spacing w:line="489"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公司报告期不存在其他重大交易。</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八、承诺事项履行情况" w:id="78"/>
      <w:bookmarkEnd w:id="78"/>
      <w:r>
        <w:rPr>
          <w:b w:val="0"/>
          <w:bCs w:val="0"/>
        </w:rPr>
      </w:r>
      <w:r>
        <w:rPr/>
        <w:t>八、承诺事项履行情况</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left"/>
        <w:rPr>
          <w:b w:val="0"/>
          <w:bCs w:val="0"/>
        </w:rPr>
      </w:pPr>
      <w:bookmarkStart w:name="1、公司或持股5%以上股东在报告期内发生或以前期间发生但持续到报告期内的承诺事项" w:id="79"/>
      <w:bookmarkEnd w:id="79"/>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82"/>
        <w:gridCol w:w="1287"/>
        <w:gridCol w:w="1276"/>
        <w:gridCol w:w="1276"/>
        <w:gridCol w:w="1277"/>
        <w:gridCol w:w="1260"/>
      </w:tblGrid>
      <w:tr>
        <w:trPr>
          <w:trHeight w:val="558" w:hRule="exact"/>
        </w:trPr>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7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558" w:hRule="exact"/>
        </w:trPr>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87"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98"/>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87"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87"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87"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9"/>
              <w:ind w:left="22" w:right="0"/>
              <w:jc w:val="left"/>
              <w:rPr>
                <w:rFonts w:ascii="宋体" w:hAnsi="宋体" w:cs="宋体" w:eastAsia="宋体" w:hint="default"/>
                <w:sz w:val="18"/>
                <w:szCs w:val="18"/>
              </w:rPr>
            </w:pPr>
            <w:r>
              <w:rPr>
                <w:rFonts w:ascii="宋体" w:hAnsi="宋体" w:cs="宋体" w:eastAsia="宋体" w:hint="default"/>
                <w:sz w:val="18"/>
                <w:szCs w:val="18"/>
              </w:rPr>
              <w:t>敦化市康平投</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35"/>
              <w:jc w:val="center"/>
              <w:rPr>
                <w:rFonts w:ascii="宋体" w:hAnsi="宋体" w:cs="宋体" w:eastAsia="宋体" w:hint="default"/>
                <w:sz w:val="18"/>
                <w:szCs w:val="18"/>
              </w:rPr>
            </w:pPr>
            <w:r>
              <w:rPr>
                <w:rFonts w:ascii="宋体" w:hAnsi="宋体" w:cs="宋体" w:eastAsia="宋体" w:hint="default"/>
                <w:sz w:val="18"/>
                <w:szCs w:val="18"/>
              </w:rPr>
              <w:t>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22"/>
              <w:jc w:val="center"/>
              <w:rPr>
                <w:rFonts w:ascii="宋体" w:hAnsi="宋体" w:cs="宋体" w:eastAsia="宋体" w:hint="default"/>
                <w:sz w:val="18"/>
                <w:szCs w:val="18"/>
              </w:rPr>
            </w:pPr>
            <w:r>
              <w:rPr>
                <w:rFonts w:ascii="宋体" w:hAnsi="宋体" w:cs="宋体" w:eastAsia="宋体" w:hint="default"/>
                <w:sz w:val="18"/>
                <w:szCs w:val="18"/>
              </w:rPr>
              <w:t>该承诺期限为</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2"/>
      </w:tblGrid>
      <w:tr>
        <w:trPr>
          <w:trHeight w:val="1455"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161"/>
              <w:jc w:val="left"/>
              <w:rPr>
                <w:rFonts w:ascii="宋体" w:hAnsi="宋体" w:cs="宋体" w:eastAsia="宋体" w:hint="default"/>
                <w:sz w:val="18"/>
                <w:szCs w:val="18"/>
              </w:rPr>
            </w:pPr>
            <w:r>
              <w:rPr>
                <w:rFonts w:ascii="宋体" w:hAnsi="宋体" w:cs="宋体" w:eastAsia="宋体" w:hint="default"/>
                <w:sz w:val="18"/>
                <w:szCs w:val="18"/>
              </w:rPr>
              <w:t>资有限责任公 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161"/>
              <w:jc w:val="both"/>
              <w:rPr>
                <w:rFonts w:ascii="宋体" w:hAnsi="宋体" w:cs="宋体" w:eastAsia="宋体" w:hint="default"/>
                <w:sz w:val="18"/>
                <w:szCs w:val="18"/>
              </w:rPr>
            </w:pPr>
            <w:r>
              <w:rPr>
                <w:rFonts w:ascii="宋体" w:hAnsi="宋体" w:cs="宋体" w:eastAsia="宋体" w:hint="default"/>
                <w:sz w:val="18"/>
                <w:szCs w:val="18"/>
              </w:rPr>
              <w:t>上股东所做出 的避免同业竞 争的承诺。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465" w:lineRule="auto" w:before="88"/>
              <w:ind w:left="22" w:right="102"/>
              <w:jc w:val="both"/>
              <w:rPr>
                <w:rFonts w:ascii="宋体" w:hAnsi="宋体" w:cs="宋体" w:eastAsia="宋体" w:hint="default"/>
                <w:sz w:val="18"/>
                <w:szCs w:val="18"/>
              </w:rPr>
            </w:pPr>
            <w:r>
              <w:rPr>
                <w:rFonts w:ascii="宋体" w:hAnsi="宋体" w:cs="宋体" w:eastAsia="宋体" w:hint="default"/>
                <w:sz w:val="18"/>
                <w:szCs w:val="18"/>
              </w:rPr>
              <w:t>长期</w:t>
            </w:r>
            <w:r>
              <w:rPr>
                <w:rFonts w:ascii="Times New Roman" w:hAnsi="Times New Roman" w:cs="Times New Roman" w:eastAsia="Times New Roman" w:hint="default"/>
                <w:sz w:val="18"/>
                <w:szCs w:val="18"/>
              </w:rPr>
              <w:t>,</w:t>
            </w:r>
            <w:r>
              <w:rPr>
                <w:rFonts w:ascii="宋体" w:hAnsi="宋体" w:cs="宋体" w:eastAsia="宋体" w:hint="default"/>
                <w:sz w:val="18"/>
                <w:szCs w:val="18"/>
              </w:rPr>
              <w:t>该承诺目 前正在严格履 行。</w:t>
            </w:r>
          </w:p>
        </w:tc>
      </w:tr>
      <w:tr>
        <w:trPr>
          <w:trHeight w:val="2898" w:hRule="exact"/>
        </w:trPr>
        <w:tc>
          <w:tcPr>
            <w:tcW w:w="320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477" w:lineRule="auto"/>
              <w:ind w:left="22" w:right="161"/>
              <w:jc w:val="left"/>
              <w:rPr>
                <w:rFonts w:ascii="宋体" w:hAnsi="宋体" w:cs="宋体" w:eastAsia="宋体" w:hint="default"/>
                <w:sz w:val="18"/>
                <w:szCs w:val="18"/>
              </w:rPr>
            </w:pPr>
            <w:r>
              <w:rPr>
                <w:rFonts w:ascii="宋体" w:hAnsi="宋体" w:cs="宋体" w:eastAsia="宋体" w:hint="default"/>
                <w:sz w:val="18"/>
                <w:szCs w:val="18"/>
              </w:rPr>
              <w:t>吉林紫鑫药业 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20"/>
              <w:jc w:val="left"/>
              <w:rPr>
                <w:rFonts w:ascii="宋体" w:hAnsi="宋体" w:cs="宋体" w:eastAsia="宋体" w:hint="default"/>
                <w:sz w:val="18"/>
                <w:szCs w:val="18"/>
              </w:rPr>
            </w:pPr>
            <w:r>
              <w:rPr>
                <w:rFonts w:ascii="宋体" w:hAnsi="宋体" w:cs="宋体" w:eastAsia="宋体" w:hint="default"/>
                <w:sz w:val="18"/>
                <w:szCs w:val="18"/>
              </w:rPr>
              <w:t>承诺在使用闲 置募集资金暂 时补充流动资 </w:t>
            </w:r>
            <w:r>
              <w:rPr>
                <w:rFonts w:ascii="宋体" w:hAnsi="宋体" w:cs="宋体" w:eastAsia="宋体" w:hint="default"/>
                <w:spacing w:val="-6"/>
                <w:sz w:val="18"/>
                <w:szCs w:val="18"/>
              </w:rPr>
              <w:t>金期间，不进行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证券投资等风 险投资。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477" w:lineRule="auto"/>
              <w:ind w:left="22" w:right="149"/>
              <w:jc w:val="left"/>
              <w:rPr>
                <w:rFonts w:ascii="宋体" w:hAnsi="宋体" w:cs="宋体" w:eastAsia="宋体" w:hint="default"/>
                <w:sz w:val="18"/>
                <w:szCs w:val="18"/>
              </w:rPr>
            </w:pPr>
            <w:r>
              <w:rPr>
                <w:rFonts w:ascii="宋体" w:hAnsi="宋体" w:cs="宋体" w:eastAsia="宋体" w:hint="default"/>
                <w:sz w:val="18"/>
                <w:szCs w:val="18"/>
              </w:rPr>
              <w:t>该承已诺履行 完毕。</w:t>
            </w:r>
          </w:p>
        </w:tc>
      </w:tr>
      <w:tr>
        <w:trPr>
          <w:trHeight w:val="8515" w:hRule="exact"/>
        </w:trPr>
        <w:tc>
          <w:tcPr>
            <w:tcW w:w="320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48"/>
              <w:ind w:left="22" w:right="161"/>
              <w:jc w:val="left"/>
              <w:rPr>
                <w:rFonts w:ascii="宋体" w:hAnsi="宋体" w:cs="宋体" w:eastAsia="宋体" w:hint="default"/>
                <w:sz w:val="18"/>
                <w:szCs w:val="18"/>
              </w:rPr>
            </w:pPr>
            <w:r>
              <w:rPr>
                <w:rFonts w:ascii="宋体" w:hAnsi="宋体" w:cs="宋体" w:eastAsia="宋体" w:hint="default"/>
                <w:sz w:val="18"/>
                <w:szCs w:val="18"/>
              </w:rPr>
              <w:t>吉林紫鑫药业 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472" w:lineRule="auto" w:before="129"/>
              <w:ind w:left="22" w:right="-17"/>
              <w:jc w:val="left"/>
              <w:rPr>
                <w:rFonts w:ascii="宋体" w:hAnsi="宋体" w:cs="宋体" w:eastAsia="宋体" w:hint="default"/>
                <w:sz w:val="18"/>
                <w:szCs w:val="18"/>
              </w:rPr>
            </w:pPr>
            <w:r>
              <w:rPr>
                <w:rFonts w:ascii="宋体" w:hAnsi="宋体" w:cs="宋体" w:eastAsia="宋体" w:hint="default"/>
                <w:sz w:val="18"/>
                <w:szCs w:val="18"/>
              </w:rPr>
              <w:t>承诺延吉厂区 已完工募投项 目应付未付款 项</w:t>
            </w:r>
            <w:r>
              <w:rPr>
                <w:rFonts w:ascii="Times New Roman" w:hAnsi="Times New Roman" w:cs="Times New Roman" w:eastAsia="Times New Roman" w:hint="default"/>
                <w:sz w:val="18"/>
                <w:szCs w:val="18"/>
              </w:rPr>
              <w:t>(</w:t>
            </w:r>
            <w:r>
              <w:rPr>
                <w:rFonts w:ascii="宋体" w:hAnsi="宋体" w:cs="宋体" w:eastAsia="宋体" w:hint="default"/>
                <w:sz w:val="18"/>
                <w:szCs w:val="18"/>
              </w:rPr>
              <w:t>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151.03 </w:t>
            </w:r>
            <w:r>
              <w:rPr>
                <w:rFonts w:ascii="宋体" w:hAnsi="宋体" w:cs="宋体" w:eastAsia="宋体" w:hint="default"/>
                <w:sz w:val="18"/>
                <w:szCs w:val="18"/>
              </w:rPr>
              <w:t>万元质保金</w:t>
            </w:r>
            <w:r>
              <w:rPr>
                <w:rFonts w:ascii="Times New Roman" w:hAnsi="Times New Roman" w:cs="Times New Roman" w:eastAsia="Times New Roman" w:hint="default"/>
                <w:sz w:val="18"/>
                <w:szCs w:val="18"/>
              </w:rPr>
              <w:t>)</w:t>
            </w:r>
            <w:r>
              <w:rPr>
                <w:rFonts w:ascii="宋体" w:hAnsi="宋体" w:cs="宋体" w:eastAsia="宋体" w:hint="default"/>
                <w:sz w:val="18"/>
                <w:szCs w:val="18"/>
              </w:rPr>
              <w:t>在 满足付款条件 时将使用公司 自有资金支付。 公司过去十二 个月内未进行 风险投资，同 </w:t>
            </w:r>
            <w:r>
              <w:rPr>
                <w:rFonts w:ascii="宋体" w:hAnsi="宋体" w:cs="宋体" w:eastAsia="宋体" w:hint="default"/>
                <w:spacing w:val="-6"/>
                <w:sz w:val="18"/>
                <w:szCs w:val="18"/>
              </w:rPr>
              <w:t>时，公司承诺永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久补充流动资 金后十二个月 内不进行证券 投资等高风险 投资及为他人 提供财务资助。</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48"/>
              <w:ind w:left="22" w:right="149"/>
              <w:jc w:val="left"/>
              <w:rPr>
                <w:rFonts w:ascii="宋体" w:hAnsi="宋体" w:cs="宋体" w:eastAsia="宋体" w:hint="default"/>
                <w:sz w:val="18"/>
                <w:szCs w:val="18"/>
              </w:rPr>
            </w:pPr>
            <w:r>
              <w:rPr>
                <w:rFonts w:ascii="宋体" w:hAnsi="宋体" w:cs="宋体" w:eastAsia="宋体" w:hint="default"/>
                <w:sz w:val="18"/>
                <w:szCs w:val="18"/>
              </w:rPr>
              <w:t>该承已诺履行 完毕。</w:t>
            </w:r>
          </w:p>
        </w:tc>
      </w:tr>
      <w:tr>
        <w:trPr>
          <w:trHeight w:val="1026"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61"/>
              <w:jc w:val="left"/>
              <w:rPr>
                <w:rFonts w:ascii="宋体" w:hAnsi="宋体" w:cs="宋体" w:eastAsia="宋体" w:hint="default"/>
                <w:sz w:val="18"/>
                <w:szCs w:val="18"/>
              </w:rPr>
            </w:pPr>
            <w:r>
              <w:rPr>
                <w:rFonts w:ascii="宋体" w:hAnsi="宋体" w:cs="宋体" w:eastAsia="宋体" w:hint="default"/>
                <w:sz w:val="18"/>
                <w:szCs w:val="18"/>
              </w:rPr>
              <w:t>吉林紫鑫药业 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49"/>
              <w:ind w:left="22" w:right="161"/>
              <w:jc w:val="left"/>
              <w:rPr>
                <w:rFonts w:ascii="宋体" w:hAnsi="宋体" w:cs="宋体" w:eastAsia="宋体" w:hint="default"/>
                <w:sz w:val="18"/>
                <w:szCs w:val="18"/>
              </w:rPr>
            </w:pPr>
            <w:r>
              <w:rPr>
                <w:rFonts w:ascii="宋体" w:hAnsi="宋体" w:cs="宋体" w:eastAsia="宋体" w:hint="default"/>
                <w:sz w:val="18"/>
                <w:szCs w:val="18"/>
              </w:rPr>
              <w:t>承诺在使用闲 置募集资金暂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49"/>
              <w:jc w:val="left"/>
              <w:rPr>
                <w:rFonts w:ascii="宋体" w:hAnsi="宋体" w:cs="宋体" w:eastAsia="宋体" w:hint="default"/>
                <w:sz w:val="18"/>
                <w:szCs w:val="18"/>
              </w:rPr>
            </w:pPr>
            <w:r>
              <w:rPr>
                <w:rFonts w:ascii="宋体" w:hAnsi="宋体" w:cs="宋体" w:eastAsia="宋体" w:hint="default"/>
                <w:sz w:val="18"/>
                <w:szCs w:val="18"/>
              </w:rPr>
              <w:t>该承已诺履行 完毕。</w:t>
            </w:r>
          </w:p>
        </w:tc>
      </w:tr>
    </w:tbl>
    <w:p>
      <w:pPr>
        <w:spacing w:after="0" w:line="47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1923"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20"/>
              <w:jc w:val="left"/>
              <w:rPr>
                <w:rFonts w:ascii="宋体" w:hAnsi="宋体" w:cs="宋体" w:eastAsia="宋体" w:hint="default"/>
                <w:sz w:val="18"/>
                <w:szCs w:val="18"/>
              </w:rPr>
            </w:pPr>
            <w:r>
              <w:rPr>
                <w:rFonts w:ascii="宋体" w:hAnsi="宋体" w:cs="宋体" w:eastAsia="宋体" w:hint="default"/>
                <w:sz w:val="18"/>
                <w:szCs w:val="18"/>
              </w:rPr>
              <w:t>时补充流动资 </w:t>
            </w:r>
            <w:r>
              <w:rPr>
                <w:rFonts w:ascii="宋体" w:hAnsi="宋体" w:cs="宋体" w:eastAsia="宋体" w:hint="default"/>
                <w:spacing w:val="-6"/>
                <w:sz w:val="18"/>
                <w:szCs w:val="18"/>
              </w:rPr>
              <w:t>金期间，不进行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证券投资等风 险投资。</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6"/>
        <w:rPr>
          <w:rFonts w:ascii="Times New Roman" w:hAnsi="Times New Roman" w:cs="Times New Roman" w:eastAsia="Times New Roman" w:hint="default"/>
          <w:sz w:val="28"/>
          <w:szCs w:val="28"/>
        </w:rPr>
      </w:pPr>
    </w:p>
    <w:p>
      <w:pPr>
        <w:pStyle w:val="Heading4"/>
        <w:spacing w:line="386" w:lineRule="auto" w:before="35"/>
        <w:ind w:left="154" w:right="0"/>
        <w:jc w:val="left"/>
        <w:rPr>
          <w:b w:val="0"/>
          <w:bCs w:val="0"/>
        </w:rPr>
      </w:pPr>
      <w:bookmarkStart w:name="2、公司资产或项目存在盈利预测，且报告期仍处在盈利预测期间，公司就资产或项目达到" w:id="80"/>
      <w:bookmarkEnd w:id="80"/>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12"/>
        <w:rPr>
          <w:rFonts w:ascii="宋体" w:hAnsi="宋体" w:cs="宋体" w:eastAsia="宋体" w:hint="default"/>
          <w:b/>
          <w:bCs/>
          <w:sz w:val="29"/>
          <w:szCs w:val="29"/>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九、聘任、解聘会计师事务所情况" w:id="81"/>
      <w:bookmarkEnd w:id="81"/>
      <w:r>
        <w:rPr>
          <w:b w:val="0"/>
          <w:bCs w:val="0"/>
        </w:rPr>
      </w:r>
      <w:r>
        <w:rPr/>
        <w:t>九、聘任、解聘会计师事务所情况</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874"/>
        <w:gridCol w:w="5694"/>
      </w:tblGrid>
      <w:tr>
        <w:trPr>
          <w:trHeight w:val="559"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中准会计师事务所（特殊普通合伙）</w:t>
            </w:r>
          </w:p>
        </w:tc>
      </w:tr>
      <w:tr>
        <w:trPr>
          <w:trHeight w:val="558"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w:t>
            </w:r>
          </w:p>
        </w:tc>
      </w:tr>
      <w:tr>
        <w:trPr>
          <w:trHeight w:val="558"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559"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韩波、支力</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240" w:lineRule="auto" w:before="10"/>
        <w:rPr>
          <w:rFonts w:ascii="宋体" w:hAnsi="宋体" w:cs="宋体" w:eastAsia="宋体" w:hint="default"/>
          <w:sz w:val="20"/>
          <w:szCs w:val="20"/>
        </w:rPr>
      </w:pPr>
    </w:p>
    <w:p>
      <w:pPr>
        <w:spacing w:line="489" w:lineRule="auto" w:before="0"/>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85"/>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十、监事会、独立董事（如适用）对会计师事务所本报告期“非标准审计报告”的说明" w:id="82"/>
      <w:bookmarkEnd w:id="82"/>
      <w:r>
        <w:rPr>
          <w:b w:val="0"/>
          <w:bCs w:val="0"/>
        </w:rPr>
      </w:r>
      <w:r>
        <w:rPr/>
        <w:t>十、监事会、独立董事（如适用）对会计师事务所本报告期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0"/>
        <w:rPr>
          <w:rFonts w:ascii="宋体" w:hAnsi="宋体" w:cs="宋体" w:eastAsia="宋体" w:hint="default"/>
          <w:b/>
          <w:bCs/>
          <w:sz w:val="24"/>
          <w:szCs w:val="24"/>
        </w:rPr>
      </w:pPr>
    </w:p>
    <w:p>
      <w:pPr>
        <w:spacing w:before="17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2"/>
        <w:spacing w:line="240" w:lineRule="auto" w:before="26"/>
        <w:ind w:right="0"/>
        <w:jc w:val="left"/>
        <w:rPr>
          <w:b w:val="0"/>
          <w:bCs w:val="0"/>
        </w:rPr>
      </w:pPr>
      <w:bookmarkStart w:name="十一、处罚及整改情况" w:id="83"/>
      <w:bookmarkEnd w:id="83"/>
      <w:r>
        <w:rPr>
          <w:b w:val="0"/>
          <w:bCs w:val="0"/>
        </w:rPr>
      </w:r>
      <w:r>
        <w:rPr/>
        <w:t>十一、处罚及整改情况</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558"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94"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37"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3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1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1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38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紫鑫药业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紫鑫药业未在</w:t>
            </w:r>
          </w:p>
          <w:p>
            <w:pPr>
              <w:pStyle w:val="TableParagraph"/>
              <w:spacing w:line="240" w:lineRule="auto" w:before="9"/>
              <w:ind w:right="0"/>
              <w:jc w:val="left"/>
              <w:rPr>
                <w:rFonts w:ascii="宋体" w:hAnsi="宋体" w:cs="宋体" w:eastAsia="宋体" w:hint="default"/>
                <w:sz w:val="17"/>
                <w:szCs w:val="17"/>
              </w:rPr>
            </w:pPr>
          </w:p>
          <w:p>
            <w:pPr>
              <w:pStyle w:val="TableParagraph"/>
              <w:spacing w:line="475" w:lineRule="auto"/>
              <w:ind w:left="22" w:right="2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 告》中披露与延 边耀宇人参贸易 有限责任公司、 延边劲辉人参贸 易有限责任公 司、延边欣鑫人 参贸易有限责任 公司、通化伟诚 人参贸易有限公 司、通化嘉熙人 参贸易有限公</w:t>
            </w:r>
          </w:p>
          <w:p>
            <w:pPr>
              <w:pStyle w:val="TableParagraph"/>
              <w:spacing w:line="477" w:lineRule="auto" w:before="56"/>
              <w:ind w:left="22" w:right="72"/>
              <w:jc w:val="left"/>
              <w:rPr>
                <w:rFonts w:ascii="宋体" w:hAnsi="宋体" w:cs="宋体" w:eastAsia="宋体" w:hint="default"/>
                <w:sz w:val="18"/>
                <w:szCs w:val="18"/>
              </w:rPr>
            </w:pPr>
            <w:r>
              <w:rPr>
                <w:rFonts w:ascii="宋体" w:hAnsi="宋体" w:cs="宋体" w:eastAsia="宋体" w:hint="default"/>
                <w:sz w:val="18"/>
                <w:szCs w:val="18"/>
              </w:rPr>
              <w:t>司、通化振豪人 参贸易有限公 司、吉林正德药 业有限公司的关 联关系和关联交 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477" w:lineRule="auto"/>
              <w:ind w:left="22" w:right="72"/>
              <w:jc w:val="both"/>
              <w:rPr>
                <w:rFonts w:ascii="宋体" w:hAnsi="宋体" w:cs="宋体" w:eastAsia="宋体" w:hint="default"/>
                <w:sz w:val="18"/>
                <w:szCs w:val="18"/>
              </w:rPr>
            </w:pPr>
            <w:r>
              <w:rPr>
                <w:rFonts w:ascii="宋体" w:hAnsi="宋体" w:cs="宋体" w:eastAsia="宋体" w:hint="default"/>
                <w:sz w:val="18"/>
                <w:szCs w:val="18"/>
              </w:rPr>
              <w:t>被中国证监会立 案调查或行政处 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3" w:right="23"/>
              <w:jc w:val="left"/>
              <w:rPr>
                <w:rFonts w:ascii="宋体" w:hAnsi="宋体" w:cs="宋体" w:eastAsia="宋体" w:hint="default"/>
                <w:sz w:val="18"/>
                <w:szCs w:val="18"/>
              </w:rPr>
            </w:pPr>
            <w:r>
              <w:rPr>
                <w:rFonts w:ascii="宋体" w:hAnsi="宋体" w:cs="宋体" w:eastAsia="宋体" w:hint="default"/>
                <w:sz w:val="18"/>
                <w:szCs w:val="18"/>
              </w:rPr>
              <w:t>紫鑫药业的上述 行为违反了《证 券法》第六十三 条关于上市公司 依法披露的信 息，必须真实、 准确和完整，不 得有虚假记载、 误导性陈述或者 重大遗漏的规 定，构成了《证 券法》第一百九 十三条所述的上 市公司报送的报 告有虚假记载、 误导性陈述或者 重大遗漏的违法 行为；责令紫鑫 药业改正，给予 紫鑫药业警告， 并处以</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万元罚 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475" w:lineRule="auto"/>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关于受到中国证 监会行政处罚的 公告</w:t>
            </w:r>
            <w:r>
              <w:rPr>
                <w:rFonts w:ascii="Times New Roman" w:hAnsi="Times New Roman" w:cs="Times New Roman" w:eastAsia="Times New Roman" w:hint="default"/>
                <w:sz w:val="18"/>
                <w:szCs w:val="18"/>
              </w:rPr>
              <w:t>(2014-008)</w:t>
            </w:r>
          </w:p>
          <w:p>
            <w:pPr>
              <w:pStyle w:val="TableParagraph"/>
              <w:spacing w:line="240" w:lineRule="auto" w:before="24"/>
              <w:ind w:left="22" w:right="0"/>
              <w:jc w:val="both"/>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40" w:lineRule="auto" w:before="10"/>
              <w:ind w:right="0"/>
              <w:jc w:val="left"/>
              <w:rPr>
                <w:rFonts w:ascii="宋体" w:hAnsi="宋体" w:cs="宋体" w:eastAsia="宋体" w:hint="default"/>
                <w:sz w:val="17"/>
                <w:szCs w:val="17"/>
              </w:rPr>
            </w:pPr>
          </w:p>
          <w:p>
            <w:pPr>
              <w:pStyle w:val="TableParagraph"/>
              <w:spacing w:line="451" w:lineRule="auto"/>
              <w:ind w:left="22" w:right="54"/>
              <w:jc w:val="both"/>
              <w:rPr>
                <w:rFonts w:ascii="宋体" w:hAnsi="宋体" w:cs="宋体" w:eastAsia="宋体" w:hint="default"/>
                <w:sz w:val="18"/>
                <w:szCs w:val="18"/>
              </w:rPr>
            </w:pPr>
            <w:r>
              <w:rPr>
                <w:rFonts w:ascii="宋体" w:hAnsi="宋体" w:cs="宋体" w:eastAsia="宋体" w:hint="default"/>
                <w:spacing w:val="-2"/>
                <w:sz w:val="18"/>
                <w:szCs w:val="18"/>
              </w:rPr>
              <w:t>（</w:t>
            </w:r>
            <w:hyperlink r:id="rId12">
              <w:r>
                <w:rPr>
                  <w:rFonts w:ascii="Times New Roman" w:hAnsi="Times New Roman" w:cs="Times New Roman" w:eastAsia="Times New Roman" w:hint="default"/>
                  <w:spacing w:val="-2"/>
                  <w:sz w:val="18"/>
                  <w:szCs w:val="18"/>
                </w:rPr>
                <w:t>www.cninfo.co</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tc>
      </w:tr>
      <w:tr>
        <w:trPr>
          <w:trHeight w:val="149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郭春生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紫鑫药业未在</w:t>
            </w:r>
          </w:p>
          <w:p>
            <w:pPr>
              <w:pStyle w:val="TableParagraph"/>
              <w:spacing w:line="240" w:lineRule="auto" w:before="10"/>
              <w:ind w:right="0"/>
              <w:jc w:val="left"/>
              <w:rPr>
                <w:rFonts w:ascii="宋体" w:hAnsi="宋体" w:cs="宋体" w:eastAsia="宋体" w:hint="default"/>
                <w:sz w:val="17"/>
                <w:szCs w:val="17"/>
              </w:rPr>
            </w:pPr>
          </w:p>
          <w:p>
            <w:pPr>
              <w:pStyle w:val="TableParagraph"/>
              <w:spacing w:line="451" w:lineRule="auto"/>
              <w:ind w:left="22" w:right="2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 告》中披露与延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30"/>
              <w:ind w:left="22" w:right="72"/>
              <w:jc w:val="both"/>
              <w:rPr>
                <w:rFonts w:ascii="宋体" w:hAnsi="宋体" w:cs="宋体" w:eastAsia="宋体" w:hint="default"/>
                <w:sz w:val="18"/>
                <w:szCs w:val="18"/>
              </w:rPr>
            </w:pPr>
            <w:r>
              <w:rPr>
                <w:rFonts w:ascii="宋体" w:hAnsi="宋体" w:cs="宋体" w:eastAsia="宋体" w:hint="default"/>
                <w:sz w:val="18"/>
                <w:szCs w:val="18"/>
              </w:rPr>
              <w:t>被中国证监会立 案调查或行政处 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50"/>
              <w:ind w:left="23" w:right="72"/>
              <w:jc w:val="both"/>
              <w:rPr>
                <w:rFonts w:ascii="宋体" w:hAnsi="宋体" w:cs="宋体" w:eastAsia="宋体" w:hint="default"/>
                <w:sz w:val="18"/>
                <w:szCs w:val="18"/>
              </w:rPr>
            </w:pPr>
            <w:r>
              <w:rPr>
                <w:rFonts w:ascii="宋体" w:hAnsi="宋体" w:cs="宋体" w:eastAsia="宋体" w:hint="default"/>
                <w:sz w:val="18"/>
                <w:szCs w:val="18"/>
              </w:rPr>
              <w:t>紫鑫药业的上述 行为违反了《证 券法》第六十三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50"/>
              <w:ind w:left="22" w:right="72"/>
              <w:jc w:val="left"/>
              <w:rPr>
                <w:rFonts w:ascii="宋体" w:hAnsi="宋体" w:cs="宋体" w:eastAsia="宋体" w:hint="default"/>
                <w:sz w:val="18"/>
                <w:szCs w:val="18"/>
              </w:rPr>
            </w:pPr>
            <w:r>
              <w:rPr>
                <w:rFonts w:ascii="宋体" w:hAnsi="宋体" w:cs="宋体" w:eastAsia="宋体" w:hint="default"/>
                <w:sz w:val="18"/>
                <w:szCs w:val="18"/>
              </w:rPr>
              <w:t>关于受到中国证 监会行政处罚的</w:t>
            </w:r>
          </w:p>
          <w:p>
            <w:pPr>
              <w:pStyle w:val="TableParagraph"/>
              <w:spacing w:line="240" w:lineRule="auto" w:before="5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w:t>
            </w:r>
            <w:r>
              <w:rPr>
                <w:rFonts w:ascii="Times New Roman" w:hAnsi="Times New Roman" w:cs="Times New Roman" w:eastAsia="Times New Roman" w:hint="default"/>
                <w:sz w:val="18"/>
                <w:szCs w:val="18"/>
              </w:rPr>
              <w:t>(2014-008)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8007"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72"/>
              <w:jc w:val="left"/>
              <w:rPr>
                <w:rFonts w:ascii="宋体" w:hAnsi="宋体" w:cs="宋体" w:eastAsia="宋体" w:hint="default"/>
                <w:sz w:val="18"/>
                <w:szCs w:val="18"/>
              </w:rPr>
            </w:pPr>
            <w:r>
              <w:rPr>
                <w:rFonts w:ascii="宋体" w:hAnsi="宋体" w:cs="宋体" w:eastAsia="宋体" w:hint="default"/>
                <w:sz w:val="18"/>
                <w:szCs w:val="18"/>
              </w:rPr>
              <w:t>边耀宇人参贸易 有限责任公司、 延边劲辉人参贸 易有限责任公 司、延边欣鑫人 参贸易有限责任 公司、通化伟诚 人参贸易有限公 司、通化嘉熙人 参贸易有限公 司、通化振豪人 参贸易有限公 司、吉林正德药 业有限公司的关 联关系和关联交 易。</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3" w:right="72"/>
              <w:jc w:val="left"/>
              <w:rPr>
                <w:rFonts w:ascii="宋体" w:hAnsi="宋体" w:cs="宋体" w:eastAsia="宋体" w:hint="default"/>
                <w:sz w:val="18"/>
                <w:szCs w:val="18"/>
              </w:rPr>
            </w:pPr>
            <w:r>
              <w:rPr>
                <w:rFonts w:ascii="宋体" w:hAnsi="宋体" w:cs="宋体" w:eastAsia="宋体" w:hint="default"/>
                <w:sz w:val="18"/>
                <w:szCs w:val="18"/>
              </w:rPr>
              <w:t>条关于上市公司 依法披露的信 息，必须真实、 准确和完整，不 得有虚假记载、 误导性陈述或者 重大遗漏的规 定，构成了《证 券法》第一百九 十三条所述的上 市公司报送的报 告有虚假记载、 误导性陈述或者 重大遗漏的违法 行为；给予郭春 生警告，并处以</w:t>
            </w:r>
          </w:p>
          <w:p>
            <w:pPr>
              <w:pStyle w:val="TableParagraph"/>
              <w:spacing w:line="240" w:lineRule="auto" w:before="5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万元罚款。</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451" w:lineRule="auto"/>
              <w:ind w:left="22" w:right="54"/>
              <w:jc w:val="left"/>
              <w:rPr>
                <w:rFonts w:ascii="宋体" w:hAnsi="宋体" w:cs="宋体" w:eastAsia="宋体" w:hint="default"/>
                <w:sz w:val="18"/>
                <w:szCs w:val="18"/>
              </w:rPr>
            </w:pPr>
            <w:r>
              <w:rPr>
                <w:rFonts w:ascii="宋体" w:hAnsi="宋体" w:cs="宋体" w:eastAsia="宋体" w:hint="default"/>
                <w:spacing w:val="-2"/>
                <w:sz w:val="18"/>
                <w:szCs w:val="18"/>
              </w:rPr>
              <w:t>（</w:t>
            </w:r>
            <w:hyperlink r:id="rId12">
              <w:r>
                <w:rPr>
                  <w:rFonts w:ascii="Times New Roman" w:hAnsi="Times New Roman" w:cs="Times New Roman" w:eastAsia="Times New Roman" w:hint="default"/>
                  <w:spacing w:val="-2"/>
                  <w:sz w:val="18"/>
                  <w:szCs w:val="18"/>
                </w:rPr>
                <w:t>www.cninfo.co</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tc>
      </w:tr>
      <w:tr>
        <w:trPr>
          <w:trHeight w:val="566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曹恩辉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紫鑫药业未在</w:t>
            </w: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472" w:lineRule="auto"/>
              <w:ind w:left="22" w:right="2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 告》中披露与延 边耀宇人参贸易 有限责任公司、 延边劲辉人参贸 易有限责任公 司、延边欣鑫人 参贸易有限责任 公司、通化伟诚 人参贸易有限公</w:t>
            </w:r>
          </w:p>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司、通化嘉熙人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45"/>
              <w:ind w:left="22" w:right="72"/>
              <w:jc w:val="both"/>
              <w:rPr>
                <w:rFonts w:ascii="宋体" w:hAnsi="宋体" w:cs="宋体" w:eastAsia="宋体" w:hint="default"/>
                <w:sz w:val="18"/>
                <w:szCs w:val="18"/>
              </w:rPr>
            </w:pPr>
            <w:r>
              <w:rPr>
                <w:rFonts w:ascii="宋体" w:hAnsi="宋体" w:cs="宋体" w:eastAsia="宋体" w:hint="default"/>
                <w:sz w:val="18"/>
                <w:szCs w:val="18"/>
              </w:rPr>
              <w:t>被中国证监会立 案调查或行政处 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3" w:right="72"/>
              <w:jc w:val="left"/>
              <w:rPr>
                <w:rFonts w:ascii="宋体" w:hAnsi="宋体" w:cs="宋体" w:eastAsia="宋体" w:hint="default"/>
                <w:sz w:val="18"/>
                <w:szCs w:val="18"/>
              </w:rPr>
            </w:pPr>
            <w:r>
              <w:rPr>
                <w:rFonts w:ascii="宋体" w:hAnsi="宋体" w:cs="宋体" w:eastAsia="宋体" w:hint="default"/>
                <w:sz w:val="18"/>
                <w:szCs w:val="18"/>
              </w:rPr>
              <w:t>紫鑫药业的上述 行为违反了《证 券法》第六十三 条关于上市公司 依法披露的信 息，必须真实、 准确和完整，不 得有虚假记载、 误导性陈述或者 重大遗漏的规 定，构成了《证</w:t>
            </w:r>
          </w:p>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券法》第一百九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477" w:lineRule="auto"/>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关于受到中国证 监会行政处罚的 公告</w:t>
            </w:r>
            <w:r>
              <w:rPr>
                <w:rFonts w:ascii="Times New Roman" w:hAnsi="Times New Roman" w:cs="Times New Roman" w:eastAsia="Times New Roman" w:hint="default"/>
                <w:sz w:val="18"/>
                <w:szCs w:val="18"/>
              </w:rPr>
              <w:t>(2014-008)</w:t>
            </w:r>
          </w:p>
          <w:p>
            <w:pPr>
              <w:pStyle w:val="TableParagraph"/>
              <w:spacing w:line="240" w:lineRule="auto" w:before="21"/>
              <w:ind w:left="22" w:right="0"/>
              <w:jc w:val="both"/>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451" w:lineRule="auto"/>
              <w:ind w:left="22" w:right="54"/>
              <w:jc w:val="both"/>
              <w:rPr>
                <w:rFonts w:ascii="宋体" w:hAnsi="宋体" w:cs="宋体" w:eastAsia="宋体" w:hint="default"/>
                <w:sz w:val="18"/>
                <w:szCs w:val="18"/>
              </w:rPr>
            </w:pPr>
            <w:r>
              <w:rPr>
                <w:rFonts w:ascii="宋体" w:hAnsi="宋体" w:cs="宋体" w:eastAsia="宋体" w:hint="default"/>
                <w:spacing w:val="-2"/>
                <w:sz w:val="18"/>
                <w:szCs w:val="18"/>
              </w:rPr>
              <w:t>（</w:t>
            </w:r>
            <w:hyperlink r:id="rId12">
              <w:r>
                <w:rPr>
                  <w:rFonts w:ascii="Times New Roman" w:hAnsi="Times New Roman" w:cs="Times New Roman" w:eastAsia="Times New Roman" w:hint="default"/>
                  <w:spacing w:val="-2"/>
                  <w:sz w:val="18"/>
                  <w:szCs w:val="18"/>
                </w:rPr>
                <w:t>www.cninfo.co</w:t>
              </w:r>
            </w:hyperlink>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tc>
      </w:tr>
    </w:tbl>
    <w:p>
      <w:pPr>
        <w:spacing w:after="0" w:line="451"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795"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72"/>
              <w:jc w:val="left"/>
              <w:rPr>
                <w:rFonts w:ascii="宋体" w:hAnsi="宋体" w:cs="宋体" w:eastAsia="宋体" w:hint="default"/>
                <w:sz w:val="18"/>
                <w:szCs w:val="18"/>
              </w:rPr>
            </w:pPr>
            <w:r>
              <w:rPr>
                <w:rFonts w:ascii="宋体" w:hAnsi="宋体" w:cs="宋体" w:eastAsia="宋体" w:hint="default"/>
                <w:sz w:val="18"/>
                <w:szCs w:val="18"/>
              </w:rPr>
              <w:t>参贸易有限公 司、通化振豪人 参贸易有限公 司、吉林正德药 业有限公司的关 联关系和关联交 易。</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472" w:lineRule="auto" w:before="88"/>
              <w:ind w:left="23" w:right="72"/>
              <w:jc w:val="both"/>
              <w:rPr>
                <w:rFonts w:ascii="宋体" w:hAnsi="宋体" w:cs="宋体" w:eastAsia="宋体" w:hint="default"/>
                <w:sz w:val="18"/>
                <w:szCs w:val="18"/>
              </w:rPr>
            </w:pPr>
            <w:r>
              <w:rPr>
                <w:rFonts w:ascii="宋体" w:hAnsi="宋体" w:cs="宋体" w:eastAsia="宋体" w:hint="default"/>
                <w:sz w:val="18"/>
                <w:szCs w:val="18"/>
              </w:rPr>
              <w:t>十三条所述的上 市公司报送的报 告有虚假记载、 误导性陈述或者 重大遗漏的违法 行为；给予曹恩 辉警告并处以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万元罚款。</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945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祖春香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紫鑫药业未在</w:t>
            </w: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475" w:lineRule="auto"/>
              <w:ind w:left="22" w:right="2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 告》中披露与延 边耀宇人参贸易 有限责任公司、 延边劲辉人参贸 易有限责任公 司、延边欣鑫人 参贸易有限责任 公司、通化伟诚 人参贸易有限公 司、通化嘉熙人 参贸易有限公 司、通化振豪人</w:t>
            </w:r>
          </w:p>
          <w:p>
            <w:pPr>
              <w:pStyle w:val="TableParagraph"/>
              <w:spacing w:line="477" w:lineRule="auto" w:before="56"/>
              <w:ind w:left="22" w:right="72"/>
              <w:jc w:val="left"/>
              <w:rPr>
                <w:rFonts w:ascii="宋体" w:hAnsi="宋体" w:cs="宋体" w:eastAsia="宋体" w:hint="default"/>
                <w:sz w:val="18"/>
                <w:szCs w:val="18"/>
              </w:rPr>
            </w:pPr>
            <w:r>
              <w:rPr>
                <w:rFonts w:ascii="宋体" w:hAnsi="宋体" w:cs="宋体" w:eastAsia="宋体" w:hint="default"/>
                <w:sz w:val="18"/>
                <w:szCs w:val="18"/>
              </w:rPr>
              <w:t>参贸易有限公 司、吉林正德药 业有限公司的关 联关系和关联交 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477" w:lineRule="auto"/>
              <w:ind w:left="22" w:right="72"/>
              <w:jc w:val="both"/>
              <w:rPr>
                <w:rFonts w:ascii="宋体" w:hAnsi="宋体" w:cs="宋体" w:eastAsia="宋体" w:hint="default"/>
                <w:sz w:val="18"/>
                <w:szCs w:val="18"/>
              </w:rPr>
            </w:pPr>
            <w:r>
              <w:rPr>
                <w:rFonts w:ascii="宋体" w:hAnsi="宋体" w:cs="宋体" w:eastAsia="宋体" w:hint="default"/>
                <w:sz w:val="18"/>
                <w:szCs w:val="18"/>
              </w:rPr>
              <w:t>被中国证监会立 案调查或行政处 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29"/>
              <w:ind w:left="23" w:right="72"/>
              <w:jc w:val="left"/>
              <w:rPr>
                <w:rFonts w:ascii="宋体" w:hAnsi="宋体" w:cs="宋体" w:eastAsia="宋体" w:hint="default"/>
                <w:sz w:val="18"/>
                <w:szCs w:val="18"/>
              </w:rPr>
            </w:pPr>
            <w:r>
              <w:rPr>
                <w:rFonts w:ascii="宋体" w:hAnsi="宋体" w:cs="宋体" w:eastAsia="宋体" w:hint="default"/>
                <w:sz w:val="18"/>
                <w:szCs w:val="18"/>
              </w:rPr>
              <w:t>紫鑫药业的上述 行为违反了《证 券法》第六十三 条关于上市公司 依法披露的信 息，必须真实、 准确和完整，不 得有虚假记载、 误导性陈述或者 重大遗漏的规 定，构成了《证 券法》第一百九 十三条所述的上 市公司报送的报 告有虚假记载、 误导性陈述或者 重大遗漏的违法 行为；给予祖春 香警告并处以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万元罚款。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475" w:lineRule="auto"/>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关于受到中国证 监会行政处罚的 公告</w:t>
            </w:r>
            <w:r>
              <w:rPr>
                <w:rFonts w:ascii="Times New Roman" w:hAnsi="Times New Roman" w:cs="Times New Roman" w:eastAsia="Times New Roman" w:hint="default"/>
                <w:sz w:val="18"/>
                <w:szCs w:val="18"/>
              </w:rPr>
              <w:t>(2014-008)</w:t>
            </w:r>
          </w:p>
          <w:p>
            <w:pPr>
              <w:pStyle w:val="TableParagraph"/>
              <w:spacing w:line="240" w:lineRule="auto" w:before="23"/>
              <w:ind w:left="22" w:right="0"/>
              <w:jc w:val="both"/>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451" w:lineRule="auto"/>
              <w:ind w:left="22" w:right="54"/>
              <w:jc w:val="both"/>
              <w:rPr>
                <w:rFonts w:ascii="宋体" w:hAnsi="宋体" w:cs="宋体" w:eastAsia="宋体" w:hint="default"/>
                <w:sz w:val="18"/>
                <w:szCs w:val="18"/>
              </w:rPr>
            </w:pPr>
            <w:r>
              <w:rPr>
                <w:rFonts w:ascii="宋体" w:hAnsi="宋体" w:cs="宋体" w:eastAsia="宋体" w:hint="default"/>
                <w:spacing w:val="-2"/>
                <w:sz w:val="18"/>
                <w:szCs w:val="18"/>
              </w:rPr>
              <w:t>（</w:t>
            </w:r>
            <w:hyperlink r:id="rId12">
              <w:r>
                <w:rPr>
                  <w:rFonts w:ascii="Times New Roman" w:hAnsi="Times New Roman" w:cs="Times New Roman" w:eastAsia="Times New Roman" w:hint="default"/>
                  <w:spacing w:val="-2"/>
                  <w:sz w:val="18"/>
                  <w:szCs w:val="18"/>
                </w:rPr>
                <w:t>www.cninfo.co</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殷金龙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 w:right="0"/>
              <w:jc w:val="left"/>
              <w:rPr>
                <w:rFonts w:ascii="宋体" w:hAnsi="宋体" w:cs="宋体" w:eastAsia="宋体" w:hint="default"/>
                <w:sz w:val="18"/>
                <w:szCs w:val="18"/>
              </w:rPr>
            </w:pPr>
            <w:r>
              <w:rPr>
                <w:rFonts w:ascii="宋体" w:hAnsi="宋体" w:cs="宋体" w:eastAsia="宋体" w:hint="default"/>
                <w:sz w:val="18"/>
                <w:szCs w:val="18"/>
              </w:rPr>
              <w:t>紫鑫药业未在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 w:right="0"/>
              <w:jc w:val="left"/>
              <w:rPr>
                <w:rFonts w:ascii="宋体" w:hAnsi="宋体" w:cs="宋体" w:eastAsia="宋体" w:hint="default"/>
                <w:sz w:val="18"/>
                <w:szCs w:val="18"/>
              </w:rPr>
            </w:pPr>
            <w:r>
              <w:rPr>
                <w:rFonts w:ascii="宋体" w:hAnsi="宋体" w:cs="宋体" w:eastAsia="宋体" w:hint="default"/>
                <w:sz w:val="18"/>
                <w:szCs w:val="18"/>
              </w:rPr>
              <w:t>被中国证监会立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3" w:right="0"/>
              <w:jc w:val="left"/>
              <w:rPr>
                <w:rFonts w:ascii="宋体" w:hAnsi="宋体" w:cs="宋体" w:eastAsia="宋体" w:hint="default"/>
                <w:sz w:val="18"/>
                <w:szCs w:val="18"/>
              </w:rPr>
            </w:pPr>
            <w:r>
              <w:rPr>
                <w:rFonts w:ascii="宋体" w:hAnsi="宋体" w:cs="宋体" w:eastAsia="宋体" w:hint="default"/>
                <w:sz w:val="18"/>
                <w:szCs w:val="18"/>
              </w:rPr>
              <w:t>紫鑫药业的上述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 w:right="0"/>
              <w:jc w:val="left"/>
              <w:rPr>
                <w:rFonts w:ascii="宋体" w:hAnsi="宋体" w:cs="宋体" w:eastAsia="宋体" w:hint="default"/>
                <w:sz w:val="18"/>
                <w:szCs w:val="18"/>
              </w:rPr>
            </w:pPr>
            <w:r>
              <w:rPr>
                <w:rFonts w:ascii="宋体" w:hAnsi="宋体" w:cs="宋体" w:eastAsia="宋体" w:hint="default"/>
                <w:sz w:val="18"/>
                <w:szCs w:val="18"/>
              </w:rPr>
              <w:t>关于受到中国证</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8943"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88"/>
              <w:ind w:left="22" w:right="2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 告》中披露与延 边耀宇人参贸易 有限责任公司、 延边劲辉人参贸 易有限责任公 司、延边欣鑫人 参贸易有限责任 公司、通化伟诚 人参贸易有限公 司、通化嘉熙人 参贸易有限公</w:t>
            </w:r>
          </w:p>
          <w:p>
            <w:pPr>
              <w:pStyle w:val="TableParagraph"/>
              <w:spacing w:line="477" w:lineRule="auto" w:before="56"/>
              <w:ind w:left="22" w:right="72"/>
              <w:jc w:val="left"/>
              <w:rPr>
                <w:rFonts w:ascii="宋体" w:hAnsi="宋体" w:cs="宋体" w:eastAsia="宋体" w:hint="default"/>
                <w:sz w:val="18"/>
                <w:szCs w:val="18"/>
              </w:rPr>
            </w:pPr>
            <w:r>
              <w:rPr>
                <w:rFonts w:ascii="宋体" w:hAnsi="宋体" w:cs="宋体" w:eastAsia="宋体" w:hint="default"/>
                <w:sz w:val="18"/>
                <w:szCs w:val="18"/>
              </w:rPr>
              <w:t>司、通化振豪人 参贸易有限公 司、吉林正德药 业有限公司的关 联关系和关联交 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72"/>
              <w:jc w:val="left"/>
              <w:rPr>
                <w:rFonts w:ascii="宋体" w:hAnsi="宋体" w:cs="宋体" w:eastAsia="宋体" w:hint="default"/>
                <w:sz w:val="18"/>
                <w:szCs w:val="18"/>
              </w:rPr>
            </w:pPr>
            <w:r>
              <w:rPr>
                <w:rFonts w:ascii="宋体" w:hAnsi="宋体" w:cs="宋体" w:eastAsia="宋体" w:hint="default"/>
                <w:sz w:val="18"/>
                <w:szCs w:val="18"/>
              </w:rPr>
              <w:t>案调查或行政处 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88"/>
              <w:ind w:left="23" w:right="72"/>
              <w:jc w:val="left"/>
              <w:rPr>
                <w:rFonts w:ascii="宋体" w:hAnsi="宋体" w:cs="宋体" w:eastAsia="宋体" w:hint="default"/>
                <w:sz w:val="18"/>
                <w:szCs w:val="18"/>
              </w:rPr>
            </w:pPr>
            <w:r>
              <w:rPr>
                <w:rFonts w:ascii="宋体" w:hAnsi="宋体" w:cs="宋体" w:eastAsia="宋体" w:hint="default"/>
                <w:sz w:val="18"/>
                <w:szCs w:val="18"/>
              </w:rPr>
              <w:t>行为违反了《证 券法》第六十三 条关于上市公司 依法披露的信 息，必须真实、 准确和完整，不 得有虚假记载、 误导性陈述或者 重大遗漏的规 定，构成了《证 券法》第一百九 十三条所述的上 市公司报送的报 告有虚假记载、 误导性陈述或者 重大遗漏的违法 行为；给予殷金 龙警告并处以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万元罚款。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监会行政处罚的 公告</w:t>
            </w:r>
            <w:r>
              <w:rPr>
                <w:rFonts w:ascii="Times New Roman" w:hAnsi="Times New Roman" w:cs="Times New Roman" w:eastAsia="Times New Roman" w:hint="default"/>
                <w:sz w:val="18"/>
                <w:szCs w:val="18"/>
              </w:rPr>
              <w:t>(2014-008)</w:t>
            </w:r>
          </w:p>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451" w:lineRule="auto"/>
              <w:ind w:left="22" w:right="54"/>
              <w:jc w:val="left"/>
              <w:rPr>
                <w:rFonts w:ascii="宋体" w:hAnsi="宋体" w:cs="宋体" w:eastAsia="宋体" w:hint="default"/>
                <w:sz w:val="18"/>
                <w:szCs w:val="18"/>
              </w:rPr>
            </w:pPr>
            <w:r>
              <w:rPr>
                <w:rFonts w:ascii="宋体" w:hAnsi="宋体" w:cs="宋体" w:eastAsia="宋体" w:hint="default"/>
                <w:spacing w:val="-2"/>
                <w:sz w:val="18"/>
                <w:szCs w:val="18"/>
              </w:rPr>
              <w:t>（</w:t>
            </w:r>
            <w:hyperlink r:id="rId12">
              <w:r>
                <w:rPr>
                  <w:rFonts w:ascii="Times New Roman" w:hAnsi="Times New Roman" w:cs="Times New Roman" w:eastAsia="Times New Roman" w:hint="default"/>
                  <w:spacing w:val="-2"/>
                  <w:sz w:val="18"/>
                  <w:szCs w:val="18"/>
                </w:rPr>
                <w:t>www.cninfo.co</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tc>
      </w:tr>
      <w:tr>
        <w:trPr>
          <w:trHeight w:val="473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李飞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紫鑫药业未在</w:t>
            </w: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472" w:lineRule="auto"/>
              <w:ind w:left="22" w:right="2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 告》中披露与延 边耀宇人参贸易 有限责任公司、 延边劲辉人参贸 易有限责任公 司、延边欣鑫人 参贸易有限责任</w:t>
            </w:r>
          </w:p>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公司、通化伟诚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477" w:lineRule="auto"/>
              <w:ind w:left="22" w:right="72"/>
              <w:jc w:val="both"/>
              <w:rPr>
                <w:rFonts w:ascii="宋体" w:hAnsi="宋体" w:cs="宋体" w:eastAsia="宋体" w:hint="default"/>
                <w:sz w:val="18"/>
                <w:szCs w:val="18"/>
              </w:rPr>
            </w:pPr>
            <w:r>
              <w:rPr>
                <w:rFonts w:ascii="宋体" w:hAnsi="宋体" w:cs="宋体" w:eastAsia="宋体" w:hint="default"/>
                <w:sz w:val="18"/>
                <w:szCs w:val="18"/>
              </w:rPr>
              <w:t>被中国证监会立 案调查或行政处 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3" w:right="72"/>
              <w:jc w:val="left"/>
              <w:rPr>
                <w:rFonts w:ascii="宋体" w:hAnsi="宋体" w:cs="宋体" w:eastAsia="宋体" w:hint="default"/>
                <w:sz w:val="18"/>
                <w:szCs w:val="18"/>
              </w:rPr>
            </w:pPr>
            <w:r>
              <w:rPr>
                <w:rFonts w:ascii="宋体" w:hAnsi="宋体" w:cs="宋体" w:eastAsia="宋体" w:hint="default"/>
                <w:sz w:val="18"/>
                <w:szCs w:val="18"/>
              </w:rPr>
              <w:t>紫鑫药业的上述 行为违反了《证 券法》第六十三 条关于上市公司 依法披露的信 息，必须真实、 准确和完整，不 得有虚假记载、 误导性陈述或者</w:t>
            </w:r>
          </w:p>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重大遗漏的规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477" w:lineRule="auto"/>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关于受到中国证 监会行政处罚的 公告</w:t>
            </w:r>
            <w:r>
              <w:rPr>
                <w:rFonts w:ascii="Times New Roman" w:hAnsi="Times New Roman" w:cs="Times New Roman" w:eastAsia="Times New Roman" w:hint="default"/>
                <w:sz w:val="18"/>
                <w:szCs w:val="18"/>
              </w:rPr>
              <w:t>(2014-008)</w:t>
            </w:r>
          </w:p>
          <w:p>
            <w:pPr>
              <w:pStyle w:val="TableParagraph"/>
              <w:spacing w:line="240" w:lineRule="auto" w:before="21"/>
              <w:ind w:left="22" w:right="0"/>
              <w:jc w:val="both"/>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451" w:lineRule="auto"/>
              <w:ind w:left="22" w:right="54"/>
              <w:jc w:val="both"/>
              <w:rPr>
                <w:rFonts w:ascii="宋体" w:hAnsi="宋体" w:cs="宋体" w:eastAsia="宋体" w:hint="default"/>
                <w:sz w:val="18"/>
                <w:szCs w:val="18"/>
              </w:rPr>
            </w:pPr>
            <w:r>
              <w:rPr>
                <w:rFonts w:ascii="宋体" w:hAnsi="宋体" w:cs="宋体" w:eastAsia="宋体" w:hint="default"/>
                <w:spacing w:val="-2"/>
                <w:sz w:val="18"/>
                <w:szCs w:val="18"/>
              </w:rPr>
              <w:t>（</w:t>
            </w:r>
            <w:hyperlink r:id="rId12">
              <w:r>
                <w:rPr>
                  <w:rFonts w:ascii="Times New Roman" w:hAnsi="Times New Roman" w:cs="Times New Roman" w:eastAsia="Times New Roman" w:hint="default"/>
                  <w:spacing w:val="-2"/>
                  <w:sz w:val="18"/>
                  <w:szCs w:val="18"/>
                </w:rPr>
                <w:t>www.cninfo.co</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tc>
      </w:tr>
    </w:tbl>
    <w:p>
      <w:pPr>
        <w:spacing w:after="0" w:line="451"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731"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72"/>
              <w:jc w:val="left"/>
              <w:rPr>
                <w:rFonts w:ascii="宋体" w:hAnsi="宋体" w:cs="宋体" w:eastAsia="宋体" w:hint="default"/>
                <w:sz w:val="18"/>
                <w:szCs w:val="18"/>
              </w:rPr>
            </w:pPr>
            <w:r>
              <w:rPr>
                <w:rFonts w:ascii="宋体" w:hAnsi="宋体" w:cs="宋体" w:eastAsia="宋体" w:hint="default"/>
                <w:sz w:val="18"/>
                <w:szCs w:val="18"/>
              </w:rPr>
              <w:t>人参贸易有限公 司、通化嘉熙人 参贸易有限公 司、通化振豪人 参贸易有限公 司、吉林正德药 业有限公司的关 联关系和关联交 易。</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88"/>
              <w:ind w:left="23" w:right="72"/>
              <w:jc w:val="both"/>
              <w:rPr>
                <w:rFonts w:ascii="宋体" w:hAnsi="宋体" w:cs="宋体" w:eastAsia="宋体" w:hint="default"/>
                <w:sz w:val="18"/>
                <w:szCs w:val="18"/>
              </w:rPr>
            </w:pPr>
            <w:r>
              <w:rPr>
                <w:rFonts w:ascii="宋体" w:hAnsi="宋体" w:cs="宋体" w:eastAsia="宋体" w:hint="default"/>
                <w:sz w:val="18"/>
                <w:szCs w:val="18"/>
              </w:rPr>
              <w:t>定，构成了《证 券法》第一百九 十三条所述的上 市公司报送的报 告有虚假记载、 误导性陈述或者 重大遗漏的违法 行为；给予李飞 警告并处以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万 元罚款。</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898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紫鑫药业未在</w:t>
            </w: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475" w:lineRule="auto"/>
              <w:ind w:left="22" w:right="2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 告》中披露与延 边耀宇人参贸易 有限责任公司、 延边劲辉人参贸 易有限责任公 司、延边欣鑫人 参贸易有限责任 公司、通化伟诚 人参贸易有限公 司、通化嘉熙人 参贸易有限公 司、通化振豪人</w:t>
            </w:r>
          </w:p>
          <w:p>
            <w:pPr>
              <w:pStyle w:val="TableParagraph"/>
              <w:spacing w:line="477" w:lineRule="auto" w:before="56"/>
              <w:ind w:left="22" w:right="72"/>
              <w:jc w:val="left"/>
              <w:rPr>
                <w:rFonts w:ascii="宋体" w:hAnsi="宋体" w:cs="宋体" w:eastAsia="宋体" w:hint="default"/>
                <w:sz w:val="18"/>
                <w:szCs w:val="18"/>
              </w:rPr>
            </w:pPr>
            <w:r>
              <w:rPr>
                <w:rFonts w:ascii="宋体" w:hAnsi="宋体" w:cs="宋体" w:eastAsia="宋体" w:hint="default"/>
                <w:sz w:val="18"/>
                <w:szCs w:val="18"/>
              </w:rPr>
              <w:t>参贸易有限公 司、吉林正德药 业有限公司的关 联关系和关联交 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48"/>
              <w:ind w:left="22" w:right="72"/>
              <w:jc w:val="both"/>
              <w:rPr>
                <w:rFonts w:ascii="宋体" w:hAnsi="宋体" w:cs="宋体" w:eastAsia="宋体" w:hint="default"/>
                <w:sz w:val="18"/>
                <w:szCs w:val="18"/>
              </w:rPr>
            </w:pPr>
            <w:r>
              <w:rPr>
                <w:rFonts w:ascii="宋体" w:hAnsi="宋体" w:cs="宋体" w:eastAsia="宋体" w:hint="default"/>
                <w:sz w:val="18"/>
                <w:szCs w:val="18"/>
              </w:rPr>
              <w:t>被中国证监会立 案调查或行政处 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49"/>
              <w:ind w:left="23" w:right="72"/>
              <w:jc w:val="left"/>
              <w:rPr>
                <w:rFonts w:ascii="宋体" w:hAnsi="宋体" w:cs="宋体" w:eastAsia="宋体" w:hint="default"/>
                <w:sz w:val="18"/>
                <w:szCs w:val="18"/>
              </w:rPr>
            </w:pPr>
            <w:r>
              <w:rPr>
                <w:rFonts w:ascii="宋体" w:hAnsi="宋体" w:cs="宋体" w:eastAsia="宋体" w:hint="default"/>
                <w:sz w:val="18"/>
                <w:szCs w:val="18"/>
              </w:rPr>
              <w:t>紫鑫药业的上述 行为违反了《证 券法》第六十三 条关于上市公司 依法披露的信 息，必须真实、 准确和完整，不 得有虚假记载、 误导性陈述或者 重大遗漏的规 定，构成了《证 券法》第一百九 十三条所述的上 市公司报送的报 告有虚假记载、 误导性陈述或者 重大遗漏的违法 行为；给予方勇</w:t>
            </w:r>
          </w:p>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警告并处以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475" w:lineRule="auto"/>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关于受到中国证 监会行政处罚的 公告</w:t>
            </w:r>
            <w:r>
              <w:rPr>
                <w:rFonts w:ascii="Times New Roman" w:hAnsi="Times New Roman" w:cs="Times New Roman" w:eastAsia="Times New Roman" w:hint="default"/>
                <w:sz w:val="18"/>
                <w:szCs w:val="18"/>
              </w:rPr>
              <w:t>(2014-008)</w:t>
            </w:r>
          </w:p>
          <w:p>
            <w:pPr>
              <w:pStyle w:val="TableParagraph"/>
              <w:spacing w:line="240" w:lineRule="auto" w:before="23"/>
              <w:ind w:left="22" w:right="0"/>
              <w:jc w:val="both"/>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451" w:lineRule="auto"/>
              <w:ind w:left="22" w:right="54"/>
              <w:jc w:val="both"/>
              <w:rPr>
                <w:rFonts w:ascii="宋体" w:hAnsi="宋体" w:cs="宋体" w:eastAsia="宋体" w:hint="default"/>
                <w:sz w:val="18"/>
                <w:szCs w:val="18"/>
              </w:rPr>
            </w:pPr>
            <w:r>
              <w:rPr>
                <w:rFonts w:ascii="宋体" w:hAnsi="宋体" w:cs="宋体" w:eastAsia="宋体" w:hint="default"/>
                <w:spacing w:val="-2"/>
                <w:sz w:val="18"/>
                <w:szCs w:val="18"/>
              </w:rPr>
              <w:t>（</w:t>
            </w:r>
            <w:hyperlink r:id="rId12">
              <w:r>
                <w:rPr>
                  <w:rFonts w:ascii="Times New Roman" w:hAnsi="Times New Roman" w:cs="Times New Roman" w:eastAsia="Times New Roman" w:hint="default"/>
                  <w:spacing w:val="-2"/>
                  <w:sz w:val="18"/>
                  <w:szCs w:val="18"/>
                </w:rPr>
                <w:t>www.cninfo.co</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tc>
      </w:tr>
    </w:tbl>
    <w:p>
      <w:pPr>
        <w:spacing w:after="0" w:line="451"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518"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元罚款。</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945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紫鑫药业未在</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475" w:lineRule="auto"/>
              <w:ind w:left="22" w:right="2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 告》中披露与延 边耀宇人参贸易 有限责任公司、 延边劲辉人参贸 易有限责任公 司、延边欣鑫人 参贸易有限责任 公司、通化伟诚 人参贸易有限公 司、通化嘉熙人 参贸易有限公 司、通化振豪人</w:t>
            </w:r>
          </w:p>
          <w:p>
            <w:pPr>
              <w:pStyle w:val="TableParagraph"/>
              <w:spacing w:line="477" w:lineRule="auto" w:before="56"/>
              <w:ind w:left="22" w:right="72"/>
              <w:jc w:val="left"/>
              <w:rPr>
                <w:rFonts w:ascii="宋体" w:hAnsi="宋体" w:cs="宋体" w:eastAsia="宋体" w:hint="default"/>
                <w:sz w:val="18"/>
                <w:szCs w:val="18"/>
              </w:rPr>
            </w:pPr>
            <w:r>
              <w:rPr>
                <w:rFonts w:ascii="宋体" w:hAnsi="宋体" w:cs="宋体" w:eastAsia="宋体" w:hint="default"/>
                <w:sz w:val="18"/>
                <w:szCs w:val="18"/>
              </w:rPr>
              <w:t>参贸易有限公 司、吉林正德药 业有限公司的关 联关系和关联交 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477" w:lineRule="auto"/>
              <w:ind w:left="22" w:right="72"/>
              <w:jc w:val="both"/>
              <w:rPr>
                <w:rFonts w:ascii="宋体" w:hAnsi="宋体" w:cs="宋体" w:eastAsia="宋体" w:hint="default"/>
                <w:sz w:val="18"/>
                <w:szCs w:val="18"/>
              </w:rPr>
            </w:pPr>
            <w:r>
              <w:rPr>
                <w:rFonts w:ascii="宋体" w:hAnsi="宋体" w:cs="宋体" w:eastAsia="宋体" w:hint="default"/>
                <w:sz w:val="18"/>
                <w:szCs w:val="18"/>
              </w:rPr>
              <w:t>被中国证监会立 案调查或行政处 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29"/>
              <w:ind w:left="23" w:right="72"/>
              <w:jc w:val="left"/>
              <w:rPr>
                <w:rFonts w:ascii="宋体" w:hAnsi="宋体" w:cs="宋体" w:eastAsia="宋体" w:hint="default"/>
                <w:sz w:val="18"/>
                <w:szCs w:val="18"/>
              </w:rPr>
            </w:pPr>
            <w:r>
              <w:rPr>
                <w:rFonts w:ascii="宋体" w:hAnsi="宋体" w:cs="宋体" w:eastAsia="宋体" w:hint="default"/>
                <w:sz w:val="18"/>
                <w:szCs w:val="18"/>
              </w:rPr>
              <w:t>紫鑫药业的上述 行为违反了《证 券法》第六十三 条关于上市公司 依法披露的信 息，必须真实、 准确和完整，不 得有虚假记载、 误导性陈述或者 重大遗漏的规 定，构成了《证 券法》第一百九 十三条所述的上 市公司报送的报 告有虚假记载、 误导性陈述或者 重大遗漏的违法 行为；给予韩明 警告并处以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万 元罚款。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475" w:lineRule="auto"/>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关于受到中国证 监会行政处罚的 公告</w:t>
            </w:r>
            <w:r>
              <w:rPr>
                <w:rFonts w:ascii="Times New Roman" w:hAnsi="Times New Roman" w:cs="Times New Roman" w:eastAsia="Times New Roman" w:hint="default"/>
                <w:sz w:val="18"/>
                <w:szCs w:val="18"/>
              </w:rPr>
              <w:t>(2014-008)</w:t>
            </w:r>
          </w:p>
          <w:p>
            <w:pPr>
              <w:pStyle w:val="TableParagraph"/>
              <w:spacing w:line="240" w:lineRule="auto" w:before="23"/>
              <w:ind w:left="22" w:right="0"/>
              <w:jc w:val="both"/>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451" w:lineRule="auto"/>
              <w:ind w:left="22" w:right="54"/>
              <w:jc w:val="both"/>
              <w:rPr>
                <w:rFonts w:ascii="宋体" w:hAnsi="宋体" w:cs="宋体" w:eastAsia="宋体" w:hint="default"/>
                <w:sz w:val="18"/>
                <w:szCs w:val="18"/>
              </w:rPr>
            </w:pPr>
            <w:r>
              <w:rPr>
                <w:rFonts w:ascii="宋体" w:hAnsi="宋体" w:cs="宋体" w:eastAsia="宋体" w:hint="default"/>
                <w:spacing w:val="-2"/>
                <w:sz w:val="18"/>
                <w:szCs w:val="18"/>
              </w:rPr>
              <w:t>（</w:t>
            </w:r>
            <w:hyperlink r:id="rId12">
              <w:r>
                <w:rPr>
                  <w:rFonts w:ascii="Times New Roman" w:hAnsi="Times New Roman" w:cs="Times New Roman" w:eastAsia="Times New Roman" w:hint="default"/>
                  <w:spacing w:val="-2"/>
                  <w:sz w:val="18"/>
                  <w:szCs w:val="18"/>
                </w:rPr>
                <w:t>www.cninfo.co</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tc>
      </w:tr>
      <w:tr>
        <w:trPr>
          <w:trHeight w:val="379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徐吉峰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both"/>
              <w:rPr>
                <w:rFonts w:ascii="宋体" w:hAnsi="宋体" w:cs="宋体" w:eastAsia="宋体" w:hint="default"/>
                <w:sz w:val="18"/>
                <w:szCs w:val="18"/>
              </w:rPr>
            </w:pPr>
            <w:r>
              <w:rPr>
                <w:rFonts w:ascii="宋体" w:hAnsi="宋体" w:cs="宋体" w:eastAsia="宋体" w:hint="default"/>
                <w:sz w:val="18"/>
                <w:szCs w:val="18"/>
              </w:rPr>
              <w:t>紫鑫药业未在</w:t>
            </w: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472" w:lineRule="auto"/>
              <w:ind w:left="22" w:right="2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 告》中披露与延 边耀宇人参贸易 有限责任公司、 延边劲辉人参贸 易有限责任公</w:t>
            </w:r>
          </w:p>
          <w:p>
            <w:pPr>
              <w:pStyle w:val="TableParagraph"/>
              <w:spacing w:line="240" w:lineRule="auto" w:before="58"/>
              <w:ind w:left="22" w:right="0"/>
              <w:jc w:val="both"/>
              <w:rPr>
                <w:rFonts w:ascii="宋体" w:hAnsi="宋体" w:cs="宋体" w:eastAsia="宋体" w:hint="default"/>
                <w:sz w:val="18"/>
                <w:szCs w:val="18"/>
              </w:rPr>
            </w:pPr>
            <w:r>
              <w:rPr>
                <w:rFonts w:ascii="宋体" w:hAnsi="宋体" w:cs="宋体" w:eastAsia="宋体" w:hint="default"/>
                <w:sz w:val="18"/>
                <w:szCs w:val="18"/>
              </w:rPr>
              <w:t>司、延边欣鑫人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477" w:lineRule="auto"/>
              <w:ind w:left="22" w:right="72"/>
              <w:jc w:val="both"/>
              <w:rPr>
                <w:rFonts w:ascii="宋体" w:hAnsi="宋体" w:cs="宋体" w:eastAsia="宋体" w:hint="default"/>
                <w:sz w:val="18"/>
                <w:szCs w:val="18"/>
              </w:rPr>
            </w:pPr>
            <w:r>
              <w:rPr>
                <w:rFonts w:ascii="宋体" w:hAnsi="宋体" w:cs="宋体" w:eastAsia="宋体" w:hint="default"/>
                <w:sz w:val="18"/>
                <w:szCs w:val="18"/>
              </w:rPr>
              <w:t>被中国证监会立 案调查或行政处 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3" w:right="72"/>
              <w:jc w:val="left"/>
              <w:rPr>
                <w:rFonts w:ascii="宋体" w:hAnsi="宋体" w:cs="宋体" w:eastAsia="宋体" w:hint="default"/>
                <w:sz w:val="18"/>
                <w:szCs w:val="18"/>
              </w:rPr>
            </w:pPr>
            <w:r>
              <w:rPr>
                <w:rFonts w:ascii="宋体" w:hAnsi="宋体" w:cs="宋体" w:eastAsia="宋体" w:hint="default"/>
                <w:sz w:val="18"/>
                <w:szCs w:val="18"/>
              </w:rPr>
              <w:t>紫鑫药业的上述 行为违反了《证 券法》第六十三 条关于上市公司 依法披露的信 息，必须真实、 准确和完整，不</w:t>
            </w:r>
          </w:p>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得有虚假记载、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477" w:lineRule="auto"/>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关于受到中国证 监会行政处罚的 公告</w:t>
            </w:r>
            <w:r>
              <w:rPr>
                <w:rFonts w:ascii="Times New Roman" w:hAnsi="Times New Roman" w:cs="Times New Roman" w:eastAsia="Times New Roman" w:hint="default"/>
                <w:sz w:val="18"/>
                <w:szCs w:val="18"/>
              </w:rPr>
              <w:t>(2014-008)</w:t>
            </w:r>
          </w:p>
          <w:p>
            <w:pPr>
              <w:pStyle w:val="TableParagraph"/>
              <w:spacing w:line="240" w:lineRule="auto" w:before="21"/>
              <w:ind w:left="22" w:right="0"/>
              <w:jc w:val="both"/>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451" w:lineRule="auto"/>
              <w:ind w:left="22" w:right="54"/>
              <w:jc w:val="both"/>
              <w:rPr>
                <w:rFonts w:ascii="宋体" w:hAnsi="宋体" w:cs="宋体" w:eastAsia="宋体" w:hint="default"/>
                <w:sz w:val="18"/>
                <w:szCs w:val="18"/>
              </w:rPr>
            </w:pPr>
            <w:r>
              <w:rPr>
                <w:rFonts w:ascii="宋体" w:hAnsi="宋体" w:cs="宋体" w:eastAsia="宋体" w:hint="default"/>
                <w:spacing w:val="-2"/>
                <w:sz w:val="18"/>
                <w:szCs w:val="18"/>
              </w:rPr>
              <w:t>（</w:t>
            </w:r>
            <w:hyperlink r:id="rId12">
              <w:r>
                <w:rPr>
                  <w:rFonts w:ascii="Times New Roman" w:hAnsi="Times New Roman" w:cs="Times New Roman" w:eastAsia="Times New Roman" w:hint="default"/>
                  <w:spacing w:val="-2"/>
                  <w:sz w:val="18"/>
                  <w:szCs w:val="18"/>
                </w:rPr>
                <w:t>www.cninfo.co</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tc>
      </w:tr>
    </w:tbl>
    <w:p>
      <w:pPr>
        <w:spacing w:after="0" w:line="451"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5667"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72"/>
              <w:jc w:val="left"/>
              <w:rPr>
                <w:rFonts w:ascii="宋体" w:hAnsi="宋体" w:cs="宋体" w:eastAsia="宋体" w:hint="default"/>
                <w:sz w:val="18"/>
                <w:szCs w:val="18"/>
              </w:rPr>
            </w:pPr>
            <w:r>
              <w:rPr>
                <w:rFonts w:ascii="宋体" w:hAnsi="宋体" w:cs="宋体" w:eastAsia="宋体" w:hint="default"/>
                <w:sz w:val="18"/>
                <w:szCs w:val="18"/>
              </w:rPr>
              <w:t>参贸易有限责任 公司、通化伟诚 人参贸易有限公 司、通化嘉熙人 参贸易有限公 司、通化振豪人 参贸易有限公 司、吉林正德药 业有限公司的关 联关系和关联交 易。</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88"/>
              <w:ind w:left="23" w:right="72"/>
              <w:jc w:val="left"/>
              <w:rPr>
                <w:rFonts w:ascii="宋体" w:hAnsi="宋体" w:cs="宋体" w:eastAsia="宋体" w:hint="default"/>
                <w:sz w:val="18"/>
                <w:szCs w:val="18"/>
              </w:rPr>
            </w:pPr>
            <w:r>
              <w:rPr>
                <w:rFonts w:ascii="宋体" w:hAnsi="宋体" w:cs="宋体" w:eastAsia="宋体" w:hint="default"/>
                <w:sz w:val="18"/>
                <w:szCs w:val="18"/>
              </w:rPr>
              <w:t>误导性陈述或者 重大遗漏的规 定，构成了《证 券法》第一百九 十三条所述的上 市公司报送的报 告有虚假记载、 误导性陈述或者 重大遗漏的违法 行为；给予徐吉 峰警告并处以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万元罚款。</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Times New Roman" w:hAnsi="Times New Roman" w:cs="Times New Roman" w:eastAsia="Times New Roman" w:hint="default"/>
          <w:sz w:val="7"/>
          <w:szCs w:val="7"/>
        </w:rPr>
      </w:pPr>
    </w:p>
    <w:p>
      <w:pPr>
        <w:spacing w:before="44"/>
        <w:ind w:left="154" w:right="0" w:firstLine="0"/>
        <w:jc w:val="both"/>
        <w:rPr>
          <w:rFonts w:ascii="宋体" w:hAnsi="宋体" w:cs="宋体" w:eastAsia="宋体" w:hint="default"/>
          <w:sz w:val="18"/>
          <w:szCs w:val="18"/>
        </w:rPr>
      </w:pPr>
      <w:r>
        <w:rPr>
          <w:rFonts w:ascii="宋体" w:hAnsi="宋体" w:cs="宋体" w:eastAsia="宋体" w:hint="default"/>
          <w:sz w:val="18"/>
          <w:szCs w:val="18"/>
        </w:rPr>
        <w:t>整改情况说明</w:t>
      </w:r>
    </w:p>
    <w:p>
      <w:pPr>
        <w:spacing w:line="240" w:lineRule="auto" w:before="12"/>
        <w:rPr>
          <w:rFonts w:ascii="宋体" w:hAnsi="宋体" w:cs="宋体" w:eastAsia="宋体" w:hint="default"/>
          <w:sz w:val="20"/>
          <w:szCs w:val="20"/>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7"/>
          <w:szCs w:val="17"/>
        </w:rPr>
      </w:pPr>
    </w:p>
    <w:p>
      <w:pPr>
        <w:pStyle w:val="BodyText"/>
        <w:spacing w:line="408" w:lineRule="auto"/>
        <w:ind w:right="0" w:firstLine="420"/>
        <w:jc w:val="left"/>
      </w:pPr>
      <w:r>
        <w:rPr>
          <w:spacing w:val="-1"/>
        </w:rPr>
        <w:t>上述人员中郭春生、曹恩辉、李飞、徐吉峰已不在公司担任任何职务；祖春香、殷金龙、韩明、方勇</w:t>
      </w:r>
      <w:r>
        <w:rPr/>
        <w:t> 已不在公司担任董事、监事、高级管理人员职务。</w:t>
      </w:r>
    </w:p>
    <w:p>
      <w:pPr>
        <w:pStyle w:val="BodyText"/>
        <w:spacing w:line="398" w:lineRule="auto" w:before="87"/>
        <w:ind w:left="154" w:right="1133"/>
        <w:jc w:val="both"/>
      </w:pPr>
      <w:r>
        <w:rPr>
          <w:spacing w:val="-1"/>
        </w:rPr>
        <w:t>处罚过后，公司认真进行整改，进一步提高规范运作意识、强化公司内部治理及信息披露管理，真实、准</w:t>
      </w:r>
      <w:r>
        <w:rPr>
          <w:spacing w:val="-83"/>
        </w:rPr>
        <w:t> </w:t>
      </w:r>
      <w:r>
        <w:rPr>
          <w:spacing w:val="-83"/>
        </w:rPr>
      </w:r>
      <w:r>
        <w:rPr/>
        <w:t>确、完整、及时地履行信息披露义务，并于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日补充更正了</w:t>
      </w:r>
      <w:r>
        <w:rPr>
          <w:rFonts w:ascii="Times New Roman" w:hAnsi="Times New Roman" w:cs="Times New Roman" w:eastAsia="Times New Roman" w:hint="default"/>
        </w:rPr>
        <w:t>2010</w:t>
      </w:r>
      <w:r>
        <w:rPr/>
        <w:t>年年度报告，详见公司在指定</w:t>
      </w:r>
      <w:r>
        <w:rPr>
          <w:spacing w:val="-31"/>
        </w:rPr>
        <w:t> </w:t>
      </w:r>
      <w:r>
        <w:rPr>
          <w:spacing w:val="-31"/>
        </w:rPr>
      </w:r>
      <w:r>
        <w:rPr/>
        <w:t>媒体巨潮资讯网（</w:t>
      </w:r>
      <w:hyperlink r:id="rId11">
        <w:r>
          <w:rPr>
            <w:rFonts w:ascii="Times New Roman" w:hAnsi="Times New Roman" w:cs="Times New Roman" w:eastAsia="Times New Roman" w:hint="default"/>
          </w:rPr>
          <w:t>www.cninfo.com.cn</w:t>
        </w:r>
      </w:hyperlink>
      <w:r>
        <w:rPr/>
        <w:t>）披露的《关于补充更正</w:t>
      </w:r>
      <w:r>
        <w:rPr>
          <w:rFonts w:ascii="Times New Roman" w:hAnsi="Times New Roman" w:cs="Times New Roman" w:eastAsia="Times New Roman" w:hint="default"/>
        </w:rPr>
        <w:t>2010</w:t>
      </w:r>
      <w:r>
        <w:rPr/>
        <w:t>年年度报告的公告》（</w:t>
      </w:r>
      <w:r>
        <w:rPr>
          <w:rFonts w:ascii="Times New Roman" w:hAnsi="Times New Roman" w:cs="Times New Roman" w:eastAsia="Times New Roman" w:hint="default"/>
        </w:rPr>
        <w:t>2014-031</w:t>
      </w:r>
      <w:r>
        <w:rPr/>
        <w:t>）</w:t>
      </w:r>
    </w:p>
    <w:p>
      <w:pPr>
        <w:spacing w:before="90"/>
        <w:ind w:left="154" w:right="0" w:firstLine="0"/>
        <w:jc w:val="both"/>
        <w:rPr>
          <w:rFonts w:ascii="宋体" w:hAnsi="宋体" w:cs="宋体" w:eastAsia="宋体" w:hint="default"/>
          <w:sz w:val="18"/>
          <w:szCs w:val="18"/>
        </w:rPr>
      </w:pPr>
      <w:r>
        <w:rPr>
          <w:rFonts w:ascii="宋体" w:hAnsi="宋体" w:cs="宋体" w:eastAsia="宋体" w:hint="default"/>
          <w:sz w:val="18"/>
          <w:szCs w:val="18"/>
        </w:rPr>
        <w:t>董事、监事、高级管理人员、持股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以上的股东涉嫌违规买卖公司股票且公司已披露将收回涉嫌违规所得收益的情况</w:t>
      </w:r>
    </w:p>
    <w:p>
      <w:pPr>
        <w:spacing w:line="240" w:lineRule="auto" w:before="10"/>
        <w:rPr>
          <w:rFonts w:ascii="宋体" w:hAnsi="宋体" w:cs="宋体" w:eastAsia="宋体" w:hint="default"/>
          <w:sz w:val="19"/>
          <w:szCs w:val="19"/>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9"/>
          <w:szCs w:val="19"/>
        </w:rPr>
      </w:pPr>
    </w:p>
    <w:p>
      <w:pPr>
        <w:spacing w:line="451" w:lineRule="auto" w:before="0"/>
        <w:ind w:left="154" w:right="1115" w:firstLine="0"/>
        <w:jc w:val="left"/>
        <w:rPr>
          <w:rFonts w:ascii="宋体" w:hAnsi="宋体" w:cs="宋体" w:eastAsia="宋体" w:hint="default"/>
          <w:sz w:val="18"/>
          <w:szCs w:val="18"/>
        </w:rPr>
      </w:pPr>
      <w:r>
        <w:rPr>
          <w:rFonts w:ascii="宋体" w:hAnsi="宋体" w:cs="宋体" w:eastAsia="宋体" w:hint="default"/>
          <w:sz w:val="18"/>
          <w:szCs w:val="18"/>
        </w:rPr>
        <w:t>公司报告期不存在董事、监事、高级管理人员、持股</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以上的股东涉嫌违规买卖公司股票且公司已披露将收回涉嫌违规所 得收益的情况。</w:t>
      </w:r>
    </w:p>
    <w:p>
      <w:pPr>
        <w:spacing w:line="240" w:lineRule="auto" w:before="12"/>
        <w:rPr>
          <w:rFonts w:ascii="宋体" w:hAnsi="宋体" w:cs="宋体" w:eastAsia="宋体" w:hint="default"/>
          <w:sz w:val="24"/>
          <w:szCs w:val="24"/>
        </w:rPr>
      </w:pPr>
    </w:p>
    <w:p>
      <w:pPr>
        <w:pStyle w:val="Heading2"/>
        <w:spacing w:line="240" w:lineRule="auto"/>
        <w:ind w:left="154" w:right="0"/>
        <w:jc w:val="both"/>
        <w:rPr>
          <w:b w:val="0"/>
          <w:bCs w:val="0"/>
        </w:rPr>
      </w:pPr>
      <w:bookmarkStart w:name="十二、年度报告披露后面临暂停上市和终止上市情况" w:id="84"/>
      <w:bookmarkEnd w:id="84"/>
      <w:r>
        <w:rPr>
          <w:b w:val="0"/>
          <w:bCs w:val="0"/>
        </w:rPr>
      </w:r>
      <w:r>
        <w:rPr/>
        <w:t>十二、年度报告披露后面临暂停上市和终止上市情况</w:t>
      </w:r>
      <w:r>
        <w:rPr>
          <w:b w:val="0"/>
          <w:bCs w:val="0"/>
        </w:rPr>
      </w:r>
    </w:p>
    <w:p>
      <w:pPr>
        <w:spacing w:line="240" w:lineRule="auto" w:before="0"/>
        <w:rPr>
          <w:rFonts w:ascii="宋体" w:hAnsi="宋体" w:cs="宋体" w:eastAsia="宋体" w:hint="default"/>
          <w:b/>
          <w:bCs/>
          <w:sz w:val="24"/>
          <w:szCs w:val="24"/>
        </w:rPr>
      </w:pPr>
    </w:p>
    <w:p>
      <w:pPr>
        <w:spacing w:before="188"/>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2"/>
        <w:spacing w:line="240" w:lineRule="auto" w:before="26"/>
        <w:ind w:right="0"/>
        <w:jc w:val="left"/>
        <w:rPr>
          <w:b w:val="0"/>
          <w:bCs w:val="0"/>
        </w:rPr>
      </w:pPr>
      <w:bookmarkStart w:name="十三、其他重大事项的说明" w:id="85"/>
      <w:bookmarkEnd w:id="85"/>
      <w:r>
        <w:rPr>
          <w:b w:val="0"/>
          <w:bCs w:val="0"/>
        </w:rPr>
      </w:r>
      <w:r>
        <w:rPr/>
        <w:t>十三、其他重大事项的说明</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7"/>
          <w:szCs w:val="17"/>
        </w:rPr>
      </w:pPr>
    </w:p>
    <w:p>
      <w:pPr>
        <w:pStyle w:val="BodyText"/>
        <w:spacing w:line="240" w:lineRule="auto"/>
        <w:ind w:right="0"/>
        <w:jc w:val="left"/>
      </w:pPr>
      <w:r>
        <w:rPr/>
        <w:t>报告期内披露重要事项的相关公告明细：</w:t>
      </w:r>
    </w:p>
    <w:p>
      <w:pPr>
        <w:spacing w:line="240" w:lineRule="auto" w:before="12"/>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3970"/>
        <w:gridCol w:w="1985"/>
        <w:gridCol w:w="3686"/>
      </w:tblGrid>
      <w:tr>
        <w:trPr>
          <w:trHeight w:val="503" w:hRule="exact"/>
        </w:trPr>
        <w:tc>
          <w:tcPr>
            <w:tcW w:w="3970" w:type="dxa"/>
            <w:tcBorders>
              <w:top w:val="single" w:sz="6" w:space="0" w:color="000000"/>
              <w:left w:val="single" w:sz="6" w:space="0" w:color="000000"/>
              <w:bottom w:val="single" w:sz="6" w:space="0" w:color="000000"/>
              <w:right w:val="single" w:sz="6" w:space="0" w:color="000000"/>
            </w:tcBorders>
            <w:shd w:val="clear" w:color="auto" w:fill="C5E1FF"/>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事项</w:t>
            </w:r>
          </w:p>
        </w:tc>
        <w:tc>
          <w:tcPr>
            <w:tcW w:w="1985" w:type="dxa"/>
            <w:tcBorders>
              <w:top w:val="single" w:sz="6" w:space="0" w:color="000000"/>
              <w:left w:val="single" w:sz="6" w:space="0" w:color="000000"/>
              <w:bottom w:val="single" w:sz="6" w:space="0" w:color="000000"/>
              <w:right w:val="single" w:sz="6" w:space="0" w:color="000000"/>
            </w:tcBorders>
            <w:shd w:val="clear" w:color="auto" w:fill="C5E1FF"/>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686" w:type="dxa"/>
            <w:tcBorders>
              <w:top w:val="single" w:sz="6" w:space="0" w:color="000000"/>
              <w:left w:val="single" w:sz="6" w:space="0" w:color="000000"/>
              <w:bottom w:val="single" w:sz="6" w:space="0" w:color="000000"/>
              <w:right w:val="single" w:sz="6" w:space="0" w:color="000000"/>
            </w:tcBorders>
            <w:shd w:val="clear" w:color="auto" w:fill="C5E1FF"/>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披露的网站及检索路径</w:t>
            </w:r>
          </w:p>
        </w:tc>
      </w:tr>
      <w:tr>
        <w:trPr>
          <w:trHeight w:val="504"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第五届董事会第十次会议决议公告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第五届监事会第五次会议决议公告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年第一次临时股东大会的公告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关于单项节余募集资金永久补充流动资金的公告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971"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pacing w:val="-1"/>
                <w:sz w:val="18"/>
                <w:szCs w:val="18"/>
              </w:rPr>
              <w:t>关于股东约定购回式交易完成购回、股权质押解除</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和再次质押公告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年第一次临时股东大会决议公告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97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pacing w:val="-1"/>
                <w:sz w:val="18"/>
                <w:szCs w:val="18"/>
              </w:rPr>
              <w:t>关于上市公司实际控制人、股东、关联方、收购人</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以及上市公司承诺及履行情况的公告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关于受到中国证监会行政处罚的公告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第五届董事会第十一次会议决议公告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第五届监事会第六次会议决议公告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年度股东大会的公告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关联交易公告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97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451" w:lineRule="auto" w:before="99"/>
              <w:ind w:left="1616" w:right="87" w:hanging="1531"/>
              <w:jc w:val="left"/>
              <w:rPr>
                <w:rFonts w:ascii="宋体" w:hAnsi="宋体" w:cs="宋体" w:eastAsia="宋体" w:hint="default"/>
                <w:sz w:val="18"/>
                <w:szCs w:val="18"/>
              </w:rPr>
            </w:pPr>
            <w:r>
              <w:rPr>
                <w:rFonts w:ascii="宋体" w:hAnsi="宋体" w:cs="宋体" w:eastAsia="宋体" w:hint="default"/>
                <w:sz w:val="18"/>
                <w:szCs w:val="18"/>
              </w:rPr>
              <w:t>关于举行公开致歉会暨</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年年度报告网上说明 会的公告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吉林紫鑫药业股份有限公司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年度报告摘要</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关于股东股权质押公告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关于归还募集资金的公告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年年度股东大会决议公告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第五届董事会第十二次会议决议公告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4"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第五届监事会第七次会议决议公告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关于使用部分闲置募集资金暂时补充流动资金的</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3970"/>
        <w:gridCol w:w="1985"/>
        <w:gridCol w:w="3686"/>
      </w:tblGrid>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公告</w:t>
            </w:r>
          </w:p>
        </w:tc>
        <w:tc>
          <w:tcPr>
            <w:tcW w:w="1985" w:type="dxa"/>
            <w:tcBorders>
              <w:top w:val="single" w:sz="6" w:space="0" w:color="000000"/>
              <w:left w:val="single" w:sz="6" w:space="0" w:color="000000"/>
              <w:bottom w:val="single" w:sz="6" w:space="0" w:color="000000"/>
              <w:right w:val="single" w:sz="6" w:space="0" w:color="000000"/>
            </w:tcBorders>
          </w:tcPr>
          <w:p>
            <w:pPr/>
          </w:p>
        </w:tc>
        <w:tc>
          <w:tcPr>
            <w:tcW w:w="3686" w:type="dxa"/>
            <w:tcBorders>
              <w:top w:val="single" w:sz="6" w:space="0" w:color="000000"/>
              <w:left w:val="single" w:sz="6" w:space="0" w:color="000000"/>
              <w:bottom w:val="single" w:sz="6" w:space="0" w:color="000000"/>
              <w:right w:val="single" w:sz="6" w:space="0" w:color="000000"/>
            </w:tcBorders>
          </w:tcPr>
          <w:p>
            <w:pP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关于全资子公司收到政府补助的公告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第五届董事会第十三次会议决议公告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4"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第五届监事会第八次会议决议公告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971"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 w:right="-7"/>
              <w:jc w:val="center"/>
              <w:rPr>
                <w:rFonts w:ascii="宋体" w:hAnsi="宋体" w:cs="宋体" w:eastAsia="宋体" w:hint="default"/>
                <w:sz w:val="18"/>
                <w:szCs w:val="18"/>
              </w:rPr>
            </w:pPr>
            <w:r>
              <w:rPr>
                <w:rFonts w:ascii="宋体" w:hAnsi="宋体" w:cs="宋体" w:eastAsia="宋体" w:hint="default"/>
                <w:sz w:val="18"/>
                <w:szCs w:val="18"/>
              </w:rPr>
              <w:t>关于董事、独立董事、监事辞职及提名补选董事、</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独立董事、监事的公告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971"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pacing w:val="-1"/>
                <w:sz w:val="18"/>
                <w:szCs w:val="18"/>
              </w:rPr>
              <w:t>关于高级管理人员、财务总监辞职及新聘高级管理</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人员、财务总监的公告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年第二次临时股东大会的公告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年第二次临时股东大会决议公告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971"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关于公司与中国科学院北京基因组研究所测序仪</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项目产业转化项目进展公告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4"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第五届董事会第十四次会议决议公告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关于为全资子公司提供担保的公告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关于补充更正</w:t>
            </w:r>
            <w:r>
              <w:rPr>
                <w:rFonts w:ascii="Times New Roman" w:hAnsi="Times New Roman" w:cs="Times New Roman" w:eastAsia="Times New Roman" w:hint="default"/>
                <w:sz w:val="18"/>
                <w:szCs w:val="18"/>
              </w:rPr>
              <w:t>2010</w:t>
            </w:r>
            <w:r>
              <w:rPr>
                <w:rFonts w:ascii="宋体" w:hAnsi="宋体" w:cs="宋体" w:eastAsia="宋体" w:hint="default"/>
                <w:sz w:val="18"/>
                <w:szCs w:val="18"/>
              </w:rPr>
              <w:t>年年度报告的公告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971"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451" w:lineRule="auto" w:before="99"/>
              <w:ind w:left="1796" w:right="87" w:hanging="1711"/>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年第一季度报告 正文</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关于公司收到政府补助的公告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971"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关于公司与中国科学院北京基因组研究所测序仪</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项目产业转化项目进展公告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4"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关于全资子公司获得药品</w:t>
            </w:r>
            <w:r>
              <w:rPr>
                <w:rFonts w:ascii="Times New Roman" w:hAnsi="Times New Roman" w:cs="Times New Roman" w:eastAsia="Times New Roman" w:hint="default"/>
                <w:sz w:val="18"/>
                <w:szCs w:val="18"/>
              </w:rPr>
              <w:t>GMP</w:t>
            </w:r>
            <w:r>
              <w:rPr>
                <w:rFonts w:ascii="宋体" w:hAnsi="宋体" w:cs="宋体" w:eastAsia="宋体" w:hint="default"/>
                <w:sz w:val="18"/>
                <w:szCs w:val="18"/>
              </w:rPr>
              <w:t>证书的公告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971"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451" w:lineRule="auto" w:before="98"/>
              <w:ind w:left="1526" w:right="87" w:hanging="1441"/>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年半年度业绩预 告修正公告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第五届董事会第十六次会议决议公告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第五届监事会第十次会议决议公告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年半年度报告摘要</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97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关于防范控股股东及实际控制人侵占上市公司利</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益机制的建立和完善情况的公告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3970"/>
        <w:gridCol w:w="1985"/>
        <w:gridCol w:w="3686"/>
      </w:tblGrid>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第五届董事会第十七次会议决议公告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重大事项停牌公告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398"/>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重大事项继续停牌公告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398"/>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4"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关于公司股票复牌公告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第五届董事会第十八次会议决议公告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4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第五届监事会第十一次会议决议公告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年第三次临时股东大会通知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971"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关于与特定对象签署附条件生效的股份认购协议</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关于非公开发行股票涉及关联交易的公告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4"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第五届董事会第十九次会议（临时）决议公告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398"/>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年第三次临时股东大会决议公告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398"/>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关于归还募集资金的公告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398"/>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971"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关于控股股东股权质押解除及再次质押和质押式</w:t>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回购交易、约定购回式交易的公告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398"/>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关于全资子公司收到政府补助的公告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398"/>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第五届董事会第二十次会议决议公告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398"/>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4"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关于股东股权质押解除和再次质押公告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353"/>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年第三季度报告正文</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353"/>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第五届董事会第二十二次会议决议公告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353"/>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关于为控股子公司提供担保的公告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353"/>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971"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关于控股股东股权质押解除及办理股票质押式回</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购交易的公告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398"/>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关于公司收到政府补助的公告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353"/>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504" w:hRule="exact"/>
        </w:trPr>
        <w:tc>
          <w:tcPr>
            <w:tcW w:w="397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368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86" w:lineRule="auto" w:before="63"/>
        <w:ind w:left="666" w:right="0" w:hanging="429"/>
        <w:jc w:val="left"/>
      </w:pPr>
      <w:r>
        <w:rPr>
          <w:rFonts w:ascii="Times New Roman" w:hAnsi="Times New Roman" w:cs="Times New Roman" w:eastAsia="Times New Roman" w:hint="default"/>
        </w:rPr>
        <w:t>1</w:t>
      </w:r>
      <w:r>
        <w:rPr/>
        <w:t>、野山参交易事项说明 公司考虑到野山参货品稀有而名贵，单位价值较高，短时间内难以形成对外销售实现资金回款，同</w:t>
      </w:r>
    </w:p>
    <w:p>
      <w:pPr>
        <w:pStyle w:val="BodyText"/>
        <w:spacing w:line="240" w:lineRule="auto" w:before="65"/>
        <w:ind w:right="0"/>
        <w:jc w:val="left"/>
      </w:pPr>
      <w:r>
        <w:rPr/>
        <w:t>时也难以找到令人信服的市场交易报价体系，为解决上述困难，公司第一大股东敦化市康平投资有限责任</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1129"/>
        <w:jc w:val="both"/>
      </w:pPr>
      <w:r>
        <w:rPr>
          <w:spacing w:val="-3"/>
        </w:rPr>
        <w:t>公司（以下简称</w:t>
      </w:r>
      <w:r>
        <w:rPr>
          <w:rFonts w:ascii="Times New Roman" w:hAnsi="Times New Roman" w:cs="Times New Roman" w:eastAsia="Times New Roman" w:hint="default"/>
          <w:spacing w:val="-3"/>
        </w:rPr>
        <w:t>“</w:t>
      </w:r>
      <w:r>
        <w:rPr>
          <w:spacing w:val="-3"/>
        </w:rPr>
        <w:t>康平公司</w:t>
      </w:r>
      <w:r>
        <w:rPr>
          <w:rFonts w:ascii="Times New Roman" w:hAnsi="Times New Roman" w:cs="Times New Roman" w:eastAsia="Times New Roman" w:hint="default"/>
          <w:spacing w:val="-3"/>
        </w:rPr>
        <w:t>”</w:t>
      </w:r>
      <w:r>
        <w:rPr>
          <w:spacing w:val="-3"/>
        </w:rPr>
        <w:t>）同意承接公司账面存货中的野山参，本次交易于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24</w:t>
      </w:r>
      <w:r>
        <w:rPr>
          <w:spacing w:val="-3"/>
        </w:rPr>
        <w:t>日经公司第五届</w:t>
      </w:r>
      <w:r>
        <w:rPr>
          <w:spacing w:val="-62"/>
        </w:rPr>
        <w:t> </w:t>
      </w:r>
      <w:r>
        <w:rPr>
          <w:spacing w:val="-62"/>
        </w:rPr>
      </w:r>
      <w:r>
        <w:rPr>
          <w:spacing w:val="-1"/>
        </w:rPr>
        <w:t>董事会第十一次会议审议通过，并经</w:t>
      </w:r>
      <w:r>
        <w:rPr>
          <w:rFonts w:ascii="Times New Roman" w:hAnsi="Times New Roman" w:cs="Times New Roman" w:eastAsia="Times New Roman" w:hint="default"/>
          <w:spacing w:val="-1"/>
        </w:rPr>
        <w:t>2013</w:t>
      </w:r>
      <w:r>
        <w:rPr>
          <w:spacing w:val="-1"/>
        </w:rPr>
        <w:t>年年度股东大会决议审议通过。详见公司于指定媒体及巨潮资讯</w:t>
      </w:r>
      <w:r>
        <w:rPr>
          <w:spacing w:val="-80"/>
        </w:rPr>
        <w:t> </w:t>
      </w:r>
      <w:r>
        <w:rPr>
          <w:spacing w:val="-80"/>
        </w:rPr>
      </w:r>
      <w:r>
        <w:rPr>
          <w:spacing w:val="-1"/>
        </w:rPr>
        <w:t>网（</w:t>
      </w:r>
      <w:hyperlink r:id="rId11">
        <w:r>
          <w:rPr>
            <w:rFonts w:ascii="Times New Roman" w:hAnsi="Times New Roman" w:cs="Times New Roman" w:eastAsia="Times New Roman" w:hint="default"/>
            <w:spacing w:val="-1"/>
          </w:rPr>
          <w:t>www.cninfo.com.cn</w:t>
        </w:r>
      </w:hyperlink>
      <w:r>
        <w:rPr>
          <w:spacing w:val="-1"/>
        </w:rPr>
        <w:t>）披露的《第五届董事会第十一次会议决议公告》、《关联交易公告》、《</w:t>
      </w:r>
      <w:r>
        <w:rPr>
          <w:rFonts w:ascii="Times New Roman" w:hAnsi="Times New Roman" w:cs="Times New Roman" w:eastAsia="Times New Roman" w:hint="default"/>
          <w:spacing w:val="-1"/>
        </w:rPr>
        <w:t>2013</w:t>
      </w:r>
      <w:r>
        <w:rPr>
          <w:spacing w:val="-1"/>
        </w:rPr>
        <w:t>年</w:t>
      </w:r>
      <w:r>
        <w:rPr>
          <w:w w:val="99"/>
        </w:rPr>
        <w:t> </w:t>
      </w:r>
      <w:r>
        <w:rPr/>
        <w:t>年度股东大会决议公告》</w:t>
      </w:r>
    </w:p>
    <w:p>
      <w:pPr>
        <w:pStyle w:val="BodyText"/>
        <w:spacing w:line="240" w:lineRule="auto" w:before="65"/>
        <w:ind w:left="633" w:right="0"/>
        <w:jc w:val="left"/>
      </w:pPr>
      <w:r>
        <w:rPr/>
        <w:t>野山参交易双方及交易进展</w:t>
      </w:r>
    </w:p>
    <w:p>
      <w:pPr>
        <w:spacing w:line="240" w:lineRule="auto" w:before="10"/>
        <w:rPr>
          <w:rFonts w:ascii="宋体" w:hAnsi="宋体" w:cs="宋体" w:eastAsia="宋体" w:hint="default"/>
          <w:sz w:val="14"/>
          <w:szCs w:val="14"/>
        </w:rPr>
      </w:pPr>
    </w:p>
    <w:p>
      <w:pPr>
        <w:pStyle w:val="BodyText"/>
        <w:spacing w:line="408" w:lineRule="auto"/>
        <w:ind w:left="634" w:right="3996"/>
        <w:jc w:val="left"/>
      </w:pPr>
      <w:r>
        <w:rPr/>
        <w:t>供 应</w:t>
      </w:r>
      <w:r>
        <w:rPr>
          <w:spacing w:val="21"/>
        </w:rPr>
        <w:t> </w:t>
      </w:r>
      <w:r>
        <w:rPr/>
        <w:t>方：吉林紫鑫药业股份有限公司</w:t>
      </w:r>
      <w:r>
        <w:rPr/>
        <w:t> 委托采购方：敦化市康平投资有限责任公司 受托采购方：敦化市华韵工贸有限责任公司（以下简称</w:t>
      </w:r>
      <w:r>
        <w:rPr>
          <w:rFonts w:ascii="Times New Roman" w:hAnsi="Times New Roman" w:cs="Times New Roman" w:eastAsia="Times New Roman" w:hint="default"/>
        </w:rPr>
        <w:t>“</w:t>
      </w:r>
      <w:r>
        <w:rPr/>
        <w:t>华韵工贸</w:t>
      </w:r>
      <w:r>
        <w:rPr>
          <w:rFonts w:ascii="Times New Roman" w:hAnsi="Times New Roman" w:cs="Times New Roman" w:eastAsia="Times New Roman" w:hint="default"/>
        </w:rPr>
        <w:t>”</w:t>
      </w:r>
      <w:r>
        <w:rPr/>
        <w:t>）</w:t>
      </w:r>
    </w:p>
    <w:p>
      <w:pPr>
        <w:pStyle w:val="BodyText"/>
        <w:spacing w:line="393" w:lineRule="auto" w:before="14"/>
        <w:ind w:right="1129" w:firstLine="480"/>
        <w:jc w:val="both"/>
      </w:pPr>
      <w:r>
        <w:rPr/>
        <w:t>康平公司由于经营范围原因，委托其全资子公司华韵工贸与公司进行野山参交易，</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日公</w:t>
      </w:r>
      <w:r>
        <w:rPr>
          <w:spacing w:val="1"/>
        </w:rPr>
        <w:t> </w:t>
      </w:r>
      <w:r>
        <w:rPr>
          <w:spacing w:val="-1"/>
        </w:rPr>
        <w:t>司与康平公司、华韵工贸签署了交易合同；公司以野山参购入成本加上期间的持有成本，持有成本以持有</w:t>
      </w:r>
      <w:r>
        <w:rPr>
          <w:spacing w:val="-83"/>
        </w:rPr>
        <w:t> </w:t>
      </w:r>
      <w:r>
        <w:rPr>
          <w:spacing w:val="-83"/>
        </w:rPr>
      </w:r>
      <w:r>
        <w:rPr/>
        <w:t>期间同期银行</w:t>
      </w:r>
      <w:r>
        <w:rPr>
          <w:rFonts w:ascii="Times New Roman" w:hAnsi="Times New Roman" w:cs="Times New Roman" w:eastAsia="Times New Roman" w:hint="default"/>
        </w:rPr>
        <w:t>1</w:t>
      </w:r>
      <w:r>
        <w:rPr/>
        <w:t>年期贷款基准利率为基础计算作为定价依据，签署了含税总价款为</w:t>
      </w:r>
      <w:r>
        <w:rPr>
          <w:rFonts w:ascii="Times New Roman" w:hAnsi="Times New Roman" w:cs="Times New Roman" w:eastAsia="Times New Roman" w:hint="default"/>
        </w:rPr>
        <w:t>156,198,796.42</w:t>
      </w:r>
      <w:r>
        <w:rPr/>
        <w:t>元的交易</w:t>
      </w:r>
      <w:r>
        <w:rPr>
          <w:spacing w:val="-76"/>
        </w:rPr>
        <w:t> </w:t>
      </w:r>
      <w:r>
        <w:rPr/>
        <w:t>合同。</w:t>
      </w:r>
    </w:p>
    <w:p>
      <w:pPr>
        <w:pStyle w:val="BodyText"/>
        <w:spacing w:line="398" w:lineRule="auto" w:before="58"/>
        <w:ind w:left="633" w:right="1125"/>
        <w:jc w:val="left"/>
      </w:pPr>
      <w:r>
        <w:rPr/>
        <w:t>截止本说明日，公司与华韵工贸已完成了野山参交割事宜，款项全部结清。 </w:t>
      </w:r>
      <w:r>
        <w:rPr>
          <w:rFonts w:ascii="Times New Roman" w:hAnsi="Times New Roman" w:cs="Times New Roman" w:eastAsia="Times New Roman" w:hint="default"/>
        </w:rPr>
        <w:t>2</w:t>
      </w:r>
      <w:r>
        <w:rPr/>
        <w:t>、关于</w:t>
      </w:r>
      <w:r>
        <w:rPr>
          <w:rFonts w:ascii="Times New Roman" w:hAnsi="Times New Roman" w:cs="Times New Roman" w:eastAsia="Times New Roman" w:hint="default"/>
        </w:rPr>
        <w:t>2013</w:t>
      </w:r>
      <w:r>
        <w:rPr/>
        <w:t>年度审计报告保留意见所涉及事项影响已消除的说明 </w:t>
      </w:r>
      <w:r>
        <w:rPr>
          <w:spacing w:val="-2"/>
        </w:rPr>
        <w:t>中准会计师事务所（特殊普通合伙）出具了《关于吉林紫鑫药业股份有限公司</w:t>
      </w:r>
      <w:r>
        <w:rPr>
          <w:rFonts w:ascii="Times New Roman" w:hAnsi="Times New Roman" w:cs="Times New Roman" w:eastAsia="Times New Roman" w:hint="default"/>
          <w:spacing w:val="-2"/>
        </w:rPr>
        <w:t>2013</w:t>
      </w:r>
      <w:r>
        <w:rPr>
          <w:spacing w:val="-2"/>
        </w:rPr>
        <w:t>年度审计报告保留</w:t>
      </w:r>
    </w:p>
    <w:p>
      <w:pPr>
        <w:pStyle w:val="BodyText"/>
        <w:spacing w:line="393" w:lineRule="auto" w:before="24"/>
        <w:ind w:right="1128"/>
        <w:jc w:val="both"/>
      </w:pPr>
      <w:r>
        <w:rPr/>
        <w:t>意见所涉及事项影响已消除的专项说明》（中准专审字</w:t>
      </w:r>
      <w:r>
        <w:rPr>
          <w:rFonts w:ascii="Times New Roman" w:hAnsi="Times New Roman" w:cs="Times New Roman" w:eastAsia="Times New Roman" w:hint="default"/>
        </w:rPr>
        <w:t>[2014]1381</w:t>
      </w:r>
      <w:r>
        <w:rPr/>
        <w:t>号），中准会计师事务所通过检查公司</w:t>
      </w:r>
      <w:r>
        <w:rPr>
          <w:spacing w:val="-66"/>
        </w:rPr>
        <w:t> </w:t>
      </w:r>
      <w:r>
        <w:rPr>
          <w:spacing w:val="-66"/>
        </w:rPr>
      </w:r>
      <w:r>
        <w:rPr>
          <w:spacing w:val="-1"/>
        </w:rPr>
        <w:t>的相关公告、野山参购销合同、资产交接清单、银行对账单并通过查阅相关的财务资料等程序获取发表意</w:t>
      </w:r>
      <w:r>
        <w:rPr>
          <w:spacing w:val="-83"/>
        </w:rPr>
        <w:t> </w:t>
      </w:r>
      <w:r>
        <w:rPr>
          <w:spacing w:val="-83"/>
        </w:rPr>
      </w:r>
      <w:r>
        <w:rPr/>
        <w:t>见所需要的证据，通过核查认为，公司专项说明所载内容与事实相符，截止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日公司</w:t>
      </w:r>
      <w:r>
        <w:rPr>
          <w:rFonts w:ascii="Times New Roman" w:hAnsi="Times New Roman" w:cs="Times New Roman" w:eastAsia="Times New Roman" w:hint="default"/>
        </w:rPr>
        <w:t>2013</w:t>
      </w:r>
      <w:r>
        <w:rPr/>
        <w:t>年度</w:t>
      </w:r>
      <w:r>
        <w:rPr>
          <w:spacing w:val="-26"/>
        </w:rPr>
        <w:t> </w:t>
      </w:r>
      <w:r>
        <w:rPr/>
        <w:t>审计报告保留意见所涉及事项影响已消除。</w:t>
      </w:r>
    </w:p>
    <w:p>
      <w:pPr>
        <w:pStyle w:val="BodyText"/>
        <w:spacing w:line="386" w:lineRule="auto" w:before="58"/>
        <w:ind w:right="1133" w:firstLine="480"/>
        <w:jc w:val="both"/>
      </w:pPr>
      <w:r>
        <w:rPr/>
        <w:t>详见公司于指定媒体及巨潮资讯网（</w:t>
      </w:r>
      <w:hyperlink r:id="rId11">
        <w:r>
          <w:rPr>
            <w:rFonts w:ascii="Times New Roman" w:hAnsi="Times New Roman" w:cs="Times New Roman" w:eastAsia="Times New Roman" w:hint="default"/>
          </w:rPr>
          <w:t>www.cninfo.com.cn</w:t>
        </w:r>
      </w:hyperlink>
      <w:r>
        <w:rPr/>
        <w:t>）披露的《关于</w:t>
      </w:r>
      <w:r>
        <w:rPr>
          <w:rFonts w:ascii="Times New Roman" w:hAnsi="Times New Roman" w:cs="Times New Roman" w:eastAsia="Times New Roman" w:hint="default"/>
        </w:rPr>
        <w:t>2013</w:t>
      </w:r>
      <w:r>
        <w:rPr/>
        <w:t>年度审计报告中保留意 见所涉事项影响消除的专项说明》。</w:t>
      </w:r>
    </w:p>
    <w:p>
      <w:pPr>
        <w:pStyle w:val="BodyText"/>
        <w:spacing w:line="386" w:lineRule="auto" w:before="65"/>
        <w:ind w:left="633" w:right="0"/>
        <w:jc w:val="left"/>
      </w:pPr>
      <w:r>
        <w:rPr>
          <w:rFonts w:ascii="Times New Roman" w:hAnsi="Times New Roman" w:cs="Times New Roman" w:eastAsia="Times New Roman" w:hint="default"/>
        </w:rPr>
        <w:t>3</w:t>
      </w:r>
      <w:r>
        <w:rPr/>
        <w:t>、关于公司非公开发行股票事宜说明 </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21</w:t>
      </w:r>
      <w:r>
        <w:rPr>
          <w:spacing w:val="-2"/>
        </w:rPr>
        <w:t>日拟议非公开发行股票事宜，并于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21</w:t>
      </w:r>
      <w:r>
        <w:rPr>
          <w:spacing w:val="-2"/>
        </w:rPr>
        <w:t>日经向深圳证券交易所申请股票停</w:t>
      </w:r>
    </w:p>
    <w:p>
      <w:pPr>
        <w:pStyle w:val="BodyText"/>
        <w:spacing w:line="391" w:lineRule="auto" w:before="35"/>
        <w:ind w:right="1130"/>
        <w:jc w:val="both"/>
      </w:pPr>
      <w:r>
        <w:rPr/>
        <w:t>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日公司第五届董事会第十八次会议审议通过了本次非公开发行股票的相关事宜，</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rFonts w:ascii="Times New Roman" w:hAnsi="Times New Roman" w:cs="Times New Roman" w:eastAsia="Times New Roman" w:hint="default"/>
          <w:spacing w:val="25"/>
        </w:rPr>
        <w:t> </w:t>
      </w:r>
      <w:r>
        <w:rPr>
          <w:spacing w:val="-1"/>
        </w:rPr>
        <w:t>月</w:t>
      </w:r>
      <w:r>
        <w:rPr>
          <w:rFonts w:ascii="Times New Roman" w:hAnsi="Times New Roman" w:cs="Times New Roman" w:eastAsia="Times New Roman" w:hint="default"/>
          <w:spacing w:val="-1"/>
        </w:rPr>
        <w:t>19</w:t>
      </w:r>
      <w:r>
        <w:rPr>
          <w:spacing w:val="-1"/>
        </w:rPr>
        <w:t>日公司</w:t>
      </w:r>
      <w:r>
        <w:rPr>
          <w:rFonts w:ascii="Times New Roman" w:hAnsi="Times New Roman" w:cs="Times New Roman" w:eastAsia="Times New Roman" w:hint="default"/>
          <w:spacing w:val="-1"/>
        </w:rPr>
        <w:t>2014</w:t>
      </w:r>
      <w:r>
        <w:rPr>
          <w:spacing w:val="-1"/>
        </w:rPr>
        <w:t>年第三次临时股东大会审议通过了本次非公开发行股票的相关事宜；本次非公开发行股票</w:t>
      </w:r>
      <w:r>
        <w:rPr>
          <w:spacing w:val="-81"/>
        </w:rPr>
        <w:t> </w:t>
      </w:r>
      <w:r>
        <w:rPr>
          <w:spacing w:val="-81"/>
        </w:rPr>
      </w:r>
      <w:r>
        <w:rPr>
          <w:spacing w:val="-1"/>
        </w:rPr>
        <w:t>对象为仲桂兰女士、上海红樱资产管理有限公司、北京富徳昊邦投资中心（有限合伙）、佛山市科技孵化</w:t>
      </w:r>
      <w:r>
        <w:rPr>
          <w:spacing w:val="-83"/>
        </w:rPr>
        <w:t> </w:t>
      </w:r>
      <w:r>
        <w:rPr>
          <w:spacing w:val="-83"/>
        </w:rPr>
      </w:r>
      <w:r>
        <w:rPr>
          <w:spacing w:val="-1"/>
        </w:rPr>
        <w:t>合伙企业（有限合伙）、郭华女士及李自英女士。本次非公开发行股票数量为</w:t>
      </w:r>
      <w:r>
        <w:rPr>
          <w:rFonts w:ascii="Times New Roman" w:hAnsi="Times New Roman" w:cs="Times New Roman" w:eastAsia="Times New Roman" w:hint="default"/>
          <w:spacing w:val="-1"/>
        </w:rPr>
        <w:t>158,730,154</w:t>
      </w:r>
      <w:r>
        <w:rPr>
          <w:spacing w:val="-1"/>
        </w:rPr>
        <w:t>股，发行价格为</w:t>
      </w:r>
      <w:r>
        <w:rPr>
          <w:spacing w:val="-78"/>
        </w:rPr>
        <w:t> </w:t>
      </w:r>
      <w:r>
        <w:rPr>
          <w:spacing w:val="-78"/>
        </w:rPr>
      </w:r>
      <w:r>
        <w:rPr>
          <w:rFonts w:ascii="Times New Roman" w:hAnsi="Times New Roman" w:cs="Times New Roman" w:eastAsia="Times New Roman" w:hint="default"/>
        </w:rPr>
        <w:t>12.60</w:t>
      </w:r>
      <w:r>
        <w:rPr/>
        <w:t>元</w:t>
      </w:r>
      <w:r>
        <w:rPr>
          <w:rFonts w:ascii="Times New Roman" w:hAnsi="Times New Roman" w:cs="Times New Roman" w:eastAsia="Times New Roman" w:hint="default"/>
        </w:rPr>
        <w:t>/</w:t>
      </w:r>
      <w:r>
        <w:rPr/>
        <w:t>股，募集资金总额预计不超过</w:t>
      </w:r>
      <w:r>
        <w:rPr>
          <w:rFonts w:ascii="Times New Roman" w:hAnsi="Times New Roman" w:cs="Times New Roman" w:eastAsia="Times New Roman" w:hint="default"/>
        </w:rPr>
        <w:t>200,000</w:t>
      </w:r>
      <w:r>
        <w:rPr/>
        <w:t>万元，募集资金在扣除发行费用后，其中</w:t>
      </w:r>
      <w:r>
        <w:rPr>
          <w:rFonts w:ascii="Times New Roman" w:hAnsi="Times New Roman" w:cs="Times New Roman" w:eastAsia="Times New Roman" w:hint="default"/>
        </w:rPr>
        <w:t>80,000</w:t>
      </w:r>
      <w:r>
        <w:rPr/>
        <w:t>万元用于偿</w:t>
      </w:r>
      <w:r>
        <w:rPr>
          <w:spacing w:val="-34"/>
        </w:rPr>
        <w:t> </w:t>
      </w:r>
      <w:r>
        <w:rPr>
          <w:spacing w:val="-34"/>
        </w:rPr>
      </w:r>
      <w:r>
        <w:rPr/>
        <w:t>还银行贷款，剩余部分全部用于补充公司流动资金。</w:t>
      </w:r>
    </w:p>
    <w:p>
      <w:pPr>
        <w:pStyle w:val="BodyText"/>
        <w:spacing w:line="240" w:lineRule="auto" w:before="61"/>
        <w:ind w:left="634" w:right="0"/>
        <w:jc w:val="left"/>
        <w:rPr>
          <w:rFonts w:ascii="Times New Roman" w:hAnsi="Times New Roman" w:cs="Times New Roman" w:eastAsia="Times New Roman" w:hint="default"/>
        </w:rPr>
      </w:pPr>
      <w:r>
        <w:rPr>
          <w:spacing w:val="-4"/>
        </w:rPr>
        <w:t>详见公司于指定媒体及巨潮资讯网（</w:t>
      </w:r>
      <w:hyperlink r:id="rId11">
        <w:r>
          <w:rPr>
            <w:rFonts w:ascii="Times New Roman" w:hAnsi="Times New Roman" w:cs="Times New Roman" w:eastAsia="Times New Roman" w:hint="default"/>
            <w:spacing w:val="-4"/>
          </w:rPr>
          <w:t>www.cninfo.com.cn</w:t>
        </w:r>
      </w:hyperlink>
      <w:r>
        <w:rPr>
          <w:spacing w:val="-4"/>
        </w:rPr>
        <w:t>）披露的《第五届董事会第十八次会议公告》</w:t>
      </w:r>
      <w:r>
        <w:rPr>
          <w:rFonts w:ascii="Times New Roman" w:hAnsi="Times New Roman" w:cs="Times New Roman" w:eastAsia="Times New Roman" w:hint="default"/>
          <w:spacing w:val="-4"/>
        </w:rPr>
        <w:t>,</w:t>
      </w:r>
    </w:p>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p>
      <w:pPr>
        <w:pStyle w:val="BodyText"/>
        <w:spacing w:line="240" w:lineRule="auto"/>
        <w:ind w:right="0"/>
        <w:jc w:val="left"/>
      </w:pPr>
      <w:r>
        <w:rPr/>
        <w:t>《</w:t>
      </w:r>
      <w:r>
        <w:rPr>
          <w:rFonts w:ascii="Times New Roman" w:hAnsi="Times New Roman" w:cs="Times New Roman" w:eastAsia="Times New Roman" w:hint="default"/>
        </w:rPr>
        <w:t>2014</w:t>
      </w:r>
      <w:r>
        <w:rPr/>
        <w:t>年第三次临时股东大会公告》。</w:t>
      </w:r>
    </w:p>
    <w:p>
      <w:pPr>
        <w:spacing w:line="240" w:lineRule="auto" w:before="0"/>
        <w:rPr>
          <w:rFonts w:ascii="宋体" w:hAnsi="宋体" w:cs="宋体" w:eastAsia="宋体" w:hint="default"/>
          <w:sz w:val="22"/>
          <w:szCs w:val="22"/>
        </w:rPr>
      </w:pPr>
    </w:p>
    <w:p>
      <w:pPr>
        <w:pStyle w:val="Heading2"/>
        <w:spacing w:line="240" w:lineRule="auto" w:before="166"/>
        <w:ind w:left="154" w:right="0"/>
        <w:jc w:val="left"/>
        <w:rPr>
          <w:b w:val="0"/>
          <w:bCs w:val="0"/>
        </w:rPr>
      </w:pPr>
      <w:bookmarkStart w:name="十四、公司子公司重要事项" w:id="86"/>
      <w:bookmarkEnd w:id="86"/>
      <w:r>
        <w:rPr>
          <w:b w:val="0"/>
          <w:bCs w:val="0"/>
        </w:rPr>
      </w:r>
      <w:r>
        <w:rPr/>
        <w:t>十四、公司子公司重要事项</w:t>
      </w:r>
      <w:r>
        <w:rPr>
          <w:b w:val="0"/>
          <w:bCs w:val="0"/>
        </w:rPr>
      </w:r>
    </w:p>
    <w:p>
      <w:pPr>
        <w:spacing w:line="240" w:lineRule="auto" w:before="0"/>
        <w:rPr>
          <w:rFonts w:ascii="宋体" w:hAnsi="宋体" w:cs="宋体" w:eastAsia="宋体" w:hint="default"/>
          <w:b/>
          <w:bCs/>
          <w:sz w:val="24"/>
          <w:szCs w:val="24"/>
        </w:rPr>
      </w:pPr>
    </w:p>
    <w:p>
      <w:pPr>
        <w:spacing w:before="19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十五、公司发行公司债券的情况" w:id="87"/>
      <w:bookmarkEnd w:id="87"/>
      <w:r>
        <w:rPr>
          <w:b w:val="0"/>
          <w:bCs w:val="0"/>
        </w:rPr>
      </w:r>
      <w:r>
        <w:rPr/>
        <w:t>十五、公司发行公司债券的情况</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1"/>
        <w:spacing w:line="240" w:lineRule="auto"/>
        <w:ind w:left="2965" w:right="0"/>
        <w:jc w:val="left"/>
        <w:rPr>
          <w:b w:val="0"/>
          <w:bCs w:val="0"/>
        </w:rPr>
      </w:pPr>
      <w:bookmarkStart w:name="_TOC_250006" w:id="88"/>
      <w:bookmarkStart w:name="第六节 股份变动及股东情况" w:id="89"/>
      <w:r>
        <w:rPr>
          <w:b w:val="0"/>
          <w:bCs w:val="0"/>
        </w:rPr>
      </w:r>
      <w:r>
        <w:rPr/>
        <w:t>第六节</w:t>
      </w:r>
      <w:r>
        <w:rPr>
          <w:spacing w:val="-10"/>
        </w:rPr>
        <w:t> </w:t>
      </w:r>
      <w:r>
        <w:rPr/>
        <w:t>股份变动及股东情况</w:t>
      </w:r>
      <w:bookmarkEnd w:id="88"/>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8"/>
          <w:szCs w:val="18"/>
        </w:rPr>
      </w:pPr>
    </w:p>
    <w:p>
      <w:pPr>
        <w:pStyle w:val="Heading2"/>
        <w:spacing w:line="240" w:lineRule="auto" w:before="26"/>
        <w:ind w:right="0"/>
        <w:jc w:val="left"/>
        <w:rPr>
          <w:b w:val="0"/>
          <w:bCs w:val="0"/>
        </w:rPr>
      </w:pPr>
      <w:bookmarkStart w:name="一、股份变动情况" w:id="90"/>
      <w:bookmarkEnd w:id="90"/>
      <w:r>
        <w:rPr>
          <w:b w:val="0"/>
          <w:bCs w:val="0"/>
        </w:rPr>
      </w:r>
      <w:r>
        <w:rPr/>
        <w:t>一、股份变动情况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2"/>
        <w:rPr>
          <w:rFonts w:ascii="宋体" w:hAnsi="宋体" w:cs="宋体" w:eastAsia="宋体"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008"/>
        <w:gridCol w:w="968"/>
        <w:gridCol w:w="825"/>
        <w:gridCol w:w="823"/>
        <w:gridCol w:w="827"/>
        <w:gridCol w:w="826"/>
        <w:gridCol w:w="826"/>
        <w:gridCol w:w="827"/>
        <w:gridCol w:w="955"/>
        <w:gridCol w:w="799"/>
      </w:tblGrid>
      <w:tr>
        <w:trPr>
          <w:trHeight w:val="559" w:hRule="exact"/>
        </w:trPr>
        <w:tc>
          <w:tcPr>
            <w:tcW w:w="20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44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2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06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42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239" w:hRule="exact"/>
        </w:trPr>
        <w:tc>
          <w:tcPr>
            <w:tcW w:w="2008" w:type="dxa"/>
            <w:vMerge w:val="restart"/>
            <w:tcBorders>
              <w:top w:val="nil" w:sz="6" w:space="0" w:color="auto"/>
              <w:left w:val="single" w:sz="4" w:space="0" w:color="000000"/>
              <w:right w:val="single" w:sz="4" w:space="0" w:color="000000"/>
            </w:tcBorders>
            <w:shd w:val="clear" w:color="auto" w:fill="D2D2D2"/>
          </w:tcPr>
          <w:p>
            <w:pPr/>
          </w:p>
        </w:tc>
        <w:tc>
          <w:tcPr>
            <w:tcW w:w="96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5"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7"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0"/>
              <w:ind w:left="317" w:right="47"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7" w:type="dxa"/>
            <w:tcBorders>
              <w:top w:val="single" w:sz="4" w:space="0" w:color="000000"/>
              <w:left w:val="single" w:sz="4" w:space="0" w:color="000000"/>
              <w:bottom w:val="nil" w:sz="6" w:space="0" w:color="auto"/>
              <w:right w:val="single" w:sz="4" w:space="0" w:color="000000"/>
            </w:tcBorders>
            <w:shd w:val="clear" w:color="auto" w:fill="D2D2D2"/>
          </w:tcPr>
          <w:p>
            <w:pPr/>
          </w:p>
        </w:tc>
        <w:tc>
          <w:tcPr>
            <w:tcW w:w="9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69" w:hRule="exact"/>
        </w:trPr>
        <w:tc>
          <w:tcPr>
            <w:tcW w:w="2008" w:type="dxa"/>
            <w:vMerge/>
            <w:tcBorders>
              <w:left w:val="single" w:sz="4" w:space="0" w:color="000000"/>
              <w:bottom w:val="nil" w:sz="6" w:space="0" w:color="auto"/>
              <w:right w:val="single" w:sz="4" w:space="0" w:color="000000"/>
            </w:tcBorders>
            <w:shd w:val="clear" w:color="auto" w:fill="D2D2D2"/>
          </w:tcPr>
          <w:p>
            <w:pPr/>
          </w:p>
        </w:tc>
        <w:tc>
          <w:tcPr>
            <w:tcW w:w="9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22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4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22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6" w:type="dxa"/>
            <w:vMerge/>
            <w:tcBorders>
              <w:left w:val="single" w:sz="4" w:space="0" w:color="000000"/>
              <w:right w:val="single" w:sz="4" w:space="0" w:color="000000"/>
            </w:tcBorders>
            <w:shd w:val="clear" w:color="auto" w:fill="D2D2D2"/>
          </w:tcPr>
          <w:p>
            <w:pPr/>
          </w:p>
        </w:tc>
        <w:tc>
          <w:tcPr>
            <w:tcW w:w="8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2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22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29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78" w:hRule="exact"/>
        </w:trPr>
        <w:tc>
          <w:tcPr>
            <w:tcW w:w="2008" w:type="dxa"/>
            <w:vMerge w:val="restart"/>
            <w:tcBorders>
              <w:top w:val="nil" w:sz="6" w:space="0" w:color="auto"/>
              <w:left w:val="single" w:sz="4" w:space="0" w:color="000000"/>
              <w:right w:val="single" w:sz="4" w:space="0" w:color="000000"/>
            </w:tcBorders>
            <w:shd w:val="clear" w:color="auto" w:fill="D2D2D2"/>
          </w:tcPr>
          <w:p>
            <w:pPr/>
          </w:p>
        </w:tc>
        <w:tc>
          <w:tcPr>
            <w:tcW w:w="968" w:type="dxa"/>
            <w:vMerge/>
            <w:tcBorders>
              <w:left w:val="single" w:sz="4" w:space="0" w:color="000000"/>
              <w:bottom w:val="nil" w:sz="6" w:space="0" w:color="auto"/>
              <w:right w:val="single" w:sz="4" w:space="0" w:color="000000"/>
            </w:tcBorders>
            <w:shd w:val="clear" w:color="auto" w:fill="D2D2D2"/>
          </w:tcPr>
          <w:p>
            <w:pPr/>
          </w:p>
        </w:tc>
        <w:tc>
          <w:tcPr>
            <w:tcW w:w="825"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7" w:type="dxa"/>
            <w:vMerge/>
            <w:tcBorders>
              <w:left w:val="single" w:sz="4" w:space="0" w:color="000000"/>
              <w:bottom w:val="nil" w:sz="6" w:space="0" w:color="auto"/>
              <w:right w:val="single" w:sz="4" w:space="0" w:color="000000"/>
            </w:tcBorders>
            <w:shd w:val="clear" w:color="auto" w:fill="D2D2D2"/>
          </w:tcPr>
          <w:p>
            <w:pPr/>
          </w:p>
        </w:tc>
        <w:tc>
          <w:tcPr>
            <w:tcW w:w="826" w:type="dxa"/>
            <w:vMerge/>
            <w:tcBorders>
              <w:left w:val="single" w:sz="4" w:space="0" w:color="000000"/>
              <w:right w:val="single" w:sz="4" w:space="0" w:color="000000"/>
            </w:tcBorders>
            <w:shd w:val="clear" w:color="auto" w:fill="D2D2D2"/>
          </w:tcPr>
          <w:p>
            <w:pPr/>
          </w:p>
        </w:tc>
        <w:tc>
          <w:tcPr>
            <w:tcW w:w="826" w:type="dxa"/>
            <w:vMerge/>
            <w:tcBorders>
              <w:left w:val="single" w:sz="4" w:space="0" w:color="000000"/>
              <w:bottom w:val="nil" w:sz="6" w:space="0" w:color="auto"/>
              <w:right w:val="single" w:sz="4" w:space="0" w:color="000000"/>
            </w:tcBorders>
            <w:shd w:val="clear" w:color="auto" w:fill="D2D2D2"/>
          </w:tcPr>
          <w:p>
            <w:pPr/>
          </w:p>
        </w:tc>
        <w:tc>
          <w:tcPr>
            <w:tcW w:w="827" w:type="dxa"/>
            <w:vMerge/>
            <w:tcBorders>
              <w:left w:val="single" w:sz="4" w:space="0" w:color="000000"/>
              <w:bottom w:val="nil" w:sz="6" w:space="0" w:color="auto"/>
              <w:right w:val="single" w:sz="4" w:space="0" w:color="000000"/>
            </w:tcBorders>
            <w:shd w:val="clear" w:color="auto" w:fill="D2D2D2"/>
          </w:tcPr>
          <w:p>
            <w:pPr/>
          </w:p>
        </w:tc>
        <w:tc>
          <w:tcPr>
            <w:tcW w:w="955"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r>
      <w:tr>
        <w:trPr>
          <w:trHeight w:val="239" w:hRule="exact"/>
        </w:trPr>
        <w:tc>
          <w:tcPr>
            <w:tcW w:w="2008" w:type="dxa"/>
            <w:vMerge/>
            <w:tcBorders>
              <w:left w:val="single" w:sz="4" w:space="0" w:color="000000"/>
              <w:bottom w:val="single" w:sz="4" w:space="0" w:color="000000"/>
              <w:right w:val="single" w:sz="4" w:space="0" w:color="000000"/>
            </w:tcBorders>
            <w:shd w:val="clear" w:color="auto" w:fill="D2D2D2"/>
          </w:tcPr>
          <w:p>
            <w:pPr/>
          </w:p>
        </w:tc>
        <w:tc>
          <w:tcPr>
            <w:tcW w:w="96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5"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7" w:type="dxa"/>
            <w:tcBorders>
              <w:top w:val="nil" w:sz="6" w:space="0" w:color="auto"/>
              <w:left w:val="single" w:sz="4" w:space="0" w:color="000000"/>
              <w:bottom w:val="single" w:sz="4" w:space="0" w:color="000000"/>
              <w:right w:val="single" w:sz="4" w:space="0" w:color="000000"/>
            </w:tcBorders>
            <w:shd w:val="clear" w:color="auto" w:fill="D2D2D2"/>
          </w:tcPr>
          <w:p>
            <w:pPr/>
          </w:p>
        </w:tc>
        <w:tc>
          <w:tcPr>
            <w:tcW w:w="826" w:type="dxa"/>
            <w:vMerge/>
            <w:tcBorders>
              <w:left w:val="single" w:sz="4" w:space="0" w:color="000000"/>
              <w:bottom w:val="single" w:sz="4" w:space="0" w:color="000000"/>
              <w:right w:val="single" w:sz="4" w:space="0" w:color="000000"/>
            </w:tcBorders>
            <w:shd w:val="clear" w:color="auto" w:fill="D2D2D2"/>
          </w:tcPr>
          <w:p>
            <w:pPr/>
          </w:p>
        </w:tc>
        <w:tc>
          <w:tcPr>
            <w:tcW w:w="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7" w:type="dxa"/>
            <w:tcBorders>
              <w:top w:val="nil" w:sz="6" w:space="0" w:color="auto"/>
              <w:left w:val="single" w:sz="4" w:space="0" w:color="000000"/>
              <w:bottom w:val="single" w:sz="4" w:space="0" w:color="000000"/>
              <w:right w:val="single" w:sz="4" w:space="0" w:color="000000"/>
            </w:tcBorders>
            <w:shd w:val="clear" w:color="auto" w:fill="D2D2D2"/>
          </w:tcPr>
          <w:p>
            <w:pPr/>
          </w:p>
        </w:tc>
        <w:tc>
          <w:tcPr>
            <w:tcW w:w="9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58" w:hRule="exact"/>
        </w:trPr>
        <w:tc>
          <w:tcPr>
            <w:tcW w:w="2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395,098</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0.08%</w:t>
            </w:r>
          </w:p>
        </w:tc>
        <w:tc>
          <w:tcPr>
            <w:tcW w:w="823"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-77,982</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-77,982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317,116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0.06%</w:t>
            </w:r>
          </w:p>
        </w:tc>
      </w:tr>
      <w:tr>
        <w:trPr>
          <w:trHeight w:val="558" w:hRule="exact"/>
        </w:trPr>
        <w:tc>
          <w:tcPr>
            <w:tcW w:w="2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395,098</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0.08%</w:t>
            </w:r>
          </w:p>
        </w:tc>
        <w:tc>
          <w:tcPr>
            <w:tcW w:w="823"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-77,982</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-77,982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317,116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0.06%</w:t>
            </w:r>
          </w:p>
        </w:tc>
      </w:tr>
      <w:tr>
        <w:trPr>
          <w:trHeight w:val="558" w:hRule="exact"/>
        </w:trPr>
        <w:tc>
          <w:tcPr>
            <w:tcW w:w="2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395,098</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0.08%</w:t>
            </w:r>
          </w:p>
        </w:tc>
        <w:tc>
          <w:tcPr>
            <w:tcW w:w="823"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-77,982</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-77,982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317,116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0.06%</w:t>
            </w:r>
          </w:p>
        </w:tc>
      </w:tr>
      <w:tr>
        <w:trPr>
          <w:trHeight w:val="558" w:hRule="exact"/>
        </w:trPr>
        <w:tc>
          <w:tcPr>
            <w:tcW w:w="2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512,596,284</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99.92%</w:t>
            </w:r>
          </w:p>
        </w:tc>
        <w:tc>
          <w:tcPr>
            <w:tcW w:w="823"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77,982</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77,982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512,674,266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99.94%</w:t>
            </w:r>
          </w:p>
        </w:tc>
      </w:tr>
      <w:tr>
        <w:trPr>
          <w:trHeight w:val="558" w:hRule="exact"/>
        </w:trPr>
        <w:tc>
          <w:tcPr>
            <w:tcW w:w="2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512,596,284</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99.92%</w:t>
            </w:r>
          </w:p>
        </w:tc>
        <w:tc>
          <w:tcPr>
            <w:tcW w:w="823"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77,982</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77,982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512,674,266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99.94%</w:t>
            </w:r>
          </w:p>
        </w:tc>
      </w:tr>
      <w:tr>
        <w:trPr>
          <w:trHeight w:val="560" w:hRule="exact"/>
        </w:trPr>
        <w:tc>
          <w:tcPr>
            <w:tcW w:w="2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512,991,382</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512,991,382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240" w:lineRule="auto" w:before="10"/>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956"/>
        <w:gridCol w:w="901"/>
        <w:gridCol w:w="1396"/>
        <w:gridCol w:w="1395"/>
        <w:gridCol w:w="1238"/>
        <w:gridCol w:w="1240"/>
        <w:gridCol w:w="1085"/>
        <w:gridCol w:w="1448"/>
      </w:tblGrid>
      <w:tr>
        <w:trPr>
          <w:trHeight w:val="503" w:hRule="exact"/>
        </w:trPr>
        <w:tc>
          <w:tcPr>
            <w:tcW w:w="956" w:type="dxa"/>
            <w:vMerge w:val="restart"/>
            <w:tcBorders>
              <w:top w:val="single" w:sz="6" w:space="0" w:color="000000"/>
              <w:left w:val="single" w:sz="6" w:space="0" w:color="000000"/>
              <w:right w:val="single" w:sz="6" w:space="0" w:color="000000"/>
            </w:tcBorders>
          </w:tcPr>
          <w:p>
            <w:pPr>
              <w:pStyle w:val="TableParagraph"/>
              <w:spacing w:line="240" w:lineRule="auto" w:before="72"/>
              <w:ind w:left="259"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901" w:type="dxa"/>
            <w:vMerge w:val="restart"/>
            <w:tcBorders>
              <w:top w:val="single" w:sz="6" w:space="0" w:color="000000"/>
              <w:left w:val="single" w:sz="6" w:space="0" w:color="000000"/>
              <w:right w:val="single" w:sz="6" w:space="0" w:color="000000"/>
            </w:tcBorders>
          </w:tcPr>
          <w:p>
            <w:pPr>
              <w:pStyle w:val="TableParagraph"/>
              <w:spacing w:line="240" w:lineRule="auto" w:before="72"/>
              <w:ind w:left="23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7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宋体" w:hAnsi="宋体" w:cs="宋体" w:eastAsia="宋体" w:hint="default"/>
                <w:sz w:val="21"/>
                <w:szCs w:val="21"/>
              </w:rPr>
            </w:pPr>
            <w:r>
              <w:rPr>
                <w:rFonts w:ascii="宋体" w:hAnsi="宋体" w:cs="宋体" w:eastAsia="宋体" w:hint="default"/>
                <w:sz w:val="21"/>
                <w:szCs w:val="21"/>
              </w:rPr>
              <w:t>变动前</w:t>
            </w:r>
          </w:p>
        </w:tc>
        <w:tc>
          <w:tcPr>
            <w:tcW w:w="24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02" w:right="0"/>
              <w:jc w:val="left"/>
              <w:rPr>
                <w:rFonts w:ascii="宋体" w:hAnsi="宋体" w:cs="宋体" w:eastAsia="宋体" w:hint="default"/>
                <w:sz w:val="21"/>
                <w:szCs w:val="21"/>
              </w:rPr>
            </w:pPr>
            <w:r>
              <w:rPr>
                <w:rFonts w:ascii="宋体" w:hAnsi="宋体" w:cs="宋体" w:eastAsia="宋体" w:hint="default"/>
                <w:sz w:val="21"/>
                <w:szCs w:val="21"/>
              </w:rPr>
              <w:t>半年度变动后</w:t>
            </w:r>
          </w:p>
        </w:tc>
        <w:tc>
          <w:tcPr>
            <w:tcW w:w="25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733" w:right="0"/>
              <w:jc w:val="left"/>
              <w:rPr>
                <w:rFonts w:ascii="宋体" w:hAnsi="宋体" w:cs="宋体" w:eastAsia="宋体" w:hint="default"/>
                <w:sz w:val="21"/>
                <w:szCs w:val="21"/>
              </w:rPr>
            </w:pPr>
            <w:r>
              <w:rPr>
                <w:rFonts w:ascii="宋体" w:hAnsi="宋体" w:cs="宋体" w:eastAsia="宋体" w:hint="default"/>
                <w:sz w:val="21"/>
                <w:szCs w:val="21"/>
              </w:rPr>
              <w:t>期末变动后</w:t>
            </w:r>
          </w:p>
        </w:tc>
      </w:tr>
      <w:tr>
        <w:trPr>
          <w:trHeight w:val="971" w:hRule="exact"/>
        </w:trPr>
        <w:tc>
          <w:tcPr>
            <w:tcW w:w="956" w:type="dxa"/>
            <w:vMerge/>
            <w:tcBorders>
              <w:left w:val="single" w:sz="6" w:space="0" w:color="000000"/>
              <w:bottom w:val="single" w:sz="6" w:space="0" w:color="000000"/>
              <w:right w:val="single" w:sz="6" w:space="0" w:color="000000"/>
            </w:tcBorders>
          </w:tcPr>
          <w:p>
            <w:pPr/>
          </w:p>
        </w:tc>
        <w:tc>
          <w:tcPr>
            <w:tcW w:w="901" w:type="dxa"/>
            <w:vMerge/>
            <w:tcBorders>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 w:right="0"/>
              <w:jc w:val="center"/>
              <w:rPr>
                <w:rFonts w:ascii="宋体" w:hAnsi="宋体" w:cs="宋体" w:eastAsia="宋体" w:hint="default"/>
                <w:sz w:val="21"/>
                <w:szCs w:val="21"/>
              </w:rPr>
            </w:pPr>
            <w:r>
              <w:rPr>
                <w:rFonts w:ascii="宋体" w:hAnsi="宋体" w:cs="宋体" w:eastAsia="宋体" w:hint="default"/>
                <w:sz w:val="21"/>
                <w:szCs w:val="21"/>
              </w:rPr>
              <w:t>无限售流通股</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宋体" w:hAnsi="宋体" w:cs="宋体" w:eastAsia="宋体" w:hint="default"/>
                <w:sz w:val="21"/>
                <w:szCs w:val="21"/>
              </w:rPr>
            </w:pPr>
            <w:r>
              <w:rPr>
                <w:rFonts w:ascii="宋体" w:hAnsi="宋体" w:cs="宋体" w:eastAsia="宋体" w:hint="default"/>
                <w:sz w:val="21"/>
                <w:szCs w:val="21"/>
              </w:rPr>
              <w:t>高管锁定股</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74"/>
              <w:ind w:left="507" w:right="84" w:hanging="420"/>
              <w:jc w:val="left"/>
              <w:rPr>
                <w:rFonts w:ascii="宋体" w:hAnsi="宋体" w:cs="宋体" w:eastAsia="宋体" w:hint="default"/>
                <w:sz w:val="21"/>
                <w:szCs w:val="21"/>
              </w:rPr>
            </w:pPr>
            <w:r>
              <w:rPr>
                <w:rFonts w:ascii="宋体" w:hAnsi="宋体" w:cs="宋体" w:eastAsia="宋体" w:hint="default"/>
                <w:sz w:val="21"/>
                <w:szCs w:val="21"/>
              </w:rPr>
              <w:t>无限售流通 股</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高管锁定股</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74"/>
              <w:ind w:left="429" w:right="8" w:hanging="420"/>
              <w:jc w:val="left"/>
              <w:rPr>
                <w:rFonts w:ascii="宋体" w:hAnsi="宋体" w:cs="宋体" w:eastAsia="宋体" w:hint="default"/>
                <w:sz w:val="21"/>
                <w:szCs w:val="21"/>
              </w:rPr>
            </w:pPr>
            <w:r>
              <w:rPr>
                <w:rFonts w:ascii="宋体" w:hAnsi="宋体" w:cs="宋体" w:eastAsia="宋体" w:hint="default"/>
                <w:sz w:val="21"/>
                <w:szCs w:val="21"/>
              </w:rPr>
              <w:t>无限售流通 股</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高管锁定股</w:t>
            </w:r>
          </w:p>
        </w:tc>
      </w:tr>
      <w:tr>
        <w:trPr>
          <w:trHeight w:val="503" w:hRule="exact"/>
        </w:trPr>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1</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曹恩辉</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23,250</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1"/>
              <w:jc w:val="center"/>
              <w:rPr>
                <w:rFonts w:ascii="Times New Roman" w:hAnsi="Times New Roman" w:cs="Times New Roman" w:eastAsia="Times New Roman" w:hint="default"/>
                <w:sz w:val="21"/>
                <w:szCs w:val="21"/>
              </w:rPr>
            </w:pPr>
            <w:r>
              <w:rPr>
                <w:rFonts w:ascii="Times New Roman"/>
                <w:sz w:val="21"/>
              </w:rPr>
              <w:t>69,750</w:t>
            </w:r>
          </w:p>
        </w:tc>
        <w:tc>
          <w:tcPr>
            <w:tcW w:w="1238" w:type="dxa"/>
            <w:tcBorders>
              <w:top w:val="single" w:sz="6" w:space="0" w:color="000000"/>
              <w:left w:val="single" w:sz="6" w:space="0" w:color="000000"/>
              <w:bottom w:val="single" w:sz="6" w:space="0" w:color="000000"/>
              <w:right w:val="single" w:sz="6" w:space="0" w:color="000000"/>
            </w:tcBorders>
          </w:tcPr>
          <w:p>
            <w:pP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93,000</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46,500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46,500</w:t>
            </w:r>
          </w:p>
        </w:tc>
      </w:tr>
      <w:tr>
        <w:trPr>
          <w:trHeight w:val="503" w:hRule="exact"/>
        </w:trPr>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2</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祖春香</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13,575</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1"/>
              <w:jc w:val="center"/>
              <w:rPr>
                <w:rFonts w:ascii="Times New Roman" w:hAnsi="Times New Roman" w:cs="Times New Roman" w:eastAsia="Times New Roman" w:hint="default"/>
                <w:sz w:val="21"/>
                <w:szCs w:val="21"/>
              </w:rPr>
            </w:pPr>
            <w:r>
              <w:rPr>
                <w:rFonts w:ascii="Times New Roman"/>
                <w:sz w:val="21"/>
              </w:rPr>
              <w:t>40,725</w:t>
            </w:r>
          </w:p>
        </w:tc>
        <w:tc>
          <w:tcPr>
            <w:tcW w:w="1238" w:type="dxa"/>
            <w:tcBorders>
              <w:top w:val="single" w:sz="6" w:space="0" w:color="000000"/>
              <w:left w:val="single" w:sz="6" w:space="0" w:color="000000"/>
              <w:bottom w:val="single" w:sz="6" w:space="0" w:color="000000"/>
              <w:right w:val="single" w:sz="6" w:space="0" w:color="000000"/>
            </w:tcBorders>
          </w:tcPr>
          <w:p>
            <w:pP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54,300</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27,150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27,150</w:t>
            </w:r>
          </w:p>
        </w:tc>
      </w:tr>
      <w:tr>
        <w:trPr>
          <w:trHeight w:val="503" w:hRule="exact"/>
        </w:trPr>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3</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钟云香</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24,925</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1"/>
              <w:jc w:val="center"/>
              <w:rPr>
                <w:rFonts w:ascii="Times New Roman" w:hAnsi="Times New Roman" w:cs="Times New Roman" w:eastAsia="Times New Roman" w:hint="default"/>
                <w:sz w:val="21"/>
                <w:szCs w:val="21"/>
              </w:rPr>
            </w:pPr>
            <w:r>
              <w:rPr>
                <w:rFonts w:ascii="Times New Roman"/>
                <w:sz w:val="21"/>
              </w:rPr>
              <w:t>74,775</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1" w:right="0"/>
              <w:jc w:val="center"/>
              <w:rPr>
                <w:rFonts w:ascii="Times New Roman" w:hAnsi="Times New Roman" w:cs="Times New Roman" w:eastAsia="Times New Roman" w:hint="default"/>
                <w:sz w:val="21"/>
                <w:szCs w:val="21"/>
              </w:rPr>
            </w:pPr>
            <w:r>
              <w:rPr>
                <w:rFonts w:ascii="Times New Roman"/>
                <w:sz w:val="21"/>
              </w:rPr>
              <w:t>24,925</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74,775</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24,925</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74,775</w:t>
            </w:r>
          </w:p>
        </w:tc>
      </w:tr>
      <w:tr>
        <w:trPr>
          <w:trHeight w:val="504" w:hRule="exact"/>
        </w:trPr>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4</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李宝芝</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34,550</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1"/>
              <w:jc w:val="center"/>
              <w:rPr>
                <w:rFonts w:ascii="Times New Roman" w:hAnsi="Times New Roman" w:cs="Times New Roman" w:eastAsia="Times New Roman" w:hint="default"/>
                <w:sz w:val="21"/>
                <w:szCs w:val="21"/>
              </w:rPr>
            </w:pPr>
            <w:r>
              <w:rPr>
                <w:rFonts w:ascii="Times New Roman"/>
                <w:sz w:val="21"/>
              </w:rPr>
              <w:t>34,550</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1" w:right="0"/>
              <w:jc w:val="center"/>
              <w:rPr>
                <w:rFonts w:ascii="Times New Roman" w:hAnsi="Times New Roman" w:cs="Times New Roman" w:eastAsia="Times New Roman" w:hint="default"/>
                <w:sz w:val="21"/>
                <w:szCs w:val="21"/>
              </w:rPr>
            </w:pPr>
            <w:r>
              <w:rPr>
                <w:rFonts w:ascii="Times New Roman"/>
                <w:sz w:val="21"/>
              </w:rPr>
              <w:t>17,275</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51,825</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17,275</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51,825</w:t>
            </w:r>
          </w:p>
        </w:tc>
      </w:tr>
      <w:tr>
        <w:trPr>
          <w:trHeight w:val="503" w:hRule="exact"/>
        </w:trPr>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21"/>
                <w:szCs w:val="21"/>
              </w:rPr>
            </w:pPr>
            <w:r>
              <w:rPr>
                <w:rFonts w:ascii="Times New Roman"/>
                <w:sz w:val="21"/>
              </w:rPr>
              <w:t>5</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宋体" w:hAnsi="宋体" w:cs="宋体" w:eastAsia="宋体" w:hint="default"/>
                <w:sz w:val="21"/>
                <w:szCs w:val="21"/>
              </w:rPr>
            </w:pPr>
            <w:r>
              <w:rPr>
                <w:rFonts w:ascii="宋体" w:hAnsi="宋体" w:cs="宋体" w:eastAsia="宋体" w:hint="default"/>
                <w:sz w:val="21"/>
                <w:szCs w:val="21"/>
              </w:rPr>
              <w:t>范水波</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21"/>
                <w:szCs w:val="21"/>
              </w:rPr>
            </w:pPr>
            <w:r>
              <w:rPr>
                <w:rFonts w:ascii="Times New Roman"/>
                <w:sz w:val="21"/>
              </w:rPr>
              <w:t>10,775</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
              <w:jc w:val="center"/>
              <w:rPr>
                <w:rFonts w:ascii="Times New Roman" w:hAnsi="Times New Roman" w:cs="Times New Roman" w:eastAsia="Times New Roman" w:hint="default"/>
                <w:sz w:val="21"/>
                <w:szCs w:val="21"/>
              </w:rPr>
            </w:pPr>
            <w:r>
              <w:rPr>
                <w:rFonts w:ascii="Times New Roman"/>
                <w:sz w:val="21"/>
              </w:rPr>
              <w:t>32,325</w:t>
            </w:r>
          </w:p>
        </w:tc>
        <w:tc>
          <w:tcPr>
            <w:tcW w:w="1238" w:type="dxa"/>
            <w:tcBorders>
              <w:top w:val="single" w:sz="6" w:space="0" w:color="000000"/>
              <w:left w:val="single" w:sz="6" w:space="0" w:color="000000"/>
              <w:bottom w:val="single" w:sz="6" w:space="0" w:color="000000"/>
              <w:right w:val="single" w:sz="6" w:space="0" w:color="000000"/>
            </w:tcBorders>
          </w:tcPr>
          <w:p>
            <w:pP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21"/>
                <w:szCs w:val="21"/>
              </w:rPr>
            </w:pPr>
            <w:r>
              <w:rPr>
                <w:rFonts w:ascii="Times New Roman"/>
                <w:sz w:val="21"/>
              </w:rPr>
              <w:t>43,100</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21"/>
                <w:szCs w:val="21"/>
              </w:rPr>
            </w:pPr>
            <w:r>
              <w:rPr>
                <w:rFonts w:ascii="Times New Roman"/>
                <w:sz w:val="21"/>
              </w:rPr>
              <w:t>21,550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21"/>
                <w:szCs w:val="21"/>
              </w:rPr>
            </w:pPr>
            <w:r>
              <w:rPr>
                <w:rFonts w:ascii="Times New Roman"/>
                <w:sz w:val="21"/>
              </w:rPr>
              <w:t>21,550</w:t>
            </w:r>
          </w:p>
        </w:tc>
      </w:tr>
      <w:tr>
        <w:trPr>
          <w:trHeight w:val="503" w:hRule="exact"/>
        </w:trPr>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6</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宋体" w:hAnsi="宋体" w:cs="宋体" w:eastAsia="宋体" w:hint="default"/>
                <w:sz w:val="21"/>
                <w:szCs w:val="21"/>
              </w:rPr>
            </w:pPr>
            <w:r>
              <w:rPr>
                <w:rFonts w:ascii="宋体" w:hAnsi="宋体" w:cs="宋体" w:eastAsia="宋体" w:hint="default"/>
                <w:sz w:val="21"/>
                <w:szCs w:val="21"/>
              </w:rPr>
              <w:t>韩明</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13,508</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1"/>
              <w:jc w:val="center"/>
              <w:rPr>
                <w:rFonts w:ascii="Times New Roman" w:hAnsi="Times New Roman" w:cs="Times New Roman" w:eastAsia="Times New Roman" w:hint="default"/>
                <w:sz w:val="21"/>
                <w:szCs w:val="21"/>
              </w:rPr>
            </w:pPr>
            <w:r>
              <w:rPr>
                <w:rFonts w:ascii="Times New Roman"/>
                <w:sz w:val="21"/>
              </w:rPr>
              <w:t>40,523</w:t>
            </w:r>
          </w:p>
        </w:tc>
        <w:tc>
          <w:tcPr>
            <w:tcW w:w="1238" w:type="dxa"/>
            <w:tcBorders>
              <w:top w:val="single" w:sz="6" w:space="0" w:color="000000"/>
              <w:left w:val="single" w:sz="6" w:space="0" w:color="000000"/>
              <w:bottom w:val="single" w:sz="6" w:space="0" w:color="000000"/>
              <w:right w:val="single" w:sz="6" w:space="0" w:color="000000"/>
            </w:tcBorders>
          </w:tcPr>
          <w:p>
            <w:pP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54,031</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27,015</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27,016</w:t>
            </w:r>
          </w:p>
        </w:tc>
      </w:tr>
      <w:tr>
        <w:trPr>
          <w:trHeight w:val="504" w:hRule="exact"/>
        </w:trPr>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7</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徐吉峰</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19,125</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1"/>
              <w:jc w:val="center"/>
              <w:rPr>
                <w:rFonts w:ascii="Times New Roman" w:hAnsi="Times New Roman" w:cs="Times New Roman" w:eastAsia="Times New Roman" w:hint="default"/>
                <w:sz w:val="21"/>
                <w:szCs w:val="21"/>
              </w:rPr>
            </w:pPr>
            <w:r>
              <w:rPr>
                <w:rFonts w:ascii="Times New Roman"/>
                <w:sz w:val="21"/>
              </w:rPr>
              <w:t>57,375</w:t>
            </w:r>
          </w:p>
        </w:tc>
        <w:tc>
          <w:tcPr>
            <w:tcW w:w="1238" w:type="dxa"/>
            <w:tcBorders>
              <w:top w:val="single" w:sz="6" w:space="0" w:color="000000"/>
              <w:left w:val="single" w:sz="6" w:space="0" w:color="000000"/>
              <w:bottom w:val="single" w:sz="6" w:space="0" w:color="000000"/>
              <w:right w:val="single" w:sz="6" w:space="0" w:color="000000"/>
            </w:tcBorders>
          </w:tcPr>
          <w:p>
            <w:pP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76,500</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38,250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38,250</w:t>
            </w:r>
          </w:p>
        </w:tc>
      </w:tr>
    </w:tbl>
    <w:p>
      <w:pPr>
        <w:spacing w:after="0" w:line="240" w:lineRule="auto"/>
        <w:jc w:val="center"/>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956"/>
        <w:gridCol w:w="901"/>
        <w:gridCol w:w="1396"/>
        <w:gridCol w:w="1395"/>
        <w:gridCol w:w="1238"/>
        <w:gridCol w:w="1240"/>
        <w:gridCol w:w="1085"/>
        <w:gridCol w:w="1448"/>
      </w:tblGrid>
      <w:tr>
        <w:trPr>
          <w:trHeight w:val="503" w:hRule="exact"/>
        </w:trPr>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8</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殷金龙</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401" w:right="0"/>
              <w:jc w:val="left"/>
              <w:rPr>
                <w:rFonts w:ascii="Times New Roman" w:hAnsi="Times New Roman" w:cs="Times New Roman" w:eastAsia="Times New Roman" w:hint="default"/>
                <w:sz w:val="21"/>
                <w:szCs w:val="21"/>
              </w:rPr>
            </w:pPr>
            <w:r>
              <w:rPr>
                <w:rFonts w:ascii="Times New Roman"/>
                <w:sz w:val="21"/>
              </w:rPr>
              <w:t>15,025</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400" w:right="0"/>
              <w:jc w:val="left"/>
              <w:rPr>
                <w:rFonts w:ascii="Times New Roman" w:hAnsi="Times New Roman" w:cs="Times New Roman" w:eastAsia="Times New Roman" w:hint="default"/>
                <w:sz w:val="21"/>
                <w:szCs w:val="21"/>
              </w:rPr>
            </w:pPr>
            <w:r>
              <w:rPr>
                <w:rFonts w:ascii="Times New Roman"/>
                <w:sz w:val="21"/>
              </w:rPr>
              <w:t>45,075</w:t>
            </w:r>
          </w:p>
        </w:tc>
        <w:tc>
          <w:tcPr>
            <w:tcW w:w="1238" w:type="dxa"/>
            <w:tcBorders>
              <w:top w:val="single" w:sz="6" w:space="0" w:color="000000"/>
              <w:left w:val="single" w:sz="6" w:space="0" w:color="000000"/>
              <w:bottom w:val="single" w:sz="6" w:space="0" w:color="000000"/>
              <w:right w:val="single" w:sz="6" w:space="0" w:color="000000"/>
            </w:tcBorders>
          </w:tcPr>
          <w:p>
            <w:pP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60,100</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30,050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30,050</w:t>
            </w:r>
          </w:p>
        </w:tc>
      </w:tr>
      <w:tr>
        <w:trPr>
          <w:trHeight w:val="504" w:hRule="exact"/>
        </w:trPr>
        <w:tc>
          <w:tcPr>
            <w:tcW w:w="956"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401" w:right="0"/>
              <w:jc w:val="left"/>
              <w:rPr>
                <w:rFonts w:ascii="Times New Roman" w:hAnsi="Times New Roman" w:cs="Times New Roman" w:eastAsia="Times New Roman" w:hint="default"/>
                <w:sz w:val="21"/>
                <w:szCs w:val="21"/>
              </w:rPr>
            </w:pPr>
            <w:r>
              <w:rPr>
                <w:rFonts w:ascii="Times New Roman"/>
                <w:sz w:val="21"/>
              </w:rPr>
              <w:t>154,733</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348" w:right="0"/>
              <w:jc w:val="left"/>
              <w:rPr>
                <w:rFonts w:ascii="Times New Roman" w:hAnsi="Times New Roman" w:cs="Times New Roman" w:eastAsia="Times New Roman" w:hint="default"/>
                <w:sz w:val="21"/>
                <w:szCs w:val="21"/>
              </w:rPr>
            </w:pPr>
            <w:r>
              <w:rPr>
                <w:rFonts w:ascii="Times New Roman"/>
                <w:sz w:val="21"/>
              </w:rPr>
              <w:t>395,098</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323" w:right="0"/>
              <w:jc w:val="left"/>
              <w:rPr>
                <w:rFonts w:ascii="Times New Roman" w:hAnsi="Times New Roman" w:cs="Times New Roman" w:eastAsia="Times New Roman" w:hint="default"/>
                <w:sz w:val="21"/>
                <w:szCs w:val="21"/>
              </w:rPr>
            </w:pPr>
            <w:r>
              <w:rPr>
                <w:rFonts w:ascii="Times New Roman"/>
                <w:sz w:val="21"/>
              </w:rPr>
              <w:t>42,200</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507,631</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232,715</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317,116</w:t>
            </w:r>
          </w:p>
        </w:tc>
      </w:tr>
    </w:tbl>
    <w:p>
      <w:pPr>
        <w:pStyle w:val="BodyText"/>
        <w:spacing w:line="386" w:lineRule="auto" w:before="63"/>
        <w:ind w:left="154" w:right="1025" w:firstLine="420"/>
        <w:jc w:val="left"/>
      </w:pPr>
      <w:r>
        <w:rPr>
          <w:spacing w:val="-4"/>
        </w:rPr>
        <w:t>报告期初公司限售股份为</w:t>
      </w:r>
      <w:r>
        <w:rPr>
          <w:rFonts w:ascii="Times New Roman" w:hAnsi="Times New Roman" w:cs="Times New Roman" w:eastAsia="Times New Roman" w:hint="default"/>
          <w:spacing w:val="-4"/>
        </w:rPr>
        <w:t>395,098</w:t>
      </w:r>
      <w:r>
        <w:rPr>
          <w:spacing w:val="-4"/>
        </w:rPr>
        <w:t>股，均为高管锁定股，报告期内公司前董事长曹恩辉；前董事祖春香、</w:t>
      </w:r>
      <w:r>
        <w:rPr/>
        <w:t> </w:t>
      </w:r>
      <w:r>
        <w:rPr>
          <w:spacing w:val="-8"/>
        </w:rPr>
        <w:t>殷金龙；前监事范水波、前高级管理人员韩明、徐吉峰辞职离任，上述人员所持本公司股份根据《公司法》、</w:t>
      </w:r>
    </w:p>
    <w:p>
      <w:pPr>
        <w:pStyle w:val="BodyText"/>
        <w:spacing w:line="386" w:lineRule="auto" w:before="65"/>
        <w:ind w:right="0"/>
        <w:jc w:val="left"/>
      </w:pPr>
      <w:r>
        <w:rPr>
          <w:spacing w:val="-2"/>
        </w:rPr>
        <w:t>《公司章程》等相关法律法规规定，自离任日起六个月内将其持有本公司股份予以全部锁定</w:t>
      </w:r>
      <w:r>
        <w:rPr>
          <w:rFonts w:ascii="Times New Roman" w:hAnsi="Times New Roman" w:cs="Times New Roman" w:eastAsia="Times New Roman" w:hint="default"/>
          <w:spacing w:val="-2"/>
        </w:rPr>
        <w:t>,</w:t>
      </w:r>
      <w:r>
        <w:rPr>
          <w:spacing w:val="-2"/>
        </w:rPr>
        <w:t>报告期末上述</w:t>
      </w:r>
      <w:r>
        <w:rPr>
          <w:spacing w:val="-86"/>
        </w:rPr>
        <w:t> </w:t>
      </w:r>
      <w:r>
        <w:rPr/>
        <w:t>人员离任满六个月锁定比例由</w:t>
      </w:r>
      <w:r>
        <w:rPr>
          <w:rFonts w:ascii="Times New Roman" w:hAnsi="Times New Roman" w:cs="Times New Roman" w:eastAsia="Times New Roman" w:hint="default"/>
        </w:rPr>
        <w:t>100%</w:t>
      </w:r>
      <w:r>
        <w:rPr/>
        <w:t>变更为</w:t>
      </w:r>
      <w:r>
        <w:rPr>
          <w:rFonts w:ascii="Times New Roman" w:hAnsi="Times New Roman" w:cs="Times New Roman" w:eastAsia="Times New Roman" w:hint="default"/>
        </w:rPr>
        <w:t>50%</w:t>
      </w:r>
      <w:r>
        <w:rPr/>
        <w:t>。</w:t>
      </w:r>
    </w:p>
    <w:p>
      <w:pPr>
        <w:pStyle w:val="BodyText"/>
        <w:spacing w:line="386" w:lineRule="auto" w:before="35"/>
        <w:ind w:right="1127" w:firstLine="420"/>
        <w:jc w:val="both"/>
      </w:pPr>
      <w:r>
        <w:rPr>
          <w:spacing w:val="-2"/>
        </w:rPr>
        <w:t>报告期初公司原生产副总经理李宝芝女士离任时间已满</w:t>
      </w:r>
      <w:r>
        <w:rPr>
          <w:rFonts w:ascii="Times New Roman" w:hAnsi="Times New Roman" w:cs="Times New Roman" w:eastAsia="Times New Roman" w:hint="default"/>
          <w:spacing w:val="-2"/>
        </w:rPr>
        <w:t>6</w:t>
      </w:r>
      <w:r>
        <w:rPr>
          <w:spacing w:val="-2"/>
        </w:rPr>
        <w:t>个月，其所持有的本公司股票</w:t>
      </w:r>
      <w:r>
        <w:rPr>
          <w:rFonts w:ascii="Times New Roman" w:hAnsi="Times New Roman" w:cs="Times New Roman" w:eastAsia="Times New Roman" w:hint="default"/>
          <w:spacing w:val="-2"/>
        </w:rPr>
        <w:t>69,100</w:t>
      </w:r>
      <w:r>
        <w:rPr>
          <w:spacing w:val="-2"/>
        </w:rPr>
        <w:t>股锁定比</w:t>
      </w:r>
      <w:r>
        <w:rPr/>
        <w:t> 例为</w:t>
      </w:r>
      <w:r>
        <w:rPr>
          <w:rFonts w:ascii="Times New Roman" w:hAnsi="Times New Roman" w:cs="Times New Roman" w:eastAsia="Times New Roman" w:hint="default"/>
        </w:rPr>
        <w:t>50%</w:t>
      </w:r>
      <w:r>
        <w:rPr/>
        <w:t>，限售锁定股票为</w:t>
      </w:r>
      <w:r>
        <w:rPr>
          <w:rFonts w:ascii="Times New Roman" w:hAnsi="Times New Roman" w:cs="Times New Roman" w:eastAsia="Times New Roman" w:hint="default"/>
        </w:rPr>
        <w:t>34,550</w:t>
      </w:r>
      <w:r>
        <w:rPr/>
        <w:t>股，李宝芝女士在报告期内当选为公司董事，根据《公司法》、《公司</w:t>
      </w:r>
      <w:r>
        <w:rPr>
          <w:spacing w:val="-53"/>
        </w:rPr>
        <w:t> </w:t>
      </w:r>
      <w:r>
        <w:rPr>
          <w:spacing w:val="-53"/>
        </w:rPr>
      </w:r>
      <w:r>
        <w:rPr/>
        <w:t>章程》等相关法律法规规定，其所持有的本公司股份锁定比例由</w:t>
      </w:r>
      <w:r>
        <w:rPr>
          <w:rFonts w:ascii="Times New Roman" w:hAnsi="Times New Roman" w:cs="Times New Roman" w:eastAsia="Times New Roman" w:hint="default"/>
        </w:rPr>
        <w:t>50%</w:t>
      </w:r>
      <w:r>
        <w:rPr/>
        <w:t>变更为</w:t>
      </w:r>
      <w:r>
        <w:rPr>
          <w:rFonts w:ascii="Times New Roman" w:hAnsi="Times New Roman" w:cs="Times New Roman" w:eastAsia="Times New Roman" w:hint="default"/>
        </w:rPr>
        <w:t>75%</w:t>
      </w:r>
      <w:r>
        <w:rPr/>
        <w:t>，锁定股数由</w:t>
      </w:r>
      <w:r>
        <w:rPr>
          <w:rFonts w:ascii="Times New Roman" w:hAnsi="Times New Roman" w:cs="Times New Roman" w:eastAsia="Times New Roman" w:hint="default"/>
        </w:rPr>
        <w:t>34,550</w:t>
      </w:r>
      <w:r>
        <w:rPr/>
        <w:t>股变</w:t>
      </w:r>
      <w:r>
        <w:rPr>
          <w:spacing w:val="-20"/>
        </w:rPr>
        <w:t> </w:t>
      </w:r>
      <w:r>
        <w:rPr/>
        <w:t>更为</w:t>
      </w:r>
      <w:r>
        <w:rPr>
          <w:rFonts w:ascii="Times New Roman" w:hAnsi="Times New Roman" w:cs="Times New Roman" w:eastAsia="Times New Roman" w:hint="default"/>
        </w:rPr>
        <w:t>51,825</w:t>
      </w:r>
      <w:r>
        <w:rPr/>
        <w:t>。</w:t>
      </w:r>
    </w:p>
    <w:p>
      <w:pPr>
        <w:pStyle w:val="BodyText"/>
        <w:spacing w:line="386" w:lineRule="auto" w:before="35"/>
        <w:ind w:right="1130" w:firstLine="420"/>
        <w:jc w:val="both"/>
      </w:pPr>
      <w:r>
        <w:rPr/>
        <w:t>综上，报告期内限售股份减少</w:t>
      </w:r>
      <w:r>
        <w:rPr>
          <w:rFonts w:ascii="Times New Roman" w:hAnsi="Times New Roman" w:cs="Times New Roman" w:eastAsia="Times New Roman" w:hint="default"/>
        </w:rPr>
        <w:t>77,982</w:t>
      </w:r>
      <w:r>
        <w:rPr/>
        <w:t>股，变动后限售股份为</w:t>
      </w:r>
      <w:r>
        <w:rPr>
          <w:rFonts w:ascii="Times New Roman" w:hAnsi="Times New Roman" w:cs="Times New Roman" w:eastAsia="Times New Roman" w:hint="default"/>
        </w:rPr>
        <w:t>317,116</w:t>
      </w:r>
      <w:r>
        <w:rPr/>
        <w:t>股；无限售流通股增加</w:t>
      </w:r>
      <w:r>
        <w:rPr>
          <w:rFonts w:ascii="Times New Roman" w:hAnsi="Times New Roman" w:cs="Times New Roman" w:eastAsia="Times New Roman" w:hint="default"/>
        </w:rPr>
        <w:t>77,982</w:t>
      </w:r>
      <w:r>
        <w:rPr/>
        <w:t>股，</w:t>
      </w:r>
      <w:r>
        <w:rPr>
          <w:spacing w:val="1"/>
        </w:rPr>
        <w:t> </w:t>
      </w:r>
      <w:r>
        <w:rPr/>
        <w:t>变动后无限售流通股为</w:t>
      </w:r>
      <w:r>
        <w:rPr>
          <w:rFonts w:ascii="Times New Roman" w:hAnsi="Times New Roman" w:cs="Times New Roman" w:eastAsia="Times New Roman" w:hint="default"/>
        </w:rPr>
        <w:t>512,674,266</w:t>
      </w:r>
      <w:r>
        <w:rPr/>
        <w:t>股。</w:t>
      </w:r>
    </w:p>
    <w:p>
      <w:pPr>
        <w:spacing w:before="101"/>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240" w:lineRule="auto" w:before="10"/>
        <w:rPr>
          <w:rFonts w:ascii="宋体" w:hAnsi="宋体" w:cs="宋体" w:eastAsia="宋体" w:hint="default"/>
          <w:sz w:val="20"/>
          <w:szCs w:val="20"/>
        </w:rPr>
      </w:pPr>
    </w:p>
    <w:p>
      <w:pPr>
        <w:spacing w:line="489" w:lineRule="auto" w:before="0"/>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股份变动的过户情况</w:t>
      </w:r>
    </w:p>
    <w:p>
      <w:pPr>
        <w:spacing w:line="489" w:lineRule="auto" w:before="85"/>
        <w:ind w:left="153" w:right="1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489" w:lineRule="auto" w:before="8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公司认为必要或证券监管机构要求披露的其他内容</w:t>
      </w:r>
    </w:p>
    <w:p>
      <w:pPr>
        <w:spacing w:before="8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二、证券发行与上市情况" w:id="91"/>
      <w:bookmarkEnd w:id="91"/>
      <w:r>
        <w:rPr>
          <w:b w:val="0"/>
          <w:bCs w:val="0"/>
        </w:rPr>
      </w:r>
      <w:r>
        <w:rPr/>
        <w:t>二、证券发行与上市情况</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1"/>
        <w:ind w:right="0"/>
        <w:jc w:val="left"/>
        <w:rPr>
          <w:b w:val="0"/>
          <w:bCs w:val="0"/>
        </w:rPr>
      </w:pPr>
      <w:bookmarkStart w:name="1、报告期末近三年历次证券发行情况" w:id="92"/>
      <w:bookmarkEnd w:id="92"/>
      <w:r>
        <w:rPr>
          <w:b w:val="0"/>
          <w:bCs w:val="0"/>
        </w:rPr>
      </w: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Heading4"/>
        <w:spacing w:line="240" w:lineRule="auto"/>
        <w:ind w:right="0"/>
        <w:jc w:val="left"/>
        <w:rPr>
          <w:b w:val="0"/>
          <w:bCs w:val="0"/>
        </w:rPr>
      </w:pPr>
      <w:bookmarkStart w:name="2、公司股份总数及股东结构的变动、公司资产和负债结构的变动情况说明" w:id="93"/>
      <w:bookmarkEnd w:id="93"/>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3、现存的内部职工股情况" w:id="94"/>
      <w:bookmarkEnd w:id="94"/>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三、股东和实际控制人情况" w:id="95"/>
      <w:bookmarkEnd w:id="95"/>
      <w:r>
        <w:rPr>
          <w:b w:val="0"/>
          <w:bCs w:val="0"/>
        </w:rPr>
      </w:r>
      <w:r>
        <w:rPr/>
        <w:t>三、股东和实际控制人情况</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left"/>
        <w:rPr>
          <w:b w:val="0"/>
          <w:bCs w:val="0"/>
        </w:rPr>
      </w:pPr>
      <w:bookmarkStart w:name="1、公司股东数量及持股情况" w:id="96"/>
      <w:bookmarkEnd w:id="96"/>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pict>
          <v:shape style="position:absolute;margin-left:455.339996pt;margin-top:74.391708pt;width:84.5pt;height:23.4pt;mso-position-horizontal-relative:page;mso-position-vertical-relative:paragraph;z-index:-915688" type="#_x0000_t202" filled="false" stroked="false">
            <v:textbox inset="0,0,0,0">
              <w:txbxContent>
                <w:p>
                  <w:pPr>
                    <w:spacing w:before="5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61.519989pt;margin-top:74.391708pt;width:78.3pt;height:23.4pt;mso-position-horizontal-relative:page;mso-position-vertical-relative:paragraph;z-index:-915664" coordorigin="9230,1488" coordsize="1566,468">
            <v:shape style="position:absolute;left:9230;top:1488;width:1566;height:468" coordorigin="9230,1488" coordsize="1566,468" path="m9230,1956l10796,1956,10796,1488,9230,1488,9230,1956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12"/>
        <w:rPr>
          <w:rFonts w:ascii="宋体" w:hAnsi="宋体" w:cs="宋体" w:eastAsia="宋体" w:hint="default"/>
          <w:sz w:val="13"/>
          <w:szCs w:val="13"/>
        </w:rPr>
      </w:pPr>
    </w:p>
    <w:tbl>
      <w:tblPr>
        <w:tblW w:w="0" w:type="auto"/>
        <w:jc w:val="left"/>
        <w:tblInd w:w="121" w:type="dxa"/>
        <w:tblLayout w:type="fixed"/>
        <w:tblCellMar>
          <w:top w:w="0" w:type="dxa"/>
          <w:left w:w="0" w:type="dxa"/>
          <w:bottom w:w="0" w:type="dxa"/>
          <w:right w:w="0" w:type="dxa"/>
        </w:tblCellMar>
        <w:tblLook w:val="01E0"/>
      </w:tblPr>
      <w:tblGrid>
        <w:gridCol w:w="1358"/>
        <w:gridCol w:w="202"/>
        <w:gridCol w:w="1140"/>
        <w:gridCol w:w="457"/>
        <w:gridCol w:w="374"/>
        <w:gridCol w:w="956"/>
        <w:gridCol w:w="365"/>
        <w:gridCol w:w="397"/>
        <w:gridCol w:w="785"/>
        <w:gridCol w:w="456"/>
        <w:gridCol w:w="500"/>
        <w:gridCol w:w="1119"/>
        <w:gridCol w:w="224"/>
        <w:gridCol w:w="1363"/>
      </w:tblGrid>
      <w:tr>
        <w:trPr>
          <w:trHeight w:val="240" w:hRule="exact"/>
        </w:trPr>
        <w:tc>
          <w:tcPr>
            <w:tcW w:w="155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597"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30,917</w:t>
            </w:r>
          </w:p>
        </w:tc>
        <w:tc>
          <w:tcPr>
            <w:tcW w:w="16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463" w:lineRule="auto" w:before="130"/>
              <w:ind w:left="11" w:right="51"/>
              <w:jc w:val="both"/>
              <w:rPr>
                <w:rFonts w:ascii="宋体" w:hAnsi="宋体" w:cs="宋体" w:eastAsia="宋体" w:hint="default"/>
                <w:sz w:val="18"/>
                <w:szCs w:val="18"/>
              </w:rPr>
            </w:pPr>
            <w:r>
              <w:rPr>
                <w:rFonts w:ascii="宋体" w:hAnsi="宋体" w:cs="宋体" w:eastAsia="宋体" w:hint="default"/>
                <w:sz w:val="18"/>
                <w:szCs w:val="18"/>
              </w:rPr>
              <w:t>年度报告披露日前第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个交易日末普通股 股东总数</w:t>
            </w:r>
          </w:p>
        </w:tc>
        <w:tc>
          <w:tcPr>
            <w:tcW w:w="1637" w:type="dxa"/>
            <w:gridSpan w:val="3"/>
            <w:vMerge w:val="restart"/>
            <w:tcBorders>
              <w:top w:val="single" w:sz="4" w:space="0" w:color="000000"/>
              <w:left w:val="single" w:sz="13"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31,509</w:t>
            </w:r>
          </w:p>
        </w:tc>
        <w:tc>
          <w:tcPr>
            <w:tcW w:w="16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475" w:lineRule="auto" w:before="130"/>
              <w:ind w:left="11" w:right="101"/>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w:t>
            </w:r>
          </w:p>
          <w:p>
            <w:pPr>
              <w:pStyle w:val="TableParagraph"/>
              <w:spacing w:line="240" w:lineRule="auto" w:before="57"/>
              <w:ind w:left="11" w:right="0"/>
              <w:jc w:val="left"/>
              <w:rPr>
                <w:rFonts w:ascii="Times New Roman" w:hAnsi="Times New Roman" w:cs="Times New Roman" w:eastAsia="Times New Roman" w:hint="default"/>
                <w:sz w:val="18"/>
                <w:szCs w:val="18"/>
              </w:rPr>
            </w:pPr>
            <w:r>
              <w:rPr>
                <w:rFonts w:ascii="宋体" w:hAnsi="宋体" w:cs="宋体" w:eastAsia="宋体" w:hint="default"/>
                <w:spacing w:val="-85"/>
                <w:sz w:val="18"/>
                <w:szCs w:val="18"/>
              </w:rPr>
              <w:t>数</w:t>
            </w:r>
            <w:r>
              <w:rPr>
                <w:rFonts w:ascii="宋体" w:hAnsi="宋体" w:cs="宋体" w:eastAsia="宋体" w:hint="default"/>
                <w:sz w:val="18"/>
                <w:szCs w:val="18"/>
              </w:rPr>
              <w:t>（如有</w:t>
            </w:r>
            <w:r>
              <w:rPr>
                <w:rFonts w:ascii="宋体" w:hAnsi="宋体" w:cs="宋体" w:eastAsia="宋体" w:hint="default"/>
                <w:spacing w:val="-175"/>
                <w:sz w:val="18"/>
                <w:szCs w:val="18"/>
              </w:rPr>
              <w:t>）</w:t>
            </w:r>
            <w:r>
              <w:rPr>
                <w:rFonts w:ascii="宋体" w:hAnsi="宋体" w:cs="宋体" w:eastAsia="宋体" w:hint="default"/>
                <w:sz w:val="18"/>
                <w:szCs w:val="18"/>
              </w:rPr>
              <w:t>（参</w:t>
            </w:r>
            <w:r>
              <w:rPr>
                <w:rFonts w:ascii="宋体" w:hAnsi="宋体" w:cs="宋体" w:eastAsia="宋体" w:hint="default"/>
                <w:spacing w:val="-2"/>
                <w:sz w:val="18"/>
                <w:szCs w:val="18"/>
              </w:rPr>
              <w:t>见</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tc>
        <w:tc>
          <w:tcPr>
            <w:tcW w:w="224" w:type="dxa"/>
            <w:tcBorders>
              <w:top w:val="single" w:sz="4" w:space="0" w:color="000000"/>
              <w:left w:val="single" w:sz="13" w:space="0" w:color="D2D2D2"/>
              <w:bottom w:val="nil" w:sz="6" w:space="0" w:color="auto"/>
              <w:right w:val="nil" w:sz="6" w:space="0" w:color="auto"/>
            </w:tcBorders>
          </w:tcPr>
          <w:p>
            <w:pPr/>
          </w:p>
        </w:tc>
        <w:tc>
          <w:tcPr>
            <w:tcW w:w="1363" w:type="dxa"/>
            <w:tcBorders>
              <w:top w:val="single" w:sz="4" w:space="0" w:color="000000"/>
              <w:left w:val="nil" w:sz="6" w:space="0" w:color="auto"/>
              <w:bottom w:val="nil" w:sz="6" w:space="0" w:color="auto"/>
              <w:right w:val="single" w:sz="4" w:space="0" w:color="000000"/>
            </w:tcBorders>
          </w:tcPr>
          <w:p>
            <w:pPr/>
          </w:p>
        </w:tc>
      </w:tr>
      <w:tr>
        <w:trPr>
          <w:trHeight w:val="1015" w:hRule="exact"/>
        </w:trPr>
        <w:tc>
          <w:tcPr>
            <w:tcW w:w="155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477" w:lineRule="auto" w:before="129"/>
              <w:ind w:left="22" w:right="84"/>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597" w:type="dxa"/>
            <w:gridSpan w:val="2"/>
            <w:vMerge/>
            <w:tcBorders>
              <w:left w:val="single" w:sz="10" w:space="0" w:color="D2D2D2"/>
              <w:right w:val="single" w:sz="9" w:space="0" w:color="D2D2D2"/>
            </w:tcBorders>
          </w:tcPr>
          <w:p>
            <w:pPr/>
          </w:p>
        </w:tc>
        <w:tc>
          <w:tcPr>
            <w:tcW w:w="1695" w:type="dxa"/>
            <w:gridSpan w:val="3"/>
            <w:vMerge/>
            <w:tcBorders>
              <w:left w:val="single" w:sz="4" w:space="0" w:color="000000"/>
              <w:right w:val="single" w:sz="4" w:space="0" w:color="000000"/>
            </w:tcBorders>
            <w:shd w:val="clear" w:color="auto" w:fill="D2D2D2"/>
          </w:tcPr>
          <w:p>
            <w:pPr/>
          </w:p>
        </w:tc>
        <w:tc>
          <w:tcPr>
            <w:tcW w:w="1637" w:type="dxa"/>
            <w:gridSpan w:val="3"/>
            <w:vMerge/>
            <w:tcBorders>
              <w:left w:val="single" w:sz="13" w:space="0" w:color="D2D2D2"/>
              <w:right w:val="single" w:sz="13" w:space="0" w:color="D2D2D2"/>
            </w:tcBorders>
          </w:tcPr>
          <w:p>
            <w:pPr/>
          </w:p>
        </w:tc>
        <w:tc>
          <w:tcPr>
            <w:tcW w:w="1619" w:type="dxa"/>
            <w:gridSpan w:val="2"/>
            <w:vMerge/>
            <w:tcBorders>
              <w:left w:val="single" w:sz="4" w:space="0" w:color="000000"/>
              <w:right w:val="single" w:sz="4" w:space="0" w:color="000000"/>
            </w:tcBorders>
            <w:shd w:val="clear" w:color="auto" w:fill="D2D2D2"/>
          </w:tcPr>
          <w:p>
            <w:pPr/>
          </w:p>
        </w:tc>
        <w:tc>
          <w:tcPr>
            <w:tcW w:w="224" w:type="dxa"/>
            <w:vMerge w:val="restart"/>
            <w:tcBorders>
              <w:top w:val="nil" w:sz="6" w:space="0" w:color="auto"/>
              <w:left w:val="single" w:sz="13" w:space="0" w:color="D2D2D2"/>
              <w:right w:val="nil" w:sz="6" w:space="0" w:color="auto"/>
            </w:tcBorders>
          </w:tcPr>
          <w:p>
            <w:pPr/>
          </w:p>
        </w:tc>
        <w:tc>
          <w:tcPr>
            <w:tcW w:w="1363"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245" w:hRule="exact"/>
        </w:trPr>
        <w:tc>
          <w:tcPr>
            <w:tcW w:w="155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gridSpan w:val="2"/>
            <w:vMerge/>
            <w:tcBorders>
              <w:left w:val="single" w:sz="10" w:space="0" w:color="D2D2D2"/>
              <w:bottom w:val="single" w:sz="4" w:space="0" w:color="000000"/>
              <w:right w:val="single" w:sz="9" w:space="0" w:color="D2D2D2"/>
            </w:tcBorders>
          </w:tcPr>
          <w:p>
            <w:pPr/>
          </w:p>
        </w:tc>
        <w:tc>
          <w:tcPr>
            <w:tcW w:w="1695" w:type="dxa"/>
            <w:gridSpan w:val="3"/>
            <w:vMerge/>
            <w:tcBorders>
              <w:left w:val="single" w:sz="4" w:space="0" w:color="000000"/>
              <w:bottom w:val="single" w:sz="4" w:space="0" w:color="000000"/>
              <w:right w:val="single" w:sz="4" w:space="0" w:color="000000"/>
            </w:tcBorders>
            <w:shd w:val="clear" w:color="auto" w:fill="D2D2D2"/>
          </w:tcPr>
          <w:p>
            <w:pPr/>
          </w:p>
        </w:tc>
        <w:tc>
          <w:tcPr>
            <w:tcW w:w="1637" w:type="dxa"/>
            <w:gridSpan w:val="3"/>
            <w:vMerge/>
            <w:tcBorders>
              <w:left w:val="single" w:sz="13" w:space="0" w:color="D2D2D2"/>
              <w:bottom w:val="single" w:sz="4" w:space="0" w:color="000000"/>
              <w:right w:val="single" w:sz="13" w:space="0" w:color="D2D2D2"/>
            </w:tcBorders>
          </w:tcPr>
          <w:p>
            <w:pPr/>
          </w:p>
        </w:tc>
        <w:tc>
          <w:tcPr>
            <w:tcW w:w="1619" w:type="dxa"/>
            <w:gridSpan w:val="2"/>
            <w:vMerge/>
            <w:tcBorders>
              <w:left w:val="single" w:sz="4" w:space="0" w:color="000000"/>
              <w:bottom w:val="single" w:sz="4" w:space="0" w:color="000000"/>
              <w:right w:val="single" w:sz="4" w:space="0" w:color="000000"/>
            </w:tcBorders>
            <w:shd w:val="clear" w:color="auto" w:fill="D2D2D2"/>
          </w:tcPr>
          <w:p>
            <w:pPr/>
          </w:p>
        </w:tc>
        <w:tc>
          <w:tcPr>
            <w:tcW w:w="224" w:type="dxa"/>
            <w:vMerge/>
            <w:tcBorders>
              <w:left w:val="single" w:sz="13" w:space="0" w:color="D2D2D2"/>
              <w:bottom w:val="single" w:sz="4" w:space="0" w:color="000000"/>
              <w:right w:val="nil" w:sz="6" w:space="0" w:color="auto"/>
            </w:tcBorders>
          </w:tcPr>
          <w:p>
            <w:pPr/>
          </w:p>
        </w:tc>
        <w:tc>
          <w:tcPr>
            <w:tcW w:w="1363" w:type="dxa"/>
            <w:tcBorders>
              <w:top w:val="nil" w:sz="6" w:space="0" w:color="auto"/>
              <w:left w:val="nil" w:sz="6" w:space="0" w:color="auto"/>
              <w:bottom w:val="single" w:sz="4" w:space="0" w:color="000000"/>
              <w:right w:val="single" w:sz="4" w:space="0" w:color="000000"/>
            </w:tcBorders>
          </w:tcPr>
          <w:p>
            <w:pPr/>
          </w:p>
        </w:tc>
      </w:tr>
      <w:tr>
        <w:trPr>
          <w:trHeight w:val="547" w:hRule="exact"/>
        </w:trPr>
        <w:tc>
          <w:tcPr>
            <w:tcW w:w="9695"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312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45" w:hRule="exact"/>
        </w:trPr>
        <w:tc>
          <w:tcPr>
            <w:tcW w:w="1358" w:type="dxa"/>
            <w:vMerge w:val="restart"/>
            <w:tcBorders>
              <w:top w:val="single" w:sz="4" w:space="0" w:color="000000"/>
              <w:left w:val="single" w:sz="4" w:space="0" w:color="000000"/>
              <w:right w:val="single" w:sz="4" w:space="0" w:color="000000"/>
            </w:tcBorders>
            <w:shd w:val="clear" w:color="auto" w:fill="D2D2D2"/>
          </w:tcPr>
          <w:p>
            <w:pPr/>
          </w:p>
        </w:tc>
        <w:tc>
          <w:tcPr>
            <w:tcW w:w="1342" w:type="dxa"/>
            <w:gridSpan w:val="2"/>
            <w:vMerge w:val="restart"/>
            <w:tcBorders>
              <w:top w:val="single" w:sz="4" w:space="0" w:color="000000"/>
              <w:left w:val="single" w:sz="4" w:space="0" w:color="000000"/>
              <w:right w:val="single" w:sz="4" w:space="0" w:color="000000"/>
            </w:tcBorders>
            <w:shd w:val="clear" w:color="auto" w:fill="D2D2D2"/>
          </w:tcPr>
          <w:p>
            <w:pPr/>
          </w:p>
        </w:tc>
        <w:tc>
          <w:tcPr>
            <w:tcW w:w="830" w:type="dxa"/>
            <w:gridSpan w:val="2"/>
            <w:vMerge w:val="restart"/>
            <w:tcBorders>
              <w:top w:val="single" w:sz="4" w:space="0" w:color="000000"/>
              <w:left w:val="single" w:sz="4" w:space="0" w:color="000000"/>
              <w:right w:val="single" w:sz="4" w:space="0" w:color="FFFFFF"/>
            </w:tcBorders>
            <w:shd w:val="clear" w:color="auto" w:fill="D2D2D2"/>
          </w:tcPr>
          <w:p>
            <w:pPr/>
          </w:p>
        </w:tc>
        <w:tc>
          <w:tcPr>
            <w:tcW w:w="956" w:type="dxa"/>
            <w:vMerge w:val="restart"/>
            <w:tcBorders>
              <w:top w:val="single" w:sz="4" w:space="0" w:color="000000"/>
              <w:left w:val="single" w:sz="4" w:space="0" w:color="FFFFFF"/>
              <w:right w:val="single" w:sz="4" w:space="0" w:color="000000"/>
            </w:tcBorders>
            <w:shd w:val="clear" w:color="auto" w:fill="D2D2D2"/>
          </w:tcPr>
          <w:p>
            <w:pPr/>
          </w:p>
        </w:tc>
        <w:tc>
          <w:tcPr>
            <w:tcW w:w="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5"/>
              <w:ind w:left="105" w:right="104"/>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70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5"/>
              <w:ind w:left="71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276" w:hRule="exact"/>
        </w:trPr>
        <w:tc>
          <w:tcPr>
            <w:tcW w:w="1358" w:type="dxa"/>
            <w:vMerge/>
            <w:tcBorders>
              <w:left w:val="single" w:sz="4" w:space="0" w:color="000000"/>
              <w:right w:val="single" w:sz="4" w:space="0" w:color="000000"/>
            </w:tcBorders>
            <w:shd w:val="clear" w:color="auto" w:fill="D2D2D2"/>
          </w:tcPr>
          <w:p>
            <w:pPr/>
          </w:p>
        </w:tc>
        <w:tc>
          <w:tcPr>
            <w:tcW w:w="1342" w:type="dxa"/>
            <w:gridSpan w:val="2"/>
            <w:vMerge/>
            <w:tcBorders>
              <w:left w:val="single" w:sz="4" w:space="0" w:color="000000"/>
              <w:right w:val="single" w:sz="4" w:space="0" w:color="000000"/>
            </w:tcBorders>
            <w:shd w:val="clear" w:color="auto" w:fill="D2D2D2"/>
          </w:tcPr>
          <w:p>
            <w:pPr/>
          </w:p>
        </w:tc>
        <w:tc>
          <w:tcPr>
            <w:tcW w:w="830" w:type="dxa"/>
            <w:gridSpan w:val="2"/>
            <w:vMerge/>
            <w:tcBorders>
              <w:left w:val="single" w:sz="4" w:space="0" w:color="000000"/>
              <w:right w:val="single" w:sz="4" w:space="0" w:color="FFFFFF"/>
            </w:tcBorders>
            <w:shd w:val="clear" w:color="auto" w:fill="D2D2D2"/>
          </w:tcPr>
          <w:p>
            <w:pPr/>
          </w:p>
        </w:tc>
        <w:tc>
          <w:tcPr>
            <w:tcW w:w="956" w:type="dxa"/>
            <w:vMerge/>
            <w:tcBorders>
              <w:left w:val="single" w:sz="4" w:space="0" w:color="FFFFFF"/>
              <w:bottom w:val="nil" w:sz="6" w:space="0" w:color="auto"/>
              <w:right w:val="single" w:sz="4" w:space="0" w:color="000000"/>
            </w:tcBorders>
            <w:shd w:val="clear" w:color="auto" w:fill="D2D2D2"/>
          </w:tcPr>
          <w:p>
            <w:pPr/>
          </w:p>
        </w:tc>
        <w:tc>
          <w:tcPr>
            <w:tcW w:w="762" w:type="dxa"/>
            <w:gridSpan w:val="2"/>
            <w:vMerge/>
            <w:tcBorders>
              <w:left w:val="single" w:sz="4" w:space="0" w:color="000000"/>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477" w:lineRule="auto" w:before="129"/>
              <w:ind w:left="26" w:right="26"/>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5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477" w:lineRule="auto" w:before="129"/>
              <w:ind w:left="23" w:right="2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706" w:type="dxa"/>
            <w:gridSpan w:val="3"/>
            <w:vMerge/>
            <w:tcBorders>
              <w:left w:val="single" w:sz="4" w:space="0" w:color="000000"/>
              <w:bottom w:val="single" w:sz="4" w:space="0" w:color="000000"/>
              <w:right w:val="single" w:sz="4" w:space="0" w:color="000000"/>
            </w:tcBorders>
            <w:shd w:val="clear" w:color="auto" w:fill="D2D2D2"/>
          </w:tcPr>
          <w:p>
            <w:pPr/>
          </w:p>
        </w:tc>
      </w:tr>
      <w:tr>
        <w:trPr>
          <w:trHeight w:val="192"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342" w:type="dxa"/>
            <w:gridSpan w:val="2"/>
            <w:vMerge/>
            <w:tcBorders>
              <w:left w:val="single" w:sz="4" w:space="0" w:color="000000"/>
              <w:bottom w:val="nil" w:sz="6" w:space="0" w:color="auto"/>
              <w:right w:val="single" w:sz="4" w:space="0" w:color="000000"/>
            </w:tcBorders>
            <w:shd w:val="clear" w:color="auto" w:fill="D2D2D2"/>
          </w:tcPr>
          <w:p>
            <w:pPr/>
          </w:p>
        </w:tc>
        <w:tc>
          <w:tcPr>
            <w:tcW w:w="830" w:type="dxa"/>
            <w:gridSpan w:val="2"/>
            <w:vMerge/>
            <w:tcBorders>
              <w:left w:val="single" w:sz="4" w:space="0" w:color="000000"/>
              <w:bottom w:val="nil" w:sz="6" w:space="0" w:color="auto"/>
              <w:right w:val="single" w:sz="4" w:space="0" w:color="FFFFFF"/>
            </w:tcBorders>
            <w:shd w:val="clear" w:color="auto" w:fill="D2D2D2"/>
          </w:tcPr>
          <w:p>
            <w:pPr/>
          </w:p>
        </w:tc>
        <w:tc>
          <w:tcPr>
            <w:tcW w:w="956" w:type="dxa"/>
            <w:vMerge w:val="restart"/>
            <w:tcBorders>
              <w:top w:val="nil" w:sz="6" w:space="0" w:color="auto"/>
              <w:left w:val="single" w:sz="4" w:space="0" w:color="FFFFFF"/>
              <w:right w:val="single" w:sz="4" w:space="0" w:color="000000"/>
            </w:tcBorders>
            <w:shd w:val="clear" w:color="auto" w:fill="D2D2D2"/>
          </w:tcPr>
          <w:p>
            <w:pPr>
              <w:pStyle w:val="TableParagraph"/>
              <w:spacing w:line="477" w:lineRule="auto" w:before="87"/>
              <w:ind w:left="202" w:right="2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762" w:type="dxa"/>
            <w:gridSpan w:val="2"/>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c>
          <w:tcPr>
            <w:tcW w:w="956" w:type="dxa"/>
            <w:gridSpan w:val="2"/>
            <w:vMerge/>
            <w:tcBorders>
              <w:left w:val="single" w:sz="4" w:space="0" w:color="000000"/>
              <w:right w:val="single" w:sz="4" w:space="0" w:color="000000"/>
            </w:tcBorders>
            <w:shd w:val="clear" w:color="auto" w:fill="D2D2D2"/>
          </w:tcPr>
          <w:p>
            <w:pPr/>
          </w:p>
        </w:tc>
        <w:tc>
          <w:tcPr>
            <w:tcW w:w="1343" w:type="dxa"/>
            <w:gridSpan w:val="2"/>
            <w:vMerge w:val="restart"/>
            <w:tcBorders>
              <w:top w:val="single" w:sz="4" w:space="0" w:color="000000"/>
              <w:left w:val="single" w:sz="4" w:space="0" w:color="000000"/>
              <w:right w:val="single" w:sz="4" w:space="0" w:color="000000"/>
            </w:tcBorders>
            <w:shd w:val="clear" w:color="auto" w:fill="D2D2D2"/>
          </w:tcPr>
          <w:p>
            <w:pPr/>
          </w:p>
        </w:tc>
        <w:tc>
          <w:tcPr>
            <w:tcW w:w="1363" w:type="dxa"/>
            <w:vMerge w:val="restart"/>
            <w:tcBorders>
              <w:top w:val="single" w:sz="4" w:space="0" w:color="000000"/>
              <w:left w:val="single" w:sz="4" w:space="0" w:color="000000"/>
              <w:right w:val="single" w:sz="4" w:space="0" w:color="000000"/>
            </w:tcBorders>
            <w:shd w:val="clear" w:color="auto" w:fill="D2D2D2"/>
          </w:tcPr>
          <w:p>
            <w:pPr/>
          </w:p>
        </w:tc>
      </w:tr>
      <w:tr>
        <w:trPr>
          <w:trHeight w:val="278" w:hRule="exact"/>
        </w:trPr>
        <w:tc>
          <w:tcPr>
            <w:tcW w:w="13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31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30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30" w:type="dxa"/>
            <w:gridSpan w:val="2"/>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129"/>
              <w:ind w:left="4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56" w:type="dxa"/>
            <w:vMerge/>
            <w:tcBorders>
              <w:left w:val="single" w:sz="4" w:space="0" w:color="FFFFFF"/>
              <w:right w:val="single" w:sz="4" w:space="0" w:color="000000"/>
            </w:tcBorders>
            <w:shd w:val="clear" w:color="auto" w:fill="D2D2D2"/>
          </w:tcPr>
          <w:p>
            <w:pPr/>
          </w:p>
        </w:tc>
        <w:tc>
          <w:tcPr>
            <w:tcW w:w="762" w:type="dxa"/>
            <w:gridSpan w:val="2"/>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c>
          <w:tcPr>
            <w:tcW w:w="956" w:type="dxa"/>
            <w:gridSpan w:val="2"/>
            <w:vMerge/>
            <w:tcBorders>
              <w:left w:val="single" w:sz="4" w:space="0" w:color="000000"/>
              <w:right w:val="single" w:sz="4" w:space="0" w:color="000000"/>
            </w:tcBorders>
            <w:shd w:val="clear" w:color="auto" w:fill="D2D2D2"/>
          </w:tcPr>
          <w:p>
            <w:pPr/>
          </w:p>
        </w:tc>
        <w:tc>
          <w:tcPr>
            <w:tcW w:w="1343" w:type="dxa"/>
            <w:gridSpan w:val="2"/>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r>
      <w:tr>
        <w:trPr>
          <w:trHeight w:val="269"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342" w:type="dxa"/>
            <w:gridSpan w:val="2"/>
            <w:vMerge/>
            <w:tcBorders>
              <w:left w:val="single" w:sz="4" w:space="0" w:color="000000"/>
              <w:bottom w:val="nil" w:sz="6" w:space="0" w:color="auto"/>
              <w:right w:val="single" w:sz="4" w:space="0" w:color="000000"/>
            </w:tcBorders>
            <w:shd w:val="clear" w:color="auto" w:fill="D2D2D2"/>
          </w:tcPr>
          <w:p>
            <w:pPr/>
          </w:p>
        </w:tc>
        <w:tc>
          <w:tcPr>
            <w:tcW w:w="830" w:type="dxa"/>
            <w:gridSpan w:val="2"/>
            <w:vMerge/>
            <w:tcBorders>
              <w:left w:val="single" w:sz="4" w:space="0" w:color="000000"/>
              <w:bottom w:val="nil" w:sz="6" w:space="0" w:color="auto"/>
              <w:right w:val="single" w:sz="4" w:space="0" w:color="FFFFFF"/>
            </w:tcBorders>
            <w:shd w:val="clear" w:color="auto" w:fill="D2D2D2"/>
          </w:tcPr>
          <w:p>
            <w:pPr/>
          </w:p>
        </w:tc>
        <w:tc>
          <w:tcPr>
            <w:tcW w:w="956" w:type="dxa"/>
            <w:vMerge/>
            <w:tcBorders>
              <w:left w:val="single" w:sz="4" w:space="0" w:color="FFFFFF"/>
              <w:right w:val="single" w:sz="4" w:space="0" w:color="000000"/>
            </w:tcBorders>
            <w:shd w:val="clear" w:color="auto" w:fill="D2D2D2"/>
          </w:tcPr>
          <w:p>
            <w:pPr/>
          </w:p>
        </w:tc>
        <w:tc>
          <w:tcPr>
            <w:tcW w:w="762" w:type="dxa"/>
            <w:gridSpan w:val="2"/>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c>
          <w:tcPr>
            <w:tcW w:w="956" w:type="dxa"/>
            <w:gridSpan w:val="2"/>
            <w:vMerge/>
            <w:tcBorders>
              <w:left w:val="single" w:sz="4" w:space="0" w:color="000000"/>
              <w:right w:val="single" w:sz="4" w:space="0" w:color="000000"/>
            </w:tcBorders>
            <w:shd w:val="clear" w:color="auto" w:fill="D2D2D2"/>
          </w:tcPr>
          <w:p>
            <w:pPr/>
          </w:p>
        </w:tc>
        <w:tc>
          <w:tcPr>
            <w:tcW w:w="134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306"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57" w:hRule="exact"/>
        </w:trPr>
        <w:tc>
          <w:tcPr>
            <w:tcW w:w="1358" w:type="dxa"/>
            <w:vMerge w:val="restart"/>
            <w:tcBorders>
              <w:top w:val="nil" w:sz="6" w:space="0" w:color="auto"/>
              <w:left w:val="single" w:sz="4" w:space="0" w:color="000000"/>
              <w:right w:val="single" w:sz="4" w:space="0" w:color="000000"/>
            </w:tcBorders>
            <w:shd w:val="clear" w:color="auto" w:fill="D2D2D2"/>
          </w:tcPr>
          <w:p>
            <w:pPr/>
          </w:p>
        </w:tc>
        <w:tc>
          <w:tcPr>
            <w:tcW w:w="1342" w:type="dxa"/>
            <w:gridSpan w:val="2"/>
            <w:vMerge w:val="restart"/>
            <w:tcBorders>
              <w:top w:val="nil" w:sz="6" w:space="0" w:color="auto"/>
              <w:left w:val="single" w:sz="4" w:space="0" w:color="000000"/>
              <w:right w:val="single" w:sz="4" w:space="0" w:color="000000"/>
            </w:tcBorders>
            <w:shd w:val="clear" w:color="auto" w:fill="D2D2D2"/>
          </w:tcPr>
          <w:p>
            <w:pPr/>
          </w:p>
        </w:tc>
        <w:tc>
          <w:tcPr>
            <w:tcW w:w="830" w:type="dxa"/>
            <w:gridSpan w:val="2"/>
            <w:vMerge w:val="restart"/>
            <w:tcBorders>
              <w:top w:val="nil" w:sz="6" w:space="0" w:color="auto"/>
              <w:left w:val="single" w:sz="4" w:space="0" w:color="000000"/>
              <w:right w:val="single" w:sz="4" w:space="0" w:color="FFFFFF"/>
            </w:tcBorders>
            <w:shd w:val="clear" w:color="auto" w:fill="D2D2D2"/>
          </w:tcPr>
          <w:p>
            <w:pPr/>
          </w:p>
        </w:tc>
        <w:tc>
          <w:tcPr>
            <w:tcW w:w="956" w:type="dxa"/>
            <w:vMerge/>
            <w:tcBorders>
              <w:left w:val="single" w:sz="4" w:space="0" w:color="FFFFFF"/>
              <w:bottom w:val="nil" w:sz="6" w:space="0" w:color="auto"/>
              <w:right w:val="single" w:sz="4" w:space="0" w:color="000000"/>
            </w:tcBorders>
            <w:shd w:val="clear" w:color="auto" w:fill="D2D2D2"/>
          </w:tcPr>
          <w:p>
            <w:pPr/>
          </w:p>
        </w:tc>
        <w:tc>
          <w:tcPr>
            <w:tcW w:w="762" w:type="dxa"/>
            <w:gridSpan w:val="2"/>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c>
          <w:tcPr>
            <w:tcW w:w="956" w:type="dxa"/>
            <w:gridSpan w:val="2"/>
            <w:vMerge/>
            <w:tcBorders>
              <w:left w:val="single" w:sz="4" w:space="0" w:color="000000"/>
              <w:right w:val="single" w:sz="4" w:space="0" w:color="000000"/>
            </w:tcBorders>
            <w:shd w:val="clear" w:color="auto" w:fill="D2D2D2"/>
          </w:tcPr>
          <w:p>
            <w:pPr/>
          </w:p>
        </w:tc>
        <w:tc>
          <w:tcPr>
            <w:tcW w:w="1343" w:type="dxa"/>
            <w:gridSpan w:val="2"/>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r>
      <w:tr>
        <w:trPr>
          <w:trHeight w:val="211" w:hRule="exact"/>
        </w:trPr>
        <w:tc>
          <w:tcPr>
            <w:tcW w:w="1358" w:type="dxa"/>
            <w:vMerge/>
            <w:tcBorders>
              <w:left w:val="single" w:sz="4" w:space="0" w:color="000000"/>
              <w:right w:val="single" w:sz="4" w:space="0" w:color="000000"/>
            </w:tcBorders>
            <w:shd w:val="clear" w:color="auto" w:fill="D2D2D2"/>
          </w:tcPr>
          <w:p>
            <w:pPr/>
          </w:p>
        </w:tc>
        <w:tc>
          <w:tcPr>
            <w:tcW w:w="1342" w:type="dxa"/>
            <w:gridSpan w:val="2"/>
            <w:vMerge/>
            <w:tcBorders>
              <w:left w:val="single" w:sz="4" w:space="0" w:color="000000"/>
              <w:right w:val="single" w:sz="4" w:space="0" w:color="000000"/>
            </w:tcBorders>
            <w:shd w:val="clear" w:color="auto" w:fill="D2D2D2"/>
          </w:tcPr>
          <w:p>
            <w:pPr/>
          </w:p>
        </w:tc>
        <w:tc>
          <w:tcPr>
            <w:tcW w:w="830" w:type="dxa"/>
            <w:gridSpan w:val="2"/>
            <w:vMerge/>
            <w:tcBorders>
              <w:left w:val="single" w:sz="4" w:space="0" w:color="000000"/>
              <w:right w:val="single" w:sz="4" w:space="0" w:color="FFFFFF"/>
            </w:tcBorders>
            <w:shd w:val="clear" w:color="auto" w:fill="D2D2D2"/>
          </w:tcPr>
          <w:p>
            <w:pPr/>
          </w:p>
        </w:tc>
        <w:tc>
          <w:tcPr>
            <w:tcW w:w="956" w:type="dxa"/>
            <w:vMerge w:val="restart"/>
            <w:tcBorders>
              <w:top w:val="nil" w:sz="6" w:space="0" w:color="auto"/>
              <w:left w:val="single" w:sz="4" w:space="0" w:color="FFFFFF"/>
              <w:right w:val="single" w:sz="4" w:space="0" w:color="000000"/>
            </w:tcBorders>
            <w:shd w:val="clear" w:color="auto" w:fill="D2D2D2"/>
          </w:tcPr>
          <w:p>
            <w:pPr/>
          </w:p>
        </w:tc>
        <w:tc>
          <w:tcPr>
            <w:tcW w:w="762" w:type="dxa"/>
            <w:gridSpan w:val="2"/>
            <w:vMerge/>
            <w:tcBorders>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956" w:type="dxa"/>
            <w:gridSpan w:val="2"/>
            <w:vMerge/>
            <w:tcBorders>
              <w:left w:val="single" w:sz="4" w:space="0" w:color="000000"/>
              <w:bottom w:val="nil" w:sz="6" w:space="0" w:color="auto"/>
              <w:right w:val="single" w:sz="4" w:space="0" w:color="000000"/>
            </w:tcBorders>
            <w:shd w:val="clear" w:color="auto" w:fill="D2D2D2"/>
          </w:tcPr>
          <w:p>
            <w:pPr/>
          </w:p>
        </w:tc>
        <w:tc>
          <w:tcPr>
            <w:tcW w:w="1343" w:type="dxa"/>
            <w:gridSpan w:val="2"/>
            <w:vMerge w:val="restart"/>
            <w:tcBorders>
              <w:top w:val="nil" w:sz="6" w:space="0" w:color="auto"/>
              <w:left w:val="single" w:sz="4" w:space="0" w:color="000000"/>
              <w:right w:val="single" w:sz="4" w:space="0" w:color="000000"/>
            </w:tcBorders>
            <w:shd w:val="clear" w:color="auto" w:fill="D2D2D2"/>
          </w:tcPr>
          <w:p>
            <w:pPr/>
          </w:p>
        </w:tc>
        <w:tc>
          <w:tcPr>
            <w:tcW w:w="1363" w:type="dxa"/>
            <w:vMerge w:val="restart"/>
            <w:tcBorders>
              <w:top w:val="nil" w:sz="6" w:space="0" w:color="auto"/>
              <w:left w:val="single" w:sz="4" w:space="0" w:color="000000"/>
              <w:right w:val="single" w:sz="4" w:space="0" w:color="000000"/>
            </w:tcBorders>
            <w:shd w:val="clear" w:color="auto" w:fill="D2D2D2"/>
          </w:tcPr>
          <w:p>
            <w:pPr/>
          </w:p>
        </w:tc>
      </w:tr>
      <w:tr>
        <w:trPr>
          <w:trHeight w:val="239" w:hRule="exact"/>
        </w:trPr>
        <w:tc>
          <w:tcPr>
            <w:tcW w:w="1358" w:type="dxa"/>
            <w:vMerge/>
            <w:tcBorders>
              <w:left w:val="single" w:sz="4" w:space="0" w:color="000000"/>
              <w:bottom w:val="single" w:sz="4" w:space="0" w:color="000000"/>
              <w:right w:val="single" w:sz="4" w:space="0" w:color="000000"/>
            </w:tcBorders>
            <w:shd w:val="clear" w:color="auto" w:fill="D2D2D2"/>
          </w:tcPr>
          <w:p>
            <w:pPr/>
          </w:p>
        </w:tc>
        <w:tc>
          <w:tcPr>
            <w:tcW w:w="1342" w:type="dxa"/>
            <w:gridSpan w:val="2"/>
            <w:vMerge/>
            <w:tcBorders>
              <w:left w:val="single" w:sz="4" w:space="0" w:color="000000"/>
              <w:bottom w:val="single" w:sz="4" w:space="0" w:color="000000"/>
              <w:right w:val="single" w:sz="4" w:space="0" w:color="000000"/>
            </w:tcBorders>
            <w:shd w:val="clear" w:color="auto" w:fill="D2D2D2"/>
          </w:tcPr>
          <w:p>
            <w:pPr/>
          </w:p>
        </w:tc>
        <w:tc>
          <w:tcPr>
            <w:tcW w:w="830" w:type="dxa"/>
            <w:gridSpan w:val="2"/>
            <w:vMerge/>
            <w:tcBorders>
              <w:left w:val="single" w:sz="4" w:space="0" w:color="000000"/>
              <w:bottom w:val="single" w:sz="4" w:space="0" w:color="000000"/>
              <w:right w:val="single" w:sz="4" w:space="0" w:color="FFFFFF"/>
            </w:tcBorders>
            <w:shd w:val="clear" w:color="auto" w:fill="D2D2D2"/>
          </w:tcPr>
          <w:p>
            <w:pPr/>
          </w:p>
        </w:tc>
        <w:tc>
          <w:tcPr>
            <w:tcW w:w="956" w:type="dxa"/>
            <w:vMerge/>
            <w:tcBorders>
              <w:left w:val="single" w:sz="4" w:space="0" w:color="FFFFFF"/>
              <w:bottom w:val="single" w:sz="4" w:space="0" w:color="000000"/>
              <w:right w:val="single" w:sz="4" w:space="0" w:color="000000"/>
            </w:tcBorders>
            <w:shd w:val="clear" w:color="auto" w:fill="D2D2D2"/>
          </w:tcPr>
          <w:p>
            <w:pPr/>
          </w:p>
        </w:tc>
        <w:tc>
          <w:tcPr>
            <w:tcW w:w="762" w:type="dxa"/>
            <w:gridSpan w:val="2"/>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43" w:type="dxa"/>
            <w:gridSpan w:val="2"/>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30"/>
              <w:ind w:left="22" w:right="63"/>
              <w:jc w:val="left"/>
              <w:rPr>
                <w:rFonts w:ascii="宋体" w:hAnsi="宋体" w:cs="宋体" w:eastAsia="宋体" w:hint="default"/>
                <w:sz w:val="18"/>
                <w:szCs w:val="18"/>
              </w:rPr>
            </w:pPr>
            <w:r>
              <w:rPr>
                <w:rFonts w:ascii="宋体" w:hAnsi="宋体" w:cs="宋体" w:eastAsia="宋体" w:hint="default"/>
                <w:sz w:val="18"/>
                <w:szCs w:val="18"/>
              </w:rPr>
              <w:t>敦化市康平投资 有限责任公司</w:t>
            </w:r>
          </w:p>
        </w:tc>
        <w:tc>
          <w:tcPr>
            <w:tcW w:w="1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30"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46.10%</w:t>
            </w:r>
          </w:p>
        </w:tc>
        <w:tc>
          <w:tcPr>
            <w:tcW w:w="95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236,475,016</w:t>
            </w:r>
          </w:p>
        </w:tc>
        <w:tc>
          <w:tcPr>
            <w:tcW w:w="762" w:type="dxa"/>
            <w:gridSpan w:val="2"/>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236,475,016</w:t>
            </w:r>
          </w:p>
        </w:tc>
        <w:tc>
          <w:tcPr>
            <w:tcW w:w="1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236,010,000</w:t>
            </w:r>
          </w:p>
        </w:tc>
      </w:tr>
      <w:tr>
        <w:trPr>
          <w:trHeight w:val="55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仲维光</w:t>
            </w:r>
          </w:p>
        </w:tc>
        <w:tc>
          <w:tcPr>
            <w:tcW w:w="1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30"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32" w:right="0"/>
              <w:jc w:val="left"/>
              <w:rPr>
                <w:rFonts w:ascii="Times New Roman" w:hAnsi="Times New Roman" w:cs="Times New Roman" w:eastAsia="Times New Roman" w:hint="default"/>
                <w:sz w:val="18"/>
                <w:szCs w:val="18"/>
              </w:rPr>
            </w:pPr>
            <w:r>
              <w:rPr>
                <w:rFonts w:ascii="Times New Roman"/>
                <w:sz w:val="18"/>
              </w:rPr>
              <w:t>6.04%</w:t>
            </w:r>
          </w:p>
        </w:tc>
        <w:tc>
          <w:tcPr>
            <w:tcW w:w="95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30,961,276</w:t>
            </w:r>
          </w:p>
        </w:tc>
        <w:tc>
          <w:tcPr>
            <w:tcW w:w="762" w:type="dxa"/>
            <w:gridSpan w:val="2"/>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30,961,276</w:t>
            </w:r>
          </w:p>
        </w:tc>
        <w:tc>
          <w:tcPr>
            <w:tcW w:w="1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r>
      <w:tr>
        <w:trPr>
          <w:trHeight w:val="149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30"/>
              <w:ind w:left="22" w:right="63"/>
              <w:jc w:val="both"/>
              <w:rPr>
                <w:rFonts w:ascii="宋体" w:hAnsi="宋体" w:cs="宋体" w:eastAsia="宋体" w:hint="default"/>
                <w:sz w:val="18"/>
                <w:szCs w:val="18"/>
              </w:rPr>
            </w:pPr>
            <w:r>
              <w:rPr>
                <w:rFonts w:ascii="宋体" w:hAnsi="宋体" w:cs="宋体" w:eastAsia="宋体" w:hint="default"/>
                <w:sz w:val="18"/>
                <w:szCs w:val="18"/>
              </w:rPr>
              <w:t>国泰君安证券股 份有限公司约定 购回专用账户</w:t>
            </w:r>
          </w:p>
        </w:tc>
        <w:tc>
          <w:tcPr>
            <w:tcW w:w="1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30"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2" w:right="0"/>
              <w:jc w:val="left"/>
              <w:rPr>
                <w:rFonts w:ascii="Times New Roman" w:hAnsi="Times New Roman" w:cs="Times New Roman" w:eastAsia="Times New Roman" w:hint="default"/>
                <w:sz w:val="18"/>
                <w:szCs w:val="18"/>
              </w:rPr>
            </w:pPr>
            <w:r>
              <w:rPr>
                <w:rFonts w:ascii="Times New Roman"/>
                <w:sz w:val="18"/>
              </w:rPr>
              <w:t>2.92%</w:t>
            </w:r>
          </w:p>
        </w:tc>
        <w:tc>
          <w:tcPr>
            <w:tcW w:w="95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762" w:type="dxa"/>
            <w:gridSpan w:val="2"/>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15,000,000</w:t>
            </w:r>
          </w:p>
        </w:tc>
        <w:tc>
          <w:tcPr>
            <w:tcW w:w="1343" w:type="dxa"/>
            <w:gridSpan w:val="2"/>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杨丽荣</w:t>
            </w:r>
          </w:p>
        </w:tc>
        <w:tc>
          <w:tcPr>
            <w:tcW w:w="1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30"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32" w:right="0"/>
              <w:jc w:val="left"/>
              <w:rPr>
                <w:rFonts w:ascii="Times New Roman" w:hAnsi="Times New Roman" w:cs="Times New Roman" w:eastAsia="Times New Roman" w:hint="default"/>
                <w:sz w:val="18"/>
                <w:szCs w:val="18"/>
              </w:rPr>
            </w:pPr>
            <w:r>
              <w:rPr>
                <w:rFonts w:ascii="Times New Roman"/>
                <w:sz w:val="18"/>
              </w:rPr>
              <w:t>1.49%</w:t>
            </w:r>
          </w:p>
        </w:tc>
        <w:tc>
          <w:tcPr>
            <w:tcW w:w="95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7,650,586</w:t>
            </w:r>
          </w:p>
        </w:tc>
        <w:tc>
          <w:tcPr>
            <w:tcW w:w="762" w:type="dxa"/>
            <w:gridSpan w:val="2"/>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7,650,586</w:t>
            </w:r>
          </w:p>
        </w:tc>
        <w:tc>
          <w:tcPr>
            <w:tcW w:w="1343" w:type="dxa"/>
            <w:gridSpan w:val="2"/>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30"/>
              <w:ind w:left="22" w:right="63"/>
              <w:jc w:val="left"/>
              <w:rPr>
                <w:rFonts w:ascii="宋体" w:hAnsi="宋体" w:cs="宋体" w:eastAsia="宋体" w:hint="default"/>
                <w:sz w:val="18"/>
                <w:szCs w:val="18"/>
              </w:rPr>
            </w:pPr>
            <w:r>
              <w:rPr>
                <w:rFonts w:ascii="宋体" w:hAnsi="宋体" w:cs="宋体" w:eastAsia="宋体" w:hint="default"/>
                <w:sz w:val="18"/>
                <w:szCs w:val="18"/>
              </w:rPr>
              <w:t>西藏爱尔医疗投 资有限公司</w:t>
            </w:r>
          </w:p>
        </w:tc>
        <w:tc>
          <w:tcPr>
            <w:tcW w:w="1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30"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1.11%</w:t>
            </w:r>
          </w:p>
        </w:tc>
        <w:tc>
          <w:tcPr>
            <w:tcW w:w="95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5,668,774</w:t>
            </w:r>
          </w:p>
        </w:tc>
        <w:tc>
          <w:tcPr>
            <w:tcW w:w="762" w:type="dxa"/>
            <w:gridSpan w:val="2"/>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5,668,774</w:t>
            </w:r>
          </w:p>
        </w:tc>
        <w:tc>
          <w:tcPr>
            <w:tcW w:w="1343" w:type="dxa"/>
            <w:gridSpan w:val="2"/>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1455"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1"/>
              <w:ind w:left="22" w:right="63"/>
              <w:jc w:val="left"/>
              <w:rPr>
                <w:rFonts w:ascii="宋体" w:hAnsi="宋体" w:cs="宋体" w:eastAsia="宋体" w:hint="default"/>
                <w:sz w:val="18"/>
                <w:szCs w:val="18"/>
              </w:rPr>
            </w:pPr>
            <w:r>
              <w:rPr>
                <w:rFonts w:ascii="宋体" w:hAnsi="宋体" w:cs="宋体" w:eastAsia="宋体" w:hint="default"/>
                <w:sz w:val="18"/>
                <w:szCs w:val="18"/>
              </w:rPr>
              <w:t>华润深国投信托 有限公司－鼎萨</w:t>
            </w:r>
          </w:p>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期集合资金信</w:t>
            </w:r>
          </w:p>
        </w:tc>
        <w:tc>
          <w:tcPr>
            <w:tcW w:w="1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30"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332" w:right="0"/>
              <w:jc w:val="left"/>
              <w:rPr>
                <w:rFonts w:ascii="Times New Roman" w:hAnsi="Times New Roman" w:cs="Times New Roman" w:eastAsia="Times New Roman" w:hint="default"/>
                <w:sz w:val="18"/>
                <w:szCs w:val="18"/>
              </w:rPr>
            </w:pPr>
            <w:r>
              <w:rPr>
                <w:rFonts w:ascii="Times New Roman"/>
                <w:sz w:val="18"/>
              </w:rPr>
              <w:t>0.68%</w:t>
            </w:r>
          </w:p>
        </w:tc>
        <w:tc>
          <w:tcPr>
            <w:tcW w:w="95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3,482,281</w:t>
            </w:r>
          </w:p>
        </w:tc>
        <w:tc>
          <w:tcPr>
            <w:tcW w:w="762" w:type="dxa"/>
            <w:gridSpan w:val="2"/>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03" w:right="0"/>
              <w:jc w:val="left"/>
              <w:rPr>
                <w:rFonts w:ascii="Times New Roman" w:hAnsi="Times New Roman" w:cs="Times New Roman" w:eastAsia="Times New Roman" w:hint="default"/>
                <w:sz w:val="18"/>
                <w:szCs w:val="18"/>
              </w:rPr>
            </w:pPr>
            <w:r>
              <w:rPr>
                <w:rFonts w:ascii="Times New Roman"/>
                <w:sz w:val="18"/>
              </w:rPr>
              <w:t>3,482,281</w:t>
            </w:r>
          </w:p>
        </w:tc>
        <w:tc>
          <w:tcPr>
            <w:tcW w:w="1343" w:type="dxa"/>
            <w:gridSpan w:val="2"/>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5.080002pt;margin-top:71.999985pt;width:485.5pt;height:675.4pt;mso-position-horizontal-relative:page;mso-position-vertical-relative:page;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8"/>
                    <w:gridCol w:w="1342"/>
                    <w:gridCol w:w="830"/>
                    <w:gridCol w:w="956"/>
                    <w:gridCol w:w="762"/>
                    <w:gridCol w:w="785"/>
                    <w:gridCol w:w="962"/>
                    <w:gridCol w:w="1337"/>
                    <w:gridCol w:w="1363"/>
                  </w:tblGrid>
                  <w:tr>
                    <w:trPr>
                      <w:trHeight w:val="51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托计划</w:t>
                        </w:r>
                      </w:p>
                    </w:tc>
                    <w:tc>
                      <w:tcPr>
                        <w:tcW w:w="1342"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243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29"/>
                          <w:ind w:left="22" w:right="63"/>
                          <w:jc w:val="left"/>
                          <w:rPr>
                            <w:rFonts w:ascii="宋体" w:hAnsi="宋体" w:cs="宋体" w:eastAsia="宋体" w:hint="default"/>
                            <w:sz w:val="18"/>
                            <w:szCs w:val="18"/>
                          </w:rPr>
                        </w:pPr>
                        <w:r>
                          <w:rPr>
                            <w:rFonts w:ascii="宋体" w:hAnsi="宋体" w:cs="宋体" w:eastAsia="宋体" w:hint="default"/>
                            <w:sz w:val="18"/>
                            <w:szCs w:val="18"/>
                          </w:rPr>
                          <w:t>中国对外经济贸 易信托有限公司</w:t>
                        </w:r>
                      </w:p>
                      <w:p>
                        <w:pPr>
                          <w:pStyle w:val="TableParagraph"/>
                          <w:spacing w:line="465" w:lineRule="auto" w:before="56"/>
                          <w:ind w:left="22" w:right="63"/>
                          <w:jc w:val="left"/>
                          <w:rPr>
                            <w:rFonts w:ascii="宋体" w:hAnsi="宋体" w:cs="宋体" w:eastAsia="宋体" w:hint="default"/>
                            <w:sz w:val="18"/>
                            <w:szCs w:val="18"/>
                          </w:rPr>
                        </w:pPr>
                        <w:r>
                          <w:rPr>
                            <w:rFonts w:ascii="宋体" w:hAnsi="宋体" w:cs="宋体" w:eastAsia="宋体" w:hint="default"/>
                            <w:sz w:val="18"/>
                            <w:szCs w:val="18"/>
                          </w:rPr>
                          <w:t>－锐进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期鼎 萨证券投资集合 资金信托计划</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3,150,995</w:t>
                        </w:r>
                      </w:p>
                    </w:tc>
                    <w:tc>
                      <w:tcPr>
                        <w:tcW w:w="76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3,150,995</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王守业</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2,626,569</w:t>
                        </w:r>
                      </w:p>
                    </w:tc>
                    <w:tc>
                      <w:tcPr>
                        <w:tcW w:w="76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2,626,569</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468" w:lineRule="auto" w:before="129"/>
                          <w:ind w:left="22" w:right="63"/>
                          <w:jc w:val="both"/>
                          <w:rPr>
                            <w:rFonts w:ascii="宋体" w:hAnsi="宋体" w:cs="宋体" w:eastAsia="宋体" w:hint="default"/>
                            <w:sz w:val="18"/>
                            <w:szCs w:val="18"/>
                          </w:rPr>
                        </w:pPr>
                        <w:r>
                          <w:rPr>
                            <w:rFonts w:ascii="宋体" w:hAnsi="宋体" w:cs="宋体" w:eastAsia="宋体" w:hint="default"/>
                            <w:sz w:val="18"/>
                            <w:szCs w:val="18"/>
                          </w:rPr>
                          <w:t>华润深国投信托 有限公司－鼎萨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期集合资金信 托计划</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2,267,919</w:t>
                        </w:r>
                      </w:p>
                    </w:tc>
                    <w:tc>
                      <w:tcPr>
                        <w:tcW w:w="76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2,267,919</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243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63"/>
                          <w:jc w:val="both"/>
                          <w:rPr>
                            <w:rFonts w:ascii="宋体" w:hAnsi="宋体" w:cs="宋体" w:eastAsia="宋体" w:hint="default"/>
                            <w:sz w:val="18"/>
                            <w:szCs w:val="18"/>
                          </w:rPr>
                        </w:pPr>
                        <w:r>
                          <w:rPr>
                            <w:rFonts w:ascii="宋体" w:hAnsi="宋体" w:cs="宋体" w:eastAsia="宋体" w:hint="default"/>
                            <w:sz w:val="18"/>
                            <w:szCs w:val="18"/>
                          </w:rPr>
                          <w:t>中国光大银行股 份有限公司－中 欧新动力股票型 证券投资基金</w:t>
                        </w:r>
                      </w:p>
                      <w:p>
                        <w:pPr>
                          <w:pStyle w:val="TableParagraph"/>
                          <w:spacing w:line="240" w:lineRule="auto" w:before="55"/>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2,104,207</w:t>
                        </w:r>
                      </w:p>
                    </w:tc>
                    <w:tc>
                      <w:tcPr>
                        <w:tcW w:w="76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2,104,207</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1494" w:hRule="exact"/>
                    </w:trPr>
                    <w:tc>
                      <w:tcPr>
                        <w:tcW w:w="26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29"/>
                          <w:ind w:left="22" w:right="-3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名股东的情况（如有）</w:t>
                        </w:r>
                        <w:r>
                          <w:rPr>
                            <w:rFonts w:ascii="宋体" w:hAnsi="宋体" w:cs="宋体" w:eastAsia="宋体" w:hint="default"/>
                            <w:sz w:val="18"/>
                            <w:szCs w:val="18"/>
                          </w:rPr>
                        </w:r>
                      </w:p>
                      <w:p>
                        <w:pPr>
                          <w:pStyle w:val="TableParagraph"/>
                          <w:spacing w:line="240" w:lineRule="auto" w:before="24"/>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30" w:type="dxa"/>
                        <w:tcBorders>
                          <w:top w:val="single" w:sz="4" w:space="0" w:color="000000"/>
                          <w:left w:val="single" w:sz="10"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nil" w:sz="6" w:space="0" w:color="auto"/>
                          <w:bottom w:val="single" w:sz="4" w:space="0" w:color="000000"/>
                          <w:right w:val="nil" w:sz="6" w:space="0" w:color="auto"/>
                        </w:tcBorders>
                      </w:tcPr>
                      <w:p>
                        <w:pPr/>
                      </w:p>
                    </w:tc>
                    <w:tc>
                      <w:tcPr>
                        <w:tcW w:w="762" w:type="dxa"/>
                        <w:tcBorders>
                          <w:top w:val="single" w:sz="4" w:space="0" w:color="000000"/>
                          <w:left w:val="nil" w:sz="6" w:space="0" w:color="auto"/>
                          <w:bottom w:val="single" w:sz="4" w:space="0" w:color="000000"/>
                          <w:right w:val="nil" w:sz="6" w:space="0" w:color="auto"/>
                        </w:tcBorders>
                      </w:tcPr>
                      <w:p>
                        <w:pPr/>
                      </w:p>
                    </w:tc>
                    <w:tc>
                      <w:tcPr>
                        <w:tcW w:w="785" w:type="dxa"/>
                        <w:tcBorders>
                          <w:top w:val="single" w:sz="4" w:space="0" w:color="000000"/>
                          <w:left w:val="nil" w:sz="6" w:space="0" w:color="auto"/>
                          <w:bottom w:val="single" w:sz="4" w:space="0" w:color="000000"/>
                          <w:right w:val="nil" w:sz="6" w:space="0" w:color="auto"/>
                        </w:tcBorders>
                      </w:tcPr>
                      <w:p>
                        <w:pPr/>
                      </w:p>
                    </w:tc>
                    <w:tc>
                      <w:tcPr>
                        <w:tcW w:w="962" w:type="dxa"/>
                        <w:tcBorders>
                          <w:top w:val="single" w:sz="4" w:space="0" w:color="000000"/>
                          <w:left w:val="nil" w:sz="6" w:space="0" w:color="auto"/>
                          <w:bottom w:val="single" w:sz="4" w:space="0" w:color="000000"/>
                          <w:right w:val="nil" w:sz="6" w:space="0" w:color="auto"/>
                        </w:tcBorders>
                      </w:tcPr>
                      <w:p>
                        <w:pPr/>
                      </w:p>
                    </w:tc>
                    <w:tc>
                      <w:tcPr>
                        <w:tcW w:w="1337" w:type="dxa"/>
                        <w:tcBorders>
                          <w:top w:val="single" w:sz="4" w:space="0" w:color="000000"/>
                          <w:left w:val="nil" w:sz="6" w:space="0" w:color="auto"/>
                          <w:bottom w:val="single" w:sz="4" w:space="0" w:color="000000"/>
                          <w:right w:val="nil" w:sz="6" w:space="0" w:color="auto"/>
                        </w:tcBorders>
                      </w:tcPr>
                      <w:p>
                        <w:pPr/>
                      </w:p>
                    </w:tc>
                    <w:tc>
                      <w:tcPr>
                        <w:tcW w:w="1363" w:type="dxa"/>
                        <w:tcBorders>
                          <w:top w:val="single" w:sz="4" w:space="0" w:color="000000"/>
                          <w:left w:val="nil" w:sz="6" w:space="0" w:color="auto"/>
                          <w:bottom w:val="single" w:sz="4" w:space="0" w:color="000000"/>
                          <w:right w:val="single" w:sz="4" w:space="0" w:color="000000"/>
                        </w:tcBorders>
                      </w:tcPr>
                      <w:p>
                        <w:pPr/>
                      </w:p>
                    </w:tc>
                  </w:tr>
                  <w:tr>
                    <w:trPr>
                      <w:trHeight w:val="707" w:hRule="exact"/>
                    </w:trPr>
                    <w:tc>
                      <w:tcPr>
                        <w:tcW w:w="269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996" w:type="dxa"/>
                        <w:gridSpan w:val="7"/>
                        <w:vMerge w:val="restart"/>
                        <w:tcBorders>
                          <w:top w:val="single" w:sz="4" w:space="0" w:color="000000"/>
                          <w:left w:val="single" w:sz="10" w:space="0" w:color="D2D2D2"/>
                          <w:right w:val="single" w:sz="4" w:space="0" w:color="000000"/>
                        </w:tcBorders>
                      </w:tcPr>
                      <w:p>
                        <w:pPr>
                          <w:pStyle w:val="TableParagraph"/>
                          <w:spacing w:line="458" w:lineRule="auto" w:before="129"/>
                          <w:ind w:left="15" w:right="25"/>
                          <w:jc w:val="left"/>
                          <w:rPr>
                            <w:rFonts w:ascii="宋体" w:hAnsi="宋体" w:cs="宋体" w:eastAsia="宋体" w:hint="default"/>
                            <w:sz w:val="18"/>
                            <w:szCs w:val="18"/>
                          </w:rPr>
                        </w:pPr>
                        <w:r>
                          <w:rPr>
                            <w:rFonts w:ascii="宋体" w:hAnsi="宋体" w:cs="宋体" w:eastAsia="宋体" w:hint="default"/>
                            <w:sz w:val="18"/>
                            <w:szCs w:val="18"/>
                          </w:rPr>
                          <w:t>郭春生先生通过其亲属持有康平公司</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77.26%</w:t>
                        </w:r>
                        <w:r>
                          <w:rPr>
                            <w:rFonts w:ascii="宋体" w:hAnsi="宋体" w:cs="宋体" w:eastAsia="宋体" w:hint="default"/>
                            <w:spacing w:val="-5"/>
                            <w:sz w:val="18"/>
                            <w:szCs w:val="18"/>
                          </w:rPr>
                          <w:t>的股份，康平公司持有本公司</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49.02%</w:t>
                        </w:r>
                        <w:r>
                          <w:rPr>
                            <w:rFonts w:ascii="宋体" w:hAnsi="宋体" w:cs="宋体" w:eastAsia="宋体" w:hint="default"/>
                            <w:spacing w:val="-1"/>
                            <w:sz w:val="18"/>
                            <w:szCs w:val="18"/>
                          </w:rPr>
                          <w:t>的股份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而持有本公司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6.04%</w:t>
                        </w:r>
                        <w:r>
                          <w:rPr>
                            <w:rFonts w:ascii="宋体" w:hAnsi="宋体" w:cs="宋体" w:eastAsia="宋体" w:hint="default"/>
                            <w:sz w:val="18"/>
                            <w:szCs w:val="18"/>
                          </w:rPr>
                          <w:t>股份的自然人股东仲维光为郭春生先生的亲属</w:t>
                        </w:r>
                        <w:r>
                          <w:rPr>
                            <w:rFonts w:ascii="Times New Roman" w:hAnsi="Times New Roman" w:cs="Times New Roman" w:eastAsia="Times New Roman" w:hint="default"/>
                            <w:sz w:val="18"/>
                            <w:szCs w:val="18"/>
                          </w:rPr>
                          <w:t>,</w:t>
                        </w:r>
                        <w:r>
                          <w:rPr>
                            <w:rFonts w:ascii="宋体" w:hAnsi="宋体" w:cs="宋体" w:eastAsia="宋体" w:hint="default"/>
                            <w:sz w:val="18"/>
                            <w:szCs w:val="18"/>
                          </w:rPr>
                          <w:t>所以康平公司与仲维 光先生存在关联关系。除上述情况外，其他前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名无限售流通股股东之间未知是否存在 </w:t>
                        </w:r>
                        <w:r>
                          <w:rPr>
                            <w:rFonts w:ascii="宋体" w:hAnsi="宋体" w:cs="宋体" w:eastAsia="宋体" w:hint="default"/>
                            <w:spacing w:val="-3"/>
                            <w:sz w:val="18"/>
                            <w:szCs w:val="18"/>
                          </w:rPr>
                          <w:t>关联关系，也未知是否属于《上市公司股东持股变动信息披露管理办法》规定的一致行动</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人。</w:t>
                        </w:r>
                      </w:p>
                    </w:tc>
                  </w:tr>
                  <w:tr>
                    <w:trPr>
                      <w:trHeight w:val="1016" w:hRule="exact"/>
                    </w:trPr>
                    <w:tc>
                      <w:tcPr>
                        <w:tcW w:w="269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477" w:lineRule="auto" w:before="129"/>
                          <w:ind w:left="22" w:right="14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96" w:type="dxa"/>
                        <w:gridSpan w:val="7"/>
                        <w:vMerge/>
                        <w:tcBorders>
                          <w:left w:val="single" w:sz="10" w:space="0" w:color="D2D2D2"/>
                          <w:right w:val="single" w:sz="4" w:space="0" w:color="000000"/>
                        </w:tcBorders>
                      </w:tcPr>
                      <w:p>
                        <w:pPr/>
                      </w:p>
                    </w:tc>
                  </w:tr>
                  <w:tr>
                    <w:trPr>
                      <w:trHeight w:val="707" w:hRule="exact"/>
                    </w:trPr>
                    <w:tc>
                      <w:tcPr>
                        <w:tcW w:w="269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996" w:type="dxa"/>
                        <w:gridSpan w:val="7"/>
                        <w:vMerge/>
                        <w:tcBorders>
                          <w:left w:val="single" w:sz="10" w:space="0" w:color="D2D2D2"/>
                          <w:bottom w:val="single" w:sz="4" w:space="0" w:color="000000"/>
                          <w:right w:val="single" w:sz="4" w:space="0" w:color="000000"/>
                        </w:tcBorders>
                      </w:tcPr>
                      <w:p>
                        <w:pPr/>
                      </w:p>
                    </w:tc>
                  </w:tr>
                  <w:tr>
                    <w:trPr>
                      <w:trHeight w:val="558" w:hRule="exact"/>
                    </w:trPr>
                    <w:tc>
                      <w:tcPr>
                        <w:tcW w:w="969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84" w:hRule="exact"/>
                    </w:trPr>
                    <w:tc>
                      <w:tcPr>
                        <w:tcW w:w="269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295"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0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right="4"/>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70" w:hRule="exact"/>
                    </w:trPr>
                    <w:tc>
                      <w:tcPr>
                        <w:tcW w:w="269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295"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78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01" w:type="dxa"/>
                        <w:gridSpan w:val="2"/>
                        <w:vMerge/>
                        <w:tcBorders>
                          <w:left w:val="single" w:sz="4" w:space="0" w:color="000000"/>
                          <w:bottom w:val="single" w:sz="4" w:space="0" w:color="000000"/>
                          <w:right w:val="single" w:sz="4" w:space="0" w:color="000000"/>
                        </w:tcBorders>
                        <w:shd w:val="clear" w:color="auto" w:fill="D2D2D2"/>
                      </w:tcPr>
                      <w:p>
                        <w:pPr/>
                      </w:p>
                    </w:tc>
                  </w:tr>
                  <w:tr>
                    <w:trPr>
                      <w:trHeight w:val="278" w:hRule="exact"/>
                    </w:trPr>
                    <w:tc>
                      <w:tcPr>
                        <w:tcW w:w="2699" w:type="dxa"/>
                        <w:gridSpan w:val="2"/>
                        <w:vMerge/>
                        <w:tcBorders>
                          <w:left w:val="single" w:sz="4" w:space="0" w:color="000000"/>
                          <w:bottom w:val="nil" w:sz="6" w:space="0" w:color="auto"/>
                          <w:right w:val="single" w:sz="4" w:space="0" w:color="000000"/>
                        </w:tcBorders>
                        <w:shd w:val="clear" w:color="auto" w:fill="D2D2D2"/>
                      </w:tcPr>
                      <w:p>
                        <w:pPr/>
                      </w:p>
                    </w:tc>
                    <w:tc>
                      <w:tcPr>
                        <w:tcW w:w="4295" w:type="dxa"/>
                        <w:gridSpan w:val="5"/>
                        <w:vMerge/>
                        <w:tcBorders>
                          <w:left w:val="single" w:sz="4" w:space="0" w:color="000000"/>
                          <w:bottom w:val="nil" w:sz="6" w:space="0" w:color="auto"/>
                          <w:right w:val="single" w:sz="4" w:space="0" w:color="000000"/>
                        </w:tcBorders>
                        <w:shd w:val="clear" w:color="auto" w:fill="D2D2D2"/>
                      </w:tcPr>
                      <w:p>
                        <w:pPr/>
                      </w:p>
                    </w:tc>
                    <w:tc>
                      <w:tcPr>
                        <w:tcW w:w="13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30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84" w:hRule="exact"/>
                    </w:trPr>
                    <w:tc>
                      <w:tcPr>
                        <w:tcW w:w="269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295"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line="571" w:lineRule="exact"/>
        <w:ind w:left="2830"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348.2pt;height:28.6pt;mso-position-horizontal-relative:char;mso-position-vertical-relative:line" coordorigin="0,0" coordsize="6964,572">
            <v:group style="position:absolute;left:11;top:11;width:2;height:549" coordorigin="11,11" coordsize="2,549">
              <v:shape style="position:absolute;left:11;top:11;width:2;height:549" coordorigin="11,11" coordsize="0,549" path="m11,11l11,560e" filled="false" stroked="true" strokeweight="1.140pt" strokecolor="#ffffff">
                <v:path arrowok="t"/>
              </v:shape>
            </v:group>
            <v:group style="position:absolute;left:23;top:11;width:6941;height:549" coordorigin="23,11" coordsize="6941,549">
              <v:shape style="position:absolute;left:23;top:11;width:6941;height:549" coordorigin="23,11" coordsize="6941,549" path="m23,560l6963,560,6963,11,23,11,23,560xe" filled="true" fillcolor="#ffffff" stroked="false">
                <v:path arrowok="t"/>
                <v:fill type="solid"/>
              </v:shape>
            </v:group>
          </v:group>
        </w:pict>
      </w:r>
      <w:r>
        <w:rPr>
          <w:rFonts w:ascii="宋体" w:hAnsi="宋体" w:cs="宋体" w:eastAsia="宋体" w:hint="default"/>
          <w:position w:val="-10"/>
          <w:sz w:val="20"/>
          <w:szCs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before="44"/>
        <w:ind w:left="0" w:right="1042"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5.080002pt;margin-top:71.999985pt;width:485.5pt;height:684.4pt;mso-position-horizontal-relative:page;mso-position-vertical-relative:page;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9"/>
                    <w:gridCol w:w="4289"/>
                    <w:gridCol w:w="1343"/>
                    <w:gridCol w:w="1363"/>
                  </w:tblGrid>
                  <w:tr>
                    <w:trPr>
                      <w:trHeight w:val="558" w:hRule="exact"/>
                    </w:trPr>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敦化市康平投资有限责任公司</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236,475,016</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236,475,016</w:t>
                        </w:r>
                      </w:p>
                    </w:tc>
                  </w:tr>
                  <w:tr>
                    <w:trPr>
                      <w:trHeight w:val="558" w:hRule="exact"/>
                    </w:trPr>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仲维光</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30,961,276</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30,961,276</w:t>
                        </w:r>
                      </w:p>
                    </w:tc>
                  </w:tr>
                  <w:tr>
                    <w:trPr>
                      <w:trHeight w:val="1026" w:hRule="exact"/>
                    </w:trPr>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44"/>
                          <w:jc w:val="left"/>
                          <w:rPr>
                            <w:rFonts w:ascii="宋体" w:hAnsi="宋体" w:cs="宋体" w:eastAsia="宋体" w:hint="default"/>
                            <w:sz w:val="18"/>
                            <w:szCs w:val="18"/>
                          </w:rPr>
                        </w:pPr>
                        <w:r>
                          <w:rPr>
                            <w:rFonts w:ascii="宋体" w:hAnsi="宋体" w:cs="宋体" w:eastAsia="宋体" w:hint="default"/>
                            <w:sz w:val="18"/>
                            <w:szCs w:val="18"/>
                          </w:rPr>
                          <w:t>国泰君安证券股份有限公司约定 购回专用账户</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r>
                  <w:tr>
                    <w:trPr>
                      <w:trHeight w:val="558" w:hRule="exact"/>
                    </w:trPr>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杨丽荣</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7,650,586</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7,650,586</w:t>
                        </w:r>
                      </w:p>
                    </w:tc>
                  </w:tr>
                  <w:tr>
                    <w:trPr>
                      <w:trHeight w:val="558" w:hRule="exact"/>
                    </w:trPr>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西藏爱尔医疗投资有限公司</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5,668,774</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5,668,774</w:t>
                        </w:r>
                      </w:p>
                    </w:tc>
                  </w:tr>
                  <w:tr>
                    <w:trPr>
                      <w:trHeight w:val="1026" w:hRule="exact"/>
                    </w:trPr>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华润深国投信托有限公司－鼎萨</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w:t>
                        </w: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期集合资金信托计划</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3,482,281</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3,482,281</w:t>
                        </w:r>
                      </w:p>
                    </w:tc>
                  </w:tr>
                  <w:tr>
                    <w:trPr>
                      <w:trHeight w:val="1494" w:hRule="exact"/>
                    </w:trPr>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中国对外经济贸易信托有限公司</w:t>
                        </w:r>
                      </w:p>
                      <w:p>
                        <w:pPr>
                          <w:pStyle w:val="TableParagraph"/>
                          <w:spacing w:line="240" w:lineRule="auto" w:before="10"/>
                          <w:ind w:right="0"/>
                          <w:jc w:val="left"/>
                          <w:rPr>
                            <w:rFonts w:ascii="宋体" w:hAnsi="宋体" w:cs="宋体" w:eastAsia="宋体" w:hint="default"/>
                            <w:sz w:val="17"/>
                            <w:szCs w:val="17"/>
                          </w:rPr>
                        </w:pPr>
                      </w:p>
                      <w:p>
                        <w:pPr>
                          <w:pStyle w:val="TableParagraph"/>
                          <w:spacing w:line="451" w:lineRule="auto"/>
                          <w:ind w:left="22" w:right="54"/>
                          <w:jc w:val="left"/>
                          <w:rPr>
                            <w:rFonts w:ascii="宋体" w:hAnsi="宋体" w:cs="宋体" w:eastAsia="宋体" w:hint="default"/>
                            <w:sz w:val="18"/>
                            <w:szCs w:val="18"/>
                          </w:rPr>
                        </w:pPr>
                        <w:r>
                          <w:rPr>
                            <w:rFonts w:ascii="宋体" w:hAnsi="宋体" w:cs="宋体" w:eastAsia="宋体" w:hint="default"/>
                            <w:sz w:val="18"/>
                            <w:szCs w:val="18"/>
                          </w:rPr>
                          <w:t>－锐进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期鼎萨证券投资集合资 金信托计划</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3,150,995</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3,150,995</w:t>
                        </w:r>
                      </w:p>
                    </w:tc>
                  </w:tr>
                  <w:tr>
                    <w:trPr>
                      <w:trHeight w:val="558" w:hRule="exact"/>
                    </w:trPr>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王守业</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2,626,569</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2,626,569</w:t>
                        </w:r>
                      </w:p>
                    </w:tc>
                  </w:tr>
                  <w:tr>
                    <w:trPr>
                      <w:trHeight w:val="1026" w:hRule="exact"/>
                    </w:trPr>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华润深国投信托有限公司－鼎萨</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期集合资金信托计划</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2,267,919</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2,267,919</w:t>
                        </w:r>
                      </w:p>
                    </w:tc>
                  </w:tr>
                  <w:tr>
                    <w:trPr>
                      <w:trHeight w:val="1494" w:hRule="exact"/>
                    </w:trPr>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44"/>
                          <w:jc w:val="left"/>
                          <w:rPr>
                            <w:rFonts w:ascii="宋体" w:hAnsi="宋体" w:cs="宋体" w:eastAsia="宋体" w:hint="default"/>
                            <w:sz w:val="18"/>
                            <w:szCs w:val="18"/>
                          </w:rPr>
                        </w:pPr>
                        <w:r>
                          <w:rPr>
                            <w:rFonts w:ascii="宋体" w:hAnsi="宋体" w:cs="宋体" w:eastAsia="宋体" w:hint="default"/>
                            <w:sz w:val="18"/>
                            <w:szCs w:val="18"/>
                          </w:rPr>
                          <w:t>中国光大银行股份有限公司－中 欧新动力股票型证券投资基金</w:t>
                        </w:r>
                      </w:p>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2,104,207</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2,104,207</w:t>
                        </w:r>
                      </w:p>
                    </w:tc>
                  </w:tr>
                  <w:tr>
                    <w:trPr>
                      <w:trHeight w:val="2430" w:hRule="exact"/>
                    </w:trPr>
                    <w:tc>
                      <w:tcPr>
                        <w:tcW w:w="2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240" w:lineRule="auto" w:before="9"/>
                          <w:ind w:right="0"/>
                          <w:jc w:val="left"/>
                          <w:rPr>
                            <w:rFonts w:ascii="宋体" w:hAnsi="宋体" w:cs="宋体" w:eastAsia="宋体" w:hint="default"/>
                            <w:sz w:val="16"/>
                            <w:szCs w:val="16"/>
                          </w:rPr>
                        </w:pPr>
                      </w:p>
                      <w:p>
                        <w:pPr>
                          <w:pStyle w:val="TableParagraph"/>
                          <w:spacing w:line="451" w:lineRule="auto"/>
                          <w:ind w:left="22" w:right="5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996" w:type="dxa"/>
                        <w:gridSpan w:val="3"/>
                        <w:tcBorders>
                          <w:top w:val="single" w:sz="4" w:space="0" w:color="000000"/>
                          <w:left w:val="single" w:sz="4" w:space="0" w:color="000000"/>
                          <w:bottom w:val="single" w:sz="4" w:space="0" w:color="000000"/>
                          <w:right w:val="single" w:sz="4" w:space="0" w:color="000000"/>
                        </w:tcBorders>
                      </w:tcPr>
                      <w:p>
                        <w:pPr>
                          <w:pStyle w:val="TableParagraph"/>
                          <w:spacing w:line="458" w:lineRule="auto" w:before="129"/>
                          <w:ind w:left="22" w:right="23"/>
                          <w:jc w:val="left"/>
                          <w:rPr>
                            <w:rFonts w:ascii="宋体" w:hAnsi="宋体" w:cs="宋体" w:eastAsia="宋体" w:hint="default"/>
                            <w:sz w:val="18"/>
                            <w:szCs w:val="18"/>
                          </w:rPr>
                        </w:pPr>
                        <w:r>
                          <w:rPr>
                            <w:rFonts w:ascii="宋体" w:hAnsi="宋体" w:cs="宋体" w:eastAsia="宋体" w:hint="default"/>
                            <w:sz w:val="18"/>
                            <w:szCs w:val="18"/>
                          </w:rPr>
                          <w:t>郭春生先生通过其亲属持有康平公司</w:t>
                        </w:r>
                        <w:r>
                          <w:rPr>
                            <w:rFonts w:ascii="宋体" w:hAnsi="宋体" w:cs="宋体" w:eastAsia="宋体" w:hint="default"/>
                            <w:spacing w:val="-53"/>
                            <w:sz w:val="18"/>
                            <w:szCs w:val="18"/>
                          </w:rPr>
                          <w:t> </w:t>
                        </w:r>
                        <w:r>
                          <w:rPr>
                            <w:rFonts w:ascii="Times New Roman" w:hAnsi="Times New Roman" w:cs="Times New Roman" w:eastAsia="Times New Roman" w:hint="default"/>
                            <w:spacing w:val="-5"/>
                            <w:sz w:val="18"/>
                            <w:szCs w:val="18"/>
                          </w:rPr>
                          <w:t>77.26%</w:t>
                        </w:r>
                        <w:r>
                          <w:rPr>
                            <w:rFonts w:ascii="宋体" w:hAnsi="宋体" w:cs="宋体" w:eastAsia="宋体" w:hint="default"/>
                            <w:spacing w:val="-5"/>
                            <w:sz w:val="18"/>
                            <w:szCs w:val="18"/>
                          </w:rPr>
                          <w:t>的股份，康平公司持有本公司</w:t>
                        </w:r>
                        <w:r>
                          <w:rPr>
                            <w:rFonts w:ascii="宋体" w:hAnsi="宋体" w:cs="宋体" w:eastAsia="宋体" w:hint="default"/>
                            <w:spacing w:val="-53"/>
                            <w:sz w:val="18"/>
                            <w:szCs w:val="18"/>
                          </w:rPr>
                          <w:t> </w:t>
                        </w:r>
                        <w:r>
                          <w:rPr>
                            <w:rFonts w:ascii="Times New Roman" w:hAnsi="Times New Roman" w:cs="Times New Roman" w:eastAsia="Times New Roman" w:hint="default"/>
                            <w:spacing w:val="-1"/>
                            <w:sz w:val="18"/>
                            <w:szCs w:val="18"/>
                          </w:rPr>
                          <w:t>49.02%</w:t>
                        </w:r>
                        <w:r>
                          <w:rPr>
                            <w:rFonts w:ascii="宋体" w:hAnsi="宋体" w:cs="宋体" w:eastAsia="宋体" w:hint="default"/>
                            <w:spacing w:val="-1"/>
                            <w:sz w:val="18"/>
                            <w:szCs w:val="18"/>
                          </w:rPr>
                          <w:t>的股份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而持有本公司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6.04%</w:t>
                        </w:r>
                        <w:r>
                          <w:rPr>
                            <w:rFonts w:ascii="宋体" w:hAnsi="宋体" w:cs="宋体" w:eastAsia="宋体" w:hint="default"/>
                            <w:sz w:val="18"/>
                            <w:szCs w:val="18"/>
                          </w:rPr>
                          <w:t>股份的自然人股东仲维光为郭春生先生的亲属</w:t>
                        </w:r>
                        <w:r>
                          <w:rPr>
                            <w:rFonts w:ascii="Times New Roman" w:hAnsi="Times New Roman" w:cs="Times New Roman" w:eastAsia="Times New Roman" w:hint="default"/>
                            <w:sz w:val="18"/>
                            <w:szCs w:val="18"/>
                          </w:rPr>
                          <w:t>,</w:t>
                        </w:r>
                        <w:r>
                          <w:rPr>
                            <w:rFonts w:ascii="宋体" w:hAnsi="宋体" w:cs="宋体" w:eastAsia="宋体" w:hint="default"/>
                            <w:sz w:val="18"/>
                            <w:szCs w:val="18"/>
                          </w:rPr>
                          <w:t>所以康平公司与仲维 光先生存在关联关系。除上述情况外，其他前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名无限售流通股股东之间未知是否存在 </w:t>
                        </w:r>
                        <w:r>
                          <w:rPr>
                            <w:rFonts w:ascii="宋体" w:hAnsi="宋体" w:cs="宋体" w:eastAsia="宋体" w:hint="default"/>
                            <w:spacing w:val="-3"/>
                            <w:sz w:val="18"/>
                            <w:szCs w:val="18"/>
                          </w:rPr>
                          <w:t>关联关系，也未知是否属于《上市公司股东持股变动信息披露管理办法》规定的一致行动</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人。</w:t>
                        </w:r>
                      </w:p>
                    </w:tc>
                  </w:tr>
                  <w:tr>
                    <w:trPr>
                      <w:trHeight w:val="2391" w:hRule="exact"/>
                    </w:trPr>
                    <w:tc>
                      <w:tcPr>
                        <w:tcW w:w="2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463" w:lineRule="auto"/>
                          <w:ind w:left="22" w:right="54"/>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 </w:t>
                        </w:r>
                        <w:r>
                          <w:rPr>
                            <w:rFonts w:ascii="宋体" w:hAnsi="宋体" w:cs="宋体" w:eastAsia="宋体" w:hint="default"/>
                            <w:spacing w:val="-6"/>
                            <w:sz w:val="18"/>
                            <w:szCs w:val="18"/>
                          </w:rPr>
                          <w:t>业务股东情况说明（如有）（参见</w:t>
                        </w:r>
                        <w:r>
                          <w:rPr>
                            <w:rFonts w:ascii="宋体" w:hAnsi="宋体" w:cs="宋体" w:eastAsia="宋体" w:hint="default"/>
                            <w:sz w:val="18"/>
                            <w:szCs w:val="18"/>
                          </w:rPr>
                          <w:t>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996" w:type="dxa"/>
                        <w:gridSpan w:val="3"/>
                        <w:tcBorders>
                          <w:top w:val="single" w:sz="4" w:space="0" w:color="000000"/>
                          <w:left w:val="single" w:sz="4" w:space="0" w:color="000000"/>
                          <w:bottom w:val="single" w:sz="4" w:space="0" w:color="000000"/>
                          <w:right w:val="single" w:sz="4" w:space="0" w:color="000000"/>
                        </w:tcBorders>
                      </w:tcPr>
                      <w:p>
                        <w:pPr>
                          <w:pStyle w:val="TableParagraph"/>
                          <w:spacing w:line="458" w:lineRule="auto" w:before="129"/>
                          <w:ind w:left="22" w:right="20"/>
                          <w:jc w:val="left"/>
                          <w:rPr>
                            <w:rFonts w:ascii="宋体" w:hAnsi="宋体" w:cs="宋体" w:eastAsia="宋体" w:hint="default"/>
                            <w:sz w:val="18"/>
                            <w:szCs w:val="18"/>
                          </w:rPr>
                        </w:pPr>
                        <w:r>
                          <w:rPr>
                            <w:rFonts w:ascii="宋体" w:hAnsi="宋体" w:cs="宋体" w:eastAsia="宋体" w:hint="default"/>
                            <w:sz w:val="18"/>
                            <w:szCs w:val="18"/>
                          </w:rPr>
                          <w:t>申银万国证券股份有限公司客户信用交易担保证券账户持有本公司无限售流通股 </w:t>
                        </w:r>
                        <w:r>
                          <w:rPr>
                            <w:rFonts w:ascii="Times New Roman" w:hAnsi="Times New Roman" w:cs="Times New Roman" w:eastAsia="Times New Roman" w:hint="default"/>
                            <w:sz w:val="18"/>
                            <w:szCs w:val="18"/>
                          </w:rPr>
                          <w:t>9,356,669 </w:t>
                        </w:r>
                        <w:r>
                          <w:rPr>
                            <w:rFonts w:ascii="宋体" w:hAnsi="宋体" w:cs="宋体" w:eastAsia="宋体" w:hint="default"/>
                            <w:sz w:val="18"/>
                            <w:szCs w:val="18"/>
                          </w:rPr>
                          <w:t>股，占持股比例</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1.82%</w:t>
                        </w:r>
                        <w:r>
                          <w:rPr>
                            <w:rFonts w:ascii="宋体" w:hAnsi="宋体" w:cs="宋体" w:eastAsia="宋体" w:hint="default"/>
                            <w:sz w:val="18"/>
                            <w:szCs w:val="18"/>
                          </w:rPr>
                          <w:t>，其中自然人杨丽荣普通证券账户</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投资者信用账户合计 持有无限售流通股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7,650,586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股，占持股比例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1.49%</w:t>
                        </w:r>
                        <w:r>
                          <w:rPr>
                            <w:rFonts w:ascii="宋体" w:hAnsi="宋体" w:cs="宋体" w:eastAsia="宋体" w:hint="default"/>
                            <w:sz w:val="18"/>
                            <w:szCs w:val="18"/>
                          </w:rPr>
                          <w:t>，位列第四大股东；中信证券股份有 限公司客户信用交易担保证券账户持有本公司无限售流通股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6,809,094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股，占持股比例</w:t>
                        </w:r>
                      </w:p>
                      <w:p>
                        <w:pPr>
                          <w:pStyle w:val="TableParagraph"/>
                          <w:spacing w:line="240" w:lineRule="auto" w:before="3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1.33%</w:t>
                        </w:r>
                        <w:r>
                          <w:rPr>
                            <w:rFonts w:ascii="宋体" w:hAnsi="宋体" w:cs="宋体" w:eastAsia="宋体" w:hint="default"/>
                            <w:sz w:val="18"/>
                            <w:szCs w:val="18"/>
                          </w:rPr>
                          <w:t>，其中西藏爱尔医疗投资有限公司普通证券账户</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投资者信用账户合计持有无限售</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0" w:right="1042"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1942" w:lineRule="exact"/>
        <w:ind w:left="121" w:right="0" w:firstLine="0"/>
        <w:rPr>
          <w:rFonts w:ascii="宋体" w:hAnsi="宋体" w:cs="宋体" w:eastAsia="宋体" w:hint="default"/>
          <w:sz w:val="20"/>
          <w:szCs w:val="20"/>
        </w:rPr>
      </w:pPr>
      <w:r>
        <w:rPr>
          <w:rFonts w:ascii="宋体" w:hAnsi="宋体" w:cs="宋体" w:eastAsia="宋体" w:hint="default"/>
          <w:position w:val="-38"/>
          <w:sz w:val="20"/>
          <w:szCs w:val="20"/>
        </w:rPr>
        <w:pict>
          <v:group style="width:485.25pt;height:97.1pt;mso-position-horizontal-relative:char;mso-position-vertical-relative:line" coordorigin="0,0" coordsize="9705,1942">
            <v:group style="position:absolute;left:10;top:14;width:2690;height:1914" coordorigin="10,14" coordsize="2690,1914">
              <v:shape style="position:absolute;left:10;top:14;width:2690;height:1914" coordorigin="10,14" coordsize="2690,1914" path="m10,1928l2699,1928,2699,14,10,14,10,1928xe" filled="true" fillcolor="#d2d2d2" stroked="false">
                <v:path arrowok="t"/>
                <v:fill type="solid"/>
              </v:shape>
            </v:group>
            <v:group style="position:absolute;left:10;top:10;width:2690;height:2" coordorigin="10,10" coordsize="2690,2">
              <v:shape style="position:absolute;left:10;top:10;width:2690;height:2" coordorigin="10,10" coordsize="2690,0" path="m10,10l2699,10e" filled="false" stroked="true" strokeweight=".48pt" strokecolor="#000000">
                <v:path arrowok="t"/>
              </v:shape>
            </v:group>
            <v:group style="position:absolute;left:2709;top:10;width:6986;height:2" coordorigin="2709,10" coordsize="6986,2">
              <v:shape style="position:absolute;left:2709;top:10;width:6986;height:2" coordorigin="2709,10" coordsize="6986,0" path="m2709,10l9695,10e" filled="false" stroked="true" strokeweight=".48pt" strokecolor="#000000">
                <v:path arrowok="t"/>
              </v:shape>
            </v:group>
            <v:group style="position:absolute;left:5;top:5;width:2;height:1933" coordorigin="5,5" coordsize="2,1933">
              <v:shape style="position:absolute;left:5;top:5;width:2;height:1933" coordorigin="5,5" coordsize="0,1933" path="m5,5l5,1937e" filled="false" stroked="true" strokeweight=".48pt" strokecolor="#000000">
                <v:path arrowok="t"/>
              </v:shape>
            </v:group>
            <v:group style="position:absolute;left:10;top:1932;width:2690;height:2" coordorigin="10,1932" coordsize="2690,2">
              <v:shape style="position:absolute;left:10;top:1932;width:2690;height:2" coordorigin="10,1932" coordsize="2690,0" path="m10,1932l2699,1932e" filled="false" stroked="true" strokeweight=".48pt" strokecolor="#000000">
                <v:path arrowok="t"/>
              </v:shape>
            </v:group>
            <v:group style="position:absolute;left:2704;top:5;width:2;height:1933" coordorigin="2704,5" coordsize="2,1933">
              <v:shape style="position:absolute;left:2704;top:5;width:2;height:1933" coordorigin="2704,5" coordsize="0,1933" path="m2704,5l2704,1937e" filled="false" stroked="true" strokeweight=".48pt" strokecolor="#000000">
                <v:path arrowok="t"/>
              </v:shape>
            </v:group>
            <v:group style="position:absolute;left:2709;top:1932;width:6986;height:2" coordorigin="2709,1932" coordsize="6986,2">
              <v:shape style="position:absolute;left:2709;top:1932;width:6986;height:2" coordorigin="2709,1932" coordsize="6986,0" path="m2709,1932l9695,1932e" filled="false" stroked="true" strokeweight=".48pt" strokecolor="#000000">
                <v:path arrowok="t"/>
              </v:shape>
            </v:group>
            <v:group style="position:absolute;left:9700;top:5;width:2;height:1933" coordorigin="9700,5" coordsize="2,1933">
              <v:shape style="position:absolute;left:9700;top:5;width:2;height:1933" coordorigin="9700,5" coordsize="0,1933" path="m9700,5l9700,1937e" filled="false" stroked="true" strokeweight=".48pt" strokecolor="#000000">
                <v:path arrowok="t"/>
              </v:shape>
              <v:shape style="position:absolute;left:2704;top:10;width:6996;height:1923" type="#_x0000_t202" filled="false" stroked="false">
                <v:textbox inset="0,0,0,0">
                  <w:txbxContent>
                    <w:p>
                      <w:pPr>
                        <w:spacing w:line="451" w:lineRule="auto" w:before="93"/>
                        <w:ind w:left="27" w:right="66" w:firstLine="0"/>
                        <w:jc w:val="both"/>
                        <w:rPr>
                          <w:rFonts w:ascii="宋体" w:hAnsi="宋体" w:cs="宋体" w:eastAsia="宋体" w:hint="default"/>
                          <w:sz w:val="18"/>
                          <w:szCs w:val="18"/>
                        </w:rPr>
                      </w:pPr>
                      <w:r>
                        <w:rPr>
                          <w:rFonts w:ascii="宋体" w:hAnsi="宋体" w:cs="宋体" w:eastAsia="宋体" w:hint="default"/>
                          <w:sz w:val="18"/>
                          <w:szCs w:val="18"/>
                        </w:rPr>
                        <w:t>流通股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5,668,774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股，占持股比例</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1.11%</w:t>
                      </w:r>
                      <w:r>
                        <w:rPr>
                          <w:rFonts w:ascii="宋体" w:hAnsi="宋体" w:cs="宋体" w:eastAsia="宋体" w:hint="default"/>
                          <w:sz w:val="18"/>
                          <w:szCs w:val="18"/>
                        </w:rPr>
                        <w:t>，位列第五大股东；招商证券股份有限公司客户 信用交易担保证券账户持有本公司无限售流通股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5,188,823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股，占持股比例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1.01%</w:t>
                      </w:r>
                      <w:r>
                        <w:rPr>
                          <w:rFonts w:ascii="宋体" w:hAnsi="宋体" w:cs="宋体" w:eastAsia="宋体" w:hint="default"/>
                          <w:sz w:val="18"/>
                          <w:szCs w:val="18"/>
                        </w:rPr>
                        <w:t>，其中 自然人王守业普通证券账户</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投资者信用账户合计持有无限售流通股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2,626,569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股，占持</w:t>
                      </w:r>
                    </w:p>
                    <w:p>
                      <w:pPr>
                        <w:spacing w:before="45"/>
                        <w:ind w:left="27" w:right="0" w:firstLine="0"/>
                        <w:jc w:val="both"/>
                        <w:rPr>
                          <w:rFonts w:ascii="宋体" w:hAnsi="宋体" w:cs="宋体" w:eastAsia="宋体" w:hint="default"/>
                          <w:sz w:val="18"/>
                          <w:szCs w:val="18"/>
                        </w:rPr>
                      </w:pPr>
                      <w:r>
                        <w:rPr>
                          <w:rFonts w:ascii="宋体" w:hAnsi="宋体" w:cs="宋体" w:eastAsia="宋体" w:hint="default"/>
                          <w:sz w:val="18"/>
                          <w:szCs w:val="18"/>
                        </w:rPr>
                        <w:t>股比例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0.51%</w:t>
                      </w:r>
                      <w:r>
                        <w:rPr>
                          <w:rFonts w:ascii="宋体" w:hAnsi="宋体" w:cs="宋体" w:eastAsia="宋体" w:hint="default"/>
                          <w:sz w:val="18"/>
                          <w:szCs w:val="18"/>
                        </w:rPr>
                        <w:t>，位列第八大股东。</w:t>
                      </w:r>
                    </w:p>
                  </w:txbxContent>
                </v:textbox>
                <w10:wrap type="none"/>
              </v:shape>
            </v:group>
          </v:group>
        </w:pict>
      </w:r>
      <w:r>
        <w:rPr>
          <w:rFonts w:ascii="宋体" w:hAnsi="宋体" w:cs="宋体" w:eastAsia="宋体" w:hint="default"/>
          <w:position w:val="-38"/>
          <w:sz w:val="20"/>
          <w:szCs w:val="20"/>
        </w:rPr>
      </w:r>
    </w:p>
    <w:p>
      <w:pPr>
        <w:spacing w:line="240" w:lineRule="auto" w:before="2"/>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line="240" w:lineRule="auto" w:before="11"/>
        <w:rPr>
          <w:rFonts w:ascii="宋体" w:hAnsi="宋体" w:cs="宋体" w:eastAsia="宋体" w:hint="default"/>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17"/>
          <w:szCs w:val="17"/>
        </w:rPr>
      </w:pPr>
    </w:p>
    <w:p>
      <w:pPr>
        <w:pStyle w:val="BodyText"/>
        <w:spacing w:line="386" w:lineRule="auto"/>
        <w:ind w:right="1132" w:firstLine="336"/>
        <w:jc w:val="both"/>
      </w:pPr>
      <w:r>
        <w:rPr>
          <w:spacing w:val="-2"/>
        </w:rPr>
        <w:t>康平投资持有本公司无限售流通股</w:t>
      </w:r>
      <w:r>
        <w:rPr>
          <w:rFonts w:ascii="Times New Roman" w:hAnsi="Times New Roman" w:cs="Times New Roman" w:eastAsia="Times New Roman" w:hint="default"/>
          <w:spacing w:val="-2"/>
        </w:rPr>
        <w:t>251,475,016</w:t>
      </w:r>
      <w:r>
        <w:rPr>
          <w:spacing w:val="-2"/>
        </w:rPr>
        <w:t>股，占总股本比例</w:t>
      </w:r>
      <w:r>
        <w:rPr>
          <w:rFonts w:ascii="Times New Roman" w:hAnsi="Times New Roman" w:cs="Times New Roman" w:eastAsia="Times New Roman" w:hint="default"/>
          <w:spacing w:val="-2"/>
        </w:rPr>
        <w:t>49.02%</w:t>
      </w:r>
      <w:r>
        <w:rPr>
          <w:spacing w:val="-2"/>
        </w:rPr>
        <w:t>，其中</w:t>
      </w:r>
      <w:r>
        <w:rPr>
          <w:rFonts w:ascii="Times New Roman" w:hAnsi="Times New Roman" w:cs="Times New Roman" w:eastAsia="Times New Roman" w:hint="default"/>
          <w:spacing w:val="-2"/>
        </w:rPr>
        <w:t>10,250,000</w:t>
      </w:r>
      <w:r>
        <w:rPr>
          <w:spacing w:val="-2"/>
        </w:rPr>
        <w:t>股，占公司总</w:t>
      </w:r>
      <w:r>
        <w:rPr/>
        <w:t> </w:t>
      </w:r>
      <w:r>
        <w:rPr>
          <w:spacing w:val="-2"/>
        </w:rPr>
        <w:t>股本</w:t>
      </w:r>
      <w:r>
        <w:rPr>
          <w:rFonts w:ascii="Times New Roman" w:hAnsi="Times New Roman" w:cs="Times New Roman" w:eastAsia="Times New Roman" w:hint="default"/>
          <w:spacing w:val="-2"/>
        </w:rPr>
        <w:t>2%</w:t>
      </w:r>
      <w:r>
        <w:rPr>
          <w:spacing w:val="-2"/>
        </w:rPr>
        <w:t>，于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日与海通证券股份有限公司进行了约定购回式交易，购回期限</w:t>
      </w:r>
      <w:r>
        <w:rPr>
          <w:rFonts w:ascii="Times New Roman" w:hAnsi="Times New Roman" w:cs="Times New Roman" w:eastAsia="Times New Roman" w:hint="default"/>
          <w:spacing w:val="-2"/>
        </w:rPr>
        <w:t>190</w:t>
      </w:r>
      <w:r>
        <w:rPr>
          <w:spacing w:val="-2"/>
        </w:rPr>
        <w:t>天，康平投资有</w:t>
      </w:r>
      <w:r>
        <w:rPr>
          <w:spacing w:val="-100"/>
        </w:rPr>
        <w:t> </w:t>
      </w:r>
      <w:r>
        <w:rPr>
          <w:spacing w:val="-100"/>
        </w:rPr>
      </w:r>
      <w:r>
        <w:rPr>
          <w:spacing w:val="-1"/>
        </w:rPr>
        <w:t>限责任公司于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01</w:t>
      </w:r>
      <w:r>
        <w:rPr>
          <w:spacing w:val="-1"/>
        </w:rPr>
        <w:t>月</w:t>
      </w:r>
      <w:r>
        <w:rPr>
          <w:rFonts w:ascii="Times New Roman" w:hAnsi="Times New Roman" w:cs="Times New Roman" w:eastAsia="Times New Roman" w:hint="default"/>
          <w:spacing w:val="-1"/>
        </w:rPr>
        <w:t>20</w:t>
      </w:r>
      <w:r>
        <w:rPr>
          <w:spacing w:val="-1"/>
        </w:rPr>
        <w:t>日将上述股份交易完成购回；其中</w:t>
      </w:r>
      <w:r>
        <w:rPr>
          <w:rFonts w:ascii="Times New Roman" w:hAnsi="Times New Roman" w:cs="Times New Roman" w:eastAsia="Times New Roman" w:hint="default"/>
          <w:spacing w:val="-1"/>
        </w:rPr>
        <w:t>15,000,000</w:t>
      </w:r>
      <w:r>
        <w:rPr>
          <w:spacing w:val="-1"/>
        </w:rPr>
        <w:t>股，占公司总股本</w:t>
      </w:r>
      <w:r>
        <w:rPr>
          <w:rFonts w:ascii="Times New Roman" w:hAnsi="Times New Roman" w:cs="Times New Roman" w:eastAsia="Times New Roman" w:hint="default"/>
          <w:spacing w:val="-1"/>
        </w:rPr>
        <w:t>2.92%</w:t>
      </w:r>
      <w:r>
        <w:rPr>
          <w:spacing w:val="-1"/>
        </w:rPr>
        <w:t>，于</w:t>
      </w:r>
      <w:r>
        <w:rPr>
          <w:rFonts w:ascii="Times New Roman" w:hAnsi="Times New Roman" w:cs="Times New Roman" w:eastAsia="Times New Roman" w:hint="default"/>
          <w:spacing w:val="-1"/>
        </w:rPr>
        <w:t>2014</w:t>
      </w:r>
      <w:r>
        <w:rPr>
          <w:rFonts w:ascii="Times New Roman" w:hAnsi="Times New Roman" w:cs="Times New Roman" w:eastAsia="Times New Roman" w:hint="default"/>
          <w:spacing w:val="-43"/>
        </w:rPr>
        <w:t>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日与国泰君安证券股份有限公司进行了约定购回式交易，购回交易日为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97"/>
      <w:bookmarkEnd w:id="97"/>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line="240" w:lineRule="auto" w:before="13"/>
        <w:rPr>
          <w:rFonts w:ascii="宋体" w:hAnsi="宋体" w:cs="宋体" w:eastAsia="宋体" w:hint="default"/>
          <w:sz w:val="13"/>
          <w:szCs w:val="13"/>
        </w:rPr>
      </w:pPr>
    </w:p>
    <w:tbl>
      <w:tblPr>
        <w:tblW w:w="0" w:type="auto"/>
        <w:jc w:val="left"/>
        <w:tblInd w:w="121" w:type="dxa"/>
        <w:tblLayout w:type="fixed"/>
        <w:tblCellMar>
          <w:top w:w="0" w:type="dxa"/>
          <w:left w:w="0" w:type="dxa"/>
          <w:bottom w:w="0" w:type="dxa"/>
          <w:right w:w="0" w:type="dxa"/>
        </w:tblCellMar>
        <w:tblLook w:val="01E0"/>
      </w:tblPr>
      <w:tblGrid>
        <w:gridCol w:w="1858"/>
        <w:gridCol w:w="1512"/>
        <w:gridCol w:w="1347"/>
        <w:gridCol w:w="1478"/>
        <w:gridCol w:w="1613"/>
        <w:gridCol w:w="1886"/>
      </w:tblGrid>
      <w:tr>
        <w:trPr>
          <w:trHeight w:val="1026" w:hRule="exact"/>
        </w:trPr>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8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30"/>
              <w:ind w:left="480" w:right="95"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07"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9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4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98"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026"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30"/>
              <w:ind w:left="22" w:right="23"/>
              <w:jc w:val="left"/>
              <w:rPr>
                <w:rFonts w:ascii="宋体" w:hAnsi="宋体" w:cs="宋体" w:eastAsia="宋体" w:hint="default"/>
                <w:sz w:val="18"/>
                <w:szCs w:val="18"/>
              </w:rPr>
            </w:pPr>
            <w:r>
              <w:rPr>
                <w:rFonts w:ascii="宋体" w:hAnsi="宋体" w:cs="宋体" w:eastAsia="宋体" w:hint="default"/>
                <w:sz w:val="18"/>
                <w:szCs w:val="18"/>
              </w:rPr>
              <w:t>敦化市康平投资有限责 任公司</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郭春辉</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24483598-7</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对外投资</w:t>
            </w:r>
          </w:p>
        </w:tc>
      </w:tr>
      <w:tr>
        <w:trPr>
          <w:trHeight w:val="558" w:hRule="exact"/>
        </w:trPr>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8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公司主要从事实业投资。</w:t>
            </w:r>
          </w:p>
        </w:tc>
      </w:tr>
      <w:tr>
        <w:trPr>
          <w:trHeight w:val="1026" w:hRule="exact"/>
        </w:trPr>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22" w:right="23"/>
              <w:jc w:val="left"/>
              <w:rPr>
                <w:rFonts w:ascii="宋体" w:hAnsi="宋体" w:cs="宋体" w:eastAsia="宋体" w:hint="default"/>
                <w:sz w:val="18"/>
                <w:szCs w:val="18"/>
              </w:rPr>
            </w:pPr>
            <w:r>
              <w:rPr>
                <w:rFonts w:ascii="宋体" w:hAnsi="宋体" w:cs="宋体" w:eastAsia="宋体" w:hint="default"/>
                <w:sz w:val="18"/>
                <w:szCs w:val="18"/>
              </w:rPr>
              <w:t>经营成果、财务状况、 现金流等</w:t>
            </w:r>
          </w:p>
        </w:tc>
        <w:tc>
          <w:tcPr>
            <w:tcW w:w="78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敦化康平投资有限责任公司目前财务状况正常。</w:t>
            </w:r>
          </w:p>
        </w:tc>
      </w:tr>
      <w:tr>
        <w:trPr>
          <w:trHeight w:val="1495" w:hRule="exact"/>
        </w:trPr>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22" w:right="23"/>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8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控股股东报告期内无控股和参股其他境内外上市公司的股权情况。</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240" w:lineRule="auto" w:before="10"/>
        <w:rPr>
          <w:rFonts w:ascii="宋体" w:hAnsi="宋体" w:cs="宋体" w:eastAsia="宋体" w:hint="default"/>
          <w:sz w:val="20"/>
          <w:szCs w:val="20"/>
        </w:rPr>
      </w:pPr>
    </w:p>
    <w:p>
      <w:pPr>
        <w:spacing w:line="489"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after="0" w:line="48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3、公司实际控制人情况" w:id="98"/>
      <w:bookmarkEnd w:id="98"/>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417"/>
        <w:gridCol w:w="2030"/>
        <w:gridCol w:w="4121"/>
      </w:tblGrid>
      <w:tr>
        <w:trPr>
          <w:trHeight w:val="558"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558"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郭春生</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49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月起任通化紫金药业有限责任公司（本公司前身）董事长兼总经理，</w:t>
            </w: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8"/>
                <w:sz w:val="18"/>
                <w:szCs w:val="18"/>
              </w:rPr>
              <w:t> </w:t>
            </w:r>
            <w:r>
              <w:rPr>
                <w:rFonts w:ascii="宋体" w:hAnsi="宋体" w:cs="宋体" w:eastAsia="宋体" w:hint="default"/>
                <w:spacing w:val="-3"/>
                <w:sz w:val="18"/>
                <w:szCs w:val="18"/>
              </w:rPr>
              <w:t>月辞去吉林紫鑫药业股份有限公司董事长及总经理职务，继续担任董</w:t>
            </w: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事，</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日董事任期届满后，不再公司担任任何职务。</w:t>
            </w:r>
          </w:p>
        </w:tc>
      </w:tr>
      <w:tr>
        <w:trPr>
          <w:trHeight w:val="559"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240" w:lineRule="auto" w:before="10"/>
        <w:rPr>
          <w:rFonts w:ascii="宋体" w:hAnsi="宋体" w:cs="宋体" w:eastAsia="宋体" w:hint="default"/>
          <w:sz w:val="20"/>
          <w:szCs w:val="20"/>
        </w:rPr>
      </w:pPr>
    </w:p>
    <w:p>
      <w:pPr>
        <w:spacing w:line="504"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8"/>
        <w:rPr>
          <w:rFonts w:ascii="宋体" w:hAnsi="宋体" w:cs="宋体" w:eastAsia="宋体" w:hint="default"/>
          <w:sz w:val="15"/>
          <w:szCs w:val="15"/>
        </w:rPr>
      </w:pPr>
    </w:p>
    <w:p>
      <w:pPr>
        <w:spacing w:line="5490" w:lineRule="exact"/>
        <w:ind w:left="1356" w:right="0" w:firstLine="0"/>
        <w:rPr>
          <w:rFonts w:ascii="宋体" w:hAnsi="宋体" w:cs="宋体" w:eastAsia="宋体" w:hint="default"/>
          <w:sz w:val="20"/>
          <w:szCs w:val="20"/>
        </w:rPr>
      </w:pPr>
      <w:r>
        <w:rPr>
          <w:rFonts w:ascii="宋体" w:hAnsi="宋体" w:cs="宋体" w:eastAsia="宋体" w:hint="default"/>
          <w:position w:val="-109"/>
          <w:sz w:val="20"/>
          <w:szCs w:val="20"/>
        </w:rPr>
        <w:drawing>
          <wp:inline distT="0" distB="0" distL="0" distR="0">
            <wp:extent cx="4591081" cy="348615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4591081" cy="3486150"/>
                    </a:xfrm>
                    <a:prstGeom prst="rect">
                      <a:avLst/>
                    </a:prstGeom>
                  </pic:spPr>
                </pic:pic>
              </a:graphicData>
            </a:graphic>
          </wp:inline>
        </w:drawing>
      </w:r>
      <w:r>
        <w:rPr>
          <w:rFonts w:ascii="宋体" w:hAnsi="宋体" w:cs="宋体" w:eastAsia="宋体" w:hint="default"/>
          <w:position w:val="-109"/>
          <w:sz w:val="20"/>
          <w:szCs w:val="20"/>
        </w:rPr>
      </w:r>
    </w:p>
    <w:p>
      <w:pPr>
        <w:spacing w:line="240" w:lineRule="auto" w:before="6"/>
        <w:rPr>
          <w:rFonts w:ascii="宋体" w:hAnsi="宋体" w:cs="宋体" w:eastAsia="宋体" w:hint="default"/>
          <w:sz w:val="21"/>
          <w:szCs w:val="21"/>
        </w:rPr>
      </w:pPr>
    </w:p>
    <w:p>
      <w:pPr>
        <w:spacing w:before="26"/>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1"/>
        <w:rPr>
          <w:rFonts w:ascii="宋体" w:hAnsi="宋体" w:cs="宋体" w:eastAsia="宋体" w:hint="default"/>
          <w:sz w:val="30"/>
          <w:szCs w:val="30"/>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4、其他持股在10%以上的法人股东" w:id="99"/>
      <w:bookmarkEnd w:id="99"/>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四、公司股东及其一致行动人在报告期提出或实施股份增持计划的情况" w:id="100"/>
      <w:bookmarkEnd w:id="100"/>
      <w:r>
        <w:rPr>
          <w:b w:val="0"/>
          <w:bCs w:val="0"/>
        </w:rPr>
      </w:r>
      <w:r>
        <w:rPr/>
        <w:t>四、公司股东及其一致行动人在报告期提出或实施股份增持计划的情况</w:t>
      </w:r>
      <w:r>
        <w:rPr>
          <w:b w:val="0"/>
          <w:bCs w:val="0"/>
        </w:rPr>
      </w:r>
    </w:p>
    <w:p>
      <w:pPr>
        <w:spacing w:line="240" w:lineRule="auto" w:before="0"/>
        <w:rPr>
          <w:rFonts w:ascii="宋体" w:hAnsi="宋体" w:cs="宋体" w:eastAsia="宋体" w:hint="default"/>
          <w:b/>
          <w:bCs/>
          <w:sz w:val="24"/>
          <w:szCs w:val="24"/>
        </w:rPr>
      </w:pPr>
    </w:p>
    <w:p>
      <w:pPr>
        <w:spacing w:line="489" w:lineRule="auto" w:before="189"/>
        <w:ind w:left="153" w:right="37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在公司所知的范围内，没有公司股东及其一致行动人在报告期提出或实施股份增持计划。</w:t>
      </w:r>
    </w:p>
    <w:p>
      <w:pPr>
        <w:spacing w:after="0" w:line="48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1"/>
        <w:spacing w:line="240" w:lineRule="auto"/>
        <w:ind w:left="3286" w:right="0"/>
        <w:jc w:val="left"/>
        <w:rPr>
          <w:b w:val="0"/>
          <w:bCs w:val="0"/>
        </w:rPr>
      </w:pPr>
      <w:bookmarkStart w:name="_TOC_250005" w:id="101"/>
      <w:bookmarkStart w:name="第七节 优先股相关情况" w:id="102"/>
      <w:r>
        <w:rPr>
          <w:b w:val="0"/>
          <w:bCs w:val="0"/>
        </w:rPr>
      </w:r>
      <w:r>
        <w:rPr/>
        <w:t>第七节</w:t>
      </w:r>
      <w:r>
        <w:rPr>
          <w:spacing w:val="-8"/>
        </w:rPr>
        <w:t> </w:t>
      </w:r>
      <w:r>
        <w:rPr/>
        <w:t>优先股相关情况</w:t>
      </w:r>
      <w:bookmarkEnd w:id="101"/>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0"/>
          <w:szCs w:val="20"/>
        </w:rPr>
      </w:pPr>
    </w:p>
    <w:p>
      <w:pPr>
        <w:spacing w:line="489" w:lineRule="auto" w:before="44"/>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48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1"/>
        <w:spacing w:line="240" w:lineRule="auto"/>
        <w:ind w:left="1680" w:right="0"/>
        <w:jc w:val="left"/>
        <w:rPr>
          <w:b w:val="0"/>
          <w:bCs w:val="0"/>
        </w:rPr>
      </w:pPr>
      <w:bookmarkStart w:name="_TOC_250004" w:id="103"/>
      <w:bookmarkStart w:name="第八节 董事、监事、高级管理人员和员工情况" w:id="104"/>
      <w:r>
        <w:rPr>
          <w:b w:val="0"/>
          <w:bCs w:val="0"/>
        </w:rPr>
      </w:r>
      <w:r>
        <w:rPr/>
        <w:t>第八节</w:t>
      </w:r>
      <w:r>
        <w:rPr>
          <w:spacing w:val="-16"/>
        </w:rPr>
        <w:t> </w:t>
      </w:r>
      <w:r>
        <w:rPr/>
        <w:t>董事、监事、高级管理人员和员工情况</w:t>
      </w:r>
      <w:bookmarkEnd w:id="103"/>
      <w:r>
        <w:rPr>
          <w:b w:val="0"/>
          <w:bCs w:val="0"/>
        </w:rPr>
      </w:r>
    </w:p>
    <w:p>
      <w:pPr>
        <w:spacing w:line="240" w:lineRule="auto" w:before="0"/>
        <w:rPr>
          <w:rFonts w:ascii="宋体" w:hAnsi="宋体" w:cs="宋体" w:eastAsia="宋体" w:hint="default"/>
          <w:b/>
          <w:bCs/>
          <w:sz w:val="40"/>
          <w:szCs w:val="40"/>
        </w:rPr>
      </w:pPr>
    </w:p>
    <w:p>
      <w:pPr>
        <w:pStyle w:val="Heading2"/>
        <w:spacing w:line="240" w:lineRule="auto"/>
        <w:ind w:right="0"/>
        <w:jc w:val="left"/>
        <w:rPr>
          <w:b w:val="0"/>
          <w:bCs w:val="0"/>
        </w:rPr>
      </w:pPr>
      <w:bookmarkStart w:name="一、董事、监事和高级管理人员持股变动" w:id="105"/>
      <w:bookmarkEnd w:id="105"/>
      <w:r>
        <w:rPr>
          <w:b w:val="0"/>
          <w:bCs w:val="0"/>
        </w:rPr>
      </w:r>
      <w:r>
        <w:rPr/>
        <w:t>一、董事、监事和高级管理人员持股变动</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49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477" w:lineRule="auto" w:before="128"/>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477"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477" w:lineRule="auto" w:before="128"/>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70"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55"/>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55"/>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477" w:lineRule="auto" w:before="128"/>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李宝芝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69,100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69,100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钟云香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23"/>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7"/>
                <w:sz w:val="18"/>
                <w:szCs w:val="18"/>
              </w:rPr>
              <w:t>、</w:t>
            </w:r>
            <w:r>
              <w:rPr>
                <w:rFonts w:ascii="宋体" w:hAnsi="宋体" w:cs="宋体" w:eastAsia="宋体" w:hint="default"/>
                <w:sz w:val="18"/>
                <w:szCs w:val="18"/>
              </w:rPr>
              <w:t>副总</w:t>
            </w:r>
            <w:r>
              <w:rPr>
                <w:rFonts w:ascii="宋体" w:hAnsi="宋体" w:cs="宋体" w:eastAsia="宋体" w:hint="default"/>
                <w:sz w:val="18"/>
                <w:szCs w:val="18"/>
              </w:rPr>
              <w:t> 经理</w:t>
            </w:r>
            <w:r>
              <w:rPr>
                <w:rFonts w:ascii="宋体" w:hAnsi="宋体" w:cs="宋体" w:eastAsia="宋体" w:hint="default"/>
                <w:spacing w:val="-87"/>
                <w:sz w:val="18"/>
                <w:szCs w:val="18"/>
              </w:rPr>
              <w:t>、</w:t>
            </w:r>
            <w:r>
              <w:rPr>
                <w:rFonts w:ascii="宋体" w:hAnsi="宋体" w:cs="宋体" w:eastAsia="宋体" w:hint="default"/>
                <w:sz w:val="18"/>
                <w:szCs w:val="18"/>
              </w:rPr>
              <w:t>董秘</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99,700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曹恩辉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93,000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祖春香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54,300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54,300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殷金龙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60,100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60,100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范水波</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43,100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43,100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徐吉峰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76,500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韩明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54,031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54,031</w:t>
            </w:r>
          </w:p>
        </w:tc>
      </w:tr>
      <w:tr>
        <w:trPr>
          <w:trHeight w:val="558"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549,831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549,831</w:t>
            </w:r>
          </w:p>
        </w:tc>
      </w:tr>
    </w:tbl>
    <w:p>
      <w:pPr>
        <w:spacing w:line="240" w:lineRule="auto" w:before="0"/>
        <w:rPr>
          <w:rFonts w:ascii="宋体" w:hAnsi="宋体" w:cs="宋体" w:eastAsia="宋体" w:hint="default"/>
          <w:b/>
          <w:bCs/>
          <w:sz w:val="24"/>
          <w:szCs w:val="24"/>
        </w:rPr>
      </w:pPr>
    </w:p>
    <w:p>
      <w:pPr>
        <w:pStyle w:val="Heading2"/>
        <w:spacing w:line="240" w:lineRule="auto" w:before="26"/>
        <w:ind w:left="154" w:right="0"/>
        <w:jc w:val="left"/>
        <w:rPr>
          <w:b w:val="0"/>
          <w:bCs w:val="0"/>
        </w:rPr>
      </w:pPr>
      <w:bookmarkStart w:name="二、任职情况" w:id="106"/>
      <w:bookmarkEnd w:id="106"/>
      <w:r>
        <w:rPr>
          <w:b w:val="0"/>
          <w:bCs w:val="0"/>
        </w:rPr>
      </w:r>
      <w:r>
        <w:rPr/>
        <w:t>二、任职情况</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5"/>
        <w:ind w:right="0"/>
        <w:jc w:val="left"/>
        <w:rPr>
          <w:b w:val="0"/>
          <w:bCs w:val="0"/>
        </w:rPr>
      </w:pPr>
      <w:r>
        <w:rPr/>
        <w:t>（一）董事</w:t>
      </w:r>
      <w:r>
        <w:rPr>
          <w:b w:val="0"/>
          <w:bCs w:val="0"/>
        </w:rPr>
      </w:r>
    </w:p>
    <w:p>
      <w:pPr>
        <w:spacing w:line="240" w:lineRule="auto" w:before="4"/>
        <w:rPr>
          <w:rFonts w:ascii="宋体" w:hAnsi="宋体" w:cs="宋体" w:eastAsia="宋体" w:hint="default"/>
          <w:b/>
          <w:bCs/>
          <w:sz w:val="22"/>
          <w:szCs w:val="22"/>
        </w:rPr>
      </w:pPr>
    </w:p>
    <w:p>
      <w:pPr>
        <w:pStyle w:val="BodyText"/>
        <w:spacing w:line="386" w:lineRule="auto"/>
        <w:ind w:right="1134" w:firstLine="480"/>
        <w:jc w:val="both"/>
      </w:pPr>
      <w:r>
        <w:rPr>
          <w:rFonts w:ascii="Times New Roman" w:hAnsi="Times New Roman" w:cs="Times New Roman" w:eastAsia="Times New Roman" w:hint="default"/>
        </w:rPr>
        <w:t>1</w:t>
      </w:r>
      <w:r>
        <w:rPr/>
        <w:t>、郭春林先生，汉族，</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10</w:t>
      </w:r>
      <w:r>
        <w:rPr/>
        <w:t>月出生，中共党员，大学本科。曾任进步网（北京）信息服务有限 公司副总经理，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月进入紫鑫药业工作，历任公司总经理助理，现任公司董事长兼总经理。</w:t>
      </w:r>
    </w:p>
    <w:p>
      <w:pPr>
        <w:pStyle w:val="BodyText"/>
        <w:spacing w:line="386" w:lineRule="auto" w:before="135"/>
        <w:ind w:right="1132" w:firstLine="480"/>
        <w:jc w:val="both"/>
      </w:pPr>
      <w:r>
        <w:rPr>
          <w:rFonts w:ascii="Times New Roman" w:hAnsi="Times New Roman" w:cs="Times New Roman" w:eastAsia="Times New Roman" w:hint="default"/>
          <w:spacing w:val="-2"/>
        </w:rPr>
        <w:t>2</w:t>
      </w:r>
      <w:r>
        <w:rPr>
          <w:spacing w:val="-2"/>
        </w:rPr>
        <w:t>、张忠伟先生，汉族，</w:t>
      </w:r>
      <w:r>
        <w:rPr>
          <w:rFonts w:ascii="Times New Roman" w:hAnsi="Times New Roman" w:cs="Times New Roman" w:eastAsia="Times New Roman" w:hint="default"/>
          <w:spacing w:val="-2"/>
        </w:rPr>
        <w:t>1978</w:t>
      </w:r>
      <w:r>
        <w:rPr>
          <w:spacing w:val="-2"/>
        </w:rPr>
        <w:t>年</w:t>
      </w:r>
      <w:r>
        <w:rPr>
          <w:rFonts w:ascii="Times New Roman" w:hAnsi="Times New Roman" w:cs="Times New Roman" w:eastAsia="Times New Roman" w:hint="default"/>
          <w:spacing w:val="-2"/>
        </w:rPr>
        <w:t>3</w:t>
      </w:r>
      <w:r>
        <w:rPr>
          <w:spacing w:val="-2"/>
        </w:rPr>
        <w:t>月出生，中共党员，本科学历，中国注册会计师。曾任中准会计师事</w:t>
      </w:r>
      <w:r>
        <w:rPr/>
        <w:t> 务所有限公司高级项目经理、吉林省亚东投资管理有限公司副总经理，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月进入紫鑫药业工作，现</w:t>
      </w:r>
      <w:r>
        <w:rPr>
          <w:spacing w:val="-28"/>
        </w:rPr>
        <w:t> </w:t>
      </w:r>
      <w:r>
        <w:rPr>
          <w:spacing w:val="-28"/>
        </w:rPr>
      </w:r>
      <w:r>
        <w:rPr/>
        <w:t>任公司董事兼财务总监。</w:t>
      </w:r>
    </w:p>
    <w:p>
      <w:pPr>
        <w:pStyle w:val="BodyText"/>
        <w:spacing w:line="386" w:lineRule="auto" w:before="163"/>
        <w:ind w:right="1110" w:firstLine="480"/>
        <w:jc w:val="both"/>
      </w:pPr>
      <w:r>
        <w:rPr>
          <w:rFonts w:ascii="Times New Roman" w:hAnsi="Times New Roman" w:cs="Times New Roman" w:eastAsia="Times New Roman" w:hint="default"/>
          <w:spacing w:val="-2"/>
        </w:rPr>
        <w:t>3</w:t>
      </w:r>
      <w:r>
        <w:rPr>
          <w:spacing w:val="-2"/>
        </w:rPr>
        <w:t>、钟云香女士，汉族，</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1</w:t>
      </w:r>
      <w:r>
        <w:rPr>
          <w:spacing w:val="-2"/>
        </w:rPr>
        <w:t>月出生，本科学历，中国注册会计师。曾任农标普瑞纳（抚顺）饲料</w:t>
      </w:r>
      <w:r>
        <w:rPr/>
        <w:t> 有限公司会计、中磊会计师事务所吉林分所项目经理，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月进入紫鑫药业工作，历任证券部部长， 现任公司董事、副总经理兼董事会秘书、控股子公司吉林环境能源交易所董事。</w:t>
      </w:r>
    </w:p>
    <w:p>
      <w:pPr>
        <w:pStyle w:val="BodyText"/>
        <w:spacing w:line="386" w:lineRule="auto" w:before="163"/>
        <w:ind w:left="154" w:right="1133" w:firstLine="435"/>
        <w:jc w:val="both"/>
      </w:pPr>
      <w:r>
        <w:rPr>
          <w:rFonts w:ascii="Times New Roman" w:hAnsi="Times New Roman" w:cs="Times New Roman" w:eastAsia="Times New Roman" w:hint="default"/>
        </w:rPr>
        <w:t>4</w:t>
      </w:r>
      <w:r>
        <w:rPr/>
        <w:t>、李宝芝女士，汉族，</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11</w:t>
      </w:r>
      <w:r>
        <w:rPr/>
        <w:t>月出生，高级经济师，曾任柳河制药厂技术员、吉林友康药业有限 </w:t>
      </w:r>
      <w:r>
        <w:rPr>
          <w:spacing w:val="-1"/>
        </w:rPr>
        <w:t>责任公司质量厂长，</w:t>
      </w:r>
      <w:r>
        <w:rPr>
          <w:rFonts w:ascii="Times New Roman" w:hAnsi="Times New Roman" w:cs="Times New Roman" w:eastAsia="Times New Roman" w:hint="default"/>
          <w:spacing w:val="-1"/>
        </w:rPr>
        <w:t>2001</w:t>
      </w:r>
      <w:r>
        <w:rPr>
          <w:spacing w:val="-1"/>
        </w:rPr>
        <w:t>年进入紫鑫药业工作，历任生产经理、副总经理，现任公司董事兼全资子公司吉</w:t>
      </w:r>
      <w:r>
        <w:rPr>
          <w:spacing w:val="-84"/>
        </w:rPr>
        <w:t> </w:t>
      </w:r>
      <w:r>
        <w:rPr>
          <w:spacing w:val="-84"/>
        </w:rPr>
      </w:r>
      <w:r>
        <w:rPr/>
        <w:t>林紫鑫禺拙药业有限公司总经理。</w:t>
      </w:r>
    </w:p>
    <w:p>
      <w:pPr>
        <w:pStyle w:val="BodyText"/>
        <w:spacing w:line="386" w:lineRule="auto" w:before="164"/>
        <w:ind w:left="154" w:right="1135" w:firstLine="435"/>
        <w:jc w:val="both"/>
      </w:pPr>
      <w:r>
        <w:rPr>
          <w:rFonts w:ascii="Times New Roman" w:hAnsi="Times New Roman" w:cs="Times New Roman" w:eastAsia="Times New Roman" w:hint="default"/>
        </w:rPr>
        <w:t>5</w:t>
      </w:r>
      <w:r>
        <w:rPr/>
        <w:t>、张连学先生，汉族，</w:t>
      </w:r>
      <w:r>
        <w:rPr>
          <w:rFonts w:ascii="Times New Roman" w:hAnsi="Times New Roman" w:cs="Times New Roman" w:eastAsia="Times New Roman" w:hint="default"/>
        </w:rPr>
        <w:t>1955</w:t>
      </w:r>
      <w:r>
        <w:rPr/>
        <w:t>年</w:t>
      </w:r>
      <w:r>
        <w:rPr>
          <w:rFonts w:ascii="Times New Roman" w:hAnsi="Times New Roman" w:cs="Times New Roman" w:eastAsia="Times New Roman" w:hint="default"/>
        </w:rPr>
        <w:t>11</w:t>
      </w:r>
      <w:r>
        <w:rPr/>
        <w:t>月出生，中共党员，曾任中国农业科学院特产研究所研究员、吉林 农业大学中药材学院院长，现任公司独立董事、吉林农业大学教授。</w:t>
      </w:r>
    </w:p>
    <w:p>
      <w:pPr>
        <w:pStyle w:val="BodyText"/>
        <w:spacing w:line="398" w:lineRule="auto" w:before="164"/>
        <w:ind w:left="154" w:right="1133" w:firstLine="480"/>
        <w:jc w:val="both"/>
      </w:pPr>
      <w:r>
        <w:rPr>
          <w:rFonts w:ascii="Times New Roman" w:hAnsi="Times New Roman" w:cs="Times New Roman" w:eastAsia="Times New Roman" w:hint="default"/>
        </w:rPr>
        <w:t>6</w:t>
      </w:r>
      <w:r>
        <w:rPr/>
        <w:t>、傅穹先生，汉族，</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12</w:t>
      </w:r>
      <w:r>
        <w:rPr/>
        <w:t>月出生，中共党员，曾任吉林大学法学院教授、美国哥伦比亚大学法 </w:t>
      </w:r>
      <w:r>
        <w:rPr>
          <w:spacing w:val="-1"/>
        </w:rPr>
        <w:t>学院访问学者，现任公司独立董事、吉林财经大学法学院院长，中国全聚德（集团）股份有限公司独立董</w:t>
      </w:r>
      <w:r>
        <w:rPr>
          <w:spacing w:val="-83"/>
        </w:rPr>
        <w:t> </w:t>
      </w:r>
      <w:r>
        <w:rPr>
          <w:spacing w:val="-83"/>
        </w:rPr>
      </w:r>
      <w:r>
        <w:rPr/>
        <w:t>事、江苏奥赛康药业股份有限公司独立董事。</w:t>
      </w:r>
    </w:p>
    <w:p>
      <w:pPr>
        <w:pStyle w:val="BodyText"/>
        <w:spacing w:line="391" w:lineRule="auto" w:before="153"/>
        <w:ind w:right="1110" w:firstLine="480"/>
        <w:jc w:val="both"/>
      </w:pPr>
      <w:r>
        <w:rPr>
          <w:rFonts w:ascii="Times New Roman" w:hAnsi="Times New Roman" w:cs="Times New Roman" w:eastAsia="Times New Roman" w:hint="default"/>
        </w:rPr>
        <w:t>7</w:t>
      </w:r>
      <w:r>
        <w:rPr/>
        <w:t>、王旭女士，汉族，</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11</w:t>
      </w:r>
      <w:r>
        <w:rPr/>
        <w:t>月出生，博士后，吉林大学管理学院会计学教授、硕士生导师、会计 系学术带头人、吉林省会计领军人才（企业类）指导老师，中国会计学会高级会员。主持和参加国家级、 </w:t>
      </w:r>
      <w:r>
        <w:rPr>
          <w:spacing w:val="-1"/>
        </w:rPr>
        <w:t>省部级科研项目及企业咨询类项目三十余项，公开发表学术论文</w:t>
      </w:r>
      <w:r>
        <w:rPr>
          <w:rFonts w:ascii="Times New Roman" w:hAnsi="Times New Roman" w:cs="Times New Roman" w:eastAsia="Times New Roman" w:hint="default"/>
          <w:spacing w:val="-1"/>
        </w:rPr>
        <w:t>28</w:t>
      </w:r>
      <w:r>
        <w:rPr>
          <w:spacing w:val="-1"/>
        </w:rPr>
        <w:t>篇，出版学术专著一部，主讲会计学专</w:t>
      </w:r>
      <w:r>
        <w:rPr>
          <w:spacing w:val="-84"/>
        </w:rPr>
        <w:t> </w:t>
      </w:r>
      <w:r>
        <w:rPr>
          <w:spacing w:val="-84"/>
        </w:rPr>
      </w:r>
      <w:r>
        <w:rPr>
          <w:spacing w:val="-1"/>
        </w:rPr>
        <w:t>业本科生、硕士研究生及会计专业硕士（</w:t>
      </w:r>
      <w:r>
        <w:rPr>
          <w:rFonts w:ascii="Times New Roman" w:hAnsi="Times New Roman" w:cs="Times New Roman" w:eastAsia="Times New Roman" w:hint="default"/>
          <w:spacing w:val="-1"/>
        </w:rPr>
        <w:t>MPAcc</w:t>
      </w:r>
      <w:r>
        <w:rPr>
          <w:spacing w:val="-1"/>
        </w:rPr>
        <w:t>）课程五门，主要研究领域为公司治理、企业财务决策与</w:t>
      </w:r>
      <w:r>
        <w:rPr>
          <w:spacing w:val="-97"/>
        </w:rPr>
        <w:t> </w:t>
      </w:r>
      <w:r>
        <w:rPr>
          <w:spacing w:val="-97"/>
        </w:rPr>
      </w:r>
      <w:r>
        <w:rPr/>
        <w:t>控制等。现任公司独立董事、吉林大学管理学院会计学教授。</w:t>
      </w:r>
    </w:p>
    <w:p>
      <w:pPr>
        <w:pStyle w:val="Heading4"/>
        <w:spacing w:line="240" w:lineRule="auto" w:before="161"/>
        <w:ind w:right="0"/>
        <w:jc w:val="left"/>
        <w:rPr>
          <w:b w:val="0"/>
          <w:bCs w:val="0"/>
        </w:rPr>
      </w:pPr>
      <w:r>
        <w:rPr/>
        <w:t>（二）监事</w:t>
      </w:r>
      <w:r>
        <w:rPr>
          <w:b w:val="0"/>
          <w:bCs w:val="0"/>
        </w:rPr>
      </w:r>
    </w:p>
    <w:p>
      <w:pPr>
        <w:spacing w:line="240" w:lineRule="auto" w:before="4"/>
        <w:rPr>
          <w:rFonts w:ascii="宋体" w:hAnsi="宋体" w:cs="宋体" w:eastAsia="宋体" w:hint="default"/>
          <w:b/>
          <w:bCs/>
          <w:sz w:val="22"/>
          <w:szCs w:val="22"/>
        </w:rPr>
      </w:pPr>
    </w:p>
    <w:p>
      <w:pPr>
        <w:pStyle w:val="BodyText"/>
        <w:spacing w:line="386" w:lineRule="auto"/>
        <w:ind w:left="154" w:right="1135" w:firstLine="480"/>
        <w:jc w:val="both"/>
      </w:pPr>
      <w:r>
        <w:rPr>
          <w:rFonts w:ascii="Times New Roman" w:hAnsi="Times New Roman" w:cs="Times New Roman" w:eastAsia="Times New Roman" w:hint="default"/>
        </w:rPr>
        <w:t>1</w:t>
      </w:r>
      <w:r>
        <w:rPr/>
        <w:t>、田丰先生，</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10</w:t>
      </w:r>
      <w:r>
        <w:rPr/>
        <w:t>月出生，大学本科学历，中国注册会计师，曾任北京京都天华会计师事务所 有限公司项目经理，</w:t>
      </w:r>
      <w:r>
        <w:rPr>
          <w:rFonts w:ascii="Times New Roman" w:hAnsi="Times New Roman" w:cs="Times New Roman" w:eastAsia="Times New Roman" w:hint="default"/>
        </w:rPr>
        <w:t>2010</w:t>
      </w:r>
      <w:r>
        <w:rPr/>
        <w:t>年进入紫鑫药业工作，现任公司监事长。</w:t>
      </w:r>
    </w:p>
    <w:p>
      <w:pPr>
        <w:pStyle w:val="BodyText"/>
        <w:spacing w:line="386" w:lineRule="auto" w:before="134"/>
        <w:ind w:left="154" w:right="1132" w:firstLine="480"/>
        <w:jc w:val="both"/>
      </w:pPr>
      <w:r>
        <w:rPr>
          <w:rFonts w:ascii="Times New Roman" w:hAnsi="Times New Roman" w:cs="Times New Roman" w:eastAsia="Times New Roman" w:hint="default"/>
          <w:spacing w:val="-2"/>
        </w:rPr>
        <w:t>2</w:t>
      </w:r>
      <w:r>
        <w:rPr>
          <w:spacing w:val="-2"/>
        </w:rPr>
        <w:t>、张洪发先生，</w:t>
      </w: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2</w:t>
      </w:r>
      <w:r>
        <w:rPr>
          <w:spacing w:val="-2"/>
        </w:rPr>
        <w:t>月出生，经济学学士、会计师。</w:t>
      </w:r>
      <w:r>
        <w:rPr>
          <w:rFonts w:ascii="Times New Roman" w:hAnsi="Times New Roman" w:cs="Times New Roman" w:eastAsia="Times New Roman" w:hint="default"/>
          <w:spacing w:val="-2"/>
        </w:rPr>
        <w:t>2001</w:t>
      </w:r>
      <w:r>
        <w:rPr>
          <w:spacing w:val="-2"/>
        </w:rPr>
        <w:t>年至今历任吉林紫鑫药业股份有限公司</w:t>
      </w:r>
      <w:r>
        <w:rPr/>
        <w:t> 会计、主管会计、审计部副部长、财务部长，现任公司监事。</w:t>
      </w:r>
    </w:p>
    <w:p>
      <w:pPr>
        <w:spacing w:after="0" w:line="38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1051" w:firstLine="480"/>
        <w:jc w:val="both"/>
      </w:pPr>
      <w:r>
        <w:rPr>
          <w:rFonts w:ascii="Times New Roman" w:hAnsi="Times New Roman" w:cs="Times New Roman" w:eastAsia="Times New Roman" w:hint="default"/>
        </w:rPr>
        <w:t>3</w:t>
      </w:r>
      <w:r>
        <w:rPr/>
        <w:t>、孙莉莉女士，汉族，</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8</w:t>
      </w:r>
      <w:r>
        <w:rPr/>
        <w:t>月出生，毕业于黑龙江省商学院，高级经济师，历任公司财务部长、 财务经理，现任公司监事。</w:t>
      </w:r>
    </w:p>
    <w:p>
      <w:pPr>
        <w:pStyle w:val="Heading4"/>
        <w:spacing w:line="240" w:lineRule="auto" w:before="164"/>
        <w:ind w:right="0"/>
        <w:jc w:val="left"/>
        <w:rPr>
          <w:b w:val="0"/>
          <w:bCs w:val="0"/>
        </w:rPr>
      </w:pPr>
      <w:r>
        <w:rPr/>
        <w:t>（三）高级管理人员</w:t>
      </w:r>
      <w:r>
        <w:rPr>
          <w:b w:val="0"/>
          <w:bCs w:val="0"/>
        </w:rPr>
      </w:r>
    </w:p>
    <w:p>
      <w:pPr>
        <w:spacing w:line="240" w:lineRule="auto" w:before="7"/>
        <w:rPr>
          <w:rFonts w:ascii="宋体" w:hAnsi="宋体" w:cs="宋体" w:eastAsia="宋体" w:hint="default"/>
          <w:b/>
          <w:bCs/>
          <w:sz w:val="22"/>
          <w:szCs w:val="22"/>
        </w:rPr>
      </w:pPr>
    </w:p>
    <w:p>
      <w:pPr>
        <w:pStyle w:val="BodyText"/>
        <w:spacing w:line="240" w:lineRule="auto"/>
        <w:ind w:left="633"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、总经理郭春林，参见</w:t>
      </w:r>
      <w:r>
        <w:rPr>
          <w:rFonts w:ascii="Times New Roman" w:hAnsi="Times New Roman" w:cs="Times New Roman" w:eastAsia="Times New Roman" w:hint="default"/>
        </w:rPr>
        <w:t>“</w:t>
      </w:r>
      <w:r>
        <w:rPr/>
        <w:t>（一）董事</w:t>
      </w:r>
      <w:r>
        <w:rPr>
          <w:rFonts w:ascii="Times New Roman" w:hAnsi="Times New Roman" w:cs="Times New Roman" w:eastAsia="Times New Roman" w:hint="default"/>
        </w:rPr>
        <w:t>”</w:t>
      </w:r>
    </w:p>
    <w:p>
      <w:pPr>
        <w:spacing w:line="240" w:lineRule="auto" w:before="1"/>
        <w:rPr>
          <w:rFonts w:ascii="Times New Roman" w:hAnsi="Times New Roman" w:cs="Times New Roman" w:eastAsia="Times New Roman" w:hint="default"/>
          <w:sz w:val="24"/>
          <w:szCs w:val="24"/>
        </w:rPr>
      </w:pPr>
    </w:p>
    <w:p>
      <w:pPr>
        <w:pStyle w:val="BodyText"/>
        <w:spacing w:line="240" w:lineRule="auto"/>
        <w:ind w:left="634"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、副总经理、董事会秘书钟云香，参见</w:t>
      </w:r>
      <w:r>
        <w:rPr>
          <w:rFonts w:ascii="Times New Roman" w:hAnsi="Times New Roman" w:cs="Times New Roman" w:eastAsia="Times New Roman" w:hint="default"/>
        </w:rPr>
        <w:t>“</w:t>
      </w:r>
      <w:r>
        <w:rPr/>
        <w:t>（一）董事</w:t>
      </w:r>
      <w:r>
        <w:rPr>
          <w:rFonts w:ascii="Times New Roman" w:hAnsi="Times New Roman" w:cs="Times New Roman" w:eastAsia="Times New Roman" w:hint="default"/>
        </w:rPr>
        <w:t>”</w:t>
      </w:r>
    </w:p>
    <w:p>
      <w:pPr>
        <w:spacing w:line="240" w:lineRule="auto" w:before="1"/>
        <w:rPr>
          <w:rFonts w:ascii="Times New Roman" w:hAnsi="Times New Roman" w:cs="Times New Roman" w:eastAsia="Times New Roman" w:hint="default"/>
          <w:sz w:val="24"/>
          <w:szCs w:val="24"/>
        </w:rPr>
      </w:pPr>
    </w:p>
    <w:p>
      <w:pPr>
        <w:pStyle w:val="BodyText"/>
        <w:spacing w:line="240" w:lineRule="auto"/>
        <w:ind w:left="634"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、财务总监张忠伟，参见</w:t>
      </w:r>
      <w:r>
        <w:rPr>
          <w:rFonts w:ascii="Times New Roman" w:hAnsi="Times New Roman" w:cs="Times New Roman" w:eastAsia="Times New Roman" w:hint="default"/>
        </w:rPr>
        <w:t>“</w:t>
      </w:r>
      <w:r>
        <w:rPr/>
        <w:t>（一）董事</w:t>
      </w:r>
      <w:r>
        <w:rPr>
          <w:rFonts w:ascii="Times New Roman" w:hAnsi="Times New Roman" w:cs="Times New Roman" w:eastAsia="Times New Roman" w:hint="default"/>
        </w:rPr>
        <w:t>”</w:t>
      </w:r>
    </w:p>
    <w:p>
      <w:pPr>
        <w:spacing w:line="240" w:lineRule="auto" w:before="1"/>
        <w:rPr>
          <w:rFonts w:ascii="Times New Roman" w:hAnsi="Times New Roman" w:cs="Times New Roman" w:eastAsia="Times New Roman" w:hint="default"/>
          <w:sz w:val="24"/>
          <w:szCs w:val="24"/>
        </w:rPr>
      </w:pPr>
    </w:p>
    <w:p>
      <w:pPr>
        <w:pStyle w:val="BodyText"/>
        <w:spacing w:line="386" w:lineRule="auto"/>
        <w:ind w:right="1130" w:firstLine="480"/>
        <w:jc w:val="both"/>
      </w:pPr>
      <w:r>
        <w:rPr>
          <w:rFonts w:ascii="Times New Roman" w:hAnsi="Times New Roman" w:cs="Times New Roman" w:eastAsia="Times New Roman" w:hint="default"/>
          <w:spacing w:val="-2"/>
        </w:rPr>
        <w:t>4</w:t>
      </w:r>
      <w:r>
        <w:rPr>
          <w:spacing w:val="-2"/>
        </w:rPr>
        <w:t>、副总经理徐大庆：徐大庆先生，朝鲜族，</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5</w:t>
      </w:r>
      <w:r>
        <w:rPr>
          <w:spacing w:val="-2"/>
        </w:rPr>
        <w:t>月出生，本科学历。曾任吉林省敦化市长白山生</w:t>
      </w:r>
      <w:r>
        <w:rPr/>
        <w:t> </w:t>
      </w:r>
      <w:r>
        <w:rPr>
          <w:spacing w:val="-1"/>
        </w:rPr>
        <w:t>物制品有限公司会计、吉林天三奇药业股份有限公司区域经理，</w:t>
      </w:r>
      <w:r>
        <w:rPr>
          <w:rFonts w:ascii="Times New Roman" w:hAnsi="Times New Roman" w:cs="Times New Roman" w:eastAsia="Times New Roman" w:hint="default"/>
          <w:spacing w:val="-1"/>
        </w:rPr>
        <w:t>2005</w:t>
      </w:r>
      <w:r>
        <w:rPr>
          <w:spacing w:val="-1"/>
        </w:rPr>
        <w:t>年进入紫鑫药业工作，担任公司药品</w:t>
      </w:r>
      <w:r>
        <w:rPr>
          <w:spacing w:val="-80"/>
        </w:rPr>
        <w:t> </w:t>
      </w:r>
      <w:r>
        <w:rPr>
          <w:spacing w:val="-80"/>
        </w:rPr>
      </w:r>
      <w:r>
        <w:rPr/>
        <w:t>销售总监，现任公司副总经理。</w:t>
      </w:r>
    </w:p>
    <w:p>
      <w:pPr>
        <w:spacing w:line="240" w:lineRule="auto" w:before="7"/>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240" w:lineRule="auto" w:before="10"/>
        <w:rPr>
          <w:rFonts w:ascii="宋体" w:hAnsi="宋体" w:cs="宋体" w:eastAsia="宋体" w:hint="default"/>
          <w:sz w:val="20"/>
          <w:szCs w:val="20"/>
        </w:rPr>
      </w:pPr>
    </w:p>
    <w:p>
      <w:pPr>
        <w:spacing w:line="489" w:lineRule="auto" w:before="0"/>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8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1026"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558"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张连学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吉林农业大学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8"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傅穹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中国全聚德（集团）股份有限公司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8"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傅穹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江苏奥赛康药业股份有限公司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8"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傅穹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吉林财经大学法学院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院长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8"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王旭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吉林大学管理学院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会计学教授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451" w:lineRule="auto" w:before="130"/>
              <w:ind w:left="22" w:right="66"/>
              <w:jc w:val="left"/>
              <w:rPr>
                <w:rFonts w:ascii="宋体" w:hAnsi="宋体" w:cs="宋体" w:eastAsia="宋体" w:hint="default"/>
                <w:sz w:val="18"/>
                <w:szCs w:val="18"/>
              </w:rPr>
            </w:pPr>
            <w:r>
              <w:rPr>
                <w:rFonts w:ascii="宋体" w:hAnsi="宋体" w:cs="宋体" w:eastAsia="宋体" w:hint="default"/>
                <w:sz w:val="18"/>
                <w:szCs w:val="18"/>
              </w:rPr>
              <w:t>傅穹先生于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日起担任中国全聚德（集团）股份有限公司独立董事；于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 担任江苏奥赛康药业股份有限公司独立董事。</w:t>
            </w:r>
          </w:p>
        </w:tc>
      </w:tr>
    </w:tbl>
    <w:p>
      <w:pPr>
        <w:spacing w:line="240" w:lineRule="auto" w:before="0"/>
        <w:rPr>
          <w:rFonts w:ascii="宋体" w:hAnsi="宋体" w:cs="宋体" w:eastAsia="宋体" w:hint="default"/>
          <w:sz w:val="24"/>
          <w:szCs w:val="24"/>
        </w:rPr>
      </w:pPr>
    </w:p>
    <w:p>
      <w:pPr>
        <w:pStyle w:val="Heading2"/>
        <w:spacing w:line="240" w:lineRule="auto" w:before="26"/>
        <w:ind w:left="154" w:right="0"/>
        <w:jc w:val="left"/>
        <w:rPr>
          <w:b w:val="0"/>
          <w:bCs w:val="0"/>
        </w:rPr>
      </w:pPr>
      <w:bookmarkStart w:name="三、董事、监事、高级管理人员报酬情况" w:id="107"/>
      <w:bookmarkEnd w:id="107"/>
      <w:r>
        <w:rPr>
          <w:b w:val="0"/>
          <w:bCs w:val="0"/>
        </w:rPr>
      </w:r>
      <w:r>
        <w:rPr/>
        <w:t>三、董事、监事、高级管理人员报酬情况</w:t>
      </w:r>
      <w:r>
        <w:rPr>
          <w:b w:val="0"/>
          <w:bCs w:val="0"/>
        </w:rPr>
      </w:r>
    </w:p>
    <w:p>
      <w:pPr>
        <w:spacing w:line="240" w:lineRule="auto" w:before="0"/>
        <w:rPr>
          <w:rFonts w:ascii="宋体" w:hAnsi="宋体" w:cs="宋体" w:eastAsia="宋体" w:hint="default"/>
          <w:b/>
          <w:bCs/>
          <w:sz w:val="24"/>
          <w:szCs w:val="24"/>
        </w:rPr>
      </w:pPr>
    </w:p>
    <w:p>
      <w:pPr>
        <w:spacing w:before="190"/>
        <w:ind w:left="15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0"/>
        <w:rPr>
          <w:rFonts w:ascii="宋体" w:hAnsi="宋体" w:cs="宋体" w:eastAsia="宋体" w:hint="default"/>
          <w:sz w:val="18"/>
          <w:szCs w:val="18"/>
        </w:rPr>
      </w:pPr>
    </w:p>
    <w:p>
      <w:pPr>
        <w:pStyle w:val="BodyText"/>
        <w:spacing w:line="240" w:lineRule="auto"/>
        <w:ind w:left="489" w:right="0"/>
        <w:jc w:val="left"/>
      </w:pPr>
      <w:r>
        <w:rPr/>
        <w:t>由公司董事会按年度对公司高级管理人员的业绩和履职情况进行考评，并根据工作业绩决定年度薪酬，</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以考核结果作为下一年度的岗位安排、年薪档次、是否续聘及职位升降和下一届任免的依据。年初，董事</w:t>
      </w:r>
      <w:r>
        <w:rPr>
          <w:spacing w:val="-86"/>
        </w:rPr>
        <w:t> </w:t>
      </w:r>
      <w:r>
        <w:rPr>
          <w:spacing w:val="-86"/>
        </w:rPr>
      </w:r>
      <w:r>
        <w:rPr>
          <w:spacing w:val="-1"/>
        </w:rPr>
        <w:t>会根据公司的经营计划和个人的岗位职责，确定年度工资额；年终董事会根据高级管理人员本年度的工作</w:t>
      </w:r>
      <w:r>
        <w:rPr>
          <w:spacing w:val="-81"/>
        </w:rPr>
        <w:t> </w:t>
      </w:r>
      <w:r>
        <w:rPr>
          <w:spacing w:val="-81"/>
        </w:rPr>
      </w:r>
      <w:r>
        <w:rPr/>
        <w:t>业绩进行考评后确定对高管人员的奖金总额。</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日公司召开的</w:t>
      </w:r>
      <w:r>
        <w:rPr>
          <w:rFonts w:ascii="Times New Roman" w:hAnsi="Times New Roman" w:cs="Times New Roman" w:eastAsia="Times New Roman" w:hint="default"/>
        </w:rPr>
        <w:t>2010</w:t>
      </w:r>
      <w:r>
        <w:rPr/>
        <w:t>年年度股东大会审议通过了</w:t>
      </w:r>
    </w:p>
    <w:p>
      <w:pPr>
        <w:pStyle w:val="BodyText"/>
        <w:spacing w:line="240" w:lineRule="auto" w:before="15"/>
        <w:ind w:right="0"/>
        <w:jc w:val="both"/>
      </w:pPr>
      <w:r>
        <w:rPr/>
        <w:t>《关于调整董事、监事、高级管理人员薪酬的议案》，为现任董事、监事、高级管理人员报酬确定依据。</w:t>
      </w:r>
    </w:p>
    <w:p>
      <w:pPr>
        <w:spacing w:line="240" w:lineRule="auto" w:before="11"/>
        <w:rPr>
          <w:rFonts w:ascii="宋体" w:hAnsi="宋体" w:cs="宋体" w:eastAsia="宋体" w:hint="default"/>
          <w:sz w:val="19"/>
          <w:szCs w:val="19"/>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line="240" w:lineRule="auto" w:before="12"/>
        <w:rPr>
          <w:rFonts w:ascii="宋体" w:hAnsi="宋体" w:cs="宋体" w:eastAsia="宋体" w:hint="default"/>
          <w:sz w:val="20"/>
          <w:szCs w:val="20"/>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1026"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10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郭春林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9"/>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19.2</w:t>
            </w:r>
          </w:p>
        </w:tc>
      </w:tr>
      <w:tr>
        <w:trPr>
          <w:trHeight w:val="10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张忠伟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9"/>
              <w:jc w:val="left"/>
              <w:rPr>
                <w:rFonts w:ascii="宋体" w:hAnsi="宋体" w:cs="宋体" w:eastAsia="宋体" w:hint="default"/>
                <w:sz w:val="18"/>
                <w:szCs w:val="18"/>
              </w:rPr>
            </w:pPr>
            <w:r>
              <w:rPr>
                <w:rFonts w:ascii="宋体" w:hAnsi="宋体" w:cs="宋体" w:eastAsia="宋体" w:hint="default"/>
                <w:sz w:val="18"/>
                <w:szCs w:val="18"/>
              </w:rPr>
              <w:t>董事、财务总 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w:t>
            </w:r>
          </w:p>
        </w:tc>
      </w:tr>
      <w:tr>
        <w:trPr>
          <w:trHeight w:val="149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钟云香</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9"/>
              <w:jc w:val="both"/>
              <w:rPr>
                <w:rFonts w:ascii="宋体" w:hAnsi="宋体" w:cs="宋体" w:eastAsia="宋体" w:hint="default"/>
                <w:sz w:val="18"/>
                <w:szCs w:val="18"/>
              </w:rPr>
            </w:pPr>
            <w:r>
              <w:rPr>
                <w:rFonts w:ascii="宋体" w:hAnsi="宋体" w:cs="宋体" w:eastAsia="宋体" w:hint="default"/>
                <w:sz w:val="18"/>
                <w:szCs w:val="18"/>
              </w:rPr>
              <w:t>董事、副总经 理、董事会秘 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w:t>
            </w:r>
          </w:p>
        </w:tc>
      </w:tr>
      <w:tr>
        <w:trPr>
          <w:trHeight w:val="55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李宝芝</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w:t>
            </w:r>
          </w:p>
        </w:tc>
      </w:tr>
      <w:tr>
        <w:trPr>
          <w:trHeight w:val="55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张连学</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3.54</w:t>
            </w:r>
          </w:p>
        </w:tc>
      </w:tr>
      <w:tr>
        <w:trPr>
          <w:trHeight w:val="55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傅穹</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r>
      <w:tr>
        <w:trPr>
          <w:trHeight w:val="55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王旭</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r>
      <w:tr>
        <w:trPr>
          <w:trHeight w:val="55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田丰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w:t>
            </w:r>
          </w:p>
        </w:tc>
      </w:tr>
      <w:tr>
        <w:trPr>
          <w:trHeight w:val="55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张洪发</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w:t>
            </w:r>
          </w:p>
        </w:tc>
      </w:tr>
      <w:tr>
        <w:trPr>
          <w:trHeight w:val="55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孙莉莉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12.7</w:t>
            </w:r>
          </w:p>
        </w:tc>
      </w:tr>
      <w:tr>
        <w:trPr>
          <w:trHeight w:val="55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徐大庆</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w:t>
            </w:r>
          </w:p>
        </w:tc>
      </w:tr>
      <w:tr>
        <w:trPr>
          <w:trHeight w:val="55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曹恩辉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7.21</w:t>
            </w:r>
          </w:p>
        </w:tc>
      </w:tr>
      <w:tr>
        <w:trPr>
          <w:trHeight w:val="55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祖春香</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w:t>
            </w:r>
          </w:p>
        </w:tc>
      </w:tr>
      <w:tr>
        <w:trPr>
          <w:trHeight w:val="55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殷金龙</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55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李飞</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w:t>
            </w:r>
          </w:p>
        </w:tc>
      </w:tr>
      <w:tr>
        <w:trPr>
          <w:trHeight w:val="55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范水波</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w:t>
            </w:r>
          </w:p>
        </w:tc>
      </w:tr>
      <w:tr>
        <w:trPr>
          <w:trHeight w:val="55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徐吉峰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4.81</w:t>
            </w:r>
          </w:p>
        </w:tc>
      </w:tr>
      <w:tr>
        <w:trPr>
          <w:trHeight w:val="55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韩明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w:t>
            </w:r>
          </w:p>
        </w:tc>
      </w:tr>
      <w:tr>
        <w:trPr>
          <w:trHeight w:val="558"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190.33</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line="240" w:lineRule="auto" w:before="12"/>
        <w:rPr>
          <w:rFonts w:ascii="宋体" w:hAnsi="宋体" w:cs="宋体" w:eastAsia="宋体" w:hint="default"/>
          <w:sz w:val="20"/>
          <w:szCs w:val="20"/>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四、公司董事、监事、高级管理人员变动情况" w:id="108"/>
      <w:bookmarkEnd w:id="108"/>
      <w:r>
        <w:rPr>
          <w:b w:val="0"/>
          <w:bCs w:val="0"/>
        </w:rPr>
      </w:r>
      <w:r>
        <w:rPr/>
        <w:t>四、公司董事、监事、高级管理人员变动情况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558"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郭春林</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补选</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李宝芝</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补选</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钟云香</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补选</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张忠伟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补选</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张连学</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补选</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孙莉莉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补选</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张忠伟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补聘</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徐大庆</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补聘</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曹恩辉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辞职离开公司</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祖春香</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辞职留在公司</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殷金龙</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辞职留在公司</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李飞</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辞职离开公司</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范水波</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辞职离开公司</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徐吉峰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辞职离开公司</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韩明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辞职留在公司</w:t>
            </w:r>
          </w:p>
        </w:tc>
      </w:tr>
    </w:tbl>
    <w:p>
      <w:pPr>
        <w:spacing w:line="240" w:lineRule="auto" w:before="0"/>
        <w:rPr>
          <w:rFonts w:ascii="宋体" w:hAnsi="宋体" w:cs="宋体" w:eastAsia="宋体" w:hint="default"/>
          <w:b/>
          <w:bCs/>
          <w:sz w:val="24"/>
          <w:szCs w:val="24"/>
        </w:rPr>
      </w:pPr>
    </w:p>
    <w:p>
      <w:pPr>
        <w:pStyle w:val="Heading2"/>
        <w:spacing w:line="240" w:lineRule="auto" w:before="26"/>
        <w:ind w:left="154" w:right="0"/>
        <w:jc w:val="left"/>
        <w:rPr>
          <w:b w:val="0"/>
          <w:bCs w:val="0"/>
        </w:rPr>
      </w:pPr>
      <w:bookmarkStart w:name="五、报告期核心技术团队或关键技术人员变动情况（非董事、监事、高级管理人员）" w:id="109"/>
      <w:bookmarkEnd w:id="109"/>
      <w:r>
        <w:rPr>
          <w:b w:val="0"/>
          <w:bCs w:val="0"/>
        </w:rPr>
      </w:r>
      <w:r>
        <w:rPr/>
        <w:t>五、报告期核心技术团队或关键技术人员变动情况（非董事、监事、高级管理人员）</w:t>
      </w:r>
      <w:r>
        <w:rPr>
          <w:b w:val="0"/>
          <w:bCs w:val="0"/>
        </w:rPr>
      </w:r>
    </w:p>
    <w:p>
      <w:pPr>
        <w:spacing w:line="240" w:lineRule="auto" w:before="0"/>
        <w:rPr>
          <w:rFonts w:ascii="宋体" w:hAnsi="宋体" w:cs="宋体" w:eastAsia="宋体" w:hint="default"/>
          <w:b/>
          <w:bCs/>
          <w:sz w:val="24"/>
          <w:szCs w:val="24"/>
        </w:rPr>
      </w:pPr>
    </w:p>
    <w:p>
      <w:pPr>
        <w:pStyle w:val="BodyText"/>
        <w:spacing w:line="403" w:lineRule="auto" w:before="163"/>
        <w:ind w:right="1131" w:firstLine="336"/>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月，公司全资子公司吉林中科紫鑫科技有限公司因企业发展需要，聘请中国科学院于军、任鲁</w:t>
      </w:r>
      <w:r>
        <w:rPr/>
        <w:t> </w:t>
      </w:r>
      <w:r>
        <w:rPr>
          <w:spacing w:val="-1"/>
        </w:rPr>
        <w:t>风、俞育德、周晓光四位研究员担任科学顾问，并签署了相关协议。其中于军为首席科学顾问，并以此为</w:t>
      </w:r>
      <w:r>
        <w:rPr>
          <w:spacing w:val="-83"/>
        </w:rPr>
        <w:t> </w:t>
      </w:r>
      <w:r>
        <w:rPr>
          <w:spacing w:val="-83"/>
        </w:rPr>
      </w:r>
      <w:r>
        <w:rPr>
          <w:spacing w:val="-1"/>
        </w:rPr>
        <w:t>班底搭建中科紫鑫专家顾问委员会。在担任中科紫鑫科学顾问期间，四位专家主要负责在技术研究、产品</w:t>
      </w:r>
      <w:r>
        <w:rPr>
          <w:spacing w:val="-83"/>
        </w:rPr>
        <w:t> </w:t>
      </w:r>
      <w:r>
        <w:rPr>
          <w:spacing w:val="-83"/>
        </w:rPr>
      </w:r>
      <w:r>
        <w:rPr>
          <w:spacing w:val="-1"/>
        </w:rPr>
        <w:t>研制和开发、技术革新和改进、技术培训、技术支持等方面，给予技术指导和咨询工作。四位专家均为中</w:t>
      </w:r>
      <w:r>
        <w:rPr>
          <w:spacing w:val="-83"/>
        </w:rPr>
        <w:t> </w:t>
      </w:r>
      <w:r>
        <w:rPr>
          <w:spacing w:val="-83"/>
        </w:rPr>
      </w:r>
      <w:r>
        <w:rPr>
          <w:spacing w:val="-1"/>
        </w:rPr>
        <w:t>国自主研发新一代测序仪的核心创作团队，中科紫鑫表示非常荣幸能够聘请于军等四位专家担任本公司科</w:t>
      </w:r>
      <w:r>
        <w:rPr>
          <w:spacing w:val="-81"/>
        </w:rPr>
        <w:t> </w:t>
      </w:r>
      <w:r>
        <w:rPr>
          <w:spacing w:val="-81"/>
        </w:rPr>
      </w:r>
      <w:r>
        <w:rPr/>
        <w:t>学顾问，并对他们的专业背景及能力给予了充分的肯定。</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六、公司员工情况" w:id="110"/>
      <w:bookmarkEnd w:id="110"/>
      <w:r>
        <w:rPr>
          <w:b w:val="0"/>
          <w:bCs w:val="0"/>
        </w:rPr>
      </w:r>
      <w:r>
        <w:rPr/>
        <w:t>六、公司员工情况</w:t>
      </w:r>
      <w:r>
        <w:rPr>
          <w:b w:val="0"/>
          <w:bCs w:val="0"/>
        </w:rPr>
      </w:r>
    </w:p>
    <w:p>
      <w:pPr>
        <w:spacing w:line="240" w:lineRule="auto" w:before="11"/>
        <w:rPr>
          <w:rFonts w:ascii="宋体" w:hAnsi="宋体" w:cs="宋体" w:eastAsia="宋体" w:hint="default"/>
          <w:b/>
          <w:bCs/>
          <w:sz w:val="35"/>
          <w:szCs w:val="35"/>
        </w:rPr>
      </w:pPr>
    </w:p>
    <w:p>
      <w:pPr>
        <w:pStyle w:val="Heading3"/>
        <w:spacing w:line="240" w:lineRule="auto" w:before="0"/>
        <w:ind w:right="3320"/>
        <w:jc w:val="center"/>
        <w:rPr>
          <w:b w:val="0"/>
          <w:bCs w:val="0"/>
        </w:rPr>
      </w:pPr>
      <w:r>
        <w:rPr>
          <w:rFonts w:ascii="Times New Roman" w:hAnsi="Times New Roman" w:cs="Times New Roman" w:eastAsia="Times New Roman" w:hint="default"/>
        </w:rPr>
        <w:t>1</w:t>
      </w:r>
      <w:r>
        <w:rPr/>
        <w:t>．按专业划分</w:t>
      </w:r>
      <w:r>
        <w:rPr>
          <w:b w:val="0"/>
          <w:bCs w:val="0"/>
        </w:rPr>
      </w:r>
    </w:p>
    <w:p>
      <w:pPr>
        <w:spacing w:line="240" w:lineRule="auto" w:before="4"/>
        <w:rPr>
          <w:rFonts w:ascii="宋体" w:hAnsi="宋体" w:cs="宋体" w:eastAsia="宋体" w:hint="default"/>
          <w:b/>
          <w:bCs/>
          <w:sz w:val="8"/>
          <w:szCs w:val="8"/>
        </w:rPr>
      </w:pPr>
    </w:p>
    <w:tbl>
      <w:tblPr>
        <w:tblW w:w="0" w:type="auto"/>
        <w:jc w:val="left"/>
        <w:tblInd w:w="137" w:type="dxa"/>
        <w:tblLayout w:type="fixed"/>
        <w:tblCellMar>
          <w:top w:w="0" w:type="dxa"/>
          <w:left w:w="0" w:type="dxa"/>
          <w:bottom w:w="0" w:type="dxa"/>
          <w:right w:w="0" w:type="dxa"/>
        </w:tblCellMar>
        <w:tblLook w:val="01E0"/>
      </w:tblPr>
      <w:tblGrid>
        <w:gridCol w:w="2689"/>
        <w:gridCol w:w="2686"/>
        <w:gridCol w:w="4288"/>
      </w:tblGrid>
      <w:tr>
        <w:trPr>
          <w:trHeight w:val="511" w:hRule="exact"/>
        </w:trPr>
        <w:tc>
          <w:tcPr>
            <w:tcW w:w="26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9"/>
              <w:ind w:left="974" w:right="0"/>
              <w:jc w:val="left"/>
              <w:rPr>
                <w:rFonts w:ascii="宋体" w:hAnsi="宋体" w:cs="宋体" w:eastAsia="宋体" w:hint="default"/>
                <w:sz w:val="18"/>
                <w:szCs w:val="18"/>
              </w:rPr>
            </w:pPr>
            <w:r>
              <w:rPr>
                <w:rFonts w:ascii="宋体" w:hAnsi="宋体" w:cs="宋体" w:eastAsia="宋体" w:hint="default"/>
                <w:b/>
                <w:bCs/>
                <w:sz w:val="18"/>
                <w:szCs w:val="18"/>
              </w:rPr>
              <w:t>员工类别</w:t>
            </w:r>
            <w:r>
              <w:rPr>
                <w:rFonts w:ascii="宋体" w:hAnsi="宋体" w:cs="宋体" w:eastAsia="宋体" w:hint="default"/>
                <w:sz w:val="18"/>
                <w:szCs w:val="18"/>
              </w:rPr>
            </w:r>
          </w:p>
        </w:tc>
        <w:tc>
          <w:tcPr>
            <w:tcW w:w="2686"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99"/>
              <w:ind w:right="9"/>
              <w:jc w:val="center"/>
              <w:rPr>
                <w:rFonts w:ascii="宋体" w:hAnsi="宋体" w:cs="宋体" w:eastAsia="宋体" w:hint="default"/>
                <w:sz w:val="18"/>
                <w:szCs w:val="18"/>
              </w:rPr>
            </w:pPr>
            <w:r>
              <w:rPr>
                <w:rFonts w:ascii="宋体" w:hAnsi="宋体" w:cs="宋体" w:eastAsia="宋体" w:hint="default"/>
                <w:b/>
                <w:bCs/>
                <w:sz w:val="18"/>
                <w:szCs w:val="18"/>
              </w:rPr>
              <w:t>员工人数</w:t>
            </w:r>
            <w:r>
              <w:rPr>
                <w:rFonts w:ascii="宋体" w:hAnsi="宋体" w:cs="宋体" w:eastAsia="宋体" w:hint="default"/>
                <w:sz w:val="18"/>
                <w:szCs w:val="18"/>
              </w:rPr>
            </w:r>
          </w:p>
        </w:tc>
        <w:tc>
          <w:tcPr>
            <w:tcW w:w="4288"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99"/>
              <w:ind w:right="9"/>
              <w:jc w:val="center"/>
              <w:rPr>
                <w:rFonts w:ascii="宋体" w:hAnsi="宋体" w:cs="宋体" w:eastAsia="宋体" w:hint="default"/>
                <w:sz w:val="18"/>
                <w:szCs w:val="18"/>
              </w:rPr>
            </w:pPr>
            <w:r>
              <w:rPr>
                <w:rFonts w:ascii="宋体" w:hAnsi="宋体" w:cs="宋体" w:eastAsia="宋体" w:hint="default"/>
                <w:b/>
                <w:bCs/>
                <w:sz w:val="18"/>
                <w:szCs w:val="18"/>
              </w:rPr>
              <w:t>占员工总数比例</w:t>
            </w:r>
            <w:r>
              <w:rPr>
                <w:rFonts w:ascii="宋体" w:hAnsi="宋体" w:cs="宋体" w:eastAsia="宋体" w:hint="default"/>
                <w:sz w:val="18"/>
                <w:szCs w:val="18"/>
              </w:rPr>
            </w:r>
          </w:p>
        </w:tc>
      </w:tr>
      <w:tr>
        <w:trPr>
          <w:trHeight w:val="509" w:hRule="exact"/>
        </w:trPr>
        <w:tc>
          <w:tcPr>
            <w:tcW w:w="268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8"/>
              <w:ind w:left="976"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26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8"/>
              <w:ind w:right="7"/>
              <w:jc w:val="center"/>
              <w:rPr>
                <w:rFonts w:ascii="Times New Roman" w:hAnsi="Times New Roman" w:cs="Times New Roman" w:eastAsia="Times New Roman" w:hint="default"/>
                <w:sz w:val="18"/>
                <w:szCs w:val="18"/>
              </w:rPr>
            </w:pPr>
            <w:r>
              <w:rPr>
                <w:rFonts w:ascii="Times New Roman"/>
                <w:sz w:val="18"/>
              </w:rPr>
              <w:t>591</w:t>
            </w:r>
          </w:p>
        </w:tc>
        <w:tc>
          <w:tcPr>
            <w:tcW w:w="42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8"/>
              <w:ind w:right="6"/>
              <w:jc w:val="center"/>
              <w:rPr>
                <w:rFonts w:ascii="Times New Roman" w:hAnsi="Times New Roman" w:cs="Times New Roman" w:eastAsia="Times New Roman" w:hint="default"/>
                <w:sz w:val="18"/>
                <w:szCs w:val="18"/>
              </w:rPr>
            </w:pPr>
            <w:r>
              <w:rPr>
                <w:rFonts w:ascii="Times New Roman"/>
                <w:sz w:val="18"/>
              </w:rPr>
              <w:t>42.95%</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37" w:type="dxa"/>
        <w:tblLayout w:type="fixed"/>
        <w:tblCellMar>
          <w:top w:w="0" w:type="dxa"/>
          <w:left w:w="0" w:type="dxa"/>
          <w:bottom w:w="0" w:type="dxa"/>
          <w:right w:w="0" w:type="dxa"/>
        </w:tblCellMar>
        <w:tblLook w:val="01E0"/>
      </w:tblPr>
      <w:tblGrid>
        <w:gridCol w:w="2689"/>
        <w:gridCol w:w="2686"/>
        <w:gridCol w:w="4288"/>
      </w:tblGrid>
      <w:tr>
        <w:trPr>
          <w:trHeight w:val="511" w:hRule="exact"/>
        </w:trPr>
        <w:tc>
          <w:tcPr>
            <w:tcW w:w="26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9"/>
              <w:ind w:left="5"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686"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39"/>
              <w:ind w:right="1195"/>
              <w:jc w:val="right"/>
              <w:rPr>
                <w:rFonts w:ascii="Times New Roman" w:hAnsi="Times New Roman" w:cs="Times New Roman" w:eastAsia="Times New Roman" w:hint="default"/>
                <w:sz w:val="18"/>
                <w:szCs w:val="18"/>
              </w:rPr>
            </w:pPr>
            <w:r>
              <w:rPr>
                <w:rFonts w:ascii="Times New Roman"/>
                <w:sz w:val="18"/>
              </w:rPr>
              <w:t>230</w:t>
            </w:r>
          </w:p>
        </w:tc>
        <w:tc>
          <w:tcPr>
            <w:tcW w:w="4288"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39"/>
              <w:ind w:right="6"/>
              <w:jc w:val="center"/>
              <w:rPr>
                <w:rFonts w:ascii="Times New Roman" w:hAnsi="Times New Roman" w:cs="Times New Roman" w:eastAsia="Times New Roman" w:hint="default"/>
                <w:sz w:val="18"/>
                <w:szCs w:val="18"/>
              </w:rPr>
            </w:pPr>
            <w:r>
              <w:rPr>
                <w:rFonts w:ascii="Times New Roman"/>
                <w:sz w:val="18"/>
              </w:rPr>
              <w:t>16.72%</w:t>
            </w:r>
          </w:p>
        </w:tc>
      </w:tr>
      <w:tr>
        <w:trPr>
          <w:trHeight w:val="508" w:hRule="exact"/>
        </w:trPr>
        <w:tc>
          <w:tcPr>
            <w:tcW w:w="268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8"/>
              <w:ind w:left="5"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26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8"/>
              <w:ind w:right="1195"/>
              <w:jc w:val="right"/>
              <w:rPr>
                <w:rFonts w:ascii="Times New Roman" w:hAnsi="Times New Roman" w:cs="Times New Roman" w:eastAsia="Times New Roman" w:hint="default"/>
                <w:sz w:val="18"/>
                <w:szCs w:val="18"/>
              </w:rPr>
            </w:pPr>
            <w:r>
              <w:rPr>
                <w:rFonts w:ascii="Times New Roman"/>
                <w:sz w:val="18"/>
              </w:rPr>
              <w:t>220</w:t>
            </w:r>
          </w:p>
        </w:tc>
        <w:tc>
          <w:tcPr>
            <w:tcW w:w="42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8"/>
              <w:ind w:right="6"/>
              <w:jc w:val="center"/>
              <w:rPr>
                <w:rFonts w:ascii="Times New Roman" w:hAnsi="Times New Roman" w:cs="Times New Roman" w:eastAsia="Times New Roman" w:hint="default"/>
                <w:sz w:val="18"/>
                <w:szCs w:val="18"/>
              </w:rPr>
            </w:pPr>
            <w:r>
              <w:rPr>
                <w:rFonts w:ascii="Times New Roman"/>
                <w:sz w:val="18"/>
              </w:rPr>
              <w:t>15.99%</w:t>
            </w:r>
          </w:p>
        </w:tc>
      </w:tr>
      <w:tr>
        <w:trPr>
          <w:trHeight w:val="509" w:hRule="exact"/>
        </w:trPr>
        <w:tc>
          <w:tcPr>
            <w:tcW w:w="268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8"/>
              <w:ind w:left="5" w:right="0"/>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26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8"/>
              <w:ind w:right="1195"/>
              <w:jc w:val="right"/>
              <w:rPr>
                <w:rFonts w:ascii="Times New Roman" w:hAnsi="Times New Roman" w:cs="Times New Roman" w:eastAsia="Times New Roman" w:hint="default"/>
                <w:sz w:val="18"/>
                <w:szCs w:val="18"/>
              </w:rPr>
            </w:pPr>
            <w:r>
              <w:rPr>
                <w:rFonts w:ascii="Times New Roman"/>
                <w:sz w:val="18"/>
              </w:rPr>
              <w:t>268</w:t>
            </w:r>
          </w:p>
        </w:tc>
        <w:tc>
          <w:tcPr>
            <w:tcW w:w="42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8"/>
              <w:ind w:right="6"/>
              <w:jc w:val="center"/>
              <w:rPr>
                <w:rFonts w:ascii="Times New Roman" w:hAnsi="Times New Roman" w:cs="Times New Roman" w:eastAsia="Times New Roman" w:hint="default"/>
                <w:sz w:val="18"/>
                <w:szCs w:val="18"/>
              </w:rPr>
            </w:pPr>
            <w:r>
              <w:rPr>
                <w:rFonts w:ascii="Times New Roman"/>
                <w:sz w:val="18"/>
              </w:rPr>
              <w:t>19.48%</w:t>
            </w:r>
          </w:p>
        </w:tc>
      </w:tr>
      <w:tr>
        <w:trPr>
          <w:trHeight w:val="508" w:hRule="exact"/>
        </w:trPr>
        <w:tc>
          <w:tcPr>
            <w:tcW w:w="268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8"/>
              <w:ind w:left="5"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26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8"/>
              <w:ind w:right="1241"/>
              <w:jc w:val="right"/>
              <w:rPr>
                <w:rFonts w:ascii="Times New Roman" w:hAnsi="Times New Roman" w:cs="Times New Roman" w:eastAsia="Times New Roman" w:hint="default"/>
                <w:sz w:val="18"/>
                <w:szCs w:val="18"/>
              </w:rPr>
            </w:pPr>
            <w:r>
              <w:rPr>
                <w:rFonts w:ascii="Times New Roman"/>
                <w:sz w:val="18"/>
              </w:rPr>
              <w:t>67</w:t>
            </w:r>
          </w:p>
        </w:tc>
        <w:tc>
          <w:tcPr>
            <w:tcW w:w="42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8"/>
              <w:ind w:right="7"/>
              <w:jc w:val="center"/>
              <w:rPr>
                <w:rFonts w:ascii="Times New Roman" w:hAnsi="Times New Roman" w:cs="Times New Roman" w:eastAsia="Times New Roman" w:hint="default"/>
                <w:sz w:val="18"/>
                <w:szCs w:val="18"/>
              </w:rPr>
            </w:pPr>
            <w:r>
              <w:rPr>
                <w:rFonts w:ascii="Times New Roman"/>
                <w:sz w:val="18"/>
              </w:rPr>
              <w:t>4.87%</w:t>
            </w:r>
          </w:p>
        </w:tc>
      </w:tr>
      <w:tr>
        <w:trPr>
          <w:trHeight w:val="508" w:hRule="exact"/>
        </w:trPr>
        <w:tc>
          <w:tcPr>
            <w:tcW w:w="268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8"/>
              <w:ind w:left="7"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2"/>
              <w:ind w:right="1151"/>
              <w:jc w:val="right"/>
              <w:rPr>
                <w:rFonts w:ascii="Times New Roman" w:hAnsi="Times New Roman" w:cs="Times New Roman" w:eastAsia="Times New Roman" w:hint="default"/>
                <w:sz w:val="18"/>
                <w:szCs w:val="18"/>
              </w:rPr>
            </w:pPr>
            <w:r>
              <w:rPr>
                <w:rFonts w:ascii="Times New Roman"/>
                <w:b/>
                <w:sz w:val="18"/>
              </w:rPr>
              <w:t>1376</w:t>
            </w:r>
            <w:r>
              <w:rPr>
                <w:rFonts w:ascii="Times New Roman"/>
                <w:sz w:val="18"/>
              </w:rPr>
            </w:r>
          </w:p>
        </w:tc>
        <w:tc>
          <w:tcPr>
            <w:tcW w:w="42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2"/>
              <w:ind w:right="8"/>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spacing w:line="5190" w:lineRule="exact"/>
        <w:ind w:left="154" w:right="0" w:firstLine="0"/>
        <w:rPr>
          <w:rFonts w:ascii="宋体" w:hAnsi="宋体" w:cs="宋体" w:eastAsia="宋体" w:hint="default"/>
          <w:sz w:val="20"/>
          <w:szCs w:val="20"/>
        </w:rPr>
      </w:pPr>
      <w:r>
        <w:rPr>
          <w:rFonts w:ascii="宋体" w:hAnsi="宋体" w:cs="宋体" w:eastAsia="宋体" w:hint="default"/>
          <w:position w:val="-103"/>
          <w:sz w:val="20"/>
          <w:szCs w:val="20"/>
        </w:rPr>
        <w:drawing>
          <wp:inline distT="0" distB="0" distL="0" distR="0">
            <wp:extent cx="4686299" cy="329565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4" cstate="print"/>
                    <a:stretch>
                      <a:fillRect/>
                    </a:stretch>
                  </pic:blipFill>
                  <pic:spPr>
                    <a:xfrm>
                      <a:off x="0" y="0"/>
                      <a:ext cx="4686299" cy="3295650"/>
                    </a:xfrm>
                    <a:prstGeom prst="rect">
                      <a:avLst/>
                    </a:prstGeom>
                  </pic:spPr>
                </pic:pic>
              </a:graphicData>
            </a:graphic>
          </wp:inline>
        </w:drawing>
      </w:r>
      <w:r>
        <w:rPr>
          <w:rFonts w:ascii="宋体" w:hAnsi="宋体" w:cs="宋体" w:eastAsia="宋体" w:hint="default"/>
          <w:position w:val="-103"/>
          <w:sz w:val="20"/>
          <w:szCs w:val="20"/>
        </w:rPr>
      </w:r>
    </w:p>
    <w:p>
      <w:pPr>
        <w:spacing w:line="240" w:lineRule="auto" w:before="3"/>
        <w:rPr>
          <w:rFonts w:ascii="宋体" w:hAnsi="宋体" w:cs="宋体" w:eastAsia="宋体" w:hint="default"/>
          <w:b/>
          <w:bCs/>
          <w:sz w:val="6"/>
          <w:szCs w:val="6"/>
        </w:rPr>
      </w:pPr>
    </w:p>
    <w:p>
      <w:pPr>
        <w:pStyle w:val="Heading3"/>
        <w:spacing w:line="240" w:lineRule="auto"/>
        <w:ind w:right="3320"/>
        <w:jc w:val="center"/>
        <w:rPr>
          <w:b w:val="0"/>
          <w:bCs w:val="0"/>
        </w:rPr>
      </w:pPr>
      <w:r>
        <w:rPr>
          <w:rFonts w:ascii="Times New Roman" w:hAnsi="Times New Roman" w:cs="Times New Roman" w:eastAsia="Times New Roman" w:hint="default"/>
        </w:rPr>
        <w:t>2</w:t>
      </w:r>
      <w:r>
        <w:rPr/>
        <w:t>．按教育程度划分</w:t>
      </w:r>
      <w:r>
        <w:rPr>
          <w:b w:val="0"/>
          <w:bCs w:val="0"/>
        </w:rPr>
      </w:r>
    </w:p>
    <w:p>
      <w:pPr>
        <w:spacing w:line="240" w:lineRule="auto" w:before="4"/>
        <w:rPr>
          <w:rFonts w:ascii="宋体" w:hAnsi="宋体" w:cs="宋体" w:eastAsia="宋体" w:hint="default"/>
          <w:b/>
          <w:bCs/>
          <w:sz w:val="8"/>
          <w:szCs w:val="8"/>
        </w:rPr>
      </w:pPr>
    </w:p>
    <w:tbl>
      <w:tblPr>
        <w:tblW w:w="0" w:type="auto"/>
        <w:jc w:val="left"/>
        <w:tblInd w:w="137" w:type="dxa"/>
        <w:tblLayout w:type="fixed"/>
        <w:tblCellMar>
          <w:top w:w="0" w:type="dxa"/>
          <w:left w:w="0" w:type="dxa"/>
          <w:bottom w:w="0" w:type="dxa"/>
          <w:right w:w="0" w:type="dxa"/>
        </w:tblCellMar>
        <w:tblLook w:val="01E0"/>
      </w:tblPr>
      <w:tblGrid>
        <w:gridCol w:w="2689"/>
        <w:gridCol w:w="2686"/>
        <w:gridCol w:w="4288"/>
      </w:tblGrid>
      <w:tr>
        <w:trPr>
          <w:trHeight w:val="512" w:hRule="exact"/>
        </w:trPr>
        <w:tc>
          <w:tcPr>
            <w:tcW w:w="26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9"/>
              <w:ind w:left="4" w:right="0"/>
              <w:jc w:val="center"/>
              <w:rPr>
                <w:rFonts w:ascii="宋体" w:hAnsi="宋体" w:cs="宋体" w:eastAsia="宋体" w:hint="default"/>
                <w:sz w:val="18"/>
                <w:szCs w:val="18"/>
              </w:rPr>
            </w:pPr>
            <w:r>
              <w:rPr>
                <w:rFonts w:ascii="宋体" w:hAnsi="宋体" w:cs="宋体" w:eastAsia="宋体" w:hint="default"/>
                <w:b/>
                <w:bCs/>
                <w:sz w:val="18"/>
                <w:szCs w:val="18"/>
              </w:rPr>
              <w:t>员工类别</w:t>
            </w:r>
            <w:r>
              <w:rPr>
                <w:rFonts w:ascii="宋体" w:hAnsi="宋体" w:cs="宋体" w:eastAsia="宋体" w:hint="default"/>
                <w:sz w:val="18"/>
                <w:szCs w:val="18"/>
              </w:rPr>
            </w:r>
          </w:p>
        </w:tc>
        <w:tc>
          <w:tcPr>
            <w:tcW w:w="2686"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99"/>
              <w:ind w:right="9"/>
              <w:jc w:val="center"/>
              <w:rPr>
                <w:rFonts w:ascii="宋体" w:hAnsi="宋体" w:cs="宋体" w:eastAsia="宋体" w:hint="default"/>
                <w:sz w:val="18"/>
                <w:szCs w:val="18"/>
              </w:rPr>
            </w:pPr>
            <w:r>
              <w:rPr>
                <w:rFonts w:ascii="宋体" w:hAnsi="宋体" w:cs="宋体" w:eastAsia="宋体" w:hint="default"/>
                <w:b/>
                <w:bCs/>
                <w:sz w:val="18"/>
                <w:szCs w:val="18"/>
              </w:rPr>
              <w:t>员工人数</w:t>
            </w:r>
            <w:r>
              <w:rPr>
                <w:rFonts w:ascii="宋体" w:hAnsi="宋体" w:cs="宋体" w:eastAsia="宋体" w:hint="default"/>
                <w:sz w:val="18"/>
                <w:szCs w:val="18"/>
              </w:rPr>
            </w:r>
          </w:p>
        </w:tc>
        <w:tc>
          <w:tcPr>
            <w:tcW w:w="4288"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99"/>
              <w:ind w:right="9"/>
              <w:jc w:val="center"/>
              <w:rPr>
                <w:rFonts w:ascii="宋体" w:hAnsi="宋体" w:cs="宋体" w:eastAsia="宋体" w:hint="default"/>
                <w:sz w:val="18"/>
                <w:szCs w:val="18"/>
              </w:rPr>
            </w:pPr>
            <w:r>
              <w:rPr>
                <w:rFonts w:ascii="宋体" w:hAnsi="宋体" w:cs="宋体" w:eastAsia="宋体" w:hint="default"/>
                <w:b/>
                <w:bCs/>
                <w:sz w:val="18"/>
                <w:szCs w:val="18"/>
              </w:rPr>
              <w:t>占员工总数比例</w:t>
            </w:r>
            <w:r>
              <w:rPr>
                <w:rFonts w:ascii="宋体" w:hAnsi="宋体" w:cs="宋体" w:eastAsia="宋体" w:hint="default"/>
                <w:sz w:val="18"/>
                <w:szCs w:val="18"/>
              </w:rPr>
            </w:r>
          </w:p>
        </w:tc>
      </w:tr>
      <w:tr>
        <w:trPr>
          <w:trHeight w:val="508" w:hRule="exact"/>
        </w:trPr>
        <w:tc>
          <w:tcPr>
            <w:tcW w:w="268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8"/>
              <w:ind w:left="5" w:right="0"/>
              <w:jc w:val="center"/>
              <w:rPr>
                <w:rFonts w:ascii="宋体" w:hAnsi="宋体" w:cs="宋体" w:eastAsia="宋体" w:hint="default"/>
                <w:sz w:val="18"/>
                <w:szCs w:val="18"/>
              </w:rPr>
            </w:pPr>
            <w:r>
              <w:rPr>
                <w:rFonts w:ascii="宋体" w:hAnsi="宋体" w:cs="宋体" w:eastAsia="宋体" w:hint="default"/>
                <w:sz w:val="18"/>
                <w:szCs w:val="18"/>
              </w:rPr>
              <w:t>本科以上</w:t>
            </w:r>
          </w:p>
        </w:tc>
        <w:tc>
          <w:tcPr>
            <w:tcW w:w="26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8"/>
              <w:ind w:right="8"/>
              <w:jc w:val="center"/>
              <w:rPr>
                <w:rFonts w:ascii="Times New Roman" w:hAnsi="Times New Roman" w:cs="Times New Roman" w:eastAsia="Times New Roman" w:hint="default"/>
                <w:sz w:val="18"/>
                <w:szCs w:val="18"/>
              </w:rPr>
            </w:pPr>
            <w:r>
              <w:rPr>
                <w:rFonts w:ascii="Times New Roman"/>
                <w:sz w:val="18"/>
              </w:rPr>
              <w:t>24</w:t>
            </w:r>
          </w:p>
        </w:tc>
        <w:tc>
          <w:tcPr>
            <w:tcW w:w="42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8"/>
              <w:ind w:right="7"/>
              <w:jc w:val="center"/>
              <w:rPr>
                <w:rFonts w:ascii="Times New Roman" w:hAnsi="Times New Roman" w:cs="Times New Roman" w:eastAsia="Times New Roman" w:hint="default"/>
                <w:sz w:val="18"/>
                <w:szCs w:val="18"/>
              </w:rPr>
            </w:pPr>
            <w:r>
              <w:rPr>
                <w:rFonts w:ascii="Times New Roman"/>
                <w:sz w:val="18"/>
              </w:rPr>
              <w:t>1.74%</w:t>
            </w:r>
          </w:p>
        </w:tc>
      </w:tr>
      <w:tr>
        <w:trPr>
          <w:trHeight w:val="508" w:hRule="exact"/>
        </w:trPr>
        <w:tc>
          <w:tcPr>
            <w:tcW w:w="268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8"/>
              <w:ind w:left="5"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26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8"/>
              <w:ind w:right="7"/>
              <w:jc w:val="center"/>
              <w:rPr>
                <w:rFonts w:ascii="Times New Roman" w:hAnsi="Times New Roman" w:cs="Times New Roman" w:eastAsia="Times New Roman" w:hint="default"/>
                <w:sz w:val="18"/>
                <w:szCs w:val="18"/>
              </w:rPr>
            </w:pPr>
            <w:r>
              <w:rPr>
                <w:rFonts w:ascii="Times New Roman"/>
                <w:sz w:val="18"/>
              </w:rPr>
              <w:t>241</w:t>
            </w:r>
          </w:p>
        </w:tc>
        <w:tc>
          <w:tcPr>
            <w:tcW w:w="42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8"/>
              <w:ind w:right="6"/>
              <w:jc w:val="center"/>
              <w:rPr>
                <w:rFonts w:ascii="Times New Roman" w:hAnsi="Times New Roman" w:cs="Times New Roman" w:eastAsia="Times New Roman" w:hint="default"/>
                <w:sz w:val="18"/>
                <w:szCs w:val="18"/>
              </w:rPr>
            </w:pPr>
            <w:r>
              <w:rPr>
                <w:rFonts w:ascii="Times New Roman"/>
                <w:sz w:val="18"/>
              </w:rPr>
              <w:t>17.51%</w:t>
            </w:r>
          </w:p>
        </w:tc>
      </w:tr>
      <w:tr>
        <w:trPr>
          <w:trHeight w:val="509" w:hRule="exact"/>
        </w:trPr>
        <w:tc>
          <w:tcPr>
            <w:tcW w:w="268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8"/>
              <w:ind w:left="5" w:right="0"/>
              <w:jc w:val="center"/>
              <w:rPr>
                <w:rFonts w:ascii="宋体" w:hAnsi="宋体" w:cs="宋体" w:eastAsia="宋体" w:hint="default"/>
                <w:sz w:val="18"/>
                <w:szCs w:val="18"/>
              </w:rPr>
            </w:pPr>
            <w:r>
              <w:rPr>
                <w:rFonts w:ascii="宋体" w:hAnsi="宋体" w:cs="宋体" w:eastAsia="宋体" w:hint="default"/>
                <w:sz w:val="18"/>
                <w:szCs w:val="18"/>
              </w:rPr>
              <w:t>大中专</w:t>
            </w:r>
          </w:p>
        </w:tc>
        <w:tc>
          <w:tcPr>
            <w:tcW w:w="26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8"/>
              <w:ind w:right="7"/>
              <w:jc w:val="center"/>
              <w:rPr>
                <w:rFonts w:ascii="Times New Roman" w:hAnsi="Times New Roman" w:cs="Times New Roman" w:eastAsia="Times New Roman" w:hint="default"/>
                <w:sz w:val="18"/>
                <w:szCs w:val="18"/>
              </w:rPr>
            </w:pPr>
            <w:r>
              <w:rPr>
                <w:rFonts w:ascii="Times New Roman"/>
                <w:sz w:val="18"/>
              </w:rPr>
              <w:t>506</w:t>
            </w:r>
          </w:p>
        </w:tc>
        <w:tc>
          <w:tcPr>
            <w:tcW w:w="42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8"/>
              <w:ind w:right="6"/>
              <w:jc w:val="center"/>
              <w:rPr>
                <w:rFonts w:ascii="Times New Roman" w:hAnsi="Times New Roman" w:cs="Times New Roman" w:eastAsia="Times New Roman" w:hint="default"/>
                <w:sz w:val="18"/>
                <w:szCs w:val="18"/>
              </w:rPr>
            </w:pPr>
            <w:r>
              <w:rPr>
                <w:rFonts w:ascii="Times New Roman"/>
                <w:sz w:val="18"/>
              </w:rPr>
              <w:t>36.77%</w:t>
            </w:r>
          </w:p>
        </w:tc>
      </w:tr>
      <w:tr>
        <w:trPr>
          <w:trHeight w:val="508" w:hRule="exact"/>
        </w:trPr>
        <w:tc>
          <w:tcPr>
            <w:tcW w:w="268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8"/>
              <w:ind w:left="5" w:right="0"/>
              <w:jc w:val="center"/>
              <w:rPr>
                <w:rFonts w:ascii="宋体" w:hAnsi="宋体" w:cs="宋体" w:eastAsia="宋体" w:hint="default"/>
                <w:sz w:val="18"/>
                <w:szCs w:val="18"/>
              </w:rPr>
            </w:pPr>
            <w:r>
              <w:rPr>
                <w:rFonts w:ascii="宋体" w:hAnsi="宋体" w:cs="宋体" w:eastAsia="宋体" w:hint="default"/>
                <w:sz w:val="18"/>
                <w:szCs w:val="18"/>
              </w:rPr>
              <w:t>中专以下</w:t>
            </w:r>
          </w:p>
        </w:tc>
        <w:tc>
          <w:tcPr>
            <w:tcW w:w="26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8"/>
              <w:ind w:right="7"/>
              <w:jc w:val="center"/>
              <w:rPr>
                <w:rFonts w:ascii="Times New Roman" w:hAnsi="Times New Roman" w:cs="Times New Roman" w:eastAsia="Times New Roman" w:hint="default"/>
                <w:sz w:val="18"/>
                <w:szCs w:val="18"/>
              </w:rPr>
            </w:pPr>
            <w:r>
              <w:rPr>
                <w:rFonts w:ascii="Times New Roman"/>
                <w:sz w:val="18"/>
              </w:rPr>
              <w:t>605</w:t>
            </w:r>
          </w:p>
        </w:tc>
        <w:tc>
          <w:tcPr>
            <w:tcW w:w="42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8"/>
              <w:ind w:right="6"/>
              <w:jc w:val="center"/>
              <w:rPr>
                <w:rFonts w:ascii="Times New Roman" w:hAnsi="Times New Roman" w:cs="Times New Roman" w:eastAsia="Times New Roman" w:hint="default"/>
                <w:sz w:val="18"/>
                <w:szCs w:val="18"/>
              </w:rPr>
            </w:pPr>
            <w:r>
              <w:rPr>
                <w:rFonts w:ascii="Times New Roman"/>
                <w:sz w:val="18"/>
              </w:rPr>
              <w:t>43.97%</w:t>
            </w:r>
          </w:p>
        </w:tc>
      </w:tr>
      <w:tr>
        <w:trPr>
          <w:trHeight w:val="508" w:hRule="exact"/>
        </w:trPr>
        <w:tc>
          <w:tcPr>
            <w:tcW w:w="268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8"/>
              <w:ind w:left="7"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2"/>
              <w:ind w:right="8"/>
              <w:jc w:val="center"/>
              <w:rPr>
                <w:rFonts w:ascii="Times New Roman" w:hAnsi="Times New Roman" w:cs="Times New Roman" w:eastAsia="Times New Roman" w:hint="default"/>
                <w:sz w:val="18"/>
                <w:szCs w:val="18"/>
              </w:rPr>
            </w:pPr>
            <w:r>
              <w:rPr>
                <w:rFonts w:ascii="Times New Roman"/>
                <w:b/>
                <w:sz w:val="18"/>
              </w:rPr>
              <w:t>1376</w:t>
            </w:r>
            <w:r>
              <w:rPr>
                <w:rFonts w:ascii="Times New Roman"/>
                <w:sz w:val="18"/>
              </w:rPr>
            </w:r>
          </w:p>
        </w:tc>
        <w:tc>
          <w:tcPr>
            <w:tcW w:w="42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2"/>
              <w:ind w:right="8"/>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5"/>
          <w:szCs w:val="15"/>
        </w:rPr>
      </w:pPr>
    </w:p>
    <w:p>
      <w:pPr>
        <w:spacing w:line="4170" w:lineRule="exact"/>
        <w:ind w:left="154"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5105400" cy="2647950"/>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5" cstate="print"/>
                    <a:stretch>
                      <a:fillRect/>
                    </a:stretch>
                  </pic:blipFill>
                  <pic:spPr>
                    <a:xfrm>
                      <a:off x="0" y="0"/>
                      <a:ext cx="5105400" cy="2647950"/>
                    </a:xfrm>
                    <a:prstGeom prst="rect">
                      <a:avLst/>
                    </a:prstGeom>
                  </pic:spPr>
                </pic:pic>
              </a:graphicData>
            </a:graphic>
          </wp:inline>
        </w:drawing>
      </w:r>
      <w:r>
        <w:rPr>
          <w:rFonts w:ascii="宋体" w:hAnsi="宋体" w:cs="宋体" w:eastAsia="宋体" w:hint="default"/>
          <w:position w:val="-82"/>
          <w:sz w:val="20"/>
          <w:szCs w:val="20"/>
        </w:rPr>
      </w:r>
    </w:p>
    <w:p>
      <w:pPr>
        <w:spacing w:line="240" w:lineRule="auto" w:before="6"/>
        <w:rPr>
          <w:rFonts w:ascii="宋体" w:hAnsi="宋体" w:cs="宋体" w:eastAsia="宋体" w:hint="default"/>
          <w:b/>
          <w:bCs/>
          <w:sz w:val="9"/>
          <w:szCs w:val="9"/>
        </w:rPr>
      </w:pPr>
    </w:p>
    <w:p>
      <w:pPr>
        <w:pStyle w:val="Heading3"/>
        <w:spacing w:line="240" w:lineRule="auto"/>
        <w:ind w:right="3320"/>
        <w:jc w:val="center"/>
        <w:rPr>
          <w:b w:val="0"/>
          <w:bCs w:val="0"/>
        </w:rPr>
      </w:pPr>
      <w:r>
        <w:rPr>
          <w:rFonts w:ascii="Times New Roman" w:hAnsi="Times New Roman" w:cs="Times New Roman" w:eastAsia="Times New Roman" w:hint="default"/>
        </w:rPr>
        <w:t>3</w:t>
      </w:r>
      <w:r>
        <w:rPr/>
        <w:t>．按年龄划分</w:t>
      </w:r>
      <w:r>
        <w:rPr>
          <w:b w:val="0"/>
          <w:bCs w:val="0"/>
        </w:rPr>
      </w:r>
    </w:p>
    <w:p>
      <w:pPr>
        <w:spacing w:line="240" w:lineRule="auto" w:before="4"/>
        <w:rPr>
          <w:rFonts w:ascii="宋体" w:hAnsi="宋体" w:cs="宋体" w:eastAsia="宋体" w:hint="default"/>
          <w:b/>
          <w:bCs/>
          <w:sz w:val="8"/>
          <w:szCs w:val="8"/>
        </w:rPr>
      </w:pPr>
    </w:p>
    <w:tbl>
      <w:tblPr>
        <w:tblW w:w="0" w:type="auto"/>
        <w:jc w:val="left"/>
        <w:tblInd w:w="137" w:type="dxa"/>
        <w:tblLayout w:type="fixed"/>
        <w:tblCellMar>
          <w:top w:w="0" w:type="dxa"/>
          <w:left w:w="0" w:type="dxa"/>
          <w:bottom w:w="0" w:type="dxa"/>
          <w:right w:w="0" w:type="dxa"/>
        </w:tblCellMar>
        <w:tblLook w:val="01E0"/>
      </w:tblPr>
      <w:tblGrid>
        <w:gridCol w:w="2689"/>
        <w:gridCol w:w="2686"/>
        <w:gridCol w:w="4288"/>
      </w:tblGrid>
      <w:tr>
        <w:trPr>
          <w:trHeight w:val="511" w:hRule="exact"/>
        </w:trPr>
        <w:tc>
          <w:tcPr>
            <w:tcW w:w="26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9"/>
              <w:ind w:left="4" w:right="0"/>
              <w:jc w:val="center"/>
              <w:rPr>
                <w:rFonts w:ascii="宋体" w:hAnsi="宋体" w:cs="宋体" w:eastAsia="宋体" w:hint="default"/>
                <w:sz w:val="18"/>
                <w:szCs w:val="18"/>
              </w:rPr>
            </w:pPr>
            <w:r>
              <w:rPr>
                <w:rFonts w:ascii="宋体" w:hAnsi="宋体" w:cs="宋体" w:eastAsia="宋体" w:hint="default"/>
                <w:b/>
                <w:bCs/>
                <w:sz w:val="18"/>
                <w:szCs w:val="18"/>
              </w:rPr>
              <w:t>员工类别</w:t>
            </w:r>
            <w:r>
              <w:rPr>
                <w:rFonts w:ascii="宋体" w:hAnsi="宋体" w:cs="宋体" w:eastAsia="宋体" w:hint="default"/>
                <w:sz w:val="18"/>
                <w:szCs w:val="18"/>
              </w:rPr>
            </w:r>
          </w:p>
        </w:tc>
        <w:tc>
          <w:tcPr>
            <w:tcW w:w="2686"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99"/>
              <w:ind w:right="9"/>
              <w:jc w:val="center"/>
              <w:rPr>
                <w:rFonts w:ascii="宋体" w:hAnsi="宋体" w:cs="宋体" w:eastAsia="宋体" w:hint="default"/>
                <w:sz w:val="18"/>
                <w:szCs w:val="18"/>
              </w:rPr>
            </w:pPr>
            <w:r>
              <w:rPr>
                <w:rFonts w:ascii="宋体" w:hAnsi="宋体" w:cs="宋体" w:eastAsia="宋体" w:hint="default"/>
                <w:b/>
                <w:bCs/>
                <w:sz w:val="18"/>
                <w:szCs w:val="18"/>
              </w:rPr>
              <w:t>员工人数</w:t>
            </w:r>
            <w:r>
              <w:rPr>
                <w:rFonts w:ascii="宋体" w:hAnsi="宋体" w:cs="宋体" w:eastAsia="宋体" w:hint="default"/>
                <w:sz w:val="18"/>
                <w:szCs w:val="18"/>
              </w:rPr>
            </w:r>
          </w:p>
        </w:tc>
        <w:tc>
          <w:tcPr>
            <w:tcW w:w="4288"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99"/>
              <w:ind w:right="9"/>
              <w:jc w:val="center"/>
              <w:rPr>
                <w:rFonts w:ascii="宋体" w:hAnsi="宋体" w:cs="宋体" w:eastAsia="宋体" w:hint="default"/>
                <w:sz w:val="18"/>
                <w:szCs w:val="18"/>
              </w:rPr>
            </w:pPr>
            <w:r>
              <w:rPr>
                <w:rFonts w:ascii="宋体" w:hAnsi="宋体" w:cs="宋体" w:eastAsia="宋体" w:hint="default"/>
                <w:b/>
                <w:bCs/>
                <w:sz w:val="18"/>
                <w:szCs w:val="18"/>
              </w:rPr>
              <w:t>占员工总数比例</w:t>
            </w:r>
            <w:r>
              <w:rPr>
                <w:rFonts w:ascii="宋体" w:hAnsi="宋体" w:cs="宋体" w:eastAsia="宋体" w:hint="default"/>
                <w:sz w:val="18"/>
                <w:szCs w:val="18"/>
              </w:rPr>
            </w:r>
          </w:p>
        </w:tc>
      </w:tr>
      <w:tr>
        <w:trPr>
          <w:trHeight w:val="508" w:hRule="exact"/>
        </w:trPr>
        <w:tc>
          <w:tcPr>
            <w:tcW w:w="268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岁以上（含</w:t>
            </w:r>
            <w:r>
              <w:rPr>
                <w:rFonts w:ascii="Times New Roman" w:hAnsi="Times New Roman" w:cs="Times New Roman" w:eastAsia="Times New Roman" w:hint="default"/>
                <w:sz w:val="18"/>
                <w:szCs w:val="18"/>
              </w:rPr>
              <w:t>45</w:t>
            </w:r>
            <w:r>
              <w:rPr>
                <w:rFonts w:ascii="宋体" w:hAnsi="宋体" w:cs="宋体" w:eastAsia="宋体" w:hint="default"/>
                <w:sz w:val="18"/>
                <w:szCs w:val="18"/>
              </w:rPr>
              <w:t>岁）</w:t>
            </w:r>
          </w:p>
        </w:tc>
        <w:tc>
          <w:tcPr>
            <w:tcW w:w="26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8"/>
              <w:ind w:right="7"/>
              <w:jc w:val="center"/>
              <w:rPr>
                <w:rFonts w:ascii="Times New Roman" w:hAnsi="Times New Roman" w:cs="Times New Roman" w:eastAsia="Times New Roman" w:hint="default"/>
                <w:sz w:val="18"/>
                <w:szCs w:val="18"/>
              </w:rPr>
            </w:pPr>
            <w:r>
              <w:rPr>
                <w:rFonts w:ascii="Times New Roman"/>
                <w:sz w:val="18"/>
              </w:rPr>
              <w:t>235</w:t>
            </w:r>
          </w:p>
        </w:tc>
        <w:tc>
          <w:tcPr>
            <w:tcW w:w="42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8"/>
              <w:ind w:right="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08%</w:t>
            </w:r>
          </w:p>
        </w:tc>
      </w:tr>
      <w:tr>
        <w:trPr>
          <w:trHeight w:val="509" w:hRule="exact"/>
        </w:trPr>
        <w:tc>
          <w:tcPr>
            <w:tcW w:w="268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35-45</w:t>
            </w:r>
            <w:r>
              <w:rPr>
                <w:rFonts w:ascii="宋体" w:hAnsi="宋体" w:cs="宋体" w:eastAsia="宋体" w:hint="default"/>
                <w:sz w:val="18"/>
                <w:szCs w:val="18"/>
              </w:rPr>
              <w:t>岁</w:t>
            </w:r>
          </w:p>
        </w:tc>
        <w:tc>
          <w:tcPr>
            <w:tcW w:w="26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8"/>
              <w:ind w:right="7"/>
              <w:jc w:val="center"/>
              <w:rPr>
                <w:rFonts w:ascii="Times New Roman" w:hAnsi="Times New Roman" w:cs="Times New Roman" w:eastAsia="Times New Roman" w:hint="default"/>
                <w:sz w:val="18"/>
                <w:szCs w:val="18"/>
              </w:rPr>
            </w:pPr>
            <w:r>
              <w:rPr>
                <w:rFonts w:ascii="Times New Roman"/>
                <w:sz w:val="18"/>
              </w:rPr>
              <w:t>528</w:t>
            </w:r>
          </w:p>
        </w:tc>
        <w:tc>
          <w:tcPr>
            <w:tcW w:w="42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8"/>
              <w:ind w:right="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38</w:t>
            </w:r>
            <w:r>
              <w:rPr>
                <w:rFonts w:ascii="宋体" w:hAnsi="宋体" w:cs="宋体" w:eastAsia="宋体" w:hint="default"/>
                <w:sz w:val="18"/>
                <w:szCs w:val="18"/>
              </w:rPr>
              <w:t>．</w:t>
            </w:r>
            <w:r>
              <w:rPr>
                <w:rFonts w:ascii="Times New Roman" w:hAnsi="Times New Roman" w:cs="Times New Roman" w:eastAsia="Times New Roman" w:hint="default"/>
                <w:sz w:val="18"/>
                <w:szCs w:val="18"/>
              </w:rPr>
              <w:t>37%</w:t>
            </w:r>
          </w:p>
        </w:tc>
      </w:tr>
      <w:tr>
        <w:trPr>
          <w:trHeight w:val="508" w:hRule="exact"/>
        </w:trPr>
        <w:tc>
          <w:tcPr>
            <w:tcW w:w="268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岁以下（含</w:t>
            </w:r>
            <w:r>
              <w:rPr>
                <w:rFonts w:ascii="Times New Roman" w:hAnsi="Times New Roman" w:cs="Times New Roman" w:eastAsia="Times New Roman" w:hint="default"/>
                <w:sz w:val="18"/>
                <w:szCs w:val="18"/>
              </w:rPr>
              <w:t>35</w:t>
            </w:r>
            <w:r>
              <w:rPr>
                <w:rFonts w:ascii="宋体" w:hAnsi="宋体" w:cs="宋体" w:eastAsia="宋体" w:hint="default"/>
                <w:sz w:val="18"/>
                <w:szCs w:val="18"/>
              </w:rPr>
              <w:t>岁）</w:t>
            </w:r>
          </w:p>
        </w:tc>
        <w:tc>
          <w:tcPr>
            <w:tcW w:w="26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8"/>
              <w:ind w:right="7"/>
              <w:jc w:val="center"/>
              <w:rPr>
                <w:rFonts w:ascii="Times New Roman" w:hAnsi="Times New Roman" w:cs="Times New Roman" w:eastAsia="Times New Roman" w:hint="default"/>
                <w:sz w:val="18"/>
                <w:szCs w:val="18"/>
              </w:rPr>
            </w:pPr>
            <w:r>
              <w:rPr>
                <w:rFonts w:ascii="Times New Roman"/>
                <w:sz w:val="18"/>
              </w:rPr>
              <w:t>613</w:t>
            </w:r>
          </w:p>
        </w:tc>
        <w:tc>
          <w:tcPr>
            <w:tcW w:w="42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8"/>
              <w:ind w:right="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44</w:t>
            </w:r>
            <w:r>
              <w:rPr>
                <w:rFonts w:ascii="宋体" w:hAnsi="宋体" w:cs="宋体" w:eastAsia="宋体" w:hint="default"/>
                <w:sz w:val="18"/>
                <w:szCs w:val="18"/>
              </w:rPr>
              <w:t>．</w:t>
            </w:r>
            <w:r>
              <w:rPr>
                <w:rFonts w:ascii="Times New Roman" w:hAnsi="Times New Roman" w:cs="Times New Roman" w:eastAsia="Times New Roman" w:hint="default"/>
                <w:sz w:val="18"/>
                <w:szCs w:val="18"/>
              </w:rPr>
              <w:t>55%</w:t>
            </w:r>
          </w:p>
        </w:tc>
      </w:tr>
      <w:tr>
        <w:trPr>
          <w:trHeight w:val="508" w:hRule="exact"/>
        </w:trPr>
        <w:tc>
          <w:tcPr>
            <w:tcW w:w="268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9"/>
              <w:ind w:left="7"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2"/>
              <w:ind w:right="8"/>
              <w:jc w:val="center"/>
              <w:rPr>
                <w:rFonts w:ascii="Times New Roman" w:hAnsi="Times New Roman" w:cs="Times New Roman" w:eastAsia="Times New Roman" w:hint="default"/>
                <w:sz w:val="18"/>
                <w:szCs w:val="18"/>
              </w:rPr>
            </w:pPr>
            <w:r>
              <w:rPr>
                <w:rFonts w:ascii="Times New Roman"/>
                <w:b/>
                <w:sz w:val="18"/>
              </w:rPr>
              <w:t>1376</w:t>
            </w:r>
            <w:r>
              <w:rPr>
                <w:rFonts w:ascii="Times New Roman"/>
                <w:sz w:val="18"/>
              </w:rPr>
            </w:r>
          </w:p>
        </w:tc>
        <w:tc>
          <w:tcPr>
            <w:tcW w:w="42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32"/>
              <w:ind w:right="8"/>
              <w:jc w:val="center"/>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r>
    </w:tbl>
    <w:p>
      <w:pPr>
        <w:spacing w:line="240" w:lineRule="auto" w:before="6"/>
        <w:rPr>
          <w:rFonts w:ascii="宋体" w:hAnsi="宋体" w:cs="宋体" w:eastAsia="宋体" w:hint="default"/>
          <w:b/>
          <w:bCs/>
          <w:sz w:val="3"/>
          <w:szCs w:val="3"/>
        </w:rPr>
      </w:pPr>
    </w:p>
    <w:p>
      <w:pPr>
        <w:spacing w:line="4275" w:lineRule="exact"/>
        <w:ind w:left="154"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4951841" cy="2714625"/>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6" cstate="print"/>
                    <a:stretch>
                      <a:fillRect/>
                    </a:stretch>
                  </pic:blipFill>
                  <pic:spPr>
                    <a:xfrm>
                      <a:off x="0" y="0"/>
                      <a:ext cx="4951841" cy="2714625"/>
                    </a:xfrm>
                    <a:prstGeom prst="rect">
                      <a:avLst/>
                    </a:prstGeom>
                  </pic:spPr>
                </pic:pic>
              </a:graphicData>
            </a:graphic>
          </wp:inline>
        </w:drawing>
      </w:r>
      <w:r>
        <w:rPr>
          <w:rFonts w:ascii="宋体" w:hAnsi="宋体" w:cs="宋体" w:eastAsia="宋体" w:hint="default"/>
          <w:position w:val="-85"/>
          <w:sz w:val="20"/>
          <w:szCs w:val="20"/>
        </w:rPr>
      </w:r>
    </w:p>
    <w:p>
      <w:pPr>
        <w:spacing w:line="240" w:lineRule="auto" w:before="11"/>
        <w:rPr>
          <w:rFonts w:ascii="宋体" w:hAnsi="宋体" w:cs="宋体" w:eastAsia="宋体" w:hint="default"/>
          <w:b/>
          <w:bCs/>
          <w:sz w:val="5"/>
          <w:szCs w:val="5"/>
        </w:rPr>
      </w:pPr>
    </w:p>
    <w:p>
      <w:pPr>
        <w:pStyle w:val="BodyText"/>
        <w:spacing w:line="398" w:lineRule="auto" w:before="35"/>
        <w:ind w:right="1110"/>
        <w:jc w:val="both"/>
      </w:pPr>
      <w:r>
        <w:rPr>
          <w:rFonts w:ascii="Times New Roman" w:hAnsi="Times New Roman" w:cs="Times New Roman" w:eastAsia="Times New Roman" w:hint="default"/>
        </w:rPr>
        <w:t>4</w:t>
      </w:r>
      <w:r>
        <w:rPr/>
        <w:t>、本公司实行劳动合同制，员工按照《劳动法》的有关规定与公司签订《劳动合同》，享受权利并承担</w:t>
      </w:r>
      <w:r>
        <w:rPr>
          <w:spacing w:val="-34"/>
        </w:rPr>
        <w:t> </w:t>
      </w:r>
      <w:r>
        <w:rPr>
          <w:spacing w:val="-34"/>
        </w:rPr>
      </w:r>
      <w:r>
        <w:rPr/>
        <w:t>义务。本公司按照国家法律法规及吉林省、通化市的有关规定，为员工办理了基本养老保险、医疗保险、 失业保险以及工伤和生育保险。</w:t>
      </w:r>
    </w:p>
    <w:p>
      <w:pPr>
        <w:spacing w:after="0" w:line="39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1"/>
        <w:spacing w:line="240" w:lineRule="auto"/>
        <w:ind w:right="3763"/>
        <w:jc w:val="center"/>
        <w:rPr>
          <w:b w:val="0"/>
          <w:bCs w:val="0"/>
        </w:rPr>
      </w:pPr>
      <w:bookmarkStart w:name="_TOC_250003" w:id="111"/>
      <w:bookmarkStart w:name="第九节 公司治理" w:id="112"/>
      <w:r>
        <w:rPr>
          <w:b w:val="0"/>
          <w:bCs w:val="0"/>
        </w:rPr>
      </w:r>
      <w:r>
        <w:rPr/>
        <w:t>第九节</w:t>
      </w:r>
      <w:r>
        <w:rPr>
          <w:spacing w:val="-5"/>
        </w:rPr>
        <w:t> </w:t>
      </w:r>
      <w:r>
        <w:rPr/>
        <w:t>公司治理</w:t>
      </w:r>
      <w:bookmarkEnd w:id="11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公司治理的基本状况" w:id="113"/>
      <w:bookmarkEnd w:id="113"/>
      <w:r>
        <w:rPr>
          <w:b w:val="0"/>
          <w:bCs w:val="0"/>
        </w:rPr>
      </w:r>
      <w:r>
        <w:rPr/>
        <w:t>一、公司治理的基本状况</w:t>
      </w:r>
      <w:r>
        <w:rPr>
          <w:b w:val="0"/>
          <w:bCs w:val="0"/>
        </w:rPr>
      </w:r>
    </w:p>
    <w:p>
      <w:pPr>
        <w:spacing w:line="240" w:lineRule="auto" w:before="0"/>
        <w:rPr>
          <w:rFonts w:ascii="宋体" w:hAnsi="宋体" w:cs="宋体" w:eastAsia="宋体" w:hint="default"/>
          <w:b/>
          <w:bCs/>
          <w:sz w:val="24"/>
          <w:szCs w:val="24"/>
        </w:rPr>
      </w:pPr>
    </w:p>
    <w:p>
      <w:pPr>
        <w:pStyle w:val="BodyText"/>
        <w:spacing w:line="408" w:lineRule="auto" w:before="163"/>
        <w:ind w:right="1130" w:firstLine="464"/>
        <w:jc w:val="both"/>
      </w:pPr>
      <w:r>
        <w:rPr>
          <w:spacing w:val="-2"/>
        </w:rPr>
        <w:t>报告期内，公司严格按照《公司法》、《证券法》、《上市公司治理准则》、《深圳证券交易所股票</w:t>
      </w:r>
      <w:r>
        <w:rPr/>
        <w:t> </w:t>
      </w:r>
      <w:r>
        <w:rPr>
          <w:spacing w:val="-1"/>
        </w:rPr>
        <w:t>上市规则》、《深圳证券交易所中小企业板上市公司规范运作指引》和中国证券监督管理委员会有关法律</w:t>
      </w:r>
      <w:r>
        <w:rPr>
          <w:spacing w:val="-84"/>
        </w:rPr>
        <w:t> </w:t>
      </w:r>
      <w:r>
        <w:rPr>
          <w:spacing w:val="-84"/>
        </w:rPr>
      </w:r>
      <w:r>
        <w:rPr>
          <w:spacing w:val="-1"/>
        </w:rPr>
        <w:t>法规、规范性文件及公司章程的要求，不断完善公司治理结构，建立健全内部管理和控制制度，进一步规</w:t>
      </w:r>
      <w:r>
        <w:rPr>
          <w:spacing w:val="-86"/>
        </w:rPr>
        <w:t> </w:t>
      </w:r>
      <w:r>
        <w:rPr>
          <w:spacing w:val="-86"/>
        </w:rPr>
      </w:r>
      <w:r>
        <w:rPr>
          <w:spacing w:val="-1"/>
        </w:rPr>
        <w:t>范公司运作，提高公司治理水平。报告期内，公司根据新修订的法律、法规要求和中国证监会吉林监管局</w:t>
      </w:r>
      <w:r>
        <w:rPr>
          <w:spacing w:val="-86"/>
        </w:rPr>
        <w:t> </w:t>
      </w:r>
      <w:r>
        <w:rPr>
          <w:spacing w:val="-86"/>
        </w:rPr>
      </w:r>
      <w:r>
        <w:rPr>
          <w:spacing w:val="-1"/>
        </w:rPr>
        <w:t>相关规定，以及公司自身发展的需要，公司重新修订了《公司章程》、制定了《媒体质疑处理制度》从而</w:t>
      </w:r>
      <w:r>
        <w:rPr>
          <w:spacing w:val="-85"/>
        </w:rPr>
        <w:t> </w:t>
      </w:r>
      <w:r>
        <w:rPr>
          <w:spacing w:val="-85"/>
        </w:rPr>
      </w:r>
      <w:r>
        <w:rPr>
          <w:spacing w:val="-1"/>
        </w:rPr>
        <w:t>切实的保护了中小投资者合法权益。报告期末，公司公司治理实际情况与《公司法》和中国证监会相关规</w:t>
      </w:r>
      <w:r>
        <w:rPr>
          <w:spacing w:val="-86"/>
        </w:rPr>
        <w:t> </w:t>
      </w:r>
      <w:r>
        <w:rPr>
          <w:spacing w:val="-86"/>
        </w:rPr>
      </w:r>
      <w:r>
        <w:rPr/>
        <w:t>定的要求不存在差异。</w:t>
      </w:r>
    </w:p>
    <w:p>
      <w:pPr>
        <w:spacing w:before="112"/>
        <w:ind w:left="153" w:right="0"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line="240" w:lineRule="auto" w:before="12"/>
        <w:rPr>
          <w:rFonts w:ascii="宋体" w:hAnsi="宋体" w:cs="宋体" w:eastAsia="宋体" w:hint="default"/>
          <w:sz w:val="20"/>
          <w:szCs w:val="20"/>
        </w:rPr>
      </w:pPr>
    </w:p>
    <w:p>
      <w:pPr>
        <w:spacing w:line="489" w:lineRule="auto" w:before="0"/>
        <w:ind w:left="153" w:right="55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公司治理与《公司法》和中国证监会相关规定的要求不存在差异。</w:t>
      </w:r>
    </w:p>
    <w:p>
      <w:pPr>
        <w:spacing w:before="86"/>
        <w:ind w:left="153" w:right="0" w:firstLine="0"/>
        <w:jc w:val="left"/>
        <w:rPr>
          <w:rFonts w:ascii="宋体" w:hAnsi="宋体" w:cs="宋体" w:eastAsia="宋体" w:hint="default"/>
          <w:sz w:val="18"/>
          <w:szCs w:val="18"/>
        </w:rPr>
      </w:pPr>
      <w:r>
        <w:rPr>
          <w:rFonts w:ascii="宋体" w:hAnsi="宋体" w:cs="宋体" w:eastAsia="宋体" w:hint="default"/>
          <w:sz w:val="18"/>
          <w:szCs w:val="18"/>
        </w:rPr>
        <w:t>公司治理专项活动开展情况以及内幕信息知情人登记管理制度的制定、实施情况</w:t>
      </w:r>
    </w:p>
    <w:p>
      <w:pPr>
        <w:spacing w:line="240" w:lineRule="auto" w:before="10"/>
        <w:rPr>
          <w:rFonts w:ascii="宋体" w:hAnsi="宋体" w:cs="宋体" w:eastAsia="宋体" w:hint="default"/>
          <w:sz w:val="18"/>
          <w:szCs w:val="18"/>
        </w:rPr>
      </w:pPr>
    </w:p>
    <w:p>
      <w:pPr>
        <w:pStyle w:val="BodyText"/>
        <w:spacing w:line="400" w:lineRule="auto"/>
        <w:ind w:left="154" w:right="1117" w:firstLine="375"/>
        <w:jc w:val="left"/>
      </w:pPr>
      <w:r>
        <w:rPr/>
        <w:t>公司积极开展治理专项活动，并且根据中国证券监督管理委员会《关于上市公司建立内幕信息知情人 </w:t>
      </w:r>
      <w:r>
        <w:rPr>
          <w:spacing w:val="-6"/>
        </w:rPr>
        <w:t>登记管理制度的规定》（证监会公告</w:t>
      </w:r>
      <w:r>
        <w:rPr>
          <w:rFonts w:ascii="Times New Roman" w:hAnsi="Times New Roman" w:cs="Times New Roman" w:eastAsia="Times New Roman" w:hint="default"/>
          <w:spacing w:val="-6"/>
        </w:rPr>
        <w:t>[2011]30</w:t>
      </w:r>
      <w:r>
        <w:rPr>
          <w:rFonts w:ascii="Times New Roman" w:hAnsi="Times New Roman" w:cs="Times New Roman" w:eastAsia="Times New Roman" w:hint="default"/>
          <w:spacing w:val="16"/>
        </w:rPr>
        <w:t> </w:t>
      </w:r>
      <w:r>
        <w:rPr>
          <w:spacing w:val="-4"/>
        </w:rPr>
        <w:t>号）的相关规定，吉证监发（</w:t>
      </w:r>
      <w:r>
        <w:rPr>
          <w:rFonts w:ascii="Times New Roman" w:hAnsi="Times New Roman" w:cs="Times New Roman" w:eastAsia="Times New Roman" w:hint="default"/>
          <w:spacing w:val="-4"/>
        </w:rPr>
        <w:t>2011</w:t>
      </w:r>
      <w:r>
        <w:rPr>
          <w:spacing w:val="-4"/>
        </w:rPr>
        <w:t>）</w:t>
      </w:r>
      <w:r>
        <w:rPr>
          <w:rFonts w:ascii="Times New Roman" w:hAnsi="Times New Roman" w:cs="Times New Roman" w:eastAsia="Times New Roman" w:hint="default"/>
          <w:spacing w:val="-4"/>
        </w:rPr>
        <w:t>246</w:t>
      </w:r>
      <w:r>
        <w:rPr>
          <w:rFonts w:ascii="Times New Roman" w:hAnsi="Times New Roman" w:cs="Times New Roman" w:eastAsia="Times New Roman" w:hint="default"/>
          <w:spacing w:val="6"/>
        </w:rPr>
        <w:t> </w:t>
      </w:r>
      <w:r>
        <w:rPr>
          <w:spacing w:val="-2"/>
        </w:rPr>
        <w:t>号《关于吉林辖区贯</w:t>
      </w:r>
      <w:r>
        <w:rPr>
          <w:spacing w:val="-103"/>
        </w:rPr>
        <w:t> </w:t>
      </w:r>
      <w:r>
        <w:rPr>
          <w:spacing w:val="-103"/>
        </w:rPr>
      </w:r>
      <w:r>
        <w:rPr>
          <w:spacing w:val="-3"/>
        </w:rPr>
        <w:t>彻落实</w:t>
      </w:r>
      <w:r>
        <w:rPr>
          <w:rFonts w:ascii="Times New Roman" w:hAnsi="Times New Roman" w:cs="Times New Roman" w:eastAsia="Times New Roman" w:hint="default"/>
          <w:spacing w:val="-3"/>
        </w:rPr>
        <w:t>&lt;</w:t>
      </w:r>
      <w:r>
        <w:rPr>
          <w:spacing w:val="-3"/>
        </w:rPr>
        <w:t>关于上市公司建立内幕信息知情人登记管理制度的规定</w:t>
      </w:r>
      <w:r>
        <w:rPr>
          <w:rFonts w:ascii="Times New Roman" w:hAnsi="Times New Roman" w:cs="Times New Roman" w:eastAsia="Times New Roman" w:hint="default"/>
          <w:spacing w:val="-3"/>
        </w:rPr>
        <w:t>&gt;</w:t>
      </w:r>
      <w:r>
        <w:rPr>
          <w:spacing w:val="-3"/>
        </w:rPr>
        <w:t>的通知》、吉证监发（</w:t>
      </w:r>
      <w:r>
        <w:rPr>
          <w:rFonts w:ascii="Times New Roman" w:hAnsi="Times New Roman" w:cs="Times New Roman" w:eastAsia="Times New Roman" w:hint="default"/>
          <w:spacing w:val="-3"/>
        </w:rPr>
        <w:t>2013</w:t>
      </w:r>
      <w:r>
        <w:rPr>
          <w:spacing w:val="-3"/>
        </w:rPr>
        <w:t>）</w:t>
      </w:r>
      <w:r>
        <w:rPr>
          <w:rFonts w:ascii="Times New Roman" w:hAnsi="Times New Roman" w:cs="Times New Roman" w:eastAsia="Times New Roman" w:hint="default"/>
          <w:spacing w:val="-3"/>
        </w:rPr>
        <w:t>59</w:t>
      </w:r>
      <w:r>
        <w:rPr>
          <w:rFonts w:ascii="Times New Roman" w:hAnsi="Times New Roman" w:cs="Times New Roman" w:eastAsia="Times New Roman" w:hint="default"/>
          <w:spacing w:val="22"/>
        </w:rPr>
        <w:t> </w:t>
      </w:r>
      <w:r>
        <w:rPr/>
        <w:t>号《关于</w:t>
      </w:r>
      <w:r>
        <w:rPr>
          <w:spacing w:val="-98"/>
        </w:rPr>
        <w:t> </w:t>
      </w:r>
      <w:r>
        <w:rPr/>
        <w:t>进一步做好内幕交易防控工作的通知》等有关法律，公司已于</w:t>
      </w:r>
      <w:r>
        <w:rPr>
          <w:spacing w:val="-5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29</w:t>
      </w:r>
      <w:r>
        <w:rPr>
          <w:rFonts w:ascii="Times New Roman" w:hAnsi="Times New Roman" w:cs="Times New Roman" w:eastAsia="Times New Roman" w:hint="default"/>
          <w:spacing w:val="-4"/>
        </w:rPr>
        <w:t> </w:t>
      </w:r>
      <w:r>
        <w:rPr/>
        <w:t>日对《内幕信息知情人登记 管理制度》进行了修改，详见在指定披露网址</w:t>
      </w:r>
      <w:r>
        <w:rPr>
          <w:spacing w:val="-68"/>
        </w:rPr>
        <w:t> </w:t>
      </w:r>
      <w:hyperlink r:id="rId11">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15"/>
        </w:rPr>
        <w:t> </w:t>
      </w:r>
      <w:r>
        <w:rPr/>
        <w:t>发布的《第五届董事会第一次会议 </w:t>
      </w:r>
      <w:r>
        <w:rPr>
          <w:spacing w:val="-7"/>
        </w:rPr>
        <w:t>决议公告》、《内幕信息知情人登记管理制度》。报告期内，公司根据新修订的法律、法规要求和中国证监</w:t>
      </w:r>
      <w:r>
        <w:rPr>
          <w:spacing w:val="-94"/>
        </w:rPr>
        <w:t> </w:t>
      </w:r>
      <w:r>
        <w:rPr>
          <w:spacing w:val="-94"/>
        </w:rPr>
      </w:r>
      <w:r>
        <w:rPr>
          <w:spacing w:val="-3"/>
        </w:rPr>
        <w:t>会吉林监管局相关规定，以及公司自身发展的需要，公司重新修订了《公司章程》、制定了《媒体质疑处</w:t>
      </w:r>
      <w:r>
        <w:rPr>
          <w:spacing w:val="-73"/>
        </w:rPr>
        <w:t> </w:t>
      </w:r>
      <w:r>
        <w:rPr>
          <w:spacing w:val="-73"/>
        </w:rPr>
      </w:r>
      <w:r>
        <w:rPr>
          <w:spacing w:val="-1"/>
        </w:rPr>
        <w:t>理制度》从而切实的保护了中小投资者合法权益。同时，公司定期进行检查、评估和及时的修订完善各项</w:t>
      </w:r>
      <w:r>
        <w:rPr>
          <w:spacing w:val="-85"/>
        </w:rPr>
        <w:t> </w:t>
      </w:r>
      <w:r>
        <w:rPr>
          <w:spacing w:val="-85"/>
        </w:rPr>
      </w:r>
      <w:r>
        <w:rPr>
          <w:spacing w:val="-1"/>
        </w:rPr>
        <w:t>规章制度，使各项制度得到有效的贯彻执行，对公司的生产经营起到了重要的指导、规范、控制和监督作</w:t>
      </w:r>
      <w:r>
        <w:rPr>
          <w:spacing w:val="-84"/>
        </w:rPr>
        <w:t> </w:t>
      </w:r>
      <w:r>
        <w:rPr>
          <w:spacing w:val="-84"/>
        </w:rPr>
      </w:r>
      <w:r>
        <w:rPr>
          <w:spacing w:val="-1"/>
        </w:rPr>
        <w:t>用，公司严格按照该制度的规定，对公司定期报告披露以及其他重大事项过程中涉及的内幕知情人员情况</w:t>
      </w:r>
      <w:r>
        <w:rPr>
          <w:spacing w:val="-81"/>
        </w:rPr>
        <w:t> </w:t>
      </w:r>
      <w:r>
        <w:rPr>
          <w:spacing w:val="-81"/>
        </w:rPr>
      </w:r>
      <w:r>
        <w:rPr/>
        <w:t>进行了登记备案。</w:t>
      </w:r>
    </w:p>
    <w:p>
      <w:pPr>
        <w:spacing w:after="0" w:line="400"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2"/>
        <w:spacing w:line="240" w:lineRule="auto" w:before="26"/>
        <w:ind w:right="0"/>
        <w:jc w:val="left"/>
        <w:rPr>
          <w:b w:val="0"/>
          <w:bCs w:val="0"/>
        </w:rPr>
      </w:pPr>
      <w:bookmarkStart w:name="二、报告期内召开的年度股东大会和临时股东大会的有关情况" w:id="114"/>
      <w:bookmarkEnd w:id="114"/>
      <w:r>
        <w:rPr>
          <w:b w:val="0"/>
          <w:bCs w:val="0"/>
        </w:rPr>
      </w:r>
      <w:r>
        <w:rPr/>
        <w:t>二、报告期内召开的年度股东大会和临时股东大会的有关情况</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left"/>
        <w:rPr>
          <w:b w:val="0"/>
          <w:bCs w:val="0"/>
        </w:rPr>
      </w:pPr>
      <w:bookmarkStart w:name="1、本报告期年度股东大会情况" w:id="115"/>
      <w:bookmarkEnd w:id="115"/>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55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64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6"/>
                <w:szCs w:val="26"/>
              </w:rPr>
            </w:pPr>
          </w:p>
          <w:p>
            <w:pPr>
              <w:pStyle w:val="TableParagraph"/>
              <w:spacing w:line="451"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458" w:lineRule="auto" w:before="129"/>
              <w:ind w:left="23" w:right="7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 </w:t>
            </w:r>
            <w:r>
              <w:rPr>
                <w:rFonts w:ascii="宋体" w:hAnsi="宋体" w:cs="宋体" w:eastAsia="宋体" w:hint="default"/>
                <w:spacing w:val="-17"/>
                <w:sz w:val="18"/>
                <w:szCs w:val="18"/>
              </w:rPr>
              <w:t>工作报告》、《</w:t>
            </w:r>
            <w:r>
              <w:rPr>
                <w:rFonts w:ascii="Times New Roman" w:hAnsi="Times New Roman" w:cs="Times New Roman" w:eastAsia="Times New Roman" w:hint="default"/>
                <w:spacing w:val="-17"/>
                <w:sz w:val="18"/>
                <w:szCs w:val="18"/>
              </w:rPr>
              <w:t>2013</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年度监事会工作报 </w:t>
            </w:r>
            <w:r>
              <w:rPr>
                <w:rFonts w:ascii="宋体" w:hAnsi="宋体" w:cs="宋体" w:eastAsia="宋体" w:hint="default"/>
                <w:spacing w:val="-23"/>
                <w:sz w:val="18"/>
                <w:szCs w:val="18"/>
              </w:rPr>
              <w:t>告》、《</w:t>
            </w:r>
            <w:r>
              <w:rPr>
                <w:rFonts w:ascii="Times New Roman" w:hAnsi="Times New Roman" w:cs="Times New Roman" w:eastAsia="Times New Roman" w:hint="default"/>
                <w:spacing w:val="-23"/>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 报告》及其摘要、</w:t>
            </w:r>
          </w:p>
          <w:p>
            <w:pPr>
              <w:pStyle w:val="TableParagraph"/>
              <w:spacing w:line="468" w:lineRule="auto" w:before="68"/>
              <w:ind w:left="23"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年财务决算 </w:t>
            </w:r>
            <w:r>
              <w:rPr>
                <w:rFonts w:ascii="宋体" w:hAnsi="宋体" w:cs="宋体" w:eastAsia="宋体" w:hint="default"/>
                <w:spacing w:val="-20"/>
                <w:sz w:val="18"/>
                <w:szCs w:val="18"/>
              </w:rPr>
              <w:t>报告》、《</w:t>
            </w:r>
            <w:r>
              <w:rPr>
                <w:rFonts w:ascii="Times New Roman" w:hAnsi="Times New Roman" w:cs="Times New Roman" w:eastAsia="Times New Roman" w:hint="default"/>
                <w:spacing w:val="-20"/>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w:t>
            </w:r>
            <w:r>
              <w:rPr>
                <w:rFonts w:ascii="宋体" w:hAnsi="宋体" w:cs="宋体" w:eastAsia="宋体" w:hint="default"/>
                <w:spacing w:val="-27"/>
                <w:sz w:val="18"/>
                <w:szCs w:val="18"/>
              </w:rPr>
              <w:t>利润分配议案》、《关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于续聘会计师事务 </w:t>
            </w:r>
            <w:r>
              <w:rPr>
                <w:rFonts w:ascii="宋体" w:hAnsi="宋体" w:cs="宋体" w:eastAsia="宋体" w:hint="default"/>
                <w:spacing w:val="-22"/>
                <w:sz w:val="18"/>
                <w:szCs w:val="18"/>
              </w:rPr>
              <w:t>所的议案》、《＜</w:t>
            </w:r>
            <w:r>
              <w:rPr>
                <w:rFonts w:ascii="Times New Roman" w:hAnsi="Times New Roman" w:cs="Times New Roman" w:eastAsia="Times New Roman" w:hint="default"/>
                <w:spacing w:val="-22"/>
                <w:sz w:val="18"/>
                <w:szCs w:val="18"/>
              </w:rPr>
              <w:t>2013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年度募集资金存放 与使用情况的专项 </w:t>
            </w:r>
            <w:r>
              <w:rPr>
                <w:rFonts w:ascii="宋体" w:hAnsi="宋体" w:cs="宋体" w:eastAsia="宋体" w:hint="default"/>
                <w:spacing w:val="-27"/>
                <w:sz w:val="18"/>
                <w:szCs w:val="18"/>
              </w:rPr>
              <w:t>报告＞的议案》、《关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联交易的议案》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451" w:lineRule="auto"/>
              <w:ind w:left="23" w:right="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大会决议公告》</w:t>
            </w:r>
          </w:p>
          <w:p>
            <w:pPr>
              <w:pStyle w:val="TableParagraph"/>
              <w:spacing w:line="451" w:lineRule="auto" w:before="74"/>
              <w:ind w:left="23" w:right="2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2014-017</w:t>
            </w:r>
            <w:r>
              <w:rPr>
                <w:rFonts w:ascii="宋体" w:hAnsi="宋体" w:cs="宋体" w:eastAsia="宋体" w:hint="default"/>
                <w:spacing w:val="-4"/>
                <w:sz w:val="18"/>
                <w:szCs w:val="18"/>
              </w:rPr>
              <w:t>）披露网</w:t>
            </w:r>
            <w:r>
              <w:rPr>
                <w:rFonts w:ascii="宋体" w:hAnsi="宋体" w:cs="宋体" w:eastAsia="宋体" w:hint="default"/>
                <w:sz w:val="18"/>
                <w:szCs w:val="18"/>
              </w:rPr>
              <w:t> 站：巨潮资讯网</w:t>
            </w:r>
          </w:p>
          <w:p>
            <w:pPr>
              <w:pStyle w:val="TableParagraph"/>
              <w:spacing w:line="240" w:lineRule="auto" w:before="7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pacing w:val="-90"/>
                <w:sz w:val="18"/>
                <w:szCs w:val="18"/>
              </w:rPr>
              <w:t>）。</w:t>
            </w:r>
            <w:r>
              <w:rPr>
                <w:rFonts w:ascii="宋体" w:hAnsi="宋体" w:cs="宋体" w:eastAsia="宋体" w:hint="default"/>
                <w:sz w:val="18"/>
                <w:szCs w:val="18"/>
              </w:rPr>
            </w:r>
          </w:p>
        </w:tc>
      </w:tr>
    </w:tbl>
    <w:p>
      <w:pPr>
        <w:spacing w:line="240" w:lineRule="auto" w:before="1"/>
        <w:rPr>
          <w:rFonts w:ascii="宋体" w:hAnsi="宋体" w:cs="宋体" w:eastAsia="宋体" w:hint="default"/>
          <w:b/>
          <w:bCs/>
          <w:sz w:val="25"/>
          <w:szCs w:val="25"/>
        </w:rPr>
      </w:pPr>
    </w:p>
    <w:p>
      <w:pPr>
        <w:pStyle w:val="Heading4"/>
        <w:spacing w:line="240" w:lineRule="auto" w:before="35"/>
        <w:ind w:left="154" w:right="0"/>
        <w:jc w:val="left"/>
        <w:rPr>
          <w:b w:val="0"/>
          <w:bCs w:val="0"/>
        </w:rPr>
      </w:pPr>
      <w:bookmarkStart w:name="2、本报告期临时股东大会情况" w:id="116"/>
      <w:bookmarkEnd w:id="116"/>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55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8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451" w:lineRule="auto" w:before="124"/>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477" w:lineRule="auto" w:before="126"/>
              <w:ind w:left="23" w:right="119"/>
              <w:jc w:val="both"/>
              <w:rPr>
                <w:rFonts w:ascii="宋体" w:hAnsi="宋体" w:cs="宋体" w:eastAsia="宋体" w:hint="default"/>
                <w:sz w:val="18"/>
                <w:szCs w:val="18"/>
              </w:rPr>
            </w:pPr>
            <w:r>
              <w:rPr>
                <w:rFonts w:ascii="宋体" w:hAnsi="宋体" w:cs="宋体" w:eastAsia="宋体" w:hint="default"/>
                <w:sz w:val="18"/>
                <w:szCs w:val="18"/>
              </w:rPr>
              <w:t>《关于单项节余募 集资金永久补充流 </w:t>
            </w:r>
            <w:r>
              <w:rPr>
                <w:rFonts w:ascii="宋体" w:hAnsi="宋体" w:cs="宋体" w:eastAsia="宋体" w:hint="default"/>
                <w:spacing w:val="-12"/>
                <w:sz w:val="18"/>
                <w:szCs w:val="18"/>
              </w:rPr>
              <w:t>动资金的议案》。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477" w:lineRule="auto" w:before="124"/>
              <w:ind w:left="22" w:right="119"/>
              <w:jc w:val="left"/>
              <w:rPr>
                <w:rFonts w:ascii="宋体" w:hAnsi="宋体" w:cs="宋体" w:eastAsia="宋体" w:hint="default"/>
                <w:sz w:val="18"/>
                <w:szCs w:val="18"/>
              </w:rPr>
            </w:pPr>
            <w:r>
              <w:rPr>
                <w:rFonts w:ascii="宋体" w:hAnsi="宋体" w:cs="宋体" w:eastAsia="宋体" w:hint="default"/>
                <w:sz w:val="18"/>
                <w:szCs w:val="18"/>
              </w:rPr>
              <w:t>各项议案均审议通 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458" w:lineRule="auto" w:before="130"/>
              <w:ind w:left="23"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时股东大会决议公 </w:t>
            </w:r>
            <w:r>
              <w:rPr>
                <w:rFonts w:ascii="宋体" w:hAnsi="宋体" w:cs="宋体" w:eastAsia="宋体" w:hint="default"/>
                <w:spacing w:val="-7"/>
                <w:sz w:val="18"/>
                <w:szCs w:val="18"/>
              </w:rPr>
              <w:t>告》（</w:t>
            </w:r>
            <w:r>
              <w:rPr>
                <w:rFonts w:ascii="Times New Roman" w:hAnsi="Times New Roman" w:cs="Times New Roman" w:eastAsia="Times New Roman" w:hint="default"/>
                <w:spacing w:val="-7"/>
                <w:sz w:val="18"/>
                <w:szCs w:val="18"/>
              </w:rPr>
              <w:t>2014-006</w:t>
            </w:r>
            <w:r>
              <w:rPr>
                <w:rFonts w:ascii="宋体" w:hAnsi="宋体" w:cs="宋体" w:eastAsia="宋体" w:hint="default"/>
                <w:spacing w:val="-7"/>
                <w:sz w:val="18"/>
                <w:szCs w:val="18"/>
              </w:rPr>
              <w:t>）披</w:t>
            </w:r>
            <w:r>
              <w:rPr>
                <w:rFonts w:ascii="宋体" w:hAnsi="宋体" w:cs="宋体" w:eastAsia="宋体" w:hint="default"/>
                <w:sz w:val="18"/>
                <w:szCs w:val="18"/>
              </w:rPr>
              <w:t> </w:t>
            </w:r>
            <w:r>
              <w:rPr>
                <w:rFonts w:ascii="宋体" w:hAnsi="宋体" w:cs="宋体" w:eastAsia="宋体" w:hint="default"/>
                <w:spacing w:val="-10"/>
                <w:sz w:val="18"/>
                <w:szCs w:val="18"/>
              </w:rPr>
              <w:t>露网站：巨潮资讯网</w:t>
            </w:r>
          </w:p>
          <w:p>
            <w:pPr>
              <w:pStyle w:val="TableParagraph"/>
              <w:spacing w:line="240" w:lineRule="auto" w:before="6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55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3" w:right="0"/>
              <w:jc w:val="left"/>
              <w:rPr>
                <w:rFonts w:ascii="宋体" w:hAnsi="宋体" w:cs="宋体" w:eastAsia="宋体" w:hint="default"/>
                <w:sz w:val="18"/>
                <w:szCs w:val="18"/>
              </w:rPr>
            </w:pPr>
            <w:r>
              <w:rPr>
                <w:rFonts w:ascii="宋体" w:hAnsi="宋体" w:cs="宋体" w:eastAsia="宋体" w:hint="default"/>
                <w:sz w:val="18"/>
                <w:szCs w:val="18"/>
              </w:rPr>
              <w:t>《关于提名补选第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6"/>
              <w:jc w:val="center"/>
              <w:rPr>
                <w:rFonts w:ascii="宋体" w:hAnsi="宋体" w:cs="宋体" w:eastAsia="宋体" w:hint="default"/>
                <w:sz w:val="18"/>
                <w:szCs w:val="18"/>
              </w:rPr>
            </w:pPr>
            <w:r>
              <w:rPr>
                <w:rFonts w:ascii="宋体" w:hAnsi="宋体" w:cs="宋体" w:eastAsia="宋体" w:hint="default"/>
                <w:sz w:val="18"/>
                <w:szCs w:val="18"/>
              </w:rPr>
              <w:t>各项议案均审议通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5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3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3" w:right="21"/>
              <w:jc w:val="left"/>
              <w:rPr>
                <w:rFonts w:ascii="宋体" w:hAnsi="宋体" w:cs="宋体" w:eastAsia="宋体" w:hint="default"/>
                <w:sz w:val="18"/>
                <w:szCs w:val="18"/>
              </w:rPr>
            </w:pPr>
            <w:r>
              <w:rPr>
                <w:rFonts w:ascii="宋体" w:hAnsi="宋体" w:cs="宋体" w:eastAsia="宋体" w:hint="default"/>
                <w:sz w:val="18"/>
                <w:szCs w:val="18"/>
              </w:rPr>
              <w:t>五届董事会独立董 </w:t>
            </w:r>
            <w:r>
              <w:rPr>
                <w:rFonts w:ascii="宋体" w:hAnsi="宋体" w:cs="宋体" w:eastAsia="宋体" w:hint="default"/>
                <w:spacing w:val="-27"/>
                <w:sz w:val="18"/>
                <w:szCs w:val="18"/>
              </w:rPr>
              <w:t>事的议案》、《关于提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名补选第五届董事 会非独立董事的议 </w:t>
            </w:r>
            <w:r>
              <w:rPr>
                <w:rFonts w:ascii="宋体" w:hAnsi="宋体" w:cs="宋体" w:eastAsia="宋体" w:hint="default"/>
                <w:spacing w:val="-27"/>
                <w:sz w:val="18"/>
                <w:szCs w:val="18"/>
              </w:rPr>
              <w:t>案》、《关于提名补选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第五届监事会监事 </w:t>
            </w:r>
            <w:r>
              <w:rPr>
                <w:rFonts w:ascii="宋体" w:hAnsi="宋体" w:cs="宋体" w:eastAsia="宋体" w:hint="default"/>
                <w:spacing w:val="-18"/>
                <w:sz w:val="18"/>
                <w:szCs w:val="18"/>
              </w:rPr>
              <w:t>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463" w:lineRule="auto" w:before="88"/>
              <w:ind w:left="23" w:right="20"/>
              <w:jc w:val="both"/>
              <w:rPr>
                <w:rFonts w:ascii="宋体" w:hAnsi="宋体" w:cs="宋体" w:eastAsia="宋体" w:hint="default"/>
                <w:sz w:val="18"/>
                <w:szCs w:val="18"/>
              </w:rPr>
            </w:pPr>
            <w:r>
              <w:rPr>
                <w:rFonts w:ascii="宋体" w:hAnsi="宋体" w:cs="宋体" w:eastAsia="宋体" w:hint="default"/>
                <w:sz w:val="18"/>
                <w:szCs w:val="18"/>
              </w:rPr>
              <w:t>时股东大会决议公 </w:t>
            </w:r>
            <w:r>
              <w:rPr>
                <w:rFonts w:ascii="宋体" w:hAnsi="宋体" w:cs="宋体" w:eastAsia="宋体" w:hint="default"/>
                <w:spacing w:val="-7"/>
                <w:sz w:val="18"/>
                <w:szCs w:val="18"/>
              </w:rPr>
              <w:t>告》（</w:t>
            </w:r>
            <w:r>
              <w:rPr>
                <w:rFonts w:ascii="Times New Roman" w:hAnsi="Times New Roman" w:cs="Times New Roman" w:eastAsia="Times New Roman" w:hint="default"/>
                <w:spacing w:val="-7"/>
                <w:sz w:val="18"/>
                <w:szCs w:val="18"/>
              </w:rPr>
              <w:t>2014-027</w:t>
            </w:r>
            <w:r>
              <w:rPr>
                <w:rFonts w:ascii="宋体" w:hAnsi="宋体" w:cs="宋体" w:eastAsia="宋体" w:hint="default"/>
                <w:spacing w:val="-7"/>
                <w:sz w:val="18"/>
                <w:szCs w:val="18"/>
              </w:rPr>
              <w:t>）披</w:t>
            </w:r>
            <w:r>
              <w:rPr>
                <w:rFonts w:ascii="宋体" w:hAnsi="宋体" w:cs="宋体" w:eastAsia="宋体" w:hint="default"/>
                <w:sz w:val="18"/>
                <w:szCs w:val="18"/>
              </w:rPr>
              <w:t> </w:t>
            </w:r>
            <w:r>
              <w:rPr>
                <w:rFonts w:ascii="宋体" w:hAnsi="宋体" w:cs="宋体" w:eastAsia="宋体" w:hint="default"/>
                <w:spacing w:val="-10"/>
                <w:sz w:val="18"/>
                <w:szCs w:val="18"/>
              </w:rPr>
              <w:t>露网站：巨潮资讯网</w:t>
            </w:r>
          </w:p>
          <w:p>
            <w:pPr>
              <w:pStyle w:val="TableParagraph"/>
              <w:spacing w:line="240" w:lineRule="auto" w:before="65"/>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1034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451"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472" w:lineRule="auto" w:before="129"/>
              <w:ind w:left="23" w:right="21"/>
              <w:jc w:val="left"/>
              <w:rPr>
                <w:rFonts w:ascii="宋体" w:hAnsi="宋体" w:cs="宋体" w:eastAsia="宋体" w:hint="default"/>
                <w:sz w:val="18"/>
                <w:szCs w:val="18"/>
              </w:rPr>
            </w:pPr>
            <w:r>
              <w:rPr>
                <w:rFonts w:ascii="宋体" w:hAnsi="宋体" w:cs="宋体" w:eastAsia="宋体" w:hint="default"/>
                <w:sz w:val="18"/>
                <w:szCs w:val="18"/>
              </w:rPr>
              <w:t>《关于公司符合向 特定对象非公开发 行股票条件的议 </w:t>
            </w:r>
            <w:r>
              <w:rPr>
                <w:rFonts w:ascii="宋体" w:hAnsi="宋体" w:cs="宋体" w:eastAsia="宋体" w:hint="default"/>
                <w:spacing w:val="-27"/>
                <w:sz w:val="18"/>
                <w:szCs w:val="18"/>
              </w:rPr>
              <w:t>案》、《关于公司非公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开发行股票方案的 </w:t>
            </w:r>
            <w:r>
              <w:rPr>
                <w:rFonts w:ascii="宋体" w:hAnsi="宋体" w:cs="宋体" w:eastAsia="宋体" w:hint="default"/>
                <w:spacing w:val="-16"/>
                <w:sz w:val="18"/>
                <w:szCs w:val="18"/>
              </w:rPr>
              <w:t>议案》、《公司</w:t>
            </w:r>
            <w:r>
              <w:rPr>
                <w:rFonts w:ascii="Times New Roman" w:hAnsi="Times New Roman" w:cs="Times New Roman" w:eastAsia="Times New Roman" w:hint="default"/>
                <w:spacing w:val="-16"/>
                <w:sz w:val="18"/>
                <w:szCs w:val="18"/>
              </w:rPr>
              <w:t>&lt;2014</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年度非公开发行股 </w:t>
            </w:r>
            <w:r>
              <w:rPr>
                <w:rFonts w:ascii="宋体" w:hAnsi="宋体" w:cs="宋体" w:eastAsia="宋体" w:hint="default"/>
                <w:spacing w:val="-10"/>
                <w:sz w:val="18"/>
                <w:szCs w:val="18"/>
              </w:rPr>
              <w:t>票预案</w:t>
            </w:r>
            <w:r>
              <w:rPr>
                <w:rFonts w:ascii="Times New Roman" w:hAnsi="Times New Roman" w:cs="Times New Roman" w:eastAsia="Times New Roman" w:hint="default"/>
                <w:spacing w:val="-10"/>
                <w:sz w:val="18"/>
                <w:szCs w:val="18"/>
              </w:rPr>
              <w:t>&gt;</w:t>
            </w:r>
            <w:r>
              <w:rPr>
                <w:rFonts w:ascii="宋体" w:hAnsi="宋体" w:cs="宋体" w:eastAsia="宋体" w:hint="default"/>
                <w:spacing w:val="-10"/>
                <w:sz w:val="18"/>
                <w:szCs w:val="18"/>
              </w:rPr>
              <w:t>的议案》、</w:t>
            </w:r>
          </w:p>
          <w:p>
            <w:pPr>
              <w:pStyle w:val="TableParagraph"/>
              <w:spacing w:line="477" w:lineRule="auto" w:before="26"/>
              <w:ind w:left="23" w:right="21"/>
              <w:jc w:val="left"/>
              <w:rPr>
                <w:rFonts w:ascii="宋体" w:hAnsi="宋体" w:cs="宋体" w:eastAsia="宋体" w:hint="default"/>
                <w:sz w:val="18"/>
                <w:szCs w:val="18"/>
              </w:rPr>
            </w:pPr>
            <w:r>
              <w:rPr>
                <w:rFonts w:ascii="宋体" w:hAnsi="宋体" w:cs="宋体" w:eastAsia="宋体" w:hint="default"/>
                <w:sz w:val="18"/>
                <w:szCs w:val="18"/>
              </w:rPr>
              <w:t>《关于公司本次非 公开发行股票募集 资金使用可行性分 </w:t>
            </w:r>
            <w:r>
              <w:rPr>
                <w:rFonts w:ascii="宋体" w:hAnsi="宋体" w:cs="宋体" w:eastAsia="宋体" w:hint="default"/>
                <w:spacing w:val="-27"/>
                <w:sz w:val="18"/>
                <w:szCs w:val="18"/>
              </w:rPr>
              <w:t>析报告的议案》、《关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于公司与本次非公 开发行对象签署附 条件生效的股份认 </w:t>
            </w:r>
            <w:r>
              <w:rPr>
                <w:rFonts w:ascii="宋体" w:hAnsi="宋体" w:cs="宋体" w:eastAsia="宋体" w:hint="default"/>
                <w:spacing w:val="-27"/>
                <w:sz w:val="18"/>
                <w:szCs w:val="18"/>
              </w:rPr>
              <w:t>购合同的议案》、《关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于提请股东大会授 权董事会办理本次 公司向特定对象非 公开发行股票相关 </w:t>
            </w:r>
            <w:r>
              <w:rPr>
                <w:rFonts w:ascii="宋体" w:hAnsi="宋体" w:cs="宋体" w:eastAsia="宋体" w:hint="default"/>
                <w:spacing w:val="-27"/>
                <w:sz w:val="18"/>
                <w:szCs w:val="18"/>
              </w:rPr>
              <w:t>事宜的议案》、《关于</w:t>
            </w:r>
          </w:p>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公司前次募集资金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477" w:lineRule="auto"/>
              <w:ind w:left="22" w:right="119"/>
              <w:jc w:val="left"/>
              <w:rPr>
                <w:rFonts w:ascii="宋体" w:hAnsi="宋体" w:cs="宋体" w:eastAsia="宋体" w:hint="default"/>
                <w:sz w:val="18"/>
                <w:szCs w:val="18"/>
              </w:rPr>
            </w:pPr>
            <w:r>
              <w:rPr>
                <w:rFonts w:ascii="宋体" w:hAnsi="宋体" w:cs="宋体" w:eastAsia="宋体" w:hint="default"/>
                <w:sz w:val="18"/>
                <w:szCs w:val="18"/>
              </w:rPr>
              <w:t>各项议案均审议通 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58" w:lineRule="auto" w:before="127"/>
              <w:ind w:left="23"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时股东大会决议公 </w:t>
            </w:r>
            <w:r>
              <w:rPr>
                <w:rFonts w:ascii="宋体" w:hAnsi="宋体" w:cs="宋体" w:eastAsia="宋体" w:hint="default"/>
                <w:spacing w:val="-7"/>
                <w:sz w:val="18"/>
                <w:szCs w:val="18"/>
              </w:rPr>
              <w:t>告》（</w:t>
            </w:r>
            <w:r>
              <w:rPr>
                <w:rFonts w:ascii="Times New Roman" w:hAnsi="Times New Roman" w:cs="Times New Roman" w:eastAsia="Times New Roman" w:hint="default"/>
                <w:spacing w:val="-7"/>
                <w:sz w:val="18"/>
                <w:szCs w:val="18"/>
              </w:rPr>
              <w:t>2014-051</w:t>
            </w:r>
            <w:r>
              <w:rPr>
                <w:rFonts w:ascii="宋体" w:hAnsi="宋体" w:cs="宋体" w:eastAsia="宋体" w:hint="default"/>
                <w:spacing w:val="-7"/>
                <w:sz w:val="18"/>
                <w:szCs w:val="18"/>
              </w:rPr>
              <w:t>）披</w:t>
            </w:r>
            <w:r>
              <w:rPr>
                <w:rFonts w:ascii="宋体" w:hAnsi="宋体" w:cs="宋体" w:eastAsia="宋体" w:hint="default"/>
                <w:sz w:val="18"/>
                <w:szCs w:val="18"/>
              </w:rPr>
              <w:t> </w:t>
            </w:r>
            <w:r>
              <w:rPr>
                <w:rFonts w:ascii="宋体" w:hAnsi="宋体" w:cs="宋体" w:eastAsia="宋体" w:hint="default"/>
                <w:spacing w:val="-10"/>
                <w:sz w:val="18"/>
                <w:szCs w:val="18"/>
              </w:rPr>
              <w:t>露网站：巨潮资讯网</w:t>
            </w:r>
          </w:p>
          <w:p>
            <w:pPr>
              <w:pStyle w:val="TableParagraph"/>
              <w:spacing w:line="240" w:lineRule="auto" w:before="68"/>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pacing w:val="-90"/>
                <w:sz w:val="18"/>
                <w:szCs w:val="18"/>
              </w:rPr>
              <w:t>）。</w:t>
            </w:r>
            <w:r>
              <w:rPr>
                <w:rFonts w:ascii="宋体" w:hAnsi="宋体" w:cs="宋体" w:eastAsia="宋体" w:hint="default"/>
                <w:sz w:val="18"/>
                <w:szCs w:val="18"/>
              </w:rPr>
            </w:r>
          </w:p>
        </w:tc>
      </w:tr>
    </w:tbl>
    <w:p>
      <w:pPr>
        <w:spacing w:after="0" w:line="24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73" w:hRule="exact"/>
        </w:trPr>
        <w:tc>
          <w:tcPr>
            <w:tcW w:w="1596"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使用情况报告的议</w:t>
            </w:r>
          </w:p>
        </w:tc>
        <w:tc>
          <w:tcPr>
            <w:tcW w:w="1594"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5" w:type="dxa"/>
            <w:vMerge w:val="restart"/>
            <w:tcBorders>
              <w:top w:val="single" w:sz="4" w:space="0" w:color="000000"/>
              <w:left w:val="single" w:sz="4" w:space="0" w:color="000000"/>
              <w:right w:val="single" w:sz="4" w:space="0" w:color="000000"/>
            </w:tcBorders>
          </w:tcPr>
          <w:p>
            <w:pPr/>
          </w:p>
        </w:tc>
      </w:tr>
      <w:tr>
        <w:trPr>
          <w:trHeight w:val="468"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《关于本次非公</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468"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开发行股票涉及关</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468"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联交易的议案</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《公</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468"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司未来三年</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473"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2014-2016</w:t>
            </w:r>
            <w:r>
              <w:rPr>
                <w:rFonts w:ascii="宋体" w:hAnsi="宋体" w:cs="宋体" w:eastAsia="宋体" w:hint="default"/>
                <w:sz w:val="18"/>
                <w:szCs w:val="18"/>
              </w:rPr>
              <w:t>）股东</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463"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分红回报规划的议</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473"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pacing w:val="-94"/>
                <w:sz w:val="18"/>
                <w:szCs w:val="18"/>
              </w:rPr>
              <w:t>、</w:t>
            </w:r>
            <w:r>
              <w:rPr>
                <w:rFonts w:ascii="宋体" w:hAnsi="宋体" w:cs="宋体" w:eastAsia="宋体" w:hint="default"/>
                <w:sz w:val="18"/>
                <w:szCs w:val="18"/>
              </w:rPr>
              <w:t>《关于修改</w:t>
            </w:r>
            <w:r>
              <w:rPr>
                <w:rFonts w:ascii="Times New Roman" w:hAnsi="Times New Roman" w:cs="Times New Roman" w:eastAsia="Times New Roman" w:hint="default"/>
                <w:sz w:val="18"/>
                <w:szCs w:val="18"/>
              </w:rPr>
              <w:t>&lt;</w:t>
            </w:r>
            <w:r>
              <w:rPr>
                <w:rFonts w:ascii="宋体" w:hAnsi="宋体" w:cs="宋体" w:eastAsia="宋体" w:hint="default"/>
                <w:sz w:val="18"/>
                <w:szCs w:val="18"/>
              </w:rPr>
              <w:t>公</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468"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463"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《关于公司医药产</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469"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业园建设项目一期</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513" w:hRule="exact"/>
        </w:trPr>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工程的议案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bl>
    <w:p>
      <w:pPr>
        <w:spacing w:line="240" w:lineRule="auto" w:before="6"/>
        <w:rPr>
          <w:rFonts w:ascii="Times New Roman" w:hAnsi="Times New Roman" w:cs="Times New Roman" w:eastAsia="Times New Roman" w:hint="default"/>
          <w:sz w:val="28"/>
          <w:szCs w:val="28"/>
        </w:rPr>
      </w:pPr>
    </w:p>
    <w:p>
      <w:pPr>
        <w:pStyle w:val="Heading4"/>
        <w:spacing w:line="240" w:lineRule="auto" w:before="35"/>
        <w:ind w:left="154" w:right="0"/>
        <w:jc w:val="left"/>
        <w:rPr>
          <w:b w:val="0"/>
          <w:bCs w:val="0"/>
        </w:rPr>
      </w:pPr>
      <w:bookmarkStart w:name="3、表决权恢夊的优先股股东请求召开临时股东大会" w:id="117"/>
      <w:bookmarkEnd w:id="117"/>
      <w:r>
        <w:rPr>
          <w:b w:val="0"/>
          <w:bCs w:val="0"/>
        </w:rPr>
      </w: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三、报告期内独立董事履行职责的情况" w:id="118"/>
      <w:bookmarkEnd w:id="118"/>
      <w:r>
        <w:rPr>
          <w:b w:val="0"/>
          <w:bCs w:val="0"/>
        </w:rPr>
      </w:r>
      <w:r>
        <w:rPr/>
        <w:t>三、报告期内独立董事履行职责的情况</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left"/>
        <w:rPr>
          <w:b w:val="0"/>
          <w:bCs w:val="0"/>
        </w:rPr>
      </w:pPr>
      <w:bookmarkStart w:name="1、独立董事出席董事会及股东大会的情况" w:id="119"/>
      <w:bookmarkEnd w:id="119"/>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558"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1026"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558"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傅穹</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王旭</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张连学</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w:t>
            </w:r>
          </w:p>
        </w:tc>
      </w:tr>
    </w:tbl>
    <w:p>
      <w:pPr>
        <w:spacing w:line="240" w:lineRule="auto" w:before="6"/>
        <w:rPr>
          <w:rFonts w:ascii="宋体" w:hAnsi="宋体" w:cs="宋体" w:eastAsia="宋体" w:hint="default"/>
          <w:b/>
          <w:bCs/>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2、独立董事对公司有关事项提出异议的情况" w:id="120"/>
      <w:bookmarkEnd w:id="120"/>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240" w:lineRule="auto" w:before="11"/>
        <w:rPr>
          <w:rFonts w:ascii="宋体" w:hAnsi="宋体" w:cs="宋体" w:eastAsia="宋体" w:hint="default"/>
          <w:sz w:val="20"/>
          <w:szCs w:val="20"/>
        </w:rPr>
      </w:pPr>
    </w:p>
    <w:p>
      <w:pPr>
        <w:spacing w:line="489" w:lineRule="auto" w:before="0"/>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bookmarkStart w:name="3、独立董事履行职责的其他说明" w:id="121"/>
      <w:bookmarkEnd w:id="121"/>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240" w:lineRule="auto" w:before="10"/>
        <w:rPr>
          <w:rFonts w:ascii="宋体" w:hAnsi="宋体" w:cs="宋体" w:eastAsia="宋体" w:hint="default"/>
          <w:sz w:val="20"/>
          <w:szCs w:val="20"/>
        </w:rPr>
      </w:pPr>
    </w:p>
    <w:p>
      <w:pPr>
        <w:spacing w:line="489"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408" w:lineRule="auto" w:before="59"/>
        <w:ind w:right="1024" w:firstLine="480"/>
        <w:jc w:val="left"/>
      </w:pPr>
      <w:r>
        <w:rPr>
          <w:spacing w:val="-2"/>
        </w:rPr>
        <w:t>报告期内，独立董事积极有效地履行独立董事的职责，利用参加相关会议的时间，对公司进行了多次</w:t>
      </w:r>
      <w:r>
        <w:rPr/>
        <w:t> </w:t>
      </w:r>
      <w:r>
        <w:rPr>
          <w:spacing w:val="-3"/>
        </w:rPr>
        <w:t>现场考察，对公司的生产经营、财务状况、内部控制建立健全、管理层对股东大会和董事会决议执行情况、</w:t>
      </w:r>
      <w:r>
        <w:rPr>
          <w:spacing w:val="-96"/>
        </w:rPr>
        <w:t> </w:t>
      </w:r>
      <w:r>
        <w:rPr>
          <w:spacing w:val="-96"/>
        </w:rPr>
      </w:r>
      <w:r>
        <w:rPr/>
        <w:t>募集资金使用、关联交易、业务发展和投资项目的进展等情况进行调查，在董事会决策过程中发表专业意</w:t>
      </w:r>
      <w:r>
        <w:rPr/>
        <w:t> 见。</w:t>
      </w:r>
    </w:p>
    <w:p>
      <w:pPr>
        <w:spacing w:line="240" w:lineRule="auto" w:before="9"/>
        <w:rPr>
          <w:rFonts w:ascii="宋体" w:hAnsi="宋体" w:cs="宋体" w:eastAsia="宋体" w:hint="default"/>
          <w:sz w:val="24"/>
          <w:szCs w:val="24"/>
        </w:rPr>
      </w:pPr>
    </w:p>
    <w:p>
      <w:pPr>
        <w:pStyle w:val="Heading2"/>
        <w:spacing w:line="240" w:lineRule="auto"/>
        <w:ind w:left="154" w:right="0"/>
        <w:jc w:val="left"/>
        <w:rPr>
          <w:b w:val="0"/>
          <w:bCs w:val="0"/>
        </w:rPr>
      </w:pPr>
      <w:bookmarkStart w:name="四、董事会下设专门委员会在报告期内履行职责情况" w:id="122"/>
      <w:bookmarkEnd w:id="122"/>
      <w:r>
        <w:rPr>
          <w:b w:val="0"/>
          <w:bCs w:val="0"/>
        </w:rPr>
      </w:r>
      <w:r>
        <w:rPr/>
        <w:t>四、董事会下设专门委员会在报告期内履行职责情况</w:t>
      </w:r>
      <w:r>
        <w:rPr>
          <w:b w:val="0"/>
          <w:bCs w:val="0"/>
        </w:rPr>
      </w:r>
    </w:p>
    <w:p>
      <w:pPr>
        <w:spacing w:line="240" w:lineRule="auto" w:before="0"/>
        <w:rPr>
          <w:rFonts w:ascii="宋体" w:hAnsi="宋体" w:cs="宋体" w:eastAsia="宋体" w:hint="default"/>
          <w:b/>
          <w:bCs/>
          <w:sz w:val="24"/>
          <w:szCs w:val="24"/>
        </w:rPr>
      </w:pPr>
    </w:p>
    <w:p>
      <w:pPr>
        <w:pStyle w:val="BodyText"/>
        <w:spacing w:line="386" w:lineRule="auto" w:before="163"/>
        <w:ind w:left="574" w:right="0" w:hanging="420"/>
        <w:jc w:val="left"/>
      </w:pPr>
      <w:r>
        <w:rPr>
          <w:rFonts w:ascii="Times New Roman" w:hAnsi="Times New Roman" w:cs="Times New Roman" w:eastAsia="Times New Roman" w:hint="default"/>
        </w:rPr>
        <w:t>1</w:t>
      </w:r>
      <w:r>
        <w:rPr/>
        <w:t>、审计委员会履行职责情况 </w:t>
      </w:r>
      <w:r>
        <w:rPr>
          <w:spacing w:val="-1"/>
        </w:rPr>
        <w:t>报告期内，审计委员会每季度审议内部审计部门提交的审计工作报告和工作计划；对公司内部控制情</w:t>
      </w:r>
    </w:p>
    <w:p>
      <w:pPr>
        <w:pStyle w:val="BodyText"/>
        <w:spacing w:line="398" w:lineRule="auto" w:before="65"/>
        <w:ind w:right="1024"/>
        <w:jc w:val="left"/>
      </w:pPr>
      <w:r>
        <w:rPr/>
        <w:t>况进行审核，出具</w:t>
      </w:r>
      <w:r>
        <w:rPr>
          <w:rFonts w:ascii="Times New Roman" w:hAnsi="Times New Roman" w:cs="Times New Roman" w:eastAsia="Times New Roman" w:hint="default"/>
        </w:rPr>
        <w:t>2014</w:t>
      </w:r>
      <w:r>
        <w:rPr/>
        <w:t>年度内部控制自我评价报告；审计委员会与会计师事务所协商确定了公司</w:t>
      </w:r>
      <w:r>
        <w:rPr>
          <w:rFonts w:ascii="Times New Roman" w:hAnsi="Times New Roman" w:cs="Times New Roman" w:eastAsia="Times New Roman" w:hint="default"/>
        </w:rPr>
        <w:t>2014</w:t>
      </w:r>
      <w:r>
        <w:rPr/>
        <w:t>年度</w:t>
      </w:r>
      <w:r>
        <w:rPr>
          <w:spacing w:val="-2"/>
        </w:rPr>
        <w:t> </w:t>
      </w:r>
      <w:r>
        <w:rPr>
          <w:spacing w:val="-3"/>
        </w:rPr>
        <w:t>财务报告审计工作的时间安排，并不断加强与年审注册会计师的沟通，督促其在约定时限内提交审计报告。</w:t>
      </w:r>
      <w:r>
        <w:rPr>
          <w:spacing w:val="-92"/>
        </w:rPr>
        <w:t> </w:t>
      </w:r>
      <w:r>
        <w:rPr>
          <w:spacing w:val="-92"/>
        </w:rPr>
      </w:r>
      <w:r>
        <w:rPr/>
        <w:t>在审阅审计报告后</w:t>
      </w:r>
      <w:r>
        <w:rPr>
          <w:rFonts w:ascii="Times New Roman" w:hAnsi="Times New Roman" w:cs="Times New Roman" w:eastAsia="Times New Roman" w:hint="default"/>
        </w:rPr>
        <w:t>,</w:t>
      </w:r>
      <w:r>
        <w:rPr/>
        <w:t>向董事会提交审阅意见以及续聘会计师事务所的建议书。</w:t>
      </w:r>
    </w:p>
    <w:p>
      <w:pPr>
        <w:pStyle w:val="BodyText"/>
        <w:spacing w:line="386" w:lineRule="auto" w:before="24"/>
        <w:ind w:left="574" w:right="0" w:hanging="420"/>
        <w:jc w:val="left"/>
      </w:pPr>
      <w:r>
        <w:rPr>
          <w:rFonts w:ascii="Times New Roman" w:hAnsi="Times New Roman" w:cs="Times New Roman" w:eastAsia="Times New Roman" w:hint="default"/>
        </w:rPr>
        <w:t>2</w:t>
      </w:r>
      <w:r>
        <w:rPr/>
        <w:t>、提名委员会履行职责情况 </w:t>
      </w:r>
      <w:r>
        <w:rPr>
          <w:spacing w:val="-1"/>
        </w:rPr>
        <w:t>报告期内，公司第五届董事会、监事会、高级管理人员进行了更换，提名委员会对相应补选和聘任的</w:t>
      </w:r>
    </w:p>
    <w:p>
      <w:pPr>
        <w:pStyle w:val="BodyText"/>
        <w:spacing w:line="240" w:lineRule="auto" w:before="65"/>
        <w:ind w:left="154" w:right="0"/>
        <w:jc w:val="left"/>
      </w:pPr>
      <w:r>
        <w:rPr/>
        <w:t>候选人进行了审查，并向董事会提交了相关的议案。</w:t>
      </w:r>
    </w:p>
    <w:p>
      <w:pPr>
        <w:spacing w:line="240" w:lineRule="auto" w:before="10"/>
        <w:rPr>
          <w:rFonts w:ascii="宋体" w:hAnsi="宋体" w:cs="宋体" w:eastAsia="宋体" w:hint="default"/>
          <w:sz w:val="14"/>
          <w:szCs w:val="14"/>
        </w:rPr>
      </w:pPr>
    </w:p>
    <w:p>
      <w:pPr>
        <w:pStyle w:val="BodyText"/>
        <w:spacing w:line="386" w:lineRule="auto"/>
        <w:ind w:left="574" w:right="0" w:hanging="420"/>
        <w:jc w:val="left"/>
      </w:pPr>
      <w:r>
        <w:rPr>
          <w:rFonts w:ascii="Times New Roman" w:hAnsi="Times New Roman" w:cs="Times New Roman" w:eastAsia="Times New Roman" w:hint="default"/>
        </w:rPr>
        <w:t>3</w:t>
      </w:r>
      <w:r>
        <w:rPr/>
        <w:t>、薪酬与考核委员会履行职责情况 </w:t>
      </w:r>
      <w:r>
        <w:rPr>
          <w:spacing w:val="-1"/>
        </w:rPr>
        <w:t>报告期内，薪酬与考核委员会认真了解公司薪酬现状及社会整体薪酬水平，听取公司薪酬支付情况的</w:t>
      </w:r>
    </w:p>
    <w:p>
      <w:pPr>
        <w:pStyle w:val="BodyText"/>
        <w:spacing w:line="408" w:lineRule="auto" w:before="65"/>
        <w:ind w:left="154" w:right="0"/>
        <w:jc w:val="left"/>
      </w:pPr>
      <w:r>
        <w:rPr>
          <w:spacing w:val="-1"/>
        </w:rPr>
        <w:t>汇报。对公司董事、高级管理人员薪酬进行了审阅，认为其薪酬标准和发放符合公司的薪酬管理制度，年</w:t>
      </w:r>
      <w:r>
        <w:rPr>
          <w:spacing w:val="-85"/>
        </w:rPr>
        <w:t> </w:t>
      </w:r>
      <w:r>
        <w:rPr>
          <w:spacing w:val="-85"/>
        </w:rPr>
      </w:r>
      <w:r>
        <w:rPr/>
        <w:t>度报告中所披露的董事、高级管理人员薪酬是合理和真实的。</w:t>
      </w:r>
    </w:p>
    <w:p>
      <w:pPr>
        <w:pStyle w:val="BodyText"/>
        <w:spacing w:line="240" w:lineRule="auto" w:before="46"/>
        <w:ind w:right="0"/>
        <w:jc w:val="left"/>
      </w:pPr>
      <w:r>
        <w:rPr>
          <w:rFonts w:ascii="Times New Roman" w:hAnsi="Times New Roman" w:cs="Times New Roman" w:eastAsia="Times New Roman" w:hint="default"/>
        </w:rPr>
        <w:t>4</w:t>
      </w:r>
      <w:r>
        <w:rPr/>
        <w:t>、战略与投资委员会履行职责情况</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18" w:firstLine="420"/>
        <w:jc w:val="left"/>
      </w:pPr>
      <w:r>
        <w:rPr>
          <w:spacing w:val="-1"/>
        </w:rPr>
        <w:t>报告期内，战略委员会认真履行职责，对公司未来发展规划、项目投资、融资等进行了充分讨论和论</w:t>
      </w:r>
      <w:r>
        <w:rPr/>
        <w:t> 证。</w:t>
      </w:r>
    </w:p>
    <w:p>
      <w:pPr>
        <w:spacing w:line="240" w:lineRule="auto" w:before="9"/>
        <w:rPr>
          <w:rFonts w:ascii="宋体" w:hAnsi="宋体" w:cs="宋体" w:eastAsia="宋体" w:hint="default"/>
          <w:sz w:val="24"/>
          <w:szCs w:val="24"/>
        </w:rPr>
      </w:pPr>
    </w:p>
    <w:p>
      <w:pPr>
        <w:pStyle w:val="Heading2"/>
        <w:spacing w:line="240" w:lineRule="auto"/>
        <w:ind w:left="154" w:right="0"/>
        <w:jc w:val="left"/>
        <w:rPr>
          <w:b w:val="0"/>
          <w:bCs w:val="0"/>
        </w:rPr>
      </w:pPr>
      <w:bookmarkStart w:name="五、监事会工作情况" w:id="123"/>
      <w:bookmarkEnd w:id="123"/>
      <w:r>
        <w:rPr>
          <w:b w:val="0"/>
          <w:bCs w:val="0"/>
        </w:rPr>
      </w:r>
      <w:r>
        <w:rPr/>
        <w:t>五、监事会工作情况</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240" w:lineRule="auto" w:before="10"/>
        <w:rPr>
          <w:rFonts w:ascii="宋体" w:hAnsi="宋体" w:cs="宋体" w:eastAsia="宋体" w:hint="default"/>
          <w:sz w:val="20"/>
          <w:szCs w:val="20"/>
        </w:rPr>
      </w:pPr>
    </w:p>
    <w:p>
      <w:pPr>
        <w:spacing w:line="489"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六、公司相对于控股股东在业务、人员、资产、机构、财务等方面的独立完整情况" w:id="124"/>
      <w:bookmarkEnd w:id="124"/>
      <w:r>
        <w:rPr>
          <w:b w:val="0"/>
          <w:bCs w:val="0"/>
        </w:rPr>
      </w:r>
      <w:r>
        <w:rPr/>
        <w:t>六、公司相对于控股股东在业务、人员、资产、机构、财务等方面的独立完整情况</w:t>
      </w:r>
      <w:r>
        <w:rPr>
          <w:b w:val="0"/>
          <w:bCs w:val="0"/>
        </w:rPr>
      </w:r>
    </w:p>
    <w:p>
      <w:pPr>
        <w:spacing w:line="240" w:lineRule="auto" w:before="0"/>
        <w:rPr>
          <w:rFonts w:ascii="宋体" w:hAnsi="宋体" w:cs="宋体" w:eastAsia="宋体" w:hint="default"/>
          <w:b/>
          <w:bCs/>
          <w:sz w:val="24"/>
          <w:szCs w:val="24"/>
        </w:rPr>
      </w:pPr>
    </w:p>
    <w:p>
      <w:pPr>
        <w:pStyle w:val="BodyText"/>
        <w:spacing w:line="398" w:lineRule="auto" w:before="163"/>
        <w:ind w:right="0" w:firstLine="420"/>
        <w:jc w:val="left"/>
      </w:pPr>
      <w:r>
        <w:rPr>
          <w:spacing w:val="-1"/>
        </w:rPr>
        <w:t>公司具备完整、规范的产、供、销生产经营管理体制和运行机制，在业务、人员、资产、机构、财务</w:t>
      </w:r>
      <w:r>
        <w:rPr/>
        <w:t> 等方面与股东单位完全分开，独立运作。</w:t>
      </w:r>
      <w:r>
        <w:rPr>
          <w:rFonts w:ascii="Times New Roman" w:hAnsi="Times New Roman" w:cs="Times New Roman" w:eastAsia="Times New Roman" w:hint="default"/>
        </w:rPr>
        <w:t>1</w:t>
      </w:r>
      <w:r>
        <w:rPr/>
        <w:t>、业务独立</w:t>
      </w:r>
      <w:r>
        <w:rPr>
          <w:rFonts w:ascii="Times New Roman" w:hAnsi="Times New Roman" w:cs="Times New Roman" w:eastAsia="Times New Roman" w:hint="default"/>
        </w:rPr>
        <w:t>,</w:t>
      </w:r>
      <w:r>
        <w:rPr/>
        <w:t>公司具有完整的采购供应体系、完整的生产管理体 系和独立的销售运作体系，独立开展业务，不依赖于任何股东及关联方。</w:t>
      </w:r>
      <w:r>
        <w:rPr>
          <w:rFonts w:ascii="Times New Roman" w:hAnsi="Times New Roman" w:cs="Times New Roman" w:eastAsia="Times New Roman" w:hint="default"/>
        </w:rPr>
        <w:t>2</w:t>
      </w:r>
      <w:r>
        <w:rPr/>
        <w:t>、人员独立本</w:t>
      </w:r>
      <w:r>
        <w:rPr>
          <w:rFonts w:ascii="Times New Roman" w:hAnsi="Times New Roman" w:cs="Times New Roman" w:eastAsia="Times New Roman" w:hint="default"/>
        </w:rPr>
        <w:t>,</w:t>
      </w:r>
      <w:r>
        <w:rPr/>
        <w:t>公司董事、监事 </w:t>
      </w:r>
      <w:r>
        <w:rPr>
          <w:spacing w:val="-1"/>
        </w:rPr>
        <w:t>及高级管理人员严格按照《公司法》和《公司章程》的有关规定产生；公司建有独立的人事及工资管理系</w:t>
      </w:r>
      <w:r>
        <w:rPr>
          <w:spacing w:val="-83"/>
        </w:rPr>
        <w:t> </w:t>
      </w:r>
      <w:r>
        <w:rPr>
          <w:spacing w:val="-83"/>
        </w:rPr>
      </w:r>
      <w:r>
        <w:rPr/>
        <w:t>统；公司还制订了严格的《人事管理制度》，对人员管理做到了制度化。</w:t>
      </w:r>
      <w:r>
        <w:rPr>
          <w:rFonts w:ascii="Times New Roman" w:hAnsi="Times New Roman" w:cs="Times New Roman" w:eastAsia="Times New Roman" w:hint="default"/>
        </w:rPr>
        <w:t>3</w:t>
      </w:r>
      <w:r>
        <w:rPr/>
        <w:t>、资产独立本公司的主要资产 </w:t>
      </w:r>
      <w:r>
        <w:rPr>
          <w:spacing w:val="-1"/>
        </w:rPr>
        <w:t>包括主营业务所需的完整的生产设备、土地、厂房、办公用房、仓储用房、交通工具和知识产权，具有完</w:t>
      </w:r>
      <w:r>
        <w:rPr>
          <w:spacing w:val="-83"/>
        </w:rPr>
        <w:t> </w:t>
      </w:r>
      <w:r>
        <w:rPr>
          <w:spacing w:val="-83"/>
        </w:rPr>
      </w:r>
      <w:r>
        <w:rPr/>
        <w:t>整的配套设施。上述资产产权清晰，完全独立于股东单位。</w:t>
      </w:r>
      <w:r>
        <w:rPr>
          <w:rFonts w:ascii="Times New Roman" w:hAnsi="Times New Roman" w:cs="Times New Roman" w:eastAsia="Times New Roman" w:hint="default"/>
        </w:rPr>
        <w:t>4</w:t>
      </w:r>
      <w:r>
        <w:rPr/>
        <w:t>、机构独立本公司设股东大会、董事会、监 </w:t>
      </w:r>
      <w:r>
        <w:rPr>
          <w:spacing w:val="-1"/>
        </w:rPr>
        <w:t>事会，按照《公司章程》的规定履行相关权利和义务。公司拥有独立的组织机构，拥有独立的运作、管理</w:t>
      </w:r>
      <w:r>
        <w:rPr>
          <w:spacing w:val="-83"/>
        </w:rPr>
        <w:t> </w:t>
      </w:r>
      <w:r>
        <w:rPr>
          <w:spacing w:val="-83"/>
        </w:rPr>
      </w:r>
      <w:r>
        <w:rPr/>
        <w:t>和考核机制。公司总经理、副总经理、董事会秘书、财务总监均在公司领取报酬。</w:t>
      </w:r>
      <w:r>
        <w:rPr>
          <w:rFonts w:ascii="Times New Roman" w:hAnsi="Times New Roman" w:cs="Times New Roman" w:eastAsia="Times New Roman" w:hint="default"/>
        </w:rPr>
        <w:t>5</w:t>
      </w:r>
      <w:r>
        <w:rPr/>
        <w:t>、财务独立公司设有 </w:t>
      </w:r>
      <w:r>
        <w:rPr>
          <w:spacing w:val="-1"/>
        </w:rPr>
        <w:t>独立的财务部门，建立独立的财务会计核算体系和财务管理制度，财务人员与股东单位完全独立，不存在</w:t>
      </w:r>
      <w:r>
        <w:rPr>
          <w:spacing w:val="-83"/>
        </w:rPr>
        <w:t> </w:t>
      </w:r>
      <w:r>
        <w:rPr>
          <w:spacing w:val="-83"/>
        </w:rPr>
      </w:r>
      <w:r>
        <w:rPr/>
        <w:t>交叉任职情况。公司独立开设银行帐户，作为独立的纳税人依法独立纳税。</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七、同业竞争情况" w:id="125"/>
      <w:bookmarkEnd w:id="125"/>
      <w:r>
        <w:rPr>
          <w:b w:val="0"/>
          <w:bCs w:val="0"/>
        </w:rPr>
      </w:r>
      <w:r>
        <w:rPr/>
        <w:t>七、同业竞争情况</w:t>
      </w:r>
      <w:r>
        <w:rPr>
          <w:b w:val="0"/>
          <w:bCs w:val="0"/>
        </w:rPr>
      </w:r>
    </w:p>
    <w:p>
      <w:pPr>
        <w:spacing w:line="240" w:lineRule="auto" w:before="0"/>
        <w:rPr>
          <w:rFonts w:ascii="宋体" w:hAnsi="宋体" w:cs="宋体" w:eastAsia="宋体" w:hint="default"/>
          <w:b/>
          <w:bCs/>
          <w:sz w:val="24"/>
          <w:szCs w:val="24"/>
        </w:rPr>
      </w:pPr>
    </w:p>
    <w:p>
      <w:pPr>
        <w:spacing w:before="18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八、高级管理人员的考评及激励情况" w:id="126"/>
      <w:bookmarkEnd w:id="126"/>
      <w:r>
        <w:rPr>
          <w:b w:val="0"/>
          <w:bCs w:val="0"/>
        </w:rPr>
      </w:r>
      <w:r>
        <w:rPr/>
        <w:t>八、高级管理人员的考评及激励情况</w:t>
      </w:r>
      <w:r>
        <w:rPr>
          <w:b w:val="0"/>
          <w:bCs w:val="0"/>
        </w:rPr>
      </w:r>
    </w:p>
    <w:p>
      <w:pPr>
        <w:spacing w:line="240" w:lineRule="auto" w:before="0"/>
        <w:rPr>
          <w:rFonts w:ascii="宋体" w:hAnsi="宋体" w:cs="宋体" w:eastAsia="宋体" w:hint="default"/>
          <w:b/>
          <w:bCs/>
          <w:sz w:val="24"/>
          <w:szCs w:val="24"/>
        </w:rPr>
      </w:pPr>
    </w:p>
    <w:p>
      <w:pPr>
        <w:pStyle w:val="BodyText"/>
        <w:spacing w:line="398" w:lineRule="auto" w:before="163"/>
        <w:ind w:right="0" w:firstLine="420"/>
        <w:jc w:val="left"/>
      </w:pPr>
      <w:r>
        <w:rPr>
          <w:spacing w:val="-1"/>
        </w:rPr>
        <w:t>公司正逐步完善和建立公正、透明的高级管理人员的绩效评价标准和激励约束机制，公司高级管理人</w:t>
      </w:r>
      <w:r>
        <w:rPr/>
        <w:t> 员的聘任公开、透明，符合法律法规的规定。</w:t>
      </w:r>
      <w:r>
        <w:rPr>
          <w:rFonts w:ascii="Times New Roman" w:hAnsi="Times New Roman" w:cs="Times New Roman" w:eastAsia="Times New Roman" w:hint="default"/>
        </w:rPr>
        <w:t>1</w:t>
      </w:r>
      <w:r>
        <w:rPr/>
        <w:t>、考评机制：由公司董事会按年度对公司高级管理人员的 </w:t>
      </w:r>
      <w:r>
        <w:rPr>
          <w:spacing w:val="-1"/>
        </w:rPr>
        <w:t>业绩和履职情况进行考评，并根据工作业绩决定年度薪酬，以考核结果作为下一年度的岗位安排、年薪档</w:t>
      </w:r>
    </w:p>
    <w:p>
      <w:pPr>
        <w:spacing w:after="0" w:line="39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98" w:lineRule="auto" w:before="174"/>
        <w:ind w:right="0"/>
        <w:jc w:val="left"/>
      </w:pPr>
      <w:r>
        <w:rPr/>
        <w:t>次、是否续聘及职位升降和下一届任免的依据。</w:t>
      </w:r>
      <w:r>
        <w:rPr>
          <w:rFonts w:ascii="Times New Roman" w:hAnsi="Times New Roman" w:cs="Times New Roman" w:eastAsia="Times New Roman" w:hint="default"/>
        </w:rPr>
        <w:t>2</w:t>
      </w:r>
      <w:r>
        <w:rPr/>
        <w:t>、激励机制：年初，董事会根据公司的经营计划和个人 </w:t>
      </w:r>
      <w:r>
        <w:rPr>
          <w:spacing w:val="-1"/>
        </w:rPr>
        <w:t>的岗位职责，确定年度工资额；年终董事会根据高级管理人员本年度的工作业绩进行考评后确定对高管人</w:t>
      </w:r>
      <w:r>
        <w:rPr>
          <w:spacing w:val="-80"/>
        </w:rPr>
        <w:t> </w:t>
      </w:r>
      <w:r>
        <w:rPr>
          <w:spacing w:val="-80"/>
        </w:rPr>
      </w:r>
      <w:r>
        <w:rPr/>
        <w:t>员的奖金总额。</w:t>
      </w:r>
    </w:p>
    <w:p>
      <w:pPr>
        <w:spacing w:after="0" w:line="39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1"/>
        <w:spacing w:line="240" w:lineRule="auto"/>
        <w:ind w:right="3763"/>
        <w:jc w:val="center"/>
        <w:rPr>
          <w:b w:val="0"/>
          <w:bCs w:val="0"/>
        </w:rPr>
      </w:pPr>
      <w:bookmarkStart w:name="_TOC_250002" w:id="127"/>
      <w:bookmarkStart w:name="第十节 内部控制" w:id="128"/>
      <w:r>
        <w:rPr>
          <w:b w:val="0"/>
          <w:bCs w:val="0"/>
        </w:rPr>
      </w:r>
      <w:r>
        <w:rPr/>
        <w:t>第十节</w:t>
      </w:r>
      <w:r>
        <w:rPr>
          <w:spacing w:val="-5"/>
        </w:rPr>
        <w:t> </w:t>
      </w:r>
      <w:r>
        <w:rPr/>
        <w:t>内部控制</w:t>
      </w:r>
      <w:bookmarkEnd w:id="127"/>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内部控制建设情况" w:id="129"/>
      <w:bookmarkEnd w:id="129"/>
      <w:r>
        <w:rPr>
          <w:b w:val="0"/>
          <w:bCs w:val="0"/>
        </w:rPr>
      </w:r>
      <w:r>
        <w:rPr/>
        <w:t>一、内部控制建设情况</w:t>
      </w:r>
      <w:r>
        <w:rPr>
          <w:b w:val="0"/>
          <w:bCs w:val="0"/>
        </w:rPr>
      </w:r>
    </w:p>
    <w:p>
      <w:pPr>
        <w:spacing w:line="240" w:lineRule="auto" w:before="0"/>
        <w:rPr>
          <w:rFonts w:ascii="宋体" w:hAnsi="宋体" w:cs="宋体" w:eastAsia="宋体" w:hint="default"/>
          <w:b/>
          <w:bCs/>
          <w:sz w:val="24"/>
          <w:szCs w:val="24"/>
        </w:rPr>
      </w:pPr>
    </w:p>
    <w:p>
      <w:pPr>
        <w:pStyle w:val="BodyText"/>
        <w:spacing w:line="408" w:lineRule="auto" w:before="163"/>
        <w:ind w:right="1026" w:firstLine="420"/>
        <w:jc w:val="both"/>
      </w:pPr>
      <w:r>
        <w:rPr/>
        <w:t>公司严格按照《公司法》、《证券法》、《企业内部控制基本规范》和《深圳证券交易所中小企业板 上市公司规范运作指引》的要求，并根据现实情况变化和执行中发现的问题，不断改进、充实和完善内部 控制制度。公司已构建了较为有效的内部控制机制，建立了包括财务管理、行政管理、内部沟通管理、统 计工作管理、安全生产管理、环境保护管理、信息披露等各项管理规范，涵盖公司整个经营过程，确保覆 盖公司各个部门，确保各项工作都有章可循；公司审计监察部在董事会及其审计委员会的领导下独立开展 审计工作，监督公司内部控制制度的建立和执行情况，并对公司及其所属企业的财务、经营、管理等工作 进行审计监督和评价，确保了公司生产经营、管理等各项工作合理、合法、有序、高效地进行。公司监事 </w:t>
      </w:r>
      <w:r>
        <w:rPr>
          <w:spacing w:val="-3"/>
        </w:rPr>
        <w:t>会、董事会各专门委员会、独立董事和审计监察部履行各自监督职责，形成了规范且持续有效的管理体系。</w:t>
      </w:r>
    </w:p>
    <w:p>
      <w:pPr>
        <w:spacing w:line="240" w:lineRule="auto" w:before="9"/>
        <w:rPr>
          <w:rFonts w:ascii="宋体" w:hAnsi="宋体" w:cs="宋体" w:eastAsia="宋体" w:hint="default"/>
          <w:sz w:val="24"/>
          <w:szCs w:val="24"/>
        </w:rPr>
      </w:pPr>
    </w:p>
    <w:p>
      <w:pPr>
        <w:pStyle w:val="Heading2"/>
        <w:spacing w:line="240" w:lineRule="auto"/>
        <w:ind w:right="0"/>
        <w:jc w:val="left"/>
        <w:rPr>
          <w:b w:val="0"/>
          <w:bCs w:val="0"/>
        </w:rPr>
      </w:pPr>
      <w:bookmarkStart w:name="二、董事会关于内部控制责任的声明" w:id="130"/>
      <w:bookmarkEnd w:id="130"/>
      <w:r>
        <w:rPr>
          <w:b w:val="0"/>
          <w:bCs w:val="0"/>
        </w:rPr>
      </w:r>
      <w:r>
        <w:rPr/>
        <w:t>二、董事会关于内部控制责任的声明</w:t>
      </w:r>
      <w:r>
        <w:rPr>
          <w:b w:val="0"/>
          <w:bCs w:val="0"/>
        </w:rPr>
      </w:r>
    </w:p>
    <w:p>
      <w:pPr>
        <w:spacing w:line="240" w:lineRule="auto" w:before="0"/>
        <w:rPr>
          <w:rFonts w:ascii="宋体" w:hAnsi="宋体" w:cs="宋体" w:eastAsia="宋体" w:hint="default"/>
          <w:b/>
          <w:bCs/>
          <w:sz w:val="24"/>
          <w:szCs w:val="24"/>
        </w:rPr>
      </w:pPr>
    </w:p>
    <w:p>
      <w:pPr>
        <w:pStyle w:val="BodyText"/>
        <w:spacing w:line="398" w:lineRule="auto" w:before="162"/>
        <w:ind w:right="1130" w:firstLine="420"/>
        <w:jc w:val="both"/>
      </w:pPr>
      <w:r>
        <w:rPr>
          <w:spacing w:val="-2"/>
        </w:rPr>
        <w:t>公司董事会及全体董事保证本报告内容不存在任何虚假记载、误导性陈述或重大遗漏</w:t>
      </w:r>
      <w:r>
        <w:rPr>
          <w:rFonts w:ascii="Times New Roman" w:hAnsi="Times New Roman" w:cs="Times New Roman" w:eastAsia="Times New Roman" w:hint="default"/>
          <w:spacing w:val="-2"/>
        </w:rPr>
        <w:t>,</w:t>
      </w:r>
      <w:r>
        <w:rPr>
          <w:spacing w:val="-2"/>
        </w:rPr>
        <w:t>并对报告内容的</w:t>
      </w:r>
      <w:r>
        <w:rPr/>
        <w:t> </w:t>
      </w:r>
      <w:r>
        <w:rPr>
          <w:spacing w:val="-1"/>
        </w:rPr>
        <w:t>真实性、准确性和完整性承担个别及连带责任。建立健全并有效实施内部控制是公司董事会的责任；监事</w:t>
      </w:r>
      <w:r>
        <w:rPr>
          <w:spacing w:val="-83"/>
        </w:rPr>
        <w:t> </w:t>
      </w:r>
      <w:r>
        <w:rPr>
          <w:spacing w:val="-83"/>
        </w:rPr>
      </w:r>
      <w:r>
        <w:rPr/>
        <w:t>会对董事会建立与实施内部控制进行监督；经理层负责组织领导公司内部控制的日常运行。</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bookmarkStart w:name="三、建立财务报告内部控制的依据" w:id="131"/>
      <w:bookmarkEnd w:id="131"/>
      <w:r>
        <w:rPr>
          <w:b w:val="0"/>
          <w:bCs w:val="0"/>
        </w:rPr>
      </w:r>
      <w:r>
        <w:rPr/>
        <w:t>三、建立财务报告内部控制的依据</w:t>
      </w:r>
      <w:r>
        <w:rPr>
          <w:b w:val="0"/>
          <w:bCs w:val="0"/>
        </w:rPr>
      </w:r>
    </w:p>
    <w:p>
      <w:pPr>
        <w:spacing w:line="240" w:lineRule="auto" w:before="0"/>
        <w:rPr>
          <w:rFonts w:ascii="宋体" w:hAnsi="宋体" w:cs="宋体" w:eastAsia="宋体" w:hint="default"/>
          <w:b/>
          <w:bCs/>
          <w:sz w:val="24"/>
          <w:szCs w:val="24"/>
        </w:rPr>
      </w:pPr>
    </w:p>
    <w:p>
      <w:pPr>
        <w:pStyle w:val="BodyText"/>
        <w:spacing w:line="410" w:lineRule="auto" w:before="161"/>
        <w:ind w:right="1133" w:firstLine="420"/>
        <w:jc w:val="both"/>
      </w:pPr>
      <w:r>
        <w:rPr>
          <w:spacing w:val="-1"/>
        </w:rPr>
        <w:t>《公司法》、《深圳证券交易所中小企业板上市公司规范运作指引》及《公司章程》的规定，结合自</w:t>
      </w:r>
      <w:r>
        <w:rPr/>
        <w:t> 身实际特点和情况制定公司内部控制制度。</w:t>
      </w:r>
    </w:p>
    <w:p>
      <w:pPr>
        <w:spacing w:line="240" w:lineRule="auto" w:before="7"/>
        <w:rPr>
          <w:rFonts w:ascii="宋体" w:hAnsi="宋体" w:cs="宋体" w:eastAsia="宋体" w:hint="default"/>
          <w:sz w:val="24"/>
          <w:szCs w:val="24"/>
        </w:rPr>
      </w:pPr>
    </w:p>
    <w:p>
      <w:pPr>
        <w:pStyle w:val="Heading2"/>
        <w:spacing w:line="240" w:lineRule="auto"/>
        <w:ind w:right="0"/>
        <w:jc w:val="left"/>
        <w:rPr>
          <w:b w:val="0"/>
          <w:bCs w:val="0"/>
        </w:rPr>
      </w:pPr>
      <w:bookmarkStart w:name="四、内部控制评价报告" w:id="132"/>
      <w:bookmarkEnd w:id="132"/>
      <w:r>
        <w:rPr>
          <w:b w:val="0"/>
          <w:bCs w:val="0"/>
        </w:rPr>
      </w:r>
      <w:r>
        <w:rPr/>
        <w:t>四、内部控制评价报告</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55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558"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558"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559"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年度内部控制的自我评价报告》</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7"/>
        <w:rPr>
          <w:rFonts w:ascii="宋体" w:hAnsi="宋体" w:cs="宋体" w:eastAsia="宋体" w:hint="default"/>
          <w:b/>
          <w:bCs/>
          <w:sz w:val="29"/>
          <w:szCs w:val="29"/>
        </w:rPr>
      </w:pPr>
    </w:p>
    <w:p>
      <w:pPr>
        <w:pStyle w:val="Heading2"/>
        <w:spacing w:line="240" w:lineRule="auto" w:before="26"/>
        <w:ind w:right="0"/>
        <w:jc w:val="left"/>
        <w:rPr>
          <w:b w:val="0"/>
          <w:bCs w:val="0"/>
        </w:rPr>
      </w:pPr>
      <w:bookmarkStart w:name="五、内部控制审计报告或鉴证报告" w:id="133"/>
      <w:bookmarkEnd w:id="133"/>
      <w:r>
        <w:rPr>
          <w:b w:val="0"/>
          <w:bCs w:val="0"/>
        </w:rPr>
      </w:r>
      <w:r>
        <w:rPr/>
        <w:t>五、内部控制审计报告或鉴证报告</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spacing w:before="44"/>
        <w:ind w:left="0" w:right="1139" w:firstLine="0"/>
        <w:jc w:val="right"/>
        <w:rPr>
          <w:rFonts w:ascii="宋体" w:hAnsi="宋体" w:cs="宋体" w:eastAsia="宋体" w:hint="default"/>
          <w:sz w:val="18"/>
          <w:szCs w:val="18"/>
        </w:rPr>
      </w:pPr>
      <w:r>
        <w:rPr/>
        <w:pict>
          <v:shape style="position:absolute;margin-left:56.459999pt;margin-top:-111.898285pt;width:479.2pt;height:135.550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2"/>
                    <w:gridCol w:w="6907"/>
                  </w:tblGrid>
                  <w:tr>
                    <w:trPr>
                      <w:trHeight w:val="558"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1026"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我们认为</w:t>
                        </w:r>
                        <w:r>
                          <w:rPr>
                            <w:rFonts w:ascii="宋体" w:hAnsi="宋体" w:cs="宋体" w:eastAsia="宋体" w:hint="default"/>
                            <w:spacing w:val="-15"/>
                            <w:sz w:val="18"/>
                            <w:szCs w:val="18"/>
                          </w:rPr>
                          <w:t>，</w:t>
                        </w:r>
                        <w:r>
                          <w:rPr>
                            <w:rFonts w:ascii="宋体" w:hAnsi="宋体" w:cs="宋体" w:eastAsia="宋体" w:hint="default"/>
                            <w:sz w:val="18"/>
                            <w:szCs w:val="18"/>
                          </w:rPr>
                          <w:t>贵公司按</w:t>
                        </w:r>
                        <w:r>
                          <w:rPr>
                            <w:rFonts w:ascii="宋体" w:hAnsi="宋体" w:cs="宋体" w:eastAsia="宋体" w:hint="default"/>
                            <w:spacing w:val="-15"/>
                            <w:sz w:val="18"/>
                            <w:szCs w:val="18"/>
                          </w:rPr>
                          <w:t>照</w:t>
                        </w:r>
                        <w:r>
                          <w:rPr>
                            <w:rFonts w:ascii="宋体" w:hAnsi="宋体" w:cs="宋体" w:eastAsia="宋体" w:hint="default"/>
                            <w:sz w:val="18"/>
                            <w:szCs w:val="18"/>
                          </w:rPr>
                          <w:t>《企业内部控制基本规范</w:t>
                        </w:r>
                        <w:r>
                          <w:rPr>
                            <w:rFonts w:ascii="宋体" w:hAnsi="宋体" w:cs="宋体" w:eastAsia="宋体" w:hint="default"/>
                            <w:spacing w:val="-105"/>
                            <w:sz w:val="18"/>
                            <w:szCs w:val="18"/>
                          </w:rPr>
                          <w:t>》</w:t>
                        </w:r>
                        <w:r>
                          <w:rPr>
                            <w:rFonts w:ascii="宋体" w:hAnsi="宋体" w:cs="宋体" w:eastAsia="宋体" w:hint="default"/>
                            <w:sz w:val="18"/>
                            <w:szCs w:val="18"/>
                          </w:rPr>
                          <w:t>（</w:t>
                        </w:r>
                        <w:r>
                          <w:rPr>
                            <w:rFonts w:ascii="宋体" w:hAnsi="宋体" w:cs="宋体" w:eastAsia="宋体" w:hint="default"/>
                            <w:spacing w:val="-15"/>
                            <w:sz w:val="18"/>
                            <w:szCs w:val="18"/>
                          </w:rPr>
                          <w:t>及</w:t>
                        </w:r>
                        <w:r>
                          <w:rPr>
                            <w:rFonts w:ascii="宋体" w:hAnsi="宋体" w:cs="宋体" w:eastAsia="宋体" w:hint="default"/>
                            <w:sz w:val="18"/>
                            <w:szCs w:val="18"/>
                          </w:rPr>
                          <w:t>《关于加强期货经纪公司内部控制的指导原则</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规定的标准于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日在所有重大方面保持了与财务报表相关的有效的内部控制。</w:t>
                        </w:r>
                      </w:p>
                    </w:tc>
                  </w:tr>
                  <w:tr>
                    <w:trPr>
                      <w:trHeight w:val="558"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559"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pacing w:val="25"/>
                            <w:sz w:val="18"/>
                            <w:szCs w:val="18"/>
                          </w:rPr>
                        </w:r>
                        <w:r>
                          <w:rPr>
                            <w:rFonts w:ascii="宋体" w:hAnsi="宋体" w:cs="宋体" w:eastAsia="宋体" w:hint="default"/>
                            <w:sz w:val="18"/>
                            <w:szCs w:val="18"/>
                          </w:rPr>
                          <w:t>《关于吉林紫鑫药业股份有限公司内部控制鉴证报告</w:t>
                        </w:r>
                      </w:p>
                    </w:tc>
                  </w:tr>
                </w:tbl>
                <w:p>
                  <w:pPr/>
                </w:p>
              </w:txbxContent>
            </v:textbox>
            <w10:wrap type="none"/>
          </v:shape>
        </w:pict>
      </w:r>
      <w:r>
        <w:rPr>
          <w:rFonts w:ascii="宋体" w:hAnsi="宋体" w:cs="宋体" w:eastAsia="宋体" w:hint="default"/>
          <w:sz w:val="18"/>
          <w:szCs w:val="18"/>
        </w:rPr>
        <w:t>》</w:t>
      </w:r>
    </w:p>
    <w:p>
      <w:pPr>
        <w:spacing w:line="240" w:lineRule="auto" w:before="3"/>
        <w:rPr>
          <w:rFonts w:ascii="宋体" w:hAnsi="宋体" w:cs="宋体" w:eastAsia="宋体" w:hint="default"/>
          <w:sz w:val="21"/>
          <w:szCs w:val="21"/>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240" w:lineRule="auto" w:before="10"/>
        <w:rPr>
          <w:rFonts w:ascii="宋体" w:hAnsi="宋体" w:cs="宋体" w:eastAsia="宋体" w:hint="default"/>
          <w:sz w:val="20"/>
          <w:szCs w:val="20"/>
        </w:rPr>
      </w:pPr>
    </w:p>
    <w:p>
      <w:pPr>
        <w:spacing w:line="489" w:lineRule="auto" w:before="0"/>
        <w:ind w:left="153" w:right="4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8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六、年度报告重大差错责任追究制度的建立与执行情况" w:id="134"/>
      <w:bookmarkEnd w:id="134"/>
      <w:r>
        <w:rPr>
          <w:b w:val="0"/>
          <w:bCs w:val="0"/>
        </w:rPr>
      </w:r>
      <w:r>
        <w:rPr/>
        <w:t>六、年度报告重大差错责任追究制度的建立与执行情况</w:t>
      </w:r>
      <w:r>
        <w:rPr>
          <w:b w:val="0"/>
          <w:bCs w:val="0"/>
        </w:rPr>
      </w:r>
    </w:p>
    <w:p>
      <w:pPr>
        <w:spacing w:line="240" w:lineRule="auto" w:before="0"/>
        <w:rPr>
          <w:rFonts w:ascii="宋体" w:hAnsi="宋体" w:cs="宋体" w:eastAsia="宋体" w:hint="default"/>
          <w:b/>
          <w:bCs/>
          <w:sz w:val="24"/>
          <w:szCs w:val="24"/>
        </w:rPr>
      </w:pPr>
    </w:p>
    <w:p>
      <w:pPr>
        <w:pStyle w:val="BodyText"/>
        <w:spacing w:line="410" w:lineRule="auto" w:before="163"/>
        <w:ind w:right="0" w:firstLine="420"/>
        <w:jc w:val="left"/>
      </w:pPr>
      <w:r>
        <w:rPr>
          <w:spacing w:val="-1"/>
        </w:rPr>
        <w:t>公司已严格按照中国证监会、深圳证券交易所等监管部门的要求，制定了《年报信息披露重大差错责</w:t>
      </w:r>
      <w:r>
        <w:rPr/>
        <w:t> 任追究制度》，报告期内未发生重大会计差错更正、重大遗漏信息补充的情况。</w:t>
      </w:r>
    </w:p>
    <w:p>
      <w:pPr>
        <w:spacing w:after="0" w:line="41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1"/>
        <w:spacing w:line="240" w:lineRule="auto"/>
        <w:ind w:left="3607" w:right="0"/>
        <w:jc w:val="left"/>
        <w:rPr>
          <w:b w:val="0"/>
          <w:bCs w:val="0"/>
        </w:rPr>
      </w:pPr>
      <w:bookmarkStart w:name="_TOC_250001" w:id="135"/>
      <w:bookmarkStart w:name="第十一节 财务报告" w:id="136"/>
      <w:r>
        <w:rPr>
          <w:b w:val="0"/>
          <w:bCs w:val="0"/>
        </w:rPr>
      </w:r>
      <w:r>
        <w:rPr/>
        <w:t>第十一节</w:t>
      </w:r>
      <w:r>
        <w:rPr>
          <w:spacing w:val="-6"/>
        </w:rPr>
        <w:t> </w:t>
      </w:r>
      <w:r>
        <w:rPr/>
        <w:t>财务报告</w:t>
      </w:r>
      <w:bookmarkEnd w:id="13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审计报告" w:id="137"/>
      <w:bookmarkEnd w:id="137"/>
      <w:r>
        <w:rPr>
          <w:b w:val="0"/>
          <w:bCs w:val="0"/>
        </w:rPr>
      </w:r>
      <w:r>
        <w:rPr/>
        <w:t>一、审计报告</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559"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558"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558"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中准会计师事务所（特殊普通合伙）</w:t>
            </w:r>
          </w:p>
        </w:tc>
      </w:tr>
      <w:tr>
        <w:trPr>
          <w:trHeight w:val="558"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1023</w:t>
            </w:r>
          </w:p>
        </w:tc>
      </w:tr>
      <w:tr>
        <w:trPr>
          <w:trHeight w:val="559"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韩波、支力</w:t>
            </w:r>
          </w:p>
        </w:tc>
      </w:tr>
    </w:tbl>
    <w:p>
      <w:pPr>
        <w:spacing w:line="240" w:lineRule="auto" w:before="6"/>
        <w:rPr>
          <w:rFonts w:ascii="宋体" w:hAnsi="宋体" w:cs="宋体" w:eastAsia="宋体" w:hint="default"/>
          <w:b/>
          <w:bCs/>
          <w:sz w:val="6"/>
          <w:szCs w:val="6"/>
        </w:rPr>
      </w:pPr>
    </w:p>
    <w:p>
      <w:pPr>
        <w:spacing w:after="0" w:line="240" w:lineRule="auto"/>
        <w:rPr>
          <w:rFonts w:ascii="宋体" w:hAnsi="宋体" w:cs="宋体" w:eastAsia="宋体" w:hint="default"/>
          <w:sz w:val="6"/>
          <w:szCs w:val="6"/>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spacing w:line="835" w:lineRule="exact"/>
        <w:ind w:left="154" w:right="0" w:firstLine="0"/>
        <w:rPr>
          <w:rFonts w:ascii="宋体" w:hAnsi="宋体" w:cs="宋体" w:eastAsia="宋体" w:hint="default"/>
          <w:sz w:val="20"/>
          <w:szCs w:val="20"/>
        </w:rPr>
      </w:pPr>
      <w:r>
        <w:rPr>
          <w:rFonts w:ascii="宋体" w:hAnsi="宋体" w:cs="宋体" w:eastAsia="宋体" w:hint="default"/>
          <w:position w:val="-16"/>
          <w:sz w:val="20"/>
          <w:szCs w:val="20"/>
        </w:rPr>
        <w:drawing>
          <wp:inline distT="0" distB="0" distL="0" distR="0">
            <wp:extent cx="609016" cy="530351"/>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17" cstate="print"/>
                    <a:stretch>
                      <a:fillRect/>
                    </a:stretch>
                  </pic:blipFill>
                  <pic:spPr>
                    <a:xfrm>
                      <a:off x="0" y="0"/>
                      <a:ext cx="609016" cy="530351"/>
                    </a:xfrm>
                    <a:prstGeom prst="rect">
                      <a:avLst/>
                    </a:prstGeom>
                  </pic:spPr>
                </pic:pic>
              </a:graphicData>
            </a:graphic>
          </wp:inline>
        </w:drawing>
      </w:r>
      <w:r>
        <w:rPr>
          <w:rFonts w:ascii="宋体" w:hAnsi="宋体" w:cs="宋体" w:eastAsia="宋体" w:hint="default"/>
          <w:position w:val="-16"/>
          <w:sz w:val="20"/>
          <w:szCs w:val="20"/>
        </w:rPr>
      </w:r>
    </w:p>
    <w:p>
      <w:pPr>
        <w:pStyle w:val="BodyText"/>
        <w:spacing w:line="240" w:lineRule="auto" w:before="115"/>
        <w:ind w:right="-19"/>
        <w:jc w:val="left"/>
      </w:pPr>
      <w:r>
        <w:rPr/>
        <w:t>中准会计师事务所（特殊普通合伙）</w:t>
      </w:r>
    </w:p>
    <w:p>
      <w:pPr>
        <w:spacing w:before="44"/>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515" w:space="765"/>
            <w:col w:w="6650"/>
          </w:cols>
        </w:sectPr>
      </w:pPr>
    </w:p>
    <w:p>
      <w:pPr>
        <w:spacing w:line="240" w:lineRule="auto" w:before="13"/>
        <w:rPr>
          <w:rFonts w:ascii="宋体" w:hAnsi="宋体" w:cs="宋体" w:eastAsia="宋体" w:hint="default"/>
          <w:sz w:val="12"/>
          <w:szCs w:val="12"/>
        </w:rPr>
      </w:pPr>
    </w:p>
    <w:p>
      <w:pPr>
        <w:pStyle w:val="BodyText"/>
        <w:tabs>
          <w:tab w:pos="5116" w:val="left" w:leader="none"/>
        </w:tabs>
        <w:spacing w:line="240" w:lineRule="auto" w:before="73"/>
        <w:ind w:left="154" w:right="0"/>
        <w:jc w:val="left"/>
        <w:rPr>
          <w:rFonts w:ascii="Times New Roman" w:hAnsi="Times New Roman" w:cs="Times New Roman" w:eastAsia="Times New Roman" w:hint="default"/>
        </w:rPr>
      </w:pPr>
      <w:r>
        <w:rPr>
          <w:rFonts w:ascii="Times New Roman"/>
        </w:rPr>
      </w:r>
      <w:r>
        <w:rPr>
          <w:rFonts w:ascii="Times New Roman"/>
          <w:u w:val="single" w:color="000000"/>
        </w:rPr>
        <w:t>Zhongzhun Certified Public</w:t>
      </w:r>
      <w:r>
        <w:rPr>
          <w:rFonts w:ascii="Times New Roman"/>
          <w:spacing w:val="-7"/>
          <w:u w:val="single" w:color="000000"/>
        </w:rPr>
        <w:t> </w:t>
      </w:r>
      <w:r>
        <w:rPr>
          <w:rFonts w:ascii="Times New Roman"/>
          <w:u w:val="single" w:color="000000"/>
        </w:rPr>
        <w:t>Accountants</w:t>
        <w:tab/>
      </w:r>
      <w:r>
        <w:rPr>
          <w:rFonts w:ascii="Times New Roman"/>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pStyle w:val="Heading4"/>
        <w:spacing w:line="240" w:lineRule="auto"/>
        <w:ind w:left="2785" w:right="3763"/>
        <w:jc w:val="center"/>
        <w:rPr>
          <w:b w:val="0"/>
          <w:bCs w:val="0"/>
        </w:rPr>
      </w:pPr>
      <w:r>
        <w:rPr/>
        <w:t>审  计  报</w:t>
      </w:r>
      <w:r>
        <w:rPr>
          <w:spacing w:val="6"/>
        </w:rPr>
        <w:t> </w:t>
      </w:r>
      <w:r>
        <w:rPr/>
        <w:t>告</w:t>
      </w:r>
      <w:r>
        <w:rPr>
          <w:b w:val="0"/>
          <w:bCs w:val="0"/>
        </w:rPr>
      </w:r>
    </w:p>
    <w:p>
      <w:pPr>
        <w:spacing w:line="240" w:lineRule="auto" w:before="6"/>
        <w:rPr>
          <w:rFonts w:ascii="宋体" w:hAnsi="宋体" w:cs="宋体" w:eastAsia="宋体" w:hint="default"/>
          <w:b/>
          <w:bCs/>
          <w:sz w:val="22"/>
          <w:szCs w:val="22"/>
        </w:rPr>
      </w:pPr>
    </w:p>
    <w:p>
      <w:pPr>
        <w:pStyle w:val="BodyText"/>
        <w:spacing w:line="240" w:lineRule="auto"/>
        <w:ind w:left="2786" w:right="3761"/>
        <w:jc w:val="center"/>
      </w:pPr>
      <w:r>
        <w:rPr/>
        <w:t>中准审字</w:t>
      </w:r>
      <w:r>
        <w:rPr>
          <w:rFonts w:ascii="Times New Roman" w:hAnsi="Times New Roman" w:cs="Times New Roman" w:eastAsia="Times New Roman" w:hint="default"/>
        </w:rPr>
        <w:t>[2015]1023</w:t>
      </w:r>
      <w:r>
        <w:rPr/>
        <w:t>号</w:t>
      </w:r>
    </w:p>
    <w:p>
      <w:pPr>
        <w:spacing w:line="240" w:lineRule="auto" w:before="11"/>
        <w:rPr>
          <w:rFonts w:ascii="宋体" w:hAnsi="宋体" w:cs="宋体" w:eastAsia="宋体" w:hint="default"/>
          <w:sz w:val="10"/>
          <w:szCs w:val="10"/>
        </w:rPr>
      </w:pPr>
    </w:p>
    <w:p>
      <w:pPr>
        <w:pStyle w:val="BodyText"/>
        <w:spacing w:line="240" w:lineRule="auto" w:before="35"/>
        <w:ind w:right="0"/>
        <w:jc w:val="left"/>
      </w:pPr>
      <w:r>
        <w:rPr/>
        <w:t>吉林紫鑫药业股份有限公司全体股东：</w:t>
      </w:r>
    </w:p>
    <w:p>
      <w:pPr>
        <w:spacing w:line="240" w:lineRule="auto" w:before="9"/>
        <w:rPr>
          <w:rFonts w:ascii="宋体" w:hAnsi="宋体" w:cs="宋体" w:eastAsia="宋体" w:hint="default"/>
          <w:sz w:val="26"/>
          <w:szCs w:val="26"/>
        </w:rPr>
      </w:pPr>
    </w:p>
    <w:p>
      <w:pPr>
        <w:pStyle w:val="BodyText"/>
        <w:spacing w:line="386" w:lineRule="auto"/>
        <w:ind w:right="1132" w:firstLine="420"/>
        <w:jc w:val="both"/>
      </w:pPr>
      <w:r>
        <w:rPr/>
        <w:t>我们审计了后附的吉林紫鑫药业股份有限公司（以下简称</w:t>
      </w:r>
      <w:r>
        <w:rPr>
          <w:rFonts w:ascii="Times New Roman" w:hAnsi="Times New Roman" w:cs="Times New Roman" w:eastAsia="Times New Roman" w:hint="default"/>
        </w:rPr>
        <w:t>“</w:t>
      </w:r>
      <w:r>
        <w:rPr/>
        <w:t>紫鑫药业</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1"/>
        </w:rPr>
        <w:t>日的合并及母公司资产负债表，</w:t>
      </w:r>
      <w:r>
        <w:rPr>
          <w:rFonts w:ascii="Times New Roman" w:hAnsi="Times New Roman" w:cs="Times New Roman" w:eastAsia="Times New Roman" w:hint="default"/>
          <w:spacing w:val="-1"/>
        </w:rPr>
        <w:t>2014</w:t>
      </w:r>
      <w:r>
        <w:rPr>
          <w:spacing w:val="-1"/>
        </w:rPr>
        <w:t>年度的合并及母公司利润表、合并及母公司现金流量表和合并及母公</w:t>
      </w:r>
      <w:r>
        <w:rPr>
          <w:spacing w:val="-81"/>
        </w:rPr>
        <w:t> </w:t>
      </w:r>
      <w:r>
        <w:rPr>
          <w:spacing w:val="-81"/>
        </w:rPr>
      </w:r>
      <w:r>
        <w:rPr/>
        <w:t>司所有者权益变动表以及财务报表附注。</w:t>
      </w:r>
    </w:p>
    <w:p>
      <w:pPr>
        <w:spacing w:line="408" w:lineRule="auto" w:before="65"/>
        <w:ind w:left="646" w:right="1195"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z w:val="21"/>
          <w:szCs w:val="21"/>
        </w:rPr>
        <w:t>编制和公允列报财务报表是紫鑫药业的管理层的责任，这种责任包括：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按照企业会计准则的规定</w:t>
      </w:r>
    </w:p>
    <w:p>
      <w:pPr>
        <w:pStyle w:val="BodyText"/>
        <w:spacing w:line="386" w:lineRule="auto" w:before="14"/>
        <w:ind w:right="0"/>
        <w:jc w:val="left"/>
      </w:pPr>
      <w:r>
        <w:rPr>
          <w:spacing w:val="-2"/>
        </w:rPr>
        <w:t>编制财务报表，并使其实现公允反映；</w:t>
      </w:r>
      <w:r>
        <w:rPr>
          <w:rFonts w:ascii="Times New Roman" w:hAnsi="Times New Roman" w:cs="Times New Roman" w:eastAsia="Times New Roman" w:hint="default"/>
          <w:spacing w:val="-2"/>
        </w:rPr>
        <w:t>(2)</w:t>
      </w:r>
      <w:r>
        <w:rPr>
          <w:spacing w:val="-2"/>
        </w:rPr>
        <w:t>设计、执行和维护必要的内部控制，以使财务报表不存在由于舞</w:t>
      </w:r>
      <w:r>
        <w:rPr>
          <w:spacing w:val="-68"/>
        </w:rPr>
        <w:t> </w:t>
      </w:r>
      <w:r>
        <w:rPr>
          <w:spacing w:val="-68"/>
        </w:rPr>
      </w:r>
      <w:r>
        <w:rPr/>
        <w:t>弊或错误而导致的重大错报。</w:t>
      </w:r>
    </w:p>
    <w:p>
      <w:pPr>
        <w:pStyle w:val="BodyText"/>
        <w:spacing w:line="408" w:lineRule="auto" w:before="65"/>
        <w:ind w:left="646" w:right="0" w:firstLine="2"/>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3"/>
        </w:rPr>
        <w:t>我们的责任是在执行审计工作的基础上对财务报表发表审计意见。我们按照中国注册会计师审计准则</w:t>
      </w:r>
    </w:p>
    <w:p>
      <w:pPr>
        <w:spacing w:after="0" w:line="408"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的规定执行了审计工作。中国注册会计师审计准则要求我们遵守中国注册会计师职业道德守则，计划和执</w:t>
      </w:r>
      <w:r>
        <w:rPr>
          <w:spacing w:val="-81"/>
        </w:rPr>
        <w:t> </w:t>
      </w:r>
      <w:r>
        <w:rPr>
          <w:spacing w:val="-81"/>
        </w:rPr>
      </w:r>
      <w:r>
        <w:rPr/>
        <w:t>行审计工作以对财务报表是否不存在重大错报获取合理保证。</w:t>
      </w:r>
    </w:p>
    <w:p>
      <w:pPr>
        <w:pStyle w:val="BodyText"/>
        <w:spacing w:line="408" w:lineRule="auto" w:before="46"/>
        <w:ind w:right="1131" w:firstLine="492"/>
        <w:jc w:val="both"/>
      </w:pPr>
      <w:r>
        <w:rPr>
          <w:spacing w:val="-3"/>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会计师考虑与财务报表编制和公允列报相关的内部控制，以设计恰当的审计程序，但目的并非对内部控制</w:t>
      </w:r>
      <w:r>
        <w:rPr>
          <w:spacing w:val="-81"/>
        </w:rPr>
        <w:t> </w:t>
      </w:r>
      <w:r>
        <w:rPr>
          <w:spacing w:val="-81"/>
        </w:rPr>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pStyle w:val="BodyText"/>
        <w:spacing w:line="408" w:lineRule="auto" w:before="46"/>
        <w:ind w:left="648" w:right="2923" w:hanging="15"/>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98" w:lineRule="auto" w:before="46"/>
        <w:ind w:right="1231" w:firstLine="492"/>
        <w:jc w:val="left"/>
      </w:pPr>
      <w:r>
        <w:rPr/>
        <w:t>我们认为，紫鑫药业财务报表在所有重大方面按照企业会计准则的规定编制，公允反映了紫鑫药业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2014</w:t>
      </w:r>
      <w:r>
        <w:rPr/>
        <w:t>年度的合并及母公司经营成果和合并及母公司现金流 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tbl>
      <w:tblPr>
        <w:tblW w:w="0" w:type="auto"/>
        <w:jc w:val="left"/>
        <w:tblInd w:w="396" w:type="dxa"/>
        <w:tblLayout w:type="fixed"/>
        <w:tblCellMar>
          <w:top w:w="0" w:type="dxa"/>
          <w:left w:w="0" w:type="dxa"/>
          <w:bottom w:w="0" w:type="dxa"/>
          <w:right w:w="0" w:type="dxa"/>
        </w:tblCellMar>
        <w:tblLook w:val="01E0"/>
      </w:tblPr>
      <w:tblGrid>
        <w:gridCol w:w="7336"/>
      </w:tblGrid>
      <w:tr>
        <w:trPr>
          <w:trHeight w:val="339" w:hRule="exact"/>
        </w:trPr>
        <w:tc>
          <w:tcPr>
            <w:tcW w:w="7336" w:type="dxa"/>
            <w:tcBorders>
              <w:top w:val="nil" w:sz="6" w:space="0" w:color="auto"/>
              <w:left w:val="nil" w:sz="6" w:space="0" w:color="auto"/>
              <w:bottom w:val="nil" w:sz="6" w:space="0" w:color="auto"/>
              <w:right w:val="nil" w:sz="6" w:space="0" w:color="auto"/>
            </w:tcBorders>
          </w:tcPr>
          <w:p>
            <w:pPr>
              <w:pStyle w:val="TableParagraph"/>
              <w:spacing w:line="210" w:lineRule="exact"/>
              <w:ind w:left="4015" w:right="0"/>
              <w:jc w:val="left"/>
              <w:rPr>
                <w:rFonts w:ascii="宋体" w:hAnsi="宋体" w:cs="宋体" w:eastAsia="宋体" w:hint="default"/>
                <w:sz w:val="21"/>
                <w:szCs w:val="21"/>
              </w:rPr>
            </w:pPr>
            <w:r>
              <w:rPr>
                <w:rFonts w:ascii="宋体" w:hAnsi="宋体" w:cs="宋体" w:eastAsia="宋体" w:hint="default"/>
                <w:sz w:val="21"/>
                <w:szCs w:val="21"/>
              </w:rPr>
              <w:t>中国注册会计师：韩波</w:t>
            </w:r>
          </w:p>
        </w:tc>
      </w:tr>
      <w:tr>
        <w:trPr>
          <w:trHeight w:val="478" w:hRule="exact"/>
        </w:trPr>
        <w:tc>
          <w:tcPr>
            <w:tcW w:w="733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0" w:right="0"/>
              <w:jc w:val="left"/>
              <w:rPr>
                <w:rFonts w:ascii="宋体" w:hAnsi="宋体" w:cs="宋体" w:eastAsia="宋体" w:hint="default"/>
                <w:sz w:val="21"/>
                <w:szCs w:val="21"/>
              </w:rPr>
            </w:pPr>
            <w:r>
              <w:rPr>
                <w:rFonts w:ascii="宋体" w:hAnsi="宋体" w:cs="宋体" w:eastAsia="宋体" w:hint="default"/>
                <w:sz w:val="21"/>
                <w:szCs w:val="21"/>
              </w:rPr>
              <w:t>中准会计师事务所（特殊普通合伙）</w:t>
            </w:r>
          </w:p>
        </w:tc>
      </w:tr>
      <w:tr>
        <w:trPr>
          <w:trHeight w:val="488" w:hRule="exact"/>
        </w:trPr>
        <w:tc>
          <w:tcPr>
            <w:tcW w:w="733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015" w:right="0"/>
              <w:jc w:val="left"/>
              <w:rPr>
                <w:rFonts w:ascii="宋体" w:hAnsi="宋体" w:cs="宋体" w:eastAsia="宋体" w:hint="default"/>
                <w:sz w:val="21"/>
                <w:szCs w:val="21"/>
              </w:rPr>
            </w:pPr>
            <w:r>
              <w:rPr>
                <w:rFonts w:ascii="宋体" w:hAnsi="宋体" w:cs="宋体" w:eastAsia="宋体" w:hint="default"/>
                <w:sz w:val="21"/>
                <w:szCs w:val="21"/>
              </w:rPr>
              <w:t>中国注册会计师：支力</w:t>
            </w:r>
          </w:p>
        </w:tc>
      </w:tr>
      <w:tr>
        <w:trPr>
          <w:trHeight w:val="982" w:hRule="exact"/>
        </w:trPr>
        <w:tc>
          <w:tcPr>
            <w:tcW w:w="733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425" w:right="0"/>
              <w:jc w:val="left"/>
              <w:rPr>
                <w:rFonts w:ascii="宋体" w:hAnsi="宋体" w:cs="宋体" w:eastAsia="宋体" w:hint="default"/>
                <w:sz w:val="21"/>
                <w:szCs w:val="21"/>
              </w:rPr>
            </w:pP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p>
        </w:tc>
      </w:tr>
      <w:tr>
        <w:trPr>
          <w:trHeight w:val="831" w:hRule="exact"/>
        </w:trPr>
        <w:tc>
          <w:tcPr>
            <w:tcW w:w="73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98"/>
              <w:jc w:val="right"/>
              <w:rPr>
                <w:rFonts w:ascii="宋体" w:hAnsi="宋体" w:cs="宋体" w:eastAsia="宋体" w:hint="default"/>
                <w:sz w:val="21"/>
                <w:szCs w:val="21"/>
              </w:rPr>
            </w:pPr>
            <w:r>
              <w:rPr>
                <w:rFonts w:ascii="宋体" w:hAnsi="宋体" w:cs="宋体" w:eastAsia="宋体" w:hint="default"/>
                <w:sz w:val="21"/>
                <w:szCs w:val="21"/>
              </w:rPr>
              <w:t>二Ｏ一五年二月十六日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5259" w:val="left" w:leader="none"/>
          <w:tab w:pos="5409" w:val="left" w:leader="none"/>
          <w:tab w:pos="7025" w:val="left" w:leader="none"/>
        </w:tabs>
        <w:spacing w:line="408" w:lineRule="auto" w:before="192"/>
        <w:ind w:left="154" w:right="2042" w:firstLine="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主题词：</w:t>
      </w:r>
      <w:r>
        <w:rPr>
          <w:rFonts w:ascii="宋体" w:hAnsi="宋体" w:cs="宋体" w:eastAsia="宋体" w:hint="default"/>
          <w:b/>
          <w:bCs/>
          <w:spacing w:val="-21"/>
          <w:sz w:val="21"/>
          <w:szCs w:val="21"/>
        </w:rPr>
        <w:t> </w:t>
      </w:r>
      <w:r>
        <w:rPr>
          <w:rFonts w:ascii="宋体" w:hAnsi="宋体" w:cs="宋体" w:eastAsia="宋体" w:hint="default"/>
          <w:b/>
          <w:bCs/>
          <w:sz w:val="21"/>
          <w:szCs w:val="21"/>
        </w:rPr>
        <w:t>吉林紫鑫药业股份有限公司</w:t>
        <w:tab/>
        <w:tab/>
        <w:t>审计报告</w:t>
      </w:r>
      <w:r>
        <w:rPr>
          <w:rFonts w:ascii="宋体" w:hAnsi="宋体" w:cs="宋体" w:eastAsia="宋体" w:hint="default"/>
          <w:b/>
          <w:bCs/>
          <w:w w:val="99"/>
          <w:sz w:val="21"/>
          <w:szCs w:val="21"/>
        </w:rPr>
        <w:t> </w:t>
      </w:r>
      <w:r>
        <w:rPr>
          <w:rFonts w:ascii="宋体" w:hAnsi="宋体" w:cs="宋体" w:eastAsia="宋体" w:hint="default"/>
          <w:spacing w:val="-1"/>
          <w:sz w:val="21"/>
          <w:szCs w:val="21"/>
        </w:rPr>
        <w:t>地址：北京市海淀区首体南路</w:t>
      </w:r>
      <w:r>
        <w:rPr>
          <w:rFonts w:ascii="Times New Roman" w:hAnsi="Times New Roman" w:cs="Times New Roman" w:eastAsia="Times New Roman" w:hint="default"/>
          <w:spacing w:val="-1"/>
          <w:sz w:val="21"/>
          <w:szCs w:val="21"/>
        </w:rPr>
        <w:t>22</w:t>
      </w:r>
      <w:r>
        <w:rPr>
          <w:rFonts w:ascii="宋体" w:hAnsi="宋体" w:cs="宋体" w:eastAsia="宋体" w:hint="default"/>
          <w:spacing w:val="-1"/>
          <w:sz w:val="21"/>
          <w:szCs w:val="21"/>
        </w:rPr>
        <w:t>号楼</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层</w:t>
        <w:tab/>
      </w:r>
      <w:r>
        <w:rPr>
          <w:rFonts w:ascii="宋体" w:hAnsi="宋体" w:cs="宋体" w:eastAsia="宋体" w:hint="default"/>
          <w:sz w:val="21"/>
          <w:szCs w:val="21"/>
        </w:rPr>
        <w:t>邮编：</w:t>
      </w:r>
      <w:r>
        <w:rPr>
          <w:rFonts w:ascii="Times New Roman" w:hAnsi="Times New Roman" w:cs="Times New Roman" w:eastAsia="Times New Roman" w:hint="default"/>
          <w:sz w:val="21"/>
          <w:szCs w:val="21"/>
        </w:rPr>
        <w:t>100044</w:t>
        <w:tab/>
      </w:r>
      <w:r>
        <w:rPr>
          <w:rFonts w:ascii="宋体" w:hAnsi="宋体" w:cs="宋体" w:eastAsia="宋体" w:hint="default"/>
          <w:spacing w:val="-1"/>
          <w:sz w:val="21"/>
          <w:szCs w:val="21"/>
        </w:rPr>
        <w:t>电话：</w:t>
      </w:r>
      <w:r>
        <w:rPr>
          <w:rFonts w:ascii="Times New Roman" w:hAnsi="Times New Roman" w:cs="Times New Roman" w:eastAsia="Times New Roman" w:hint="default"/>
          <w:spacing w:val="-1"/>
          <w:sz w:val="21"/>
          <w:szCs w:val="21"/>
        </w:rPr>
        <w:t>010-88356126</w:t>
      </w:r>
    </w:p>
    <w:p>
      <w:pPr>
        <w:pStyle w:val="BodyText"/>
        <w:tabs>
          <w:tab w:pos="6522" w:val="left" w:leader="none"/>
          <w:tab w:pos="9062" w:val="left" w:leader="none"/>
        </w:tabs>
        <w:spacing w:line="427" w:lineRule="auto" w:before="14"/>
        <w:ind w:left="154" w:right="1522"/>
        <w:jc w:val="left"/>
        <w:rPr>
          <w:rFonts w:ascii="Times New Roman" w:hAnsi="Times New Roman" w:cs="Times New Roman" w:eastAsia="Times New Roman" w:hint="default"/>
        </w:rPr>
      </w:pPr>
      <w:r>
        <w:rPr>
          <w:rFonts w:ascii="Times New Roman" w:hAnsi="Times New Roman" w:cs="Times New Roman" w:eastAsia="Times New Roman" w:hint="default"/>
        </w:rPr>
        <w:t>Add: 4th Floor</w:t>
      </w:r>
      <w:r>
        <w:rPr/>
        <w:t>，</w:t>
      </w:r>
      <w:r>
        <w:rPr>
          <w:rFonts w:ascii="Times New Roman" w:hAnsi="Times New Roman" w:cs="Times New Roman" w:eastAsia="Times New Roman" w:hint="default"/>
        </w:rPr>
        <w:t>No.22</w:t>
      </w:r>
      <w:r>
        <w:rPr/>
        <w:t>，</w:t>
      </w:r>
      <w:r>
        <w:rPr>
          <w:rFonts w:ascii="Times New Roman" w:hAnsi="Times New Roman" w:cs="Times New Roman" w:eastAsia="Times New Roman" w:hint="default"/>
        </w:rPr>
        <w:t>Shouti South Road, Haidian District,</w:t>
      </w:r>
      <w:r>
        <w:rPr>
          <w:rFonts w:ascii="Times New Roman" w:hAnsi="Times New Roman" w:cs="Times New Roman" w:eastAsia="Times New Roman" w:hint="default"/>
          <w:spacing w:val="-13"/>
        </w:rPr>
        <w:t> </w:t>
      </w:r>
      <w:r>
        <w:rPr>
          <w:rFonts w:ascii="Times New Roman" w:hAnsi="Times New Roman" w:cs="Times New Roman" w:eastAsia="Times New Roman" w:hint="default"/>
        </w:rPr>
        <w:t>Beijing</w:t>
        <w:tab/>
        <w:t>Postal code:</w:t>
      </w:r>
      <w:r>
        <w:rPr>
          <w:rFonts w:ascii="Times New Roman" w:hAnsi="Times New Roman" w:cs="Times New Roman" w:eastAsia="Times New Roman" w:hint="default"/>
          <w:spacing w:val="-4"/>
        </w:rPr>
        <w:t> </w:t>
      </w:r>
      <w:r>
        <w:rPr>
          <w:rFonts w:ascii="Times New Roman" w:hAnsi="Times New Roman" w:cs="Times New Roman" w:eastAsia="Times New Roman" w:hint="default"/>
        </w:rPr>
        <w:t>100044</w:t>
        <w:tab/>
        <w:t>Tel:</w:t>
      </w:r>
      <w:r>
        <w:rPr>
          <w:rFonts w:ascii="Times New Roman" w:hAnsi="Times New Roman" w:cs="Times New Roman" w:eastAsia="Times New Roman" w:hint="default"/>
        </w:rPr>
        <w:t> 010-88356126</w:t>
      </w:r>
    </w:p>
    <w:p>
      <w:pPr>
        <w:spacing w:after="0" w:line="427"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二、财务报表" w:id="138"/>
      <w:bookmarkEnd w:id="138"/>
      <w:r>
        <w:rPr>
          <w:b w:val="0"/>
          <w:bCs w:val="0"/>
        </w:rPr>
      </w:r>
      <w:r>
        <w:rPr/>
        <w:t>二、财务报表</w:t>
      </w:r>
      <w:r>
        <w:rPr>
          <w:b w:val="0"/>
          <w:bCs w:val="0"/>
        </w:rPr>
      </w:r>
    </w:p>
    <w:p>
      <w:pPr>
        <w:spacing w:line="240" w:lineRule="auto" w:before="0"/>
        <w:rPr>
          <w:rFonts w:ascii="宋体" w:hAnsi="宋体" w:cs="宋体" w:eastAsia="宋体" w:hint="default"/>
          <w:b/>
          <w:bCs/>
          <w:sz w:val="24"/>
          <w:szCs w:val="24"/>
        </w:rPr>
      </w:pPr>
    </w:p>
    <w:p>
      <w:pPr>
        <w:spacing w:before="190"/>
        <w:ind w:left="15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1、合并资产负债表" w:id="139"/>
      <w:bookmarkEnd w:id="13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编制单位：吉林紫鑫药业股份有限公司</w:t>
      </w:r>
    </w:p>
    <w:p>
      <w:pPr>
        <w:spacing w:line="240" w:lineRule="auto" w:before="5"/>
        <w:rPr>
          <w:rFonts w:ascii="宋体" w:hAnsi="宋体" w:cs="宋体" w:eastAsia="宋体" w:hint="default"/>
          <w:sz w:val="17"/>
          <w:szCs w:val="17"/>
        </w:rPr>
      </w:pPr>
    </w:p>
    <w:p>
      <w:pPr>
        <w:spacing w:before="44"/>
        <w:ind w:left="2786" w:right="3763"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6"/>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134,102,455.21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111,615,632.78</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9,689,780.60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3,614,662.87</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577,315,165.77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265,639,939.35</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32,813,828.81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223,220,308.43</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64,823,895.75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60,469,756.66</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1,962,535,597.09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1,825,585,814.20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159,745,626.05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190,231,243.27</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2,941,026,349.28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2,680,377,357.56</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679,132,545.54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575,326,369.45</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212,216,061.52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304,546,690.39</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164,981,382.70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170,237,523.46</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16,110,522.85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3,823,945.58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825,493.43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7,126,678.56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5,139,568.13</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1,111,391,136.75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1,097,675,644.86</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4,052,417,486.03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3,778,053,002.42</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1,355,000,000.00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1,148,000,000.00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87,143,460.30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77,788,557.82</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1,700,352.74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800,641.90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328,099.87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308,397.03</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5,434,601.38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2,516,181.34</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13,126,360.10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809,493.75</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1,802,732,874.39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1,230,223,271.84</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550,000,000.00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53,423,425.24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50,370,797.94</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590,333.34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624,066.67</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254,273,758.58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601,894,864.61</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2,057,006,632.97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1,832,118,136.45</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512,991,382.00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512,991,382.00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719,482,283.90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719,482,283.90</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4,469,666.65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4,435,933.33</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70,389,269.23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68,963,686.07</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685,842,155.54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640,074,582.30</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1,993,174,757.32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1,945,947,867.60</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2,236,095.74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-13,001.63</w:t>
            </w:r>
            <w:r>
              <w:rPr>
                <w:rFonts w:ascii="Times New Roman"/>
                <w:sz w:val="18"/>
              </w:rPr>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1,995,410,853.06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1,945,934,865.97</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4,052,417,486.03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3,778,053,002.42</w:t>
            </w:r>
          </w:p>
        </w:tc>
      </w:tr>
    </w:tbl>
    <w:p>
      <w:pPr>
        <w:spacing w:line="240" w:lineRule="auto" w:before="0"/>
        <w:rPr>
          <w:rFonts w:ascii="Times New Roman" w:hAnsi="Times New Roman" w:cs="Times New Roman" w:eastAsia="Times New Roman" w:hint="default"/>
          <w:sz w:val="20"/>
          <w:szCs w:val="20"/>
        </w:rPr>
      </w:pPr>
    </w:p>
    <w:p>
      <w:pPr>
        <w:tabs>
          <w:tab w:pos="3574" w:val="left" w:leader="none"/>
          <w:tab w:pos="7715" w:val="left" w:leader="none"/>
        </w:tabs>
        <w:spacing w:before="159"/>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法定代表人：郭春林</w:t>
        <w:tab/>
        <w:t>主管会计工作负责人：张忠伟</w:t>
        <w:tab/>
        <w:t>会计机构负责人：邵天宇</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2、母公司资产负债表" w:id="140"/>
      <w:bookmarkEnd w:id="14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35,993,908.42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6,929,567.59</w:t>
            </w: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9,519,780.60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2,962,011.87</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549,543,465.18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565,955,932.26</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11,981,336.28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205,415,969.23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594,752,659.70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352,896,037.59</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607,253,338.42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745,296,977.61</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35,374,388.93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44,880,086.72</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1,844,418,877.53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1,924,336,582.87</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1,173,687,641.41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1,158,287,641.41</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162,216,084.63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179,939,279.12</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15,459,635.51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10,832,396.18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11,155,885.46</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288,888.80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3,446,150.04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3,023,205.78</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1,406,641,907.77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1,393,694,900.57</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3,251,060,785.30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3,318,031,483.44</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1,125,000,000.00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1,103,000,000.00</w:t>
            </w: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35,803,673.27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30,287,321.82</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189,579.24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165,829.47</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4,381,636.62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1,903,613.17</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23,443,697.04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124,548,351.47</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1,528,818,586.17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1,259,905,115.93</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350,000,000.00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8"/>
          <w:pgSz w:w="11910" w:h="16840"/>
          <w:pgMar w:footer="979" w:header="74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350,900,000.00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1,529,578,586.17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1,610,805,115.93</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512,991,382.00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512,991,382.00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719,482,283.90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719,482,283.90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69,227,518.52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67,801,935.36</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419,781,014.71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406,950,766.25</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1,721,482,199.13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1,707,226,367.51</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3,251,060,785.30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3,318,031,483.44</w:t>
            </w:r>
          </w:p>
        </w:tc>
      </w:tr>
    </w:tbl>
    <w:p>
      <w:pPr>
        <w:spacing w:after="0" w:line="240" w:lineRule="auto"/>
        <w:jc w:val="right"/>
        <w:rPr>
          <w:rFonts w:ascii="Times New Roman" w:hAnsi="Times New Roman" w:cs="Times New Roman" w:eastAsia="Times New Roman" w:hint="default"/>
          <w:sz w:val="18"/>
          <w:szCs w:val="18"/>
        </w:rPr>
        <w:sectPr>
          <w:footerReference w:type="default" r:id="rId19"/>
          <w:pgSz w:w="11910" w:h="16840"/>
          <w:pgMar w:footer="979" w:header="747"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p>
      <w:pPr>
        <w:pStyle w:val="Heading4"/>
        <w:spacing w:line="240" w:lineRule="auto"/>
        <w:ind w:right="0"/>
        <w:jc w:val="left"/>
        <w:rPr>
          <w:b w:val="0"/>
          <w:bCs w:val="0"/>
        </w:rPr>
      </w:pPr>
      <w:bookmarkStart w:name="3、合并利润表" w:id="141"/>
      <w:bookmarkEnd w:id="14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55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775,714,633.85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474,666,795.22</w:t>
            </w:r>
          </w:p>
        </w:tc>
      </w:tr>
      <w:tr>
        <w:trPr>
          <w:trHeight w:val="55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775,714,633.85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474,666,795.22</w:t>
            </w:r>
          </w:p>
        </w:tc>
      </w:tr>
      <w:tr>
        <w:trPr>
          <w:trHeight w:val="55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768,634,475.86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442,799,153.01</w:t>
            </w:r>
          </w:p>
        </w:tc>
      </w:tr>
      <w:tr>
        <w:trPr>
          <w:trHeight w:val="55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347,911,091.13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146,832,291.96</w:t>
            </w:r>
          </w:p>
        </w:tc>
      </w:tr>
      <w:tr>
        <w:trPr>
          <w:trHeight w:val="55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5,669,349.73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4,341,346.02</w:t>
            </w:r>
          </w:p>
        </w:tc>
      </w:tr>
      <w:tr>
        <w:trPr>
          <w:trHeight w:val="55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121,821,299.94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89,087,636.32</w:t>
            </w:r>
          </w:p>
        </w:tc>
      </w:tr>
      <w:tr>
        <w:trPr>
          <w:trHeight w:val="55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135,897,423.63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103,756,822.05</w:t>
            </w:r>
          </w:p>
        </w:tc>
      </w:tr>
      <w:tr>
        <w:trPr>
          <w:trHeight w:val="55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137,037,776.42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90,464,265.33</w:t>
            </w:r>
          </w:p>
        </w:tc>
      </w:tr>
      <w:tr>
        <w:trPr>
          <w:trHeight w:val="55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20,297,535.01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8,316,791.33</w:t>
            </w:r>
          </w:p>
        </w:tc>
      </w:tr>
      <w:tr>
        <w:trPr>
          <w:trHeight w:val="102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342.499969pt;width:157.7pt;height:27.45pt;mso-position-horizontal-relative:page;mso-position-vertical-relative:page;z-index:-915496" coordorigin="4245,6850" coordsize="3154,549">
            <v:shape style="position:absolute;left:4245;top:6850;width:3154;height:549" coordorigin="4245,6850" coordsize="3154,549" path="m4245,7398l7399,7398,7399,6850,4245,6850,4245,739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1105"/>
        <w:gridCol w:w="2105"/>
        <w:gridCol w:w="3276"/>
      </w:tblGrid>
      <w:tr>
        <w:trPr>
          <w:trHeight w:val="1026"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9,200,000.00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9,970,100.00</w:t>
            </w:r>
          </w:p>
        </w:tc>
      </w:tr>
      <w:tr>
        <w:trPr>
          <w:trHeight w:val="1026"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129"/>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9"/>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16,280,157.99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41,837,742.21</w:t>
            </w:r>
          </w:p>
        </w:tc>
      </w:tr>
      <w:tr>
        <w:trPr>
          <w:trHeight w:val="558"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31,267,181.65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16,195,245.88</w:t>
            </w:r>
          </w:p>
        </w:tc>
      </w:tr>
      <w:tr>
        <w:trPr>
          <w:trHeight w:val="558"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1,469,024.41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3,914,717.33</w:t>
            </w:r>
          </w:p>
        </w:tc>
      </w:tr>
      <w:tr>
        <w:trPr>
          <w:trHeight w:val="558"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327,136.96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36,611.37</w:t>
            </w:r>
          </w:p>
        </w:tc>
      </w:tr>
      <w:tr>
        <w:trPr>
          <w:trHeight w:val="558"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129"/>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42" w:right="0"/>
              <w:jc w:val="left"/>
              <w:rPr>
                <w:rFonts w:ascii="Times New Roman" w:hAnsi="Times New Roman" w:cs="Times New Roman" w:eastAsia="Times New Roman" w:hint="default"/>
                <w:sz w:val="18"/>
                <w:szCs w:val="18"/>
              </w:rPr>
            </w:pPr>
            <w:r>
              <w:rPr>
                <w:rFonts w:ascii="Times New Roman"/>
                <w:sz w:val="18"/>
              </w:rPr>
              <w:t>46,078,315.23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54,118,270.76</w:t>
            </w:r>
          </w:p>
        </w:tc>
      </w:tr>
      <w:tr>
        <w:trPr>
          <w:trHeight w:val="558"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-870,047.88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3,653,248.94</w:t>
            </w:r>
          </w:p>
        </w:tc>
      </w:tr>
      <w:tr>
        <w:trPr>
          <w:trHeight w:val="558"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46,948,363.11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50,465,021.82</w:t>
            </w:r>
          </w:p>
        </w:tc>
      </w:tr>
      <w:tr>
        <w:trPr>
          <w:trHeight w:val="558"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47,193,156.40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50,480,288.62</w:t>
            </w:r>
          </w:p>
        </w:tc>
      </w:tr>
      <w:tr>
        <w:trPr>
          <w:trHeight w:val="558"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-244,793.29</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-15,266.80</w:t>
            </w:r>
            <w:r>
              <w:rPr>
                <w:rFonts w:ascii="Times New Roman"/>
                <w:sz w:val="18"/>
              </w:rPr>
            </w:r>
          </w:p>
        </w:tc>
      </w:tr>
      <w:tr>
        <w:trPr>
          <w:trHeight w:val="558"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33,733.32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33,733.33</w:t>
            </w:r>
          </w:p>
        </w:tc>
      </w:tr>
      <w:tr>
        <w:trPr>
          <w:trHeight w:val="1026"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33,733.32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33,733.33</w:t>
            </w:r>
          </w:p>
        </w:tc>
      </w:tr>
      <w:tr>
        <w:trPr>
          <w:trHeight w:val="1026"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49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65" w:lineRule="auto" w:before="129"/>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9"/>
              <w:ind w:right="21"/>
              <w:jc w:val="righ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33,733.32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33,733.33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51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49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63" w:lineRule="auto" w:before="129"/>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33,733.32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33,733.33</w:t>
            </w: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46,982,096.43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50,498,755.15</w:t>
            </w: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47,226,889.72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50,514,021.95</w:t>
            </w:r>
          </w:p>
        </w:tc>
      </w:tr>
      <w:tr>
        <w:trPr>
          <w:trHeight w:val="55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-244,793.29</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-15,266.80</w:t>
            </w:r>
            <w:r>
              <w:rPr>
                <w:rFonts w:ascii="Times New Roman"/>
                <w:sz w:val="18"/>
              </w:rPr>
            </w:r>
          </w:p>
        </w:tc>
      </w:tr>
      <w:tr>
        <w:trPr>
          <w:trHeight w:val="55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0.10</w:t>
            </w:r>
          </w:p>
        </w:tc>
      </w:tr>
      <w:tr>
        <w:trPr>
          <w:trHeight w:val="55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0.10</w:t>
            </w:r>
          </w:p>
        </w:tc>
      </w:tr>
    </w:tbl>
    <w:p>
      <w:pPr>
        <w:spacing w:line="240" w:lineRule="auto" w:before="4"/>
        <w:rPr>
          <w:rFonts w:ascii="Times New Roman" w:hAnsi="Times New Roman" w:cs="Times New Roman" w:eastAsia="Times New Roman" w:hint="default"/>
          <w:sz w:val="7"/>
          <w:szCs w:val="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2"/>
          <w:szCs w:val="22"/>
        </w:rPr>
      </w:pPr>
    </w:p>
    <w:p>
      <w:pPr>
        <w:tabs>
          <w:tab w:pos="3574" w:val="left" w:leader="none"/>
          <w:tab w:pos="7715" w:val="left" w:leader="none"/>
        </w:tabs>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法定代表人：郭春林</w:t>
        <w:tab/>
        <w:t>主管会计工作负责人：张忠伟</w:t>
        <w:tab/>
        <w:t>会计机构负责人：邵天宇</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4、母公司利润表" w:id="142"/>
      <w:bookmarkEnd w:id="142"/>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497,828,488.72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579,991,583.38</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216,405,071.53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242,338,707.22</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5,525,357.59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4,165,194.17</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106,279,390.82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72,642,903.90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73,232,644.13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59,878,397.17</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111,304,137.49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76,853,421.89</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2,819,628.38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5,345,541.90</w:t>
            </w: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9,970,100.00</w:t>
            </w: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-8,537,741.22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128,737,517.13</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24,771,693.76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8,945,260.76</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1,382,491.04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366,054.97</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250,668.99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36,054.97</w:t>
            </w: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14,851,461.50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137,316,722.92</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595,629.88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4,310,888.46</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14,255,831.62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133,005,834.46</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9"/>
              <w:ind w:right="41"/>
              <w:jc w:val="right"/>
              <w:rPr>
                <w:rFonts w:ascii="宋体" w:hAnsi="宋体" w:cs="宋体" w:eastAsia="宋体" w:hint="default"/>
                <w:sz w:val="18"/>
                <w:szCs w:val="18"/>
              </w:rPr>
            </w:pPr>
            <w:r>
              <w:rPr>
                <w:rFonts w:ascii="宋体" w:hAnsi="宋体" w:cs="宋体" w:eastAsia="宋体" w:hint="default"/>
                <w:sz w:val="18"/>
                <w:szCs w:val="18"/>
              </w:rPr>
              <w:t>（一）以后不能重分类进损益的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51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49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63" w:lineRule="auto" w:before="129"/>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49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63" w:lineRule="auto" w:before="129"/>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14,255,831.62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133,005,834.46</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0.26</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0.26</w:t>
            </w:r>
          </w:p>
        </w:tc>
      </w:tr>
    </w:tbl>
    <w:p>
      <w:pPr>
        <w:spacing w:line="240" w:lineRule="auto" w:before="6"/>
        <w:rPr>
          <w:rFonts w:ascii="Times New Roman" w:hAnsi="Times New Roman" w:cs="Times New Roman" w:eastAsia="Times New Roman" w:hint="default"/>
          <w:sz w:val="28"/>
          <w:szCs w:val="28"/>
        </w:rPr>
      </w:pPr>
    </w:p>
    <w:p>
      <w:pPr>
        <w:pStyle w:val="Heading4"/>
        <w:spacing w:line="240" w:lineRule="auto" w:before="35"/>
        <w:ind w:left="154" w:right="0"/>
        <w:jc w:val="left"/>
        <w:rPr>
          <w:b w:val="0"/>
          <w:bCs w:val="0"/>
        </w:rPr>
      </w:pPr>
      <w:bookmarkStart w:name="5、合并现金流量表" w:id="143"/>
      <w:bookmarkEnd w:id="14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532,307,880.67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484,347,033.32</w:t>
            </w: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33,724,536.83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16,047,788.55</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566,032,417.50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500,394,821.87</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283,703,788.09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703,961,852.26</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55,752,896.98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44,296,074.88</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70,272,253.39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55,281,234.01</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151,683,905.93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168,241,807.23</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561,412,844.39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971,780,968.38</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4,619,573.11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-471,386,146.51</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9,970,100.00</w:t>
            </w: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73,645.00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282,958.00</w:t>
            </w: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51,869.47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9,925,514.47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12,253,058.00</w:t>
            </w: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65,664,033.46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93,624,815.93</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65,664,033.46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93,624,815.93</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-55,738,518.99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-81,371,757.93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2,653,000,000.00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2,033,000,000.00</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2,155,000.00</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2,666,000,000.00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2,035,155,000.00</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2,456,500,000.00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1,455,000,000.00</w:t>
            </w: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135,894,231.69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91,108,891.52</w:t>
            </w: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2,592,394,231.69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1,546,108,891.52</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73,605,768.31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489,046,108.48</w:t>
            </w: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22,486,822.43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-63,711,795.96</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111,615,632.78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175,327,428.74</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134,102,455.21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111,615,632.78</w:t>
            </w:r>
          </w:p>
        </w:tc>
      </w:tr>
    </w:tbl>
    <w:p>
      <w:pPr>
        <w:spacing w:line="240" w:lineRule="auto" w:before="6"/>
        <w:rPr>
          <w:rFonts w:ascii="Times New Roman" w:hAnsi="Times New Roman" w:cs="Times New Roman" w:eastAsia="Times New Roman" w:hint="default"/>
          <w:sz w:val="28"/>
          <w:szCs w:val="28"/>
        </w:rPr>
      </w:pPr>
    </w:p>
    <w:p>
      <w:pPr>
        <w:pStyle w:val="Heading4"/>
        <w:spacing w:line="240" w:lineRule="auto" w:before="35"/>
        <w:ind w:left="154" w:right="0"/>
        <w:jc w:val="left"/>
        <w:rPr>
          <w:b w:val="0"/>
          <w:bCs w:val="0"/>
        </w:rPr>
      </w:pPr>
      <w:bookmarkStart w:name="6、母公司现金流量表" w:id="144"/>
      <w:bookmarkEnd w:id="14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561,289,870.87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305,680,005.71</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35,020,716.74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453,280,501.80</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596,310,587.61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758,960,507.51</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124,184,955.45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480,565,322.05</w:t>
            </w: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25,747,000.55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23,010,760.42</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63,695,173.78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49,827,785.28</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240,604,302.55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514,944,866.19</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454,231,432.33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1,068,348,733.94</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142,079,155.28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-309,388,226.43</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9,970,100.00</w:t>
            </w: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19,085.00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54,958.00</w:t>
            </w: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9,819,085.00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12,025,058.00</w:t>
            </w: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19,993,014.42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13,147,490.13</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9"/>
              <w:ind w:right="40"/>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51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35,993,014.42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33,147,490.13</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-26,173,929.42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-21,122,432.13</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2,393,000,000.00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1,788,000,000.00</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2,405,000,000.00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1,788,000,000.00</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2,381,000,000.00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1,410,000,000.00</w:t>
            </w: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110,840,885.03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76,823,401.34</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2,491,840,885.03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1,486,823,401.34</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-86,840,885.03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301,176,598.66</w:t>
            </w: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29,064,340.83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-29,334,059.90</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6,929,567.59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36,263,627.49</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35,993,908.42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6,929,567.59</w:t>
            </w:r>
          </w:p>
        </w:tc>
      </w:tr>
    </w:tbl>
    <w:p>
      <w:pPr>
        <w:spacing w:line="240" w:lineRule="auto" w:before="6"/>
        <w:rPr>
          <w:rFonts w:ascii="Times New Roman" w:hAnsi="Times New Roman" w:cs="Times New Roman" w:eastAsia="Times New Roman" w:hint="default"/>
          <w:sz w:val="28"/>
          <w:szCs w:val="28"/>
        </w:rPr>
      </w:pPr>
    </w:p>
    <w:p>
      <w:pPr>
        <w:pStyle w:val="Heading4"/>
        <w:spacing w:line="240" w:lineRule="auto" w:before="35"/>
        <w:ind w:left="154" w:right="0"/>
        <w:jc w:val="left"/>
        <w:rPr>
          <w:b w:val="0"/>
          <w:bCs w:val="0"/>
        </w:rPr>
      </w:pPr>
      <w:bookmarkStart w:name="7、合并所有者权益变动表" w:id="145"/>
      <w:bookmarkEnd w:id="14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line="240" w:lineRule="auto" w:before="5"/>
        <w:rPr>
          <w:rFonts w:ascii="宋体" w:hAnsi="宋体" w:cs="宋体" w:eastAsia="宋体" w:hint="default"/>
          <w:sz w:val="17"/>
          <w:szCs w:val="17"/>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558"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9"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477" w:lineRule="auto" w:before="129"/>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85"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477" w:lineRule="auto" w:before="134"/>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2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资本公</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146" w:right="0" w:hanging="90"/>
              <w:jc w:val="left"/>
              <w:rPr>
                <w:rFonts w:ascii="宋体" w:hAnsi="宋体" w:cs="宋体" w:eastAsia="宋体" w:hint="default"/>
                <w:sz w:val="18"/>
                <w:szCs w:val="18"/>
              </w:rPr>
            </w:pPr>
            <w:r>
              <w:rPr>
                <w:rFonts w:ascii="宋体" w:hAnsi="宋体" w:cs="宋体" w:eastAsia="宋体" w:hint="default"/>
                <w:sz w:val="18"/>
                <w:szCs w:val="18"/>
              </w:rPr>
              <w:t>减：库</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56" w:right="0"/>
              <w:jc w:val="left"/>
              <w:rPr>
                <w:rFonts w:ascii="宋体" w:hAnsi="宋体" w:cs="宋体" w:eastAsia="宋体" w:hint="default"/>
                <w:sz w:val="18"/>
                <w:szCs w:val="18"/>
              </w:rPr>
            </w:pPr>
            <w:r>
              <w:rPr>
                <w:rFonts w:ascii="宋体" w:hAnsi="宋体" w:cs="宋体" w:eastAsia="宋体" w:hint="default"/>
                <w:sz w:val="18"/>
                <w:szCs w:val="18"/>
              </w:rPr>
              <w:t>其他综</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专项储</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盈余公</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57" w:right="0"/>
              <w:jc w:val="left"/>
              <w:rPr>
                <w:rFonts w:ascii="宋体" w:hAnsi="宋体" w:cs="宋体" w:eastAsia="宋体" w:hint="default"/>
                <w:sz w:val="18"/>
                <w:szCs w:val="18"/>
              </w:rPr>
            </w:pPr>
            <w:r>
              <w:rPr>
                <w:rFonts w:ascii="宋体" w:hAnsi="宋体" w:cs="宋体" w:eastAsia="宋体" w:hint="default"/>
                <w:sz w:val="18"/>
                <w:szCs w:val="18"/>
              </w:rPr>
              <w:t>一般风</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146" w:right="0" w:hanging="90"/>
              <w:jc w:val="left"/>
              <w:rPr>
                <w:rFonts w:ascii="宋体" w:hAnsi="宋体" w:cs="宋体" w:eastAsia="宋体" w:hint="default"/>
                <w:sz w:val="18"/>
                <w:szCs w:val="18"/>
              </w:rPr>
            </w:pPr>
            <w:r>
              <w:rPr>
                <w:rFonts w:ascii="宋体" w:hAnsi="宋体" w:cs="宋体" w:eastAsia="宋体" w:hint="default"/>
                <w:sz w:val="18"/>
                <w:szCs w:val="18"/>
              </w:rPr>
              <w:t>未分配</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262"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2"/>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52"/>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52"/>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247"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234"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307"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73"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512,99</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1,382.</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719,482</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,283.90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4,435,9</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33.33</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68,963,</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686.07</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640,074</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,582.30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-13,001.</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1,945,9</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34,865.</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97</w:t>
            </w:r>
          </w:p>
        </w:tc>
      </w:tr>
      <w:tr>
        <w:trPr>
          <w:trHeight w:val="548"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right="9"/>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473"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512,99</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1,382.</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719,482</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,283.90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4,435,9</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33.33</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68,963,</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686.07</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640,074</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,582.30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-13,001.</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1,945,9</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34,865.</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97</w:t>
            </w:r>
          </w:p>
        </w:tc>
      </w:tr>
      <w:tr>
        <w:trPr>
          <w:trHeight w:val="548"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right="9"/>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473"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49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63" w:lineRule="auto" w:before="129"/>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33,733.</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1,425,5</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04" w:right="0"/>
              <w:jc w:val="center"/>
              <w:rPr>
                <w:rFonts w:ascii="Times New Roman" w:hAnsi="Times New Roman" w:cs="Times New Roman" w:eastAsia="Times New Roman" w:hint="default"/>
                <w:sz w:val="18"/>
                <w:szCs w:val="18"/>
              </w:rPr>
            </w:pPr>
            <w:r>
              <w:rPr>
                <w:rFonts w:ascii="Times New Roman"/>
                <w:sz w:val="18"/>
              </w:rPr>
              <w:t>83.16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45,767,</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573.24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2,249,0</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97.37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49,475,</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987.09</w:t>
            </w: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33,733.</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47,193,</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156.40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-244,79</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3.29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46,982,</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096.43</w:t>
            </w: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49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65" w:lineRule="auto" w:before="12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1,425,5</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04" w:right="0"/>
              <w:jc w:val="center"/>
              <w:rPr>
                <w:rFonts w:ascii="Times New Roman" w:hAnsi="Times New Roman" w:cs="Times New Roman" w:eastAsia="Times New Roman" w:hint="default"/>
                <w:sz w:val="18"/>
                <w:szCs w:val="18"/>
              </w:rPr>
            </w:pPr>
            <w:r>
              <w:rPr>
                <w:rFonts w:ascii="Times New Roman"/>
                <w:sz w:val="18"/>
              </w:rPr>
              <w:t>83.16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-1,425,5</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83.16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2,493,8</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90.66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2,493,8</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97" w:right="0"/>
              <w:jc w:val="center"/>
              <w:rPr>
                <w:rFonts w:ascii="Times New Roman" w:hAnsi="Times New Roman" w:cs="Times New Roman" w:eastAsia="Times New Roman" w:hint="default"/>
                <w:sz w:val="18"/>
                <w:szCs w:val="18"/>
              </w:rPr>
            </w:pPr>
            <w:r>
              <w:rPr>
                <w:rFonts w:ascii="Times New Roman"/>
                <w:sz w:val="18"/>
              </w:rPr>
              <w:t>90.66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1,425,5</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04" w:right="0"/>
              <w:jc w:val="center"/>
              <w:rPr>
                <w:rFonts w:ascii="Times New Roman" w:hAnsi="Times New Roman" w:cs="Times New Roman" w:eastAsia="Times New Roman" w:hint="default"/>
                <w:sz w:val="18"/>
                <w:szCs w:val="18"/>
              </w:rPr>
            </w:pPr>
            <w:r>
              <w:rPr>
                <w:rFonts w:ascii="Times New Roman"/>
                <w:sz w:val="18"/>
              </w:rPr>
              <w:t>83.16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-1,425,5</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83.16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2,493,8</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90.66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2,493,8</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97" w:right="0"/>
              <w:jc w:val="center"/>
              <w:rPr>
                <w:rFonts w:ascii="Times New Roman" w:hAnsi="Times New Roman" w:cs="Times New Roman" w:eastAsia="Times New Roman" w:hint="default"/>
                <w:sz w:val="18"/>
                <w:szCs w:val="18"/>
              </w:rPr>
            </w:pPr>
            <w:r>
              <w:rPr>
                <w:rFonts w:ascii="Times New Roman"/>
                <w:sz w:val="18"/>
              </w:rPr>
              <w:t>90.66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55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49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512,99</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1,382.</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719,482</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,283.90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4,469,6</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66.65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70,389,</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269.23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685,842</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,155.54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2,236,0</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95.74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1,995,4</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10,853.</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06</w:t>
            </w:r>
          </w:p>
        </w:tc>
      </w:tr>
    </w:tbl>
    <w:p>
      <w:pPr>
        <w:spacing w:line="240" w:lineRule="auto" w:before="4"/>
        <w:rPr>
          <w:rFonts w:ascii="Times New Roman" w:hAnsi="Times New Roman" w:cs="Times New Roman" w:eastAsia="Times New Roman" w:hint="default"/>
          <w:sz w:val="7"/>
          <w:szCs w:val="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line="240" w:lineRule="auto" w:before="6"/>
        <w:rPr>
          <w:rFonts w:ascii="宋体" w:hAnsi="宋体" w:cs="宋体" w:eastAsia="宋体" w:hint="default"/>
          <w:sz w:val="17"/>
          <w:szCs w:val="17"/>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558"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9" w:hRule="exact"/>
        </w:trPr>
        <w:tc>
          <w:tcPr>
            <w:tcW w:w="1415"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477" w:lineRule="auto" w:before="129"/>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84"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477" w:lineRule="auto" w:before="134"/>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252"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资本公</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146" w:right="0" w:hanging="90"/>
              <w:jc w:val="left"/>
              <w:rPr>
                <w:rFonts w:ascii="宋体" w:hAnsi="宋体" w:cs="宋体" w:eastAsia="宋体" w:hint="default"/>
                <w:sz w:val="18"/>
                <w:szCs w:val="18"/>
              </w:rPr>
            </w:pPr>
            <w:r>
              <w:rPr>
                <w:rFonts w:ascii="宋体" w:hAnsi="宋体" w:cs="宋体" w:eastAsia="宋体" w:hint="default"/>
                <w:sz w:val="18"/>
                <w:szCs w:val="18"/>
              </w:rPr>
              <w:t>减：库</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56" w:right="0"/>
              <w:jc w:val="left"/>
              <w:rPr>
                <w:rFonts w:ascii="宋体" w:hAnsi="宋体" w:cs="宋体" w:eastAsia="宋体" w:hint="default"/>
                <w:sz w:val="18"/>
                <w:szCs w:val="18"/>
              </w:rPr>
            </w:pPr>
            <w:r>
              <w:rPr>
                <w:rFonts w:ascii="宋体" w:hAnsi="宋体" w:cs="宋体" w:eastAsia="宋体" w:hint="default"/>
                <w:sz w:val="18"/>
                <w:szCs w:val="18"/>
              </w:rPr>
              <w:t>其他综</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专项储</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盈余公</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56" w:right="0"/>
              <w:jc w:val="left"/>
              <w:rPr>
                <w:rFonts w:ascii="宋体" w:hAnsi="宋体" w:cs="宋体" w:eastAsia="宋体" w:hint="default"/>
                <w:sz w:val="18"/>
                <w:szCs w:val="18"/>
              </w:rPr>
            </w:pPr>
            <w:r>
              <w:rPr>
                <w:rFonts w:ascii="宋体" w:hAnsi="宋体" w:cs="宋体" w:eastAsia="宋体" w:hint="default"/>
                <w:sz w:val="18"/>
                <w:szCs w:val="18"/>
              </w:rPr>
              <w:t>一般风</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153" w:right="0" w:hanging="90"/>
              <w:jc w:val="left"/>
              <w:rPr>
                <w:rFonts w:ascii="宋体" w:hAnsi="宋体" w:cs="宋体" w:eastAsia="宋体" w:hint="default"/>
                <w:sz w:val="18"/>
                <w:szCs w:val="18"/>
              </w:rPr>
            </w:pPr>
            <w:r>
              <w:rPr>
                <w:rFonts w:ascii="宋体" w:hAnsi="宋体" w:cs="宋体" w:eastAsia="宋体" w:hint="default"/>
                <w:sz w:val="18"/>
                <w:szCs w:val="18"/>
              </w:rPr>
              <w:t>未分配</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262"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1"/>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52"/>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52"/>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246"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234"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306"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74"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512,99</w:t>
            </w: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1,382.</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719,482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,283.90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4,402,2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55,663,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102.62</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602,894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,877.13</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2,265.1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1,895,4</w:t>
            </w: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36,110.</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82</w:t>
            </w:r>
          </w:p>
        </w:tc>
      </w:tr>
      <w:tr>
        <w:trPr>
          <w:trHeight w:val="547"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right="10"/>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473"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74"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512,99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1,382.</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719,482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,283.90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4,402,2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55,663,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102.62</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602,894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,877.13</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2,265.1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1,895,4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36,110.</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82</w:t>
            </w:r>
          </w:p>
        </w:tc>
      </w:tr>
      <w:tr>
        <w:trPr>
          <w:trHeight w:val="548"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right="10"/>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474"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49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63" w:lineRule="auto" w:before="12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33,733.</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13,300,</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583.45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37,179,</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705.17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-15,266</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.80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50,498,</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755.15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33,733.</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50,480,</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288.62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-15,266</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.80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50,498,</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755.15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49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65" w:lineRule="auto" w:before="129"/>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13,300,</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583.45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-13,300,</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583.45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13,300,</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583.45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-13,300,</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583.45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51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49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512,99</w:t>
            </w: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1,382.</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719,482</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,283.90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4,435,9</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33.33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68,963,</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686.07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640,074</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,582.30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-13,001</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.63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1,945,9</w:t>
            </w: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34,865.</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97</w:t>
            </w:r>
          </w:p>
        </w:tc>
      </w:tr>
    </w:tbl>
    <w:p>
      <w:pPr>
        <w:spacing w:line="240" w:lineRule="auto" w:before="6"/>
        <w:rPr>
          <w:rFonts w:ascii="Times New Roman" w:hAnsi="Times New Roman" w:cs="Times New Roman" w:eastAsia="Times New Roman" w:hint="default"/>
          <w:sz w:val="28"/>
          <w:szCs w:val="28"/>
        </w:rPr>
      </w:pPr>
    </w:p>
    <w:p>
      <w:pPr>
        <w:pStyle w:val="Heading4"/>
        <w:spacing w:line="240" w:lineRule="auto" w:before="35"/>
        <w:ind w:left="154" w:right="0"/>
        <w:jc w:val="left"/>
        <w:rPr>
          <w:b w:val="0"/>
          <w:bCs w:val="0"/>
        </w:rPr>
      </w:pPr>
      <w:bookmarkStart w:name="8、母公司所有者权益变动表" w:id="146"/>
      <w:bookmarkEnd w:id="14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line="240" w:lineRule="auto" w:before="5"/>
        <w:rPr>
          <w:rFonts w:ascii="宋体" w:hAnsi="宋体" w:cs="宋体" w:eastAsia="宋体" w:hint="default"/>
          <w:sz w:val="17"/>
          <w:szCs w:val="17"/>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553"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88"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477" w:lineRule="auto"/>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477" w:lineRule="auto"/>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477" w:lineRule="auto"/>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477" w:lineRule="auto"/>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270"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78"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84"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239"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512,991,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382.00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719,482,2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83.90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67,801,93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5.36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146"/>
              <w:ind w:left="58" w:right="0"/>
              <w:jc w:val="left"/>
              <w:rPr>
                <w:rFonts w:ascii="Times New Roman" w:hAnsi="Times New Roman" w:cs="Times New Roman" w:eastAsia="Times New Roman" w:hint="default"/>
                <w:sz w:val="18"/>
                <w:szCs w:val="18"/>
              </w:rPr>
            </w:pPr>
            <w:r>
              <w:rPr>
                <w:rFonts w:ascii="Times New Roman"/>
                <w:sz w:val="18"/>
              </w:rPr>
              <w:t>406,950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,766.25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146"/>
              <w:ind w:left="4" w:right="0"/>
              <w:jc w:val="center"/>
              <w:rPr>
                <w:rFonts w:ascii="Times New Roman" w:hAnsi="Times New Roman" w:cs="Times New Roman" w:eastAsia="Times New Roman" w:hint="default"/>
                <w:sz w:val="18"/>
                <w:szCs w:val="18"/>
              </w:rPr>
            </w:pPr>
            <w:r>
              <w:rPr>
                <w:rFonts w:ascii="Times New Roman"/>
                <w:sz w:val="18"/>
              </w:rPr>
              <w:t>1,707,226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,367.51</w:t>
            </w:r>
          </w:p>
        </w:tc>
      </w:tr>
      <w:tr>
        <w:trPr>
          <w:trHeight w:val="548"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239"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55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512,991,</w:t>
            </w: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382.00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719,482,2</w:t>
            </w: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83.90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67,801,93</w:t>
            </w: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5.36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406,950</w:t>
            </w: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,766.25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1,707,226</w:t>
            </w: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,367.51</w:t>
            </w:r>
          </w:p>
        </w:tc>
      </w:tr>
      <w:tr>
        <w:trPr>
          <w:trHeight w:val="149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63" w:lineRule="auto" w:before="129"/>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1,425,583</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12,830,</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248.46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14,255,83</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1.62</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14,255,</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831.62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14,255,83</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1.62</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49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65" w:lineRule="auto" w:before="12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1,425,583</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-1,425,5</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16" w:right="0"/>
              <w:jc w:val="center"/>
              <w:rPr>
                <w:rFonts w:ascii="Times New Roman" w:hAnsi="Times New Roman" w:cs="Times New Roman" w:eastAsia="Times New Roman" w:hint="default"/>
                <w:sz w:val="18"/>
                <w:szCs w:val="18"/>
              </w:rPr>
            </w:pPr>
            <w:r>
              <w:rPr>
                <w:rFonts w:ascii="Times New Roman"/>
                <w:sz w:val="18"/>
              </w:rPr>
              <w:t>83.16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1,425,583</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-1,425,5</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16" w:right="0"/>
              <w:jc w:val="center"/>
              <w:rPr>
                <w:rFonts w:ascii="Times New Roman" w:hAnsi="Times New Roman" w:cs="Times New Roman" w:eastAsia="Times New Roman" w:hint="default"/>
                <w:sz w:val="18"/>
                <w:szCs w:val="18"/>
              </w:rPr>
            </w:pPr>
            <w:r>
              <w:rPr>
                <w:rFonts w:ascii="Times New Roman"/>
                <w:sz w:val="18"/>
              </w:rPr>
              <w:t>83.16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512,991,</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382.00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719,482,2</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83.90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69,227,51</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8.52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419,781</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,014.71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1,721,482</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,199.13</w:t>
            </w:r>
          </w:p>
        </w:tc>
      </w:tr>
    </w:tbl>
    <w:p>
      <w:pPr>
        <w:spacing w:line="240" w:lineRule="auto" w:before="5"/>
        <w:rPr>
          <w:rFonts w:ascii="Times New Roman" w:hAnsi="Times New Roman" w:cs="Times New Roman" w:eastAsia="Times New Roman" w:hint="default"/>
          <w:sz w:val="7"/>
          <w:szCs w:val="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line="240" w:lineRule="auto" w:before="6"/>
        <w:rPr>
          <w:rFonts w:ascii="宋体" w:hAnsi="宋体" w:cs="宋体" w:eastAsia="宋体" w:hint="default"/>
          <w:sz w:val="17"/>
          <w:szCs w:val="17"/>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553"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89"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40"/>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5"/>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477" w:lineRule="auto"/>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477" w:lineRule="auto"/>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477" w:lineRule="auto"/>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477" w:lineRule="auto"/>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27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77"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2"/>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2"/>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2"/>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83"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240"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512,991,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382.00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719,482,2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83.90</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54,501,35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1.91</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153"/>
              <w:ind w:left="58" w:right="0"/>
              <w:jc w:val="left"/>
              <w:rPr>
                <w:rFonts w:ascii="Times New Roman" w:hAnsi="Times New Roman" w:cs="Times New Roman" w:eastAsia="Times New Roman" w:hint="default"/>
                <w:sz w:val="18"/>
                <w:szCs w:val="18"/>
              </w:rPr>
            </w:pPr>
            <w:r>
              <w:rPr>
                <w:rFonts w:ascii="Times New Roman"/>
                <w:sz w:val="18"/>
              </w:rPr>
              <w:t>287,245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,515.24</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153"/>
              <w:ind w:left="4" w:right="0"/>
              <w:jc w:val="center"/>
              <w:rPr>
                <w:rFonts w:ascii="Times New Roman" w:hAnsi="Times New Roman" w:cs="Times New Roman" w:eastAsia="Times New Roman" w:hint="default"/>
                <w:sz w:val="18"/>
                <w:szCs w:val="18"/>
              </w:rPr>
            </w:pPr>
            <w:r>
              <w:rPr>
                <w:rFonts w:ascii="Times New Roman"/>
                <w:sz w:val="18"/>
              </w:rPr>
              <w:t>1,574,220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,533.05</w:t>
            </w:r>
          </w:p>
        </w:tc>
      </w:tr>
      <w:tr>
        <w:trPr>
          <w:trHeight w:val="547"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239"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512,991,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719,482,2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54,501,35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287,245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1,574,220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51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63" w:right="0"/>
              <w:jc w:val="left"/>
              <w:rPr>
                <w:rFonts w:ascii="Times New Roman" w:hAnsi="Times New Roman" w:cs="Times New Roman" w:eastAsia="Times New Roman" w:hint="default"/>
                <w:sz w:val="18"/>
                <w:szCs w:val="18"/>
              </w:rPr>
            </w:pPr>
            <w:r>
              <w:rPr>
                <w:rFonts w:ascii="Times New Roman"/>
                <w:sz w:val="18"/>
              </w:rPr>
              <w:t>382.00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60" w:right="0"/>
              <w:jc w:val="left"/>
              <w:rPr>
                <w:rFonts w:ascii="Times New Roman" w:hAnsi="Times New Roman" w:cs="Times New Roman" w:eastAsia="Times New Roman" w:hint="default"/>
                <w:sz w:val="18"/>
                <w:szCs w:val="18"/>
              </w:rPr>
            </w:pPr>
            <w:r>
              <w:rPr>
                <w:rFonts w:ascii="Times New Roman"/>
                <w:sz w:val="18"/>
              </w:rPr>
              <w:t>83.90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50" w:right="0"/>
              <w:jc w:val="left"/>
              <w:rPr>
                <w:rFonts w:ascii="Times New Roman" w:hAnsi="Times New Roman" w:cs="Times New Roman" w:eastAsia="Times New Roman" w:hint="default"/>
                <w:sz w:val="18"/>
                <w:szCs w:val="18"/>
              </w:rPr>
            </w:pPr>
            <w:r>
              <w:rPr>
                <w:rFonts w:ascii="Times New Roman"/>
                <w:sz w:val="18"/>
              </w:rPr>
              <w:t>1.91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sz w:val="18"/>
              </w:rPr>
              <w:t>,515.24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07" w:right="0"/>
              <w:jc w:val="left"/>
              <w:rPr>
                <w:rFonts w:ascii="Times New Roman" w:hAnsi="Times New Roman" w:cs="Times New Roman" w:eastAsia="Times New Roman" w:hint="default"/>
                <w:sz w:val="18"/>
                <w:szCs w:val="18"/>
              </w:rPr>
            </w:pPr>
            <w:r>
              <w:rPr>
                <w:rFonts w:ascii="Times New Roman"/>
                <w:sz w:val="18"/>
              </w:rPr>
              <w:t>,533.05</w:t>
            </w:r>
          </w:p>
        </w:tc>
      </w:tr>
      <w:tr>
        <w:trPr>
          <w:trHeight w:val="149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63" w:lineRule="auto" w:before="129"/>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13,300,58</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3.45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119,705</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,251.01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133,005,8</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34.46</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133,005</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,834.46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133,005,8</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34.46</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49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63" w:lineRule="auto" w:before="12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13,300,58</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3.45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-13,300,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583.45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13,300,58</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3.45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-13,300,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583.45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512,991,</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382.00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719,482,2</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83.90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67,801,93</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5.36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406,950</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,766.25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1,707,226</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,367.51</w:t>
            </w:r>
          </w:p>
        </w:tc>
      </w:tr>
    </w:tbl>
    <w:p>
      <w:pPr>
        <w:spacing w:line="240" w:lineRule="auto" w:before="4"/>
        <w:rPr>
          <w:rFonts w:ascii="Times New Roman" w:hAnsi="Times New Roman" w:cs="Times New Roman" w:eastAsia="Times New Roman" w:hint="default"/>
          <w:sz w:val="27"/>
          <w:szCs w:val="27"/>
        </w:rPr>
      </w:pPr>
    </w:p>
    <w:p>
      <w:pPr>
        <w:pStyle w:val="Heading2"/>
        <w:spacing w:line="240" w:lineRule="auto" w:before="26"/>
        <w:ind w:left="154" w:right="0"/>
        <w:jc w:val="both"/>
        <w:rPr>
          <w:b w:val="0"/>
          <w:bCs w:val="0"/>
        </w:rPr>
      </w:pPr>
      <w:bookmarkStart w:name="三、公司基本情况" w:id="147"/>
      <w:bookmarkEnd w:id="147"/>
      <w:r>
        <w:rPr>
          <w:b w:val="0"/>
          <w:bCs w:val="0"/>
        </w:rPr>
      </w:r>
      <w:r>
        <w:rPr/>
        <w:t>三、公司基本情况</w:t>
      </w:r>
      <w:r>
        <w:rPr>
          <w:b w:val="0"/>
          <w:bCs w:val="0"/>
        </w:rPr>
      </w:r>
    </w:p>
    <w:p>
      <w:pPr>
        <w:spacing w:line="240" w:lineRule="auto" w:before="0"/>
        <w:rPr>
          <w:rFonts w:ascii="宋体" w:hAnsi="宋体" w:cs="宋体" w:eastAsia="宋体" w:hint="default"/>
          <w:b/>
          <w:bCs/>
          <w:sz w:val="24"/>
          <w:szCs w:val="24"/>
        </w:rPr>
      </w:pPr>
    </w:p>
    <w:p>
      <w:pPr>
        <w:pStyle w:val="BodyText"/>
        <w:spacing w:line="398" w:lineRule="auto" w:before="163"/>
        <w:ind w:left="573" w:right="4873" w:hanging="8"/>
        <w:jc w:val="left"/>
      </w:pPr>
      <w:r>
        <w:rPr>
          <w:rFonts w:ascii="宋体" w:hAnsi="宋体" w:cs="宋体" w:eastAsia="宋体" w:hint="default"/>
          <w:b/>
          <w:bCs/>
        </w:rPr>
        <w:t>（一）公司概况</w:t>
      </w:r>
      <w:r>
        <w:rPr>
          <w:rFonts w:ascii="宋体" w:hAnsi="宋体" w:cs="宋体" w:eastAsia="宋体" w:hint="default"/>
          <w:b/>
          <w:bCs/>
          <w:w w:val="99"/>
        </w:rPr>
        <w:t> </w:t>
      </w:r>
      <w:r>
        <w:rPr/>
        <w:t>公司名称：吉林紫鑫药业股份有限公司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注册地址：吉林省柳河县英利路</w:t>
      </w:r>
      <w:r>
        <w:rPr>
          <w:rFonts w:ascii="Times New Roman" w:hAnsi="Times New Roman" w:cs="Times New Roman" w:eastAsia="Times New Roman" w:hint="default"/>
        </w:rPr>
        <w:t>88</w:t>
      </w:r>
      <w:r>
        <w:rPr/>
        <w:t>号 登记机关：吉林省工商行政管理局 企业法人营业执照注册号：</w:t>
      </w:r>
      <w:r>
        <w:rPr>
          <w:rFonts w:ascii="Times New Roman" w:hAnsi="Times New Roman" w:cs="Times New Roman" w:eastAsia="Times New Roman" w:hint="default"/>
        </w:rPr>
        <w:t>220000000052632 </w:t>
      </w:r>
      <w:r>
        <w:rPr/>
        <w:t>法定代表人：郭春林 注册资本：人民币伍亿壹仟贰佰玖拾玖万壹仟叁佰捌拾贰元</w:t>
      </w:r>
    </w:p>
    <w:p>
      <w:pPr>
        <w:pStyle w:val="BodyText"/>
        <w:spacing w:line="408" w:lineRule="auto" w:before="54"/>
        <w:ind w:left="574" w:right="0" w:hanging="8"/>
        <w:jc w:val="left"/>
      </w:pPr>
      <w:r>
        <w:rPr>
          <w:rFonts w:ascii="宋体" w:hAnsi="宋体" w:cs="宋体" w:eastAsia="宋体" w:hint="default"/>
          <w:b/>
          <w:bCs/>
        </w:rPr>
        <w:t>（二）历史沿革</w:t>
      </w:r>
      <w:r>
        <w:rPr>
          <w:rFonts w:ascii="宋体" w:hAnsi="宋体" w:cs="宋体" w:eastAsia="宋体" w:hint="default"/>
          <w:b/>
          <w:bCs/>
          <w:w w:val="99"/>
        </w:rPr>
        <w:t> </w:t>
      </w:r>
      <w:r>
        <w:rPr/>
        <w:t>本公司前身系通化紫金药业有限责任公司，于</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日由敦化市康平保健食品有限责任公司、</w:t>
      </w:r>
    </w:p>
    <w:p>
      <w:pPr>
        <w:pStyle w:val="BodyText"/>
        <w:spacing w:line="398" w:lineRule="auto" w:before="14"/>
        <w:ind w:left="154" w:right="1131"/>
        <w:jc w:val="both"/>
      </w:pPr>
      <w:r>
        <w:rPr>
          <w:spacing w:val="-1"/>
        </w:rPr>
        <w:t>敦化市吉泰经贸有限责任公司共同发起设立的有限责任公司。</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11</w:t>
      </w:r>
      <w:r>
        <w:rPr>
          <w:spacing w:val="-1"/>
        </w:rPr>
        <w:t>月，根据本公司临时股东会通过的</w:t>
      </w:r>
      <w:r>
        <w:rPr>
          <w:spacing w:val="-82"/>
        </w:rPr>
        <w:t> </w:t>
      </w:r>
      <w:r>
        <w:rPr>
          <w:spacing w:val="-82"/>
        </w:rPr>
      </w:r>
      <w:r>
        <w:rPr>
          <w:spacing w:val="-1"/>
        </w:rPr>
        <w:t>增资扩股决议，新增柳河沈飞合联工贸有限责任公司、吉林省霄峰广告有限公司、柳河日新餐饮有限责任</w:t>
      </w:r>
      <w:r>
        <w:rPr>
          <w:spacing w:val="-83"/>
        </w:rPr>
        <w:t> </w:t>
      </w:r>
      <w:r>
        <w:rPr>
          <w:spacing w:val="-83"/>
        </w:rPr>
      </w:r>
      <w:r>
        <w:rPr/>
        <w:t>公司三家股东，增资扩股后本公司注册资本为人民币</w:t>
      </w:r>
      <w:r>
        <w:rPr>
          <w:rFonts w:ascii="Times New Roman" w:hAnsi="Times New Roman" w:cs="Times New Roman" w:eastAsia="Times New Roman" w:hint="default"/>
        </w:rPr>
        <w:t>30,000,000.00</w:t>
      </w:r>
      <w:r>
        <w:rPr/>
        <w:t>元。</w:t>
      </w:r>
    </w:p>
    <w:p>
      <w:pPr>
        <w:pStyle w:val="BodyText"/>
        <w:spacing w:line="386" w:lineRule="auto" w:before="24"/>
        <w:ind w:right="1132" w:firstLine="420"/>
        <w:jc w:val="both"/>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日，经吉林省人民政府</w:t>
      </w:r>
      <w:r>
        <w:rPr>
          <w:rFonts w:ascii="Times New Roman" w:hAnsi="Times New Roman" w:cs="Times New Roman" w:eastAsia="Times New Roman" w:hint="default"/>
        </w:rPr>
        <w:t>[2001]5</w:t>
      </w:r>
      <w:r>
        <w:rPr>
          <w:rFonts w:ascii="Times New Roman" w:hAnsi="Times New Roman" w:cs="Times New Roman" w:eastAsia="Times New Roman" w:hint="default"/>
          <w:spacing w:val="25"/>
        </w:rPr>
        <w:t> </w:t>
      </w:r>
      <w:r>
        <w:rPr/>
        <w:t>号文《关于通化紫金药业有限责任公司依法变更为通化紫 </w:t>
      </w:r>
      <w:r>
        <w:rPr>
          <w:spacing w:val="-1"/>
        </w:rPr>
        <w:t>金药业股份有限公司的批复》的批准，以通化紫金药业有限责任公司截至</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日的净资产等额折</w:t>
      </w:r>
      <w:r>
        <w:rPr>
          <w:spacing w:val="-82"/>
        </w:rPr>
        <w:t> </w:t>
      </w:r>
      <w:r>
        <w:rPr>
          <w:spacing w:val="-82"/>
        </w:rPr>
      </w:r>
      <w:r>
        <w:rPr>
          <w:spacing w:val="-2"/>
        </w:rPr>
        <w:t>成股份整体变更为股份有限公司，股本总额为人民币</w:t>
      </w:r>
      <w:r>
        <w:rPr>
          <w:rFonts w:ascii="Times New Roman" w:hAnsi="Times New Roman" w:cs="Times New Roman" w:eastAsia="Times New Roman" w:hint="default"/>
          <w:spacing w:val="-2"/>
        </w:rPr>
        <w:t>35,650,000.00</w:t>
      </w:r>
      <w:r>
        <w:rPr>
          <w:spacing w:val="-2"/>
        </w:rPr>
        <w:t>元。同年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日，本公司名称变更为吉</w:t>
      </w:r>
    </w:p>
    <w:p>
      <w:pPr>
        <w:spacing w:after="0" w:line="38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both"/>
      </w:pPr>
      <w:r>
        <w:rPr/>
        <w:t>林紫鑫药业股份有限公司。</w:t>
      </w:r>
    </w:p>
    <w:p>
      <w:pPr>
        <w:spacing w:line="240" w:lineRule="auto" w:before="10"/>
        <w:rPr>
          <w:rFonts w:ascii="宋体" w:hAnsi="宋体" w:cs="宋体" w:eastAsia="宋体" w:hint="default"/>
          <w:sz w:val="14"/>
          <w:szCs w:val="14"/>
        </w:rPr>
      </w:pPr>
    </w:p>
    <w:p>
      <w:pPr>
        <w:pStyle w:val="BodyText"/>
        <w:spacing w:line="386" w:lineRule="auto"/>
        <w:ind w:right="1134" w:firstLine="420"/>
        <w:jc w:val="both"/>
      </w:pPr>
      <w:r>
        <w:rPr>
          <w:rFonts w:ascii="Times New Roman" w:hAnsi="Times New Roman" w:cs="Times New Roman" w:eastAsia="Times New Roman" w:hint="default"/>
        </w:rPr>
        <w:t>2002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日，经吉林省人民政府审批文件</w:t>
      </w:r>
      <w:r>
        <w:rPr>
          <w:rFonts w:ascii="Times New Roman" w:hAnsi="Times New Roman" w:cs="Times New Roman" w:eastAsia="Times New Roman" w:hint="default"/>
        </w:rPr>
        <w:t>[2002]12</w:t>
      </w:r>
      <w:r>
        <w:rPr/>
        <w:t>号《关于同意吉林紫鑫药业股份有限公司增资扩 股的批复》的批准，以</w:t>
      </w:r>
      <w:r>
        <w:rPr>
          <w:rFonts w:ascii="Times New Roman" w:hAnsi="Times New Roman" w:cs="Times New Roman" w:eastAsia="Times New Roman" w:hint="default"/>
        </w:rPr>
        <w:t>2001</w:t>
      </w:r>
      <w:r>
        <w:rPr/>
        <w:t>年末总股本</w:t>
      </w:r>
      <w:r>
        <w:rPr>
          <w:rFonts w:ascii="Times New Roman" w:hAnsi="Times New Roman" w:cs="Times New Roman" w:eastAsia="Times New Roman" w:hint="default"/>
        </w:rPr>
        <w:t>3,565</w:t>
      </w:r>
      <w:r>
        <w:rPr/>
        <w:t>万股为基数每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4.2</w:t>
      </w:r>
      <w:r>
        <w:rPr/>
        <w:t>股，向全体股东转增股份总额为人民</w:t>
      </w:r>
      <w:r>
        <w:rPr>
          <w:spacing w:val="-32"/>
        </w:rPr>
        <w:t> </w:t>
      </w:r>
      <w:r>
        <w:rPr>
          <w:spacing w:val="-32"/>
        </w:rPr>
      </w:r>
      <w:r>
        <w:rPr/>
        <w:t>币</w:t>
      </w:r>
      <w:r>
        <w:rPr>
          <w:rFonts w:ascii="Times New Roman" w:hAnsi="Times New Roman" w:cs="Times New Roman" w:eastAsia="Times New Roman" w:hint="default"/>
        </w:rPr>
        <w:t>14,973,000.00</w:t>
      </w:r>
      <w:r>
        <w:rPr/>
        <w:t>元，转增后的股本总额为人民币</w:t>
      </w:r>
      <w:r>
        <w:rPr>
          <w:rFonts w:ascii="Times New Roman" w:hAnsi="Times New Roman" w:cs="Times New Roman" w:eastAsia="Times New Roman" w:hint="default"/>
        </w:rPr>
        <w:t>50,623,000.00</w:t>
      </w:r>
      <w:r>
        <w:rPr/>
        <w:t>元。</w:t>
      </w:r>
    </w:p>
    <w:p>
      <w:pPr>
        <w:pStyle w:val="BodyText"/>
        <w:spacing w:line="386" w:lineRule="auto" w:before="35"/>
        <w:ind w:right="1132" w:firstLine="420"/>
        <w:jc w:val="both"/>
      </w:pPr>
      <w:r>
        <w:rPr/>
        <w:t>根据本公司</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日第二次临时股东大会决议和修改后的章程规定，申请向社会公开发行人民 </w:t>
      </w:r>
      <w:r>
        <w:rPr>
          <w:spacing w:val="-1"/>
        </w:rPr>
        <w:t>币普通股（</w:t>
      </w:r>
      <w:r>
        <w:rPr>
          <w:rFonts w:ascii="Times New Roman" w:hAnsi="Times New Roman" w:cs="Times New Roman" w:eastAsia="Times New Roman" w:hint="default"/>
          <w:spacing w:val="-1"/>
        </w:rPr>
        <w:t>A</w:t>
      </w:r>
      <w:r>
        <w:rPr>
          <w:spacing w:val="-1"/>
        </w:rPr>
        <w:t>股）增加注册资本人民币</w:t>
      </w:r>
      <w:r>
        <w:rPr>
          <w:rFonts w:ascii="Times New Roman" w:hAnsi="Times New Roman" w:cs="Times New Roman" w:eastAsia="Times New Roman" w:hint="default"/>
          <w:spacing w:val="-1"/>
        </w:rPr>
        <w:t>16,900,000.00</w:t>
      </w:r>
      <w:r>
        <w:rPr>
          <w:spacing w:val="-1"/>
        </w:rPr>
        <w:t>元。</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29</w:t>
      </w:r>
      <w:r>
        <w:rPr>
          <w:spacing w:val="-1"/>
        </w:rPr>
        <w:t>日经中国证券监督管理委员会证监发</w:t>
      </w:r>
      <w:r>
        <w:rPr>
          <w:spacing w:val="-71"/>
        </w:rPr>
        <w:t> </w:t>
      </w:r>
      <w:r>
        <w:rPr>
          <w:spacing w:val="-71"/>
        </w:rPr>
      </w:r>
      <w:r>
        <w:rPr>
          <w:spacing w:val="-4"/>
        </w:rPr>
        <w:t>行字（</w:t>
      </w:r>
      <w:r>
        <w:rPr>
          <w:rFonts w:ascii="Times New Roman" w:hAnsi="Times New Roman" w:cs="Times New Roman" w:eastAsia="Times New Roman" w:hint="default"/>
          <w:spacing w:val="-4"/>
        </w:rPr>
        <w:t>2007</w:t>
      </w:r>
      <w:r>
        <w:rPr>
          <w:spacing w:val="-4"/>
        </w:rPr>
        <w:t>）</w:t>
      </w:r>
      <w:r>
        <w:rPr>
          <w:rFonts w:ascii="Times New Roman" w:hAnsi="Times New Roman" w:cs="Times New Roman" w:eastAsia="Times New Roman" w:hint="default"/>
          <w:spacing w:val="-4"/>
        </w:rPr>
        <w:t>25</w:t>
      </w:r>
      <w:r>
        <w:rPr>
          <w:rFonts w:ascii="Times New Roman" w:hAnsi="Times New Roman" w:cs="Times New Roman" w:eastAsia="Times New Roman" w:hint="default"/>
          <w:spacing w:val="46"/>
        </w:rPr>
        <w:t> </w:t>
      </w:r>
      <w:r>
        <w:rPr>
          <w:spacing w:val="-2"/>
        </w:rPr>
        <w:t>号文核准，同意本公司向社会公开发行人民币普通股（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1,690</w:t>
      </w:r>
      <w:r>
        <w:rPr>
          <w:spacing w:val="-2"/>
        </w:rPr>
        <w:t>万股，每股面值人民币</w:t>
      </w:r>
      <w:r>
        <w:rPr>
          <w:spacing w:val="-103"/>
        </w:rPr>
        <w:t> </w:t>
      </w:r>
      <w:r>
        <w:rPr>
          <w:spacing w:val="-103"/>
        </w:rPr>
      </w:r>
      <w:r>
        <w:rPr>
          <w:rFonts w:ascii="Times New Roman" w:hAnsi="Times New Roman" w:cs="Times New Roman" w:eastAsia="Times New Roman" w:hint="default"/>
        </w:rPr>
        <w:t>1.00</w:t>
      </w:r>
      <w:r>
        <w:rPr/>
        <w:t>元，每股发行价格为人民币</w:t>
      </w:r>
      <w:r>
        <w:rPr>
          <w:rFonts w:ascii="Times New Roman" w:hAnsi="Times New Roman" w:cs="Times New Roman" w:eastAsia="Times New Roman" w:hint="default"/>
        </w:rPr>
        <w:t>9.56</w:t>
      </w:r>
      <w:r>
        <w:rPr/>
        <w:t>元。本公司采用网下向询价对象配售和网上向社会公众投资者定价发</w:t>
      </w:r>
      <w:r>
        <w:rPr>
          <w:spacing w:val="-35"/>
        </w:rPr>
        <w:t> </w:t>
      </w:r>
      <w:r>
        <w:rPr>
          <w:spacing w:val="-35"/>
        </w:rPr>
      </w:r>
      <w:r>
        <w:rPr>
          <w:spacing w:val="-2"/>
        </w:rPr>
        <w:t>行相结合的方式，向社会公开发行人民币普通股（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16,900,000</w:t>
      </w:r>
      <w:r>
        <w:rPr>
          <w:spacing w:val="-2"/>
        </w:rPr>
        <w:t>股，并于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w:t>
      </w:r>
      <w:r>
        <w:rPr>
          <w:spacing w:val="-2"/>
        </w:rPr>
        <w:t>日在深圳证券交易</w:t>
      </w:r>
      <w:r>
        <w:rPr>
          <w:spacing w:val="-72"/>
        </w:rPr>
        <w:t> </w:t>
      </w:r>
      <w:r>
        <w:rPr>
          <w:spacing w:val="-72"/>
        </w:rPr>
      </w:r>
      <w:r>
        <w:rPr/>
        <w:t>所上市，股票代码为</w:t>
      </w:r>
      <w:r>
        <w:rPr>
          <w:rFonts w:ascii="Times New Roman" w:hAnsi="Times New Roman" w:cs="Times New Roman" w:eastAsia="Times New Roman" w:hint="default"/>
        </w:rPr>
        <w:t>002118</w:t>
      </w:r>
      <w:r>
        <w:rPr/>
        <w:t>。上市发行后的股本总额为人民币</w:t>
      </w:r>
      <w:r>
        <w:rPr>
          <w:rFonts w:ascii="Times New Roman" w:hAnsi="Times New Roman" w:cs="Times New Roman" w:eastAsia="Times New Roman" w:hint="default"/>
        </w:rPr>
        <w:t>67,523,000.00</w:t>
      </w:r>
      <w:r>
        <w:rPr/>
        <w:t>元。</w:t>
      </w:r>
    </w:p>
    <w:p>
      <w:pPr>
        <w:pStyle w:val="BodyText"/>
        <w:spacing w:line="240" w:lineRule="auto" w:before="35"/>
        <w:ind w:left="573" w:right="0"/>
        <w:jc w:val="left"/>
      </w:pPr>
      <w:r>
        <w:rPr>
          <w:spacing w:val="21"/>
        </w:rPr>
        <w:t>根据本公司</w:t>
      </w:r>
      <w:r>
        <w:rPr>
          <w:spacing w:val="-7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4"/>
        </w:rPr>
        <w:t> </w:t>
      </w:r>
      <w:r>
        <w:rPr>
          <w:spacing w:val="18"/>
        </w:rPr>
        <w:t>年度股</w:t>
      </w:r>
      <w:r>
        <w:rPr>
          <w:spacing w:val="-78"/>
        </w:rPr>
        <w:t> </w:t>
      </w:r>
      <w:r>
        <w:rPr/>
        <w:t>东</w:t>
      </w:r>
      <w:r>
        <w:rPr>
          <w:spacing w:val="-78"/>
        </w:rPr>
        <w:t> </w:t>
      </w:r>
      <w:r>
        <w:rPr/>
        <w:t>大</w:t>
      </w:r>
      <w:r>
        <w:rPr>
          <w:spacing w:val="-78"/>
        </w:rPr>
        <w:t> </w:t>
      </w:r>
      <w:r>
        <w:rPr/>
        <w:t>会</w:t>
      </w:r>
      <w:r>
        <w:rPr>
          <w:spacing w:val="-78"/>
        </w:rPr>
        <w:t> </w:t>
      </w:r>
      <w:r>
        <w:rPr/>
        <w:t>决</w:t>
      </w:r>
      <w:r>
        <w:rPr>
          <w:spacing w:val="-78"/>
        </w:rPr>
        <w:t> </w:t>
      </w:r>
      <w:r>
        <w:rPr/>
        <w:t>议</w:t>
      </w:r>
      <w:r>
        <w:rPr>
          <w:spacing w:val="-77"/>
        </w:rPr>
        <w:t> </w:t>
      </w:r>
      <w:r>
        <w:rPr/>
        <w:t>和</w:t>
      </w:r>
      <w:r>
        <w:rPr>
          <w:spacing w:val="-78"/>
        </w:rPr>
        <w:t> </w:t>
      </w:r>
      <w:r>
        <w:rPr/>
        <w:t>修</w:t>
      </w:r>
      <w:r>
        <w:rPr>
          <w:spacing w:val="-78"/>
        </w:rPr>
        <w:t> </w:t>
      </w:r>
      <w:r>
        <w:rPr/>
        <w:t>改</w:t>
      </w:r>
      <w:r>
        <w:rPr>
          <w:spacing w:val="-78"/>
        </w:rPr>
        <w:t> </w:t>
      </w:r>
      <w:r>
        <w:rPr/>
        <w:t>后</w:t>
      </w:r>
      <w:r>
        <w:rPr>
          <w:spacing w:val="-78"/>
        </w:rPr>
        <w:t> </w:t>
      </w:r>
      <w:r>
        <w:rPr/>
        <w:t>章</w:t>
      </w:r>
      <w:r>
        <w:rPr>
          <w:spacing w:val="-77"/>
        </w:rPr>
        <w:t> </w:t>
      </w:r>
      <w:r>
        <w:rPr/>
        <w:t>程</w:t>
      </w:r>
      <w:r>
        <w:rPr>
          <w:spacing w:val="-78"/>
        </w:rPr>
        <w:t> </w:t>
      </w:r>
      <w:r>
        <w:rPr/>
        <w:t>的</w:t>
      </w:r>
      <w:r>
        <w:rPr>
          <w:spacing w:val="-78"/>
        </w:rPr>
        <w:t> </w:t>
      </w:r>
      <w:r>
        <w:rPr/>
        <w:t>规</w:t>
      </w:r>
      <w:r>
        <w:rPr>
          <w:spacing w:val="-78"/>
        </w:rPr>
        <w:t> </w:t>
      </w:r>
      <w:r>
        <w:rPr/>
        <w:t>定</w:t>
      </w:r>
      <w:r>
        <w:rPr>
          <w:spacing w:val="-78"/>
        </w:rPr>
        <w:t> </w:t>
      </w:r>
      <w:r>
        <w:rPr/>
        <w:t>，</w:t>
      </w:r>
      <w:r>
        <w:rPr>
          <w:spacing w:val="-77"/>
        </w:rPr>
        <w:t> </w:t>
      </w:r>
      <w:r>
        <w:rPr/>
        <w:t>本</w:t>
      </w:r>
      <w:r>
        <w:rPr>
          <w:spacing w:val="-78"/>
        </w:rPr>
        <w:t> </w:t>
      </w:r>
      <w:r>
        <w:rPr/>
        <w:t>公</w:t>
      </w:r>
      <w:r>
        <w:rPr>
          <w:spacing w:val="-78"/>
        </w:rPr>
        <w:t> </w:t>
      </w:r>
      <w:r>
        <w:rPr/>
        <w:t>司</w:t>
      </w:r>
      <w:r>
        <w:rPr>
          <w:spacing w:val="-78"/>
        </w:rPr>
        <w:t> </w:t>
      </w:r>
      <w:r>
        <w:rPr/>
        <w:t>申</w:t>
      </w:r>
      <w:r>
        <w:rPr>
          <w:spacing w:val="-78"/>
        </w:rPr>
        <w:t> </w:t>
      </w:r>
      <w:r>
        <w:rPr/>
        <w:t>请</w:t>
      </w:r>
      <w:r>
        <w:rPr>
          <w:spacing w:val="-77"/>
        </w:rPr>
        <w:t> </w:t>
      </w:r>
      <w:r>
        <w:rPr/>
        <w:t>增</w:t>
      </w:r>
      <w:r>
        <w:rPr>
          <w:spacing w:val="-78"/>
        </w:rPr>
        <w:t> </w:t>
      </w:r>
      <w:r>
        <w:rPr/>
        <w:t>加</w:t>
      </w:r>
      <w:r>
        <w:rPr>
          <w:spacing w:val="-78"/>
        </w:rPr>
        <w:t> </w:t>
      </w:r>
      <w:r>
        <w:rPr/>
        <w:t>注</w:t>
      </w:r>
      <w:r>
        <w:rPr>
          <w:spacing w:val="-78"/>
        </w:rPr>
        <w:t> </w:t>
      </w:r>
      <w:r>
        <w:rPr/>
        <w:t>册</w:t>
      </w:r>
      <w:r>
        <w:rPr>
          <w:spacing w:val="-78"/>
        </w:rPr>
        <w:t> </w:t>
      </w:r>
      <w:r>
        <w:rPr/>
        <w:t>资</w:t>
      </w:r>
      <w:r>
        <w:rPr>
          <w:spacing w:val="-77"/>
        </w:rPr>
        <w:t> </w:t>
      </w:r>
      <w:r>
        <w:rPr/>
        <w:t>本</w:t>
      </w:r>
      <w:r>
        <w:rPr>
          <w:spacing w:val="-78"/>
        </w:rPr>
        <w:t> </w:t>
      </w:r>
      <w:r>
        <w:rPr/>
        <w:t>人</w:t>
      </w:r>
      <w:r>
        <w:rPr>
          <w:spacing w:val="-78"/>
        </w:rPr>
        <w:t> </w:t>
      </w:r>
      <w:r>
        <w:rPr/>
        <w:t>民</w:t>
      </w:r>
      <w:r>
        <w:rPr>
          <w:spacing w:val="-78"/>
        </w:rPr>
        <w:t> </w:t>
      </w:r>
      <w:r>
        <w:rPr/>
        <w:t>币</w:t>
      </w:r>
    </w:p>
    <w:p>
      <w:pPr>
        <w:pStyle w:val="BodyText"/>
        <w:spacing w:line="240" w:lineRule="auto" w:before="177"/>
        <w:ind w:right="0"/>
        <w:jc w:val="both"/>
      </w:pPr>
      <w:r>
        <w:rPr>
          <w:rFonts w:ascii="Times New Roman" w:hAnsi="Times New Roman" w:cs="Times New Roman" w:eastAsia="Times New Roman" w:hint="default"/>
        </w:rPr>
        <w:t>54,018,400.00</w:t>
      </w:r>
      <w:r>
        <w:rPr/>
        <w:t>元，以</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67,523,000</w:t>
      </w:r>
      <w:r>
        <w:rPr/>
        <w:t>股为基础，向全体股东按每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3</w:t>
      </w:r>
      <w:r>
        <w:rPr/>
        <w:t>股、派现金股利</w:t>
      </w:r>
    </w:p>
    <w:p>
      <w:pPr>
        <w:pStyle w:val="BodyText"/>
        <w:spacing w:line="240" w:lineRule="auto" w:before="177"/>
        <w:ind w:right="0"/>
        <w:jc w:val="both"/>
      </w:pPr>
      <w:r>
        <w:rPr>
          <w:rFonts w:ascii="Times New Roman" w:hAnsi="Times New Roman" w:cs="Times New Roman" w:eastAsia="Times New Roman" w:hint="default"/>
        </w:rPr>
        <w:t>0.33</w:t>
      </w:r>
      <w:r>
        <w:rPr/>
        <w:t>元（含税），同时以资本公积转增股本。每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股，每股面值</w:t>
      </w:r>
      <w:r>
        <w:rPr>
          <w:rFonts w:ascii="Times New Roman" w:hAnsi="Times New Roman" w:cs="Times New Roman" w:eastAsia="Times New Roman" w:hint="default"/>
        </w:rPr>
        <w:t>1</w:t>
      </w:r>
      <w:r>
        <w:rPr/>
        <w:t>元，变更后的股本总额为人民币</w:t>
      </w:r>
    </w:p>
    <w:p>
      <w:pPr>
        <w:pStyle w:val="BodyText"/>
        <w:spacing w:line="240" w:lineRule="auto" w:before="177"/>
        <w:ind w:right="0"/>
        <w:jc w:val="both"/>
      </w:pPr>
      <w:r>
        <w:rPr>
          <w:rFonts w:ascii="Times New Roman" w:hAnsi="Times New Roman" w:cs="Times New Roman" w:eastAsia="Times New Roman" w:hint="default"/>
        </w:rPr>
        <w:t>121,541,400.00</w:t>
      </w:r>
      <w:r>
        <w:rPr/>
        <w:t>元。</w:t>
      </w:r>
    </w:p>
    <w:p>
      <w:pPr>
        <w:pStyle w:val="BodyText"/>
        <w:spacing w:line="240" w:lineRule="auto" w:before="177"/>
        <w:ind w:left="573" w:right="0"/>
        <w:jc w:val="left"/>
      </w:pPr>
      <w:r>
        <w:rPr>
          <w:spacing w:val="21"/>
        </w:rPr>
        <w:t>根据本公司</w:t>
      </w:r>
      <w:r>
        <w:rPr>
          <w:spacing w:val="-7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1"/>
        </w:rPr>
        <w:t> </w:t>
      </w:r>
      <w:r>
        <w:rPr>
          <w:spacing w:val="23"/>
        </w:rPr>
        <w:t>年度股东大会决议</w:t>
      </w:r>
      <w:r>
        <w:rPr>
          <w:spacing w:val="-75"/>
        </w:rPr>
        <w:t> </w:t>
      </w:r>
      <w:r>
        <w:rPr>
          <w:spacing w:val="21"/>
        </w:rPr>
        <w:t>和修改后章</w:t>
      </w:r>
      <w:r>
        <w:rPr>
          <w:spacing w:val="-75"/>
        </w:rPr>
        <w:t> </w:t>
      </w:r>
      <w:r>
        <w:rPr>
          <w:spacing w:val="21"/>
        </w:rPr>
        <w:t>程的规定，</w:t>
      </w:r>
      <w:r>
        <w:rPr>
          <w:spacing w:val="-75"/>
        </w:rPr>
        <w:t> </w:t>
      </w:r>
      <w:r>
        <w:rPr>
          <w:spacing w:val="21"/>
        </w:rPr>
        <w:t>本公司申请</w:t>
      </w:r>
      <w:r>
        <w:rPr>
          <w:spacing w:val="-75"/>
        </w:rPr>
        <w:t> </w:t>
      </w:r>
      <w:r>
        <w:rPr>
          <w:spacing w:val="21"/>
        </w:rPr>
        <w:t>增加注册资</w:t>
      </w:r>
      <w:r>
        <w:rPr>
          <w:spacing w:val="-75"/>
        </w:rPr>
        <w:t> </w:t>
      </w:r>
      <w:r>
        <w:rPr>
          <w:spacing w:val="20"/>
        </w:rPr>
        <w:t>本人民币</w:t>
      </w:r>
      <w:r>
        <w:rPr>
          <w:spacing w:val="-78"/>
        </w:rPr>
        <w:t> </w:t>
      </w:r>
      <w:r>
        <w:rPr/>
      </w:r>
    </w:p>
    <w:p>
      <w:pPr>
        <w:pStyle w:val="BodyText"/>
        <w:spacing w:line="240" w:lineRule="auto" w:before="177"/>
        <w:ind w:right="0"/>
        <w:jc w:val="both"/>
      </w:pPr>
      <w:r>
        <w:rPr>
          <w:rFonts w:ascii="Times New Roman" w:hAnsi="Times New Roman" w:cs="Times New Roman" w:eastAsia="Times New Roman" w:hint="default"/>
        </w:rPr>
        <w:t>85,078,980.00</w:t>
      </w:r>
      <w:r>
        <w:rPr/>
        <w:t>元，以</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121,541,400</w:t>
      </w:r>
      <w:r>
        <w:rPr/>
        <w:t>股为基数，向全体股东每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2</w:t>
      </w:r>
      <w:r>
        <w:rPr/>
        <w:t>股、派发现金红利</w:t>
      </w:r>
    </w:p>
    <w:p>
      <w:pPr>
        <w:pStyle w:val="BodyText"/>
        <w:spacing w:line="240" w:lineRule="auto" w:before="177"/>
        <w:ind w:right="0"/>
        <w:jc w:val="both"/>
      </w:pPr>
      <w:r>
        <w:rPr>
          <w:rFonts w:ascii="Times New Roman" w:hAnsi="Times New Roman" w:cs="Times New Roman" w:eastAsia="Times New Roman" w:hint="default"/>
        </w:rPr>
        <w:t>0.23</w:t>
      </w:r>
      <w:r>
        <w:rPr/>
        <w:t>元（含税），同时以资本公积转增股本，每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股，每股面值</w:t>
      </w:r>
      <w:r>
        <w:rPr>
          <w:rFonts w:ascii="Times New Roman" w:hAnsi="Times New Roman" w:cs="Times New Roman" w:eastAsia="Times New Roman" w:hint="default"/>
        </w:rPr>
        <w:t>1</w:t>
      </w:r>
      <w:r>
        <w:rPr/>
        <w:t>元，变更后的股本总额为人民币</w:t>
      </w:r>
    </w:p>
    <w:p>
      <w:pPr>
        <w:pStyle w:val="BodyText"/>
        <w:spacing w:line="386" w:lineRule="auto" w:before="177"/>
        <w:ind w:right="1131"/>
        <w:jc w:val="both"/>
      </w:pPr>
      <w:r>
        <w:rPr>
          <w:rFonts w:ascii="Times New Roman" w:hAnsi="Times New Roman" w:cs="Times New Roman" w:eastAsia="Times New Roman" w:hint="default"/>
          <w:spacing w:val="3"/>
        </w:rPr>
        <w:t>206,620,380.00</w:t>
      </w:r>
      <w:r>
        <w:rPr>
          <w:spacing w:val="3"/>
        </w:rPr>
        <w:t>元。此次股本变更事宜，经中准会计师事务所有限公司于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19</w:t>
      </w:r>
      <w:r>
        <w:rPr>
          <w:spacing w:val="3"/>
        </w:rPr>
        <w:t>日出具的中准验字</w:t>
      </w:r>
      <w:r>
        <w:rPr>
          <w:spacing w:val="-68"/>
        </w:rPr>
        <w:t> </w:t>
      </w:r>
      <w:r>
        <w:rPr>
          <w:spacing w:val="-68"/>
        </w:rPr>
      </w:r>
      <w:r>
        <w:rPr>
          <w:rFonts w:ascii="Times New Roman" w:hAnsi="Times New Roman" w:cs="Times New Roman" w:eastAsia="Times New Roman" w:hint="default"/>
          <w:spacing w:val="-2"/>
        </w:rPr>
        <w:t>[2010]</w:t>
      </w:r>
      <w:r>
        <w:rPr>
          <w:spacing w:val="-2"/>
        </w:rPr>
        <w:t>第</w:t>
      </w:r>
      <w:r>
        <w:rPr>
          <w:rFonts w:ascii="Times New Roman" w:hAnsi="Times New Roman" w:cs="Times New Roman" w:eastAsia="Times New Roman" w:hint="default"/>
          <w:spacing w:val="-2"/>
        </w:rPr>
        <w:t>2012</w:t>
      </w:r>
      <w:r>
        <w:rPr>
          <w:spacing w:val="-2"/>
        </w:rPr>
        <w:t>号验资报告予以验证，本公司已于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29</w:t>
      </w:r>
      <w:r>
        <w:rPr>
          <w:spacing w:val="-2"/>
        </w:rPr>
        <w:t>日取得了吉林省工商行政管理局核发的新的企</w:t>
      </w:r>
      <w:r>
        <w:rPr>
          <w:spacing w:val="-56"/>
        </w:rPr>
        <w:t> </w:t>
      </w:r>
      <w:r>
        <w:rPr>
          <w:spacing w:val="-56"/>
        </w:rPr>
      </w:r>
      <w:r>
        <w:rPr/>
        <w:t>业法人营业执照，注册号为</w:t>
      </w:r>
      <w:r>
        <w:rPr>
          <w:rFonts w:ascii="Times New Roman" w:hAnsi="Times New Roman" w:cs="Times New Roman" w:eastAsia="Times New Roman" w:hint="default"/>
        </w:rPr>
        <w:t>220000000052632</w:t>
      </w:r>
      <w:r>
        <w:rPr/>
        <w:t>。</w:t>
      </w:r>
    </w:p>
    <w:p>
      <w:pPr>
        <w:pStyle w:val="BodyText"/>
        <w:spacing w:line="393" w:lineRule="auto" w:before="35"/>
        <w:ind w:right="1127" w:firstLine="420"/>
        <w:jc w:val="both"/>
      </w:pPr>
      <w:r>
        <w:rPr>
          <w:spacing w:val="-6"/>
        </w:rPr>
        <w:t>本公司经中国证券监督管理委员会《关于核准吉林紫鑫药业股份有限公司非公开发行股票的批复》（证</w:t>
      </w:r>
      <w:r>
        <w:rPr/>
        <w:t> 监许可</w:t>
      </w:r>
      <w:r>
        <w:rPr>
          <w:rFonts w:ascii="Times New Roman" w:hAnsi="Times New Roman" w:cs="Times New Roman" w:eastAsia="Times New Roman" w:hint="default"/>
        </w:rPr>
        <w:t>[2010]1815</w:t>
      </w:r>
      <w:r>
        <w:rPr/>
        <w:t>号），核准本公司非公开发行</w:t>
      </w:r>
      <w:r>
        <w:rPr>
          <w:rFonts w:ascii="Times New Roman" w:hAnsi="Times New Roman" w:cs="Times New Roman" w:eastAsia="Times New Roman" w:hint="default"/>
        </w:rPr>
        <w:t>A</w:t>
      </w:r>
      <w:r>
        <w:rPr/>
        <w:t>股股票不超过</w:t>
      </w:r>
      <w:r>
        <w:rPr>
          <w:rFonts w:ascii="Times New Roman" w:hAnsi="Times New Roman" w:cs="Times New Roman" w:eastAsia="Times New Roman" w:hint="default"/>
        </w:rPr>
        <w:t>9,000</w:t>
      </w:r>
      <w:r>
        <w:rPr/>
        <w:t>万股，由保荐机构东北证券股份有限</w:t>
      </w:r>
      <w:r>
        <w:rPr>
          <w:spacing w:val="-60"/>
        </w:rPr>
        <w:t> </w:t>
      </w:r>
      <w:r>
        <w:rPr>
          <w:spacing w:val="-60"/>
        </w:rPr>
      </w:r>
      <w:r>
        <w:rPr>
          <w:spacing w:val="-1"/>
        </w:rPr>
        <w:t>公司作为主承销商，通过非公开发行方式向特定投资者发行。通过本次发行的认购询价、申购过程，本公</w:t>
      </w:r>
      <w:r>
        <w:rPr>
          <w:spacing w:val="-86"/>
        </w:rPr>
        <w:t> </w:t>
      </w:r>
      <w:r>
        <w:rPr>
          <w:spacing w:val="-86"/>
        </w:rPr>
      </w:r>
      <w:r>
        <w:rPr/>
        <w:t>司最终确定本次发行数量为</w:t>
      </w:r>
      <w:r>
        <w:rPr>
          <w:rFonts w:ascii="Times New Roman" w:hAnsi="Times New Roman" w:cs="Times New Roman" w:eastAsia="Times New Roman" w:hint="default"/>
        </w:rPr>
        <w:t>49,875,311</w:t>
      </w:r>
      <w:r>
        <w:rPr/>
        <w:t>股，每股面值为人民币</w:t>
      </w:r>
      <w:r>
        <w:rPr>
          <w:rFonts w:ascii="Times New Roman" w:hAnsi="Times New Roman" w:cs="Times New Roman" w:eastAsia="Times New Roman" w:hint="default"/>
        </w:rPr>
        <w:t>1.00</w:t>
      </w:r>
      <w:r>
        <w:rPr/>
        <w:t>元、每股发行价格为人民币</w:t>
      </w:r>
      <w:r>
        <w:rPr>
          <w:rFonts w:ascii="Times New Roman" w:hAnsi="Times New Roman" w:cs="Times New Roman" w:eastAsia="Times New Roman" w:hint="default"/>
        </w:rPr>
        <w:t>20.05</w:t>
      </w:r>
      <w:r>
        <w:rPr/>
        <w:t>元，申</w:t>
      </w:r>
      <w:r>
        <w:rPr>
          <w:spacing w:val="-26"/>
        </w:rPr>
        <w:t> </w:t>
      </w:r>
      <w:r>
        <w:rPr/>
        <w:t>请增加注册资本人民币</w:t>
      </w:r>
      <w:r>
        <w:rPr>
          <w:rFonts w:ascii="Times New Roman" w:hAnsi="Times New Roman" w:cs="Times New Roman" w:eastAsia="Times New Roman" w:hint="default"/>
        </w:rPr>
        <w:t>49,875,311.00</w:t>
      </w:r>
      <w:r>
        <w:rPr/>
        <w:t>元，由吉林长白山股权投资管理有限公司、兴业全球基金管理有限公</w:t>
      </w:r>
      <w:r>
        <w:rPr>
          <w:spacing w:val="-80"/>
        </w:rPr>
        <w:t> </w:t>
      </w:r>
      <w:r>
        <w:rPr>
          <w:spacing w:val="-80"/>
        </w:rPr>
      </w:r>
      <w:r>
        <w:rPr>
          <w:spacing w:val="-1"/>
        </w:rPr>
        <w:t>司、太平资产管理有限公司、百年化妆护理品有限公司、天津硅谷天堂鲲鹏股权投资基金合伙企业（有限</w:t>
      </w:r>
      <w:r>
        <w:rPr>
          <w:spacing w:val="-86"/>
        </w:rPr>
        <w:t> </w:t>
      </w:r>
      <w:r>
        <w:rPr>
          <w:spacing w:val="-86"/>
        </w:rPr>
      </w:r>
      <w:r>
        <w:rPr>
          <w:spacing w:val="-2"/>
        </w:rPr>
        <w:t>合伙）、杨录军于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spacing w:val="-2"/>
        </w:rPr>
        <w:t>日前一次性缴足，变更后的注册资本为人民币</w:t>
      </w:r>
      <w:r>
        <w:rPr>
          <w:rFonts w:ascii="Times New Roman" w:hAnsi="Times New Roman" w:cs="Times New Roman" w:eastAsia="Times New Roman" w:hint="default"/>
          <w:spacing w:val="-2"/>
        </w:rPr>
        <w:t>256,495,691.00</w:t>
      </w:r>
      <w:r>
        <w:rPr>
          <w:spacing w:val="-2"/>
        </w:rPr>
        <w:t>元。此次股本</w:t>
      </w:r>
      <w:r>
        <w:rPr>
          <w:spacing w:val="-73"/>
        </w:rPr>
        <w:t> </w:t>
      </w:r>
      <w:r>
        <w:rPr>
          <w:spacing w:val="-73"/>
        </w:rPr>
      </w:r>
      <w:r>
        <w:rPr/>
        <w:t>变更事宜，经中准会计师事务所有限公司于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日出具的中准验字</w:t>
      </w:r>
      <w:r>
        <w:rPr>
          <w:rFonts w:ascii="Times New Roman" w:hAnsi="Times New Roman" w:cs="Times New Roman" w:eastAsia="Times New Roman" w:hint="default"/>
        </w:rPr>
        <w:t>[2010]2068</w:t>
      </w:r>
      <w:r>
        <w:rPr/>
        <w:t>号验资报告予以验</w:t>
      </w:r>
      <w:r>
        <w:rPr>
          <w:spacing w:val="-67"/>
        </w:rPr>
        <w:t> </w:t>
      </w:r>
      <w:r>
        <w:rPr>
          <w:spacing w:val="-67"/>
        </w:rPr>
      </w:r>
      <w:r>
        <w:rPr>
          <w:spacing w:val="5"/>
        </w:rPr>
        <w:t>证，本公司已于</w:t>
      </w:r>
      <w:r>
        <w:rPr>
          <w:rFonts w:ascii="Times New Roman" w:hAnsi="Times New Roman" w:cs="Times New Roman" w:eastAsia="Times New Roman" w:hint="default"/>
          <w:spacing w:val="5"/>
        </w:rPr>
        <w:t>2011</w:t>
      </w:r>
      <w:r>
        <w:rPr>
          <w:spacing w:val="5"/>
        </w:rPr>
        <w:t>年</w:t>
      </w:r>
      <w:r>
        <w:rPr>
          <w:rFonts w:ascii="Times New Roman" w:hAnsi="Times New Roman" w:cs="Times New Roman" w:eastAsia="Times New Roman" w:hint="default"/>
          <w:spacing w:val="5"/>
        </w:rPr>
        <w:t>2</w:t>
      </w:r>
      <w:r>
        <w:rPr>
          <w:spacing w:val="5"/>
        </w:rPr>
        <w:t>月</w:t>
      </w:r>
      <w:r>
        <w:rPr>
          <w:rFonts w:ascii="Times New Roman" w:hAnsi="Times New Roman" w:cs="Times New Roman" w:eastAsia="Times New Roman" w:hint="default"/>
          <w:spacing w:val="5"/>
        </w:rPr>
        <w:t>12</w:t>
      </w:r>
      <w:r>
        <w:rPr>
          <w:spacing w:val="5"/>
        </w:rPr>
        <w:t>日取得了吉林省工商行政管理局核发的新的企业法人营业执照，注册号为</w:t>
      </w:r>
      <w:r>
        <w:rPr>
          <w:spacing w:val="-94"/>
        </w:rPr>
        <w:t> </w:t>
      </w:r>
      <w:r>
        <w:rPr>
          <w:spacing w:val="-94"/>
        </w:rPr>
      </w:r>
      <w:r>
        <w:rPr>
          <w:rFonts w:ascii="Times New Roman" w:hAnsi="Times New Roman" w:cs="Times New Roman" w:eastAsia="Times New Roman" w:hint="default"/>
        </w:rPr>
        <w:t>220000000052632</w:t>
      </w:r>
      <w:r>
        <w:rPr/>
        <w:t>、注册资本为人民币</w:t>
      </w:r>
      <w:r>
        <w:rPr>
          <w:rFonts w:ascii="Times New Roman" w:hAnsi="Times New Roman" w:cs="Times New Roman" w:eastAsia="Times New Roman" w:hint="default"/>
        </w:rPr>
        <w:t>256,495,691.00</w:t>
      </w:r>
      <w:r>
        <w:rPr/>
        <w:t>元。</w:t>
      </w:r>
    </w:p>
    <w:p>
      <w:pPr>
        <w:spacing w:after="0" w:line="393"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1235" w:firstLine="420"/>
        <w:jc w:val="both"/>
      </w:pPr>
      <w:r>
        <w:rPr/>
        <w:t>根据本公司</w:t>
      </w:r>
      <w:r>
        <w:rPr>
          <w:rFonts w:ascii="Times New Roman" w:hAnsi="Times New Roman" w:cs="Times New Roman" w:eastAsia="Times New Roman" w:hint="default"/>
        </w:rPr>
        <w:t>2010</w:t>
      </w:r>
      <w:r>
        <w:rPr/>
        <w:t>年度股东大会决议，审议通过了</w:t>
      </w:r>
      <w:r>
        <w:rPr>
          <w:rFonts w:ascii="Times New Roman" w:hAnsi="Times New Roman" w:cs="Times New Roman" w:eastAsia="Times New Roman" w:hint="default"/>
        </w:rPr>
        <w:t>2010</w:t>
      </w:r>
      <w:r>
        <w:rPr/>
        <w:t>年度利润分配方案，拟以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w:t>
      </w:r>
      <w:r>
        <w:rPr>
          <w:spacing w:val="2"/>
        </w:rPr>
        <w:t> </w:t>
      </w:r>
      <w:r>
        <w:rPr/>
        <w:t>本</w:t>
      </w:r>
      <w:r>
        <w:rPr>
          <w:rFonts w:ascii="Times New Roman" w:hAnsi="Times New Roman" w:cs="Times New Roman" w:eastAsia="Times New Roman" w:hint="default"/>
        </w:rPr>
        <w:t>256,495,691</w:t>
      </w:r>
      <w:r>
        <w:rPr/>
        <w:t>股为基数，用资本公积向全体股东转增股本，每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股。经中准会计师事务所有限</w:t>
      </w:r>
      <w:r>
        <w:rPr>
          <w:spacing w:val="-34"/>
        </w:rPr>
        <w:t> </w:t>
      </w:r>
      <w:r>
        <w:rPr>
          <w:spacing w:val="-34"/>
        </w:rPr>
      </w:r>
      <w:r>
        <w:rPr/>
        <w:t>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日出具的中准验字</w:t>
      </w:r>
      <w:r>
        <w:rPr>
          <w:rFonts w:ascii="Times New Roman" w:hAnsi="Times New Roman" w:cs="Times New Roman" w:eastAsia="Times New Roman" w:hint="default"/>
        </w:rPr>
        <w:t>[2011]2022</w:t>
      </w:r>
      <w:r>
        <w:rPr/>
        <w:t>号验资报告予以验证，本公司已于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日取得</w:t>
      </w:r>
      <w:r>
        <w:rPr>
          <w:spacing w:val="-71"/>
        </w:rPr>
        <w:t> </w:t>
      </w:r>
      <w:r>
        <w:rPr>
          <w:spacing w:val="-1"/>
        </w:rPr>
        <w:t>了吉林省工商行政管理局核发的新的企业法人营业执照，注册号为</w:t>
      </w:r>
      <w:r>
        <w:rPr>
          <w:rFonts w:ascii="Times New Roman" w:hAnsi="Times New Roman" w:cs="Times New Roman" w:eastAsia="Times New Roman" w:hint="default"/>
          <w:spacing w:val="-1"/>
        </w:rPr>
        <w:t>220000000052632</w:t>
      </w:r>
      <w:r>
        <w:rPr>
          <w:spacing w:val="-1"/>
        </w:rPr>
        <w:t>、注册资本为人民币</w:t>
      </w:r>
      <w:r>
        <w:rPr>
          <w:spacing w:val="-79"/>
        </w:rPr>
        <w:t> </w:t>
      </w:r>
      <w:r>
        <w:rPr>
          <w:spacing w:val="-79"/>
        </w:rPr>
      </w:r>
      <w:r>
        <w:rPr>
          <w:rFonts w:ascii="Times New Roman" w:hAnsi="Times New Roman" w:cs="Times New Roman" w:eastAsia="Times New Roman" w:hint="default"/>
        </w:rPr>
        <w:t>512,991,382.00</w:t>
      </w:r>
      <w:r>
        <w:rPr/>
        <w:t>元。</w:t>
      </w:r>
    </w:p>
    <w:p>
      <w:pPr>
        <w:spacing w:line="408" w:lineRule="auto" w:before="35"/>
        <w:ind w:left="573" w:right="0" w:hanging="8"/>
        <w:jc w:val="left"/>
        <w:rPr>
          <w:rFonts w:ascii="宋体" w:hAnsi="宋体" w:cs="宋体" w:eastAsia="宋体" w:hint="default"/>
          <w:sz w:val="21"/>
          <w:szCs w:val="21"/>
        </w:rPr>
      </w:pPr>
      <w:r>
        <w:rPr>
          <w:rFonts w:ascii="宋体" w:hAnsi="宋体" w:cs="宋体" w:eastAsia="宋体" w:hint="default"/>
          <w:b/>
          <w:bCs/>
          <w:sz w:val="21"/>
          <w:szCs w:val="21"/>
        </w:rPr>
        <w:t>（三）行业性质及主要产品</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本公司属医药行业，主要产品为活血通脉片、复方益肝灵片、四妙丸、肾复康胶囊、藿胆片、萆薢分</w:t>
      </w:r>
    </w:p>
    <w:p>
      <w:pPr>
        <w:pStyle w:val="BodyText"/>
        <w:spacing w:line="240" w:lineRule="auto" w:before="46"/>
        <w:ind w:right="0"/>
        <w:jc w:val="left"/>
      </w:pPr>
      <w:r>
        <w:rPr/>
        <w:t>清丸、小儿白贝止咳糖浆、人参系列产品等。</w:t>
      </w:r>
    </w:p>
    <w:p>
      <w:pPr>
        <w:spacing w:line="240" w:lineRule="auto" w:before="10"/>
        <w:rPr>
          <w:rFonts w:ascii="宋体" w:hAnsi="宋体" w:cs="宋体" w:eastAsia="宋体" w:hint="default"/>
          <w:sz w:val="14"/>
          <w:szCs w:val="14"/>
        </w:rPr>
      </w:pPr>
    </w:p>
    <w:p>
      <w:pPr>
        <w:pStyle w:val="BodyText"/>
        <w:spacing w:line="408" w:lineRule="auto"/>
        <w:ind w:left="619" w:right="0" w:hanging="53"/>
        <w:jc w:val="left"/>
      </w:pPr>
      <w:r>
        <w:rPr>
          <w:rFonts w:ascii="宋体" w:hAnsi="宋体" w:cs="宋体" w:eastAsia="宋体" w:hint="default"/>
          <w:b/>
          <w:bCs/>
        </w:rPr>
        <w:t>（四）经营范围</w:t>
      </w:r>
      <w:r>
        <w:rPr>
          <w:rFonts w:ascii="宋体" w:hAnsi="宋体" w:cs="宋体" w:eastAsia="宋体" w:hint="default"/>
          <w:b/>
          <w:bCs/>
          <w:w w:val="99"/>
        </w:rPr>
        <w:t> </w:t>
      </w:r>
      <w:r>
        <w:rPr>
          <w:spacing w:val="-2"/>
        </w:rPr>
        <w:t>本公司主要经营业务：加工销售中成药，化学药制剂（口服液、片剂、胶囊），药材原料，针织品加</w:t>
      </w:r>
    </w:p>
    <w:p>
      <w:pPr>
        <w:pStyle w:val="BodyText"/>
        <w:spacing w:line="398" w:lineRule="auto" w:before="46"/>
        <w:ind w:right="1024"/>
        <w:jc w:val="left"/>
      </w:pPr>
      <w:r>
        <w:rPr/>
        <w:t>工，种养殖业；设计，制作，代理电视，报纸，灯箱，路牌广告业务；经营本企业自产产品及相关技术的 </w:t>
      </w:r>
      <w:r>
        <w:rPr>
          <w:spacing w:val="-3"/>
        </w:rPr>
        <w:t>出口业务（国家限定公司经营或禁止出口的商品除外）；经营本企业生产科研所需的原辅材料、机械设备、</w:t>
      </w:r>
      <w:r>
        <w:rPr>
          <w:spacing w:val="-96"/>
        </w:rPr>
        <w:t> </w:t>
      </w:r>
      <w:r>
        <w:rPr>
          <w:spacing w:val="-96"/>
        </w:rPr>
      </w:r>
      <w:r>
        <w:rPr/>
        <w:t>仪器仪表、零配件及相关技术的进出口业务（国家限定公司经营或禁止进口的商品除外）；经营本企业的</w:t>
      </w:r>
      <w:r>
        <w:rPr/>
        <w:t> </w:t>
      </w:r>
      <w:r>
        <w:rPr>
          <w:spacing w:val="-3"/>
        </w:rPr>
        <w:t>进料加工和</w:t>
      </w:r>
      <w:r>
        <w:rPr>
          <w:rFonts w:ascii="Times New Roman" w:hAnsi="Times New Roman" w:cs="Times New Roman" w:eastAsia="Times New Roman" w:hint="default"/>
          <w:spacing w:val="-3"/>
        </w:rPr>
        <w:t>“</w:t>
      </w:r>
      <w:r>
        <w:rPr>
          <w:spacing w:val="-3"/>
        </w:rPr>
        <w:t>三来一补</w:t>
      </w:r>
      <w:r>
        <w:rPr>
          <w:rFonts w:ascii="Times New Roman" w:hAnsi="Times New Roman" w:cs="Times New Roman" w:eastAsia="Times New Roman" w:hint="default"/>
          <w:spacing w:val="-3"/>
        </w:rPr>
        <w:t>”</w:t>
      </w:r>
      <w:r>
        <w:rPr>
          <w:spacing w:val="-3"/>
        </w:rPr>
        <w:t>业务；茶叶（袋泡茶）生产（工业产品生产许可证有效期至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16</w:t>
      </w:r>
      <w:r>
        <w:rPr>
          <w:spacing w:val="-3"/>
        </w:rPr>
        <w:t>日），含茶</w:t>
      </w:r>
      <w:r>
        <w:rPr>
          <w:spacing w:val="-61"/>
        </w:rPr>
        <w:t> </w:t>
      </w:r>
      <w:r>
        <w:rPr>
          <w:spacing w:val="-61"/>
        </w:rPr>
      </w:r>
      <w:r>
        <w:rPr>
          <w:spacing w:val="-3"/>
        </w:rPr>
        <w:t>制品和代用茶（代用茶、速溶茶类）生产（工业产品生产许可证有效期至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16</w:t>
      </w:r>
      <w:r>
        <w:rPr>
          <w:spacing w:val="-3"/>
        </w:rPr>
        <w:t>日），糖果制品（糖</w:t>
      </w:r>
      <w:r>
        <w:rPr>
          <w:spacing w:val="-93"/>
        </w:rPr>
        <w:t> </w:t>
      </w:r>
      <w:r>
        <w:rPr>
          <w:spacing w:val="-93"/>
        </w:rPr>
      </w:r>
      <w:r>
        <w:rPr/>
        <w:t>果、巧克力及巧克力制品）生产（工业生产许可证有效期至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日）（凭环保证经营）；生产医 用酒精棉球（医疗器械注册证有效期至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日）；土特产品销售。</w:t>
      </w:r>
      <w:r>
        <w:rPr>
          <w:rFonts w:ascii="Times New Roman" w:hAnsi="Times New Roman" w:cs="Times New Roman" w:eastAsia="Times New Roman" w:hint="default"/>
        </w:rPr>
        <w:t>***</w:t>
      </w:r>
      <w:r>
        <w:rPr/>
        <w:t>〒</w:t>
      </w:r>
    </w:p>
    <w:p>
      <w:pPr>
        <w:pStyle w:val="BodyText"/>
        <w:spacing w:line="240" w:lineRule="auto" w:before="24"/>
        <w:ind w:left="573" w:right="0"/>
        <w:jc w:val="left"/>
      </w:pPr>
      <w:r>
        <w:rPr/>
        <w:t>（五）财务报告批准报出日</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w:t>
      </w:r>
    </w:p>
    <w:p>
      <w:pPr>
        <w:spacing w:line="408" w:lineRule="auto" w:before="177"/>
        <w:ind w:left="871" w:right="4155" w:hanging="306"/>
        <w:jc w:val="left"/>
        <w:rPr>
          <w:rFonts w:ascii="宋体" w:hAnsi="宋体" w:cs="宋体" w:eastAsia="宋体" w:hint="default"/>
          <w:sz w:val="21"/>
          <w:szCs w:val="21"/>
        </w:rPr>
      </w:pPr>
      <w:r>
        <w:rPr/>
        <w:pict>
          <v:shape style="position:absolute;margin-left:56.700001pt;margin-top:52.493656pt;width:453.75pt;height:204.7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074"/>
                  </w:tblGrid>
                  <w:tr>
                    <w:trPr>
                      <w:trHeight w:val="513" w:hRule="exact"/>
                    </w:trPr>
                    <w:tc>
                      <w:tcPr>
                        <w:tcW w:w="9074" w:type="dxa"/>
                        <w:tcBorders>
                          <w:top w:val="single" w:sz="8" w:space="0" w:color="000000"/>
                          <w:left w:val="nil" w:sz="6" w:space="0" w:color="auto"/>
                          <w:bottom w:val="single" w:sz="12" w:space="0" w:color="000000"/>
                          <w:right w:val="nil" w:sz="6" w:space="0" w:color="auto"/>
                        </w:tcBorders>
                      </w:tcPr>
                      <w:p>
                        <w:pPr>
                          <w:pStyle w:val="TableParagraph"/>
                          <w:spacing w:line="240" w:lineRule="auto" w:before="74"/>
                          <w:ind w:left="-1" w:right="1"/>
                          <w:jc w:val="center"/>
                          <w:rPr>
                            <w:rFonts w:ascii="宋体" w:hAnsi="宋体" w:cs="宋体" w:eastAsia="宋体" w:hint="default"/>
                            <w:sz w:val="21"/>
                            <w:szCs w:val="21"/>
                          </w:rPr>
                        </w:pPr>
                        <w:r>
                          <w:rPr>
                            <w:rFonts w:ascii="宋体" w:hAnsi="宋体" w:cs="宋体" w:eastAsia="宋体" w:hint="default"/>
                            <w:sz w:val="21"/>
                            <w:szCs w:val="21"/>
                          </w:rPr>
                          <w:t>子公司名称</w:t>
                        </w:r>
                      </w:p>
                    </w:tc>
                  </w:tr>
                  <w:tr>
                    <w:trPr>
                      <w:trHeight w:val="509"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3"/>
                          <w:ind w:left="9" w:right="0"/>
                          <w:jc w:val="left"/>
                          <w:rPr>
                            <w:rFonts w:ascii="宋体" w:hAnsi="宋体" w:cs="宋体" w:eastAsia="宋体" w:hint="default"/>
                            <w:sz w:val="21"/>
                            <w:szCs w:val="21"/>
                          </w:rPr>
                        </w:pPr>
                        <w:r>
                          <w:rPr>
                            <w:rFonts w:ascii="宋体" w:hAnsi="宋体" w:cs="宋体" w:eastAsia="宋体" w:hint="default"/>
                            <w:sz w:val="21"/>
                            <w:szCs w:val="21"/>
                          </w:rPr>
                          <w:t>吉林草还丹药业有限公司</w:t>
                        </w:r>
                      </w:p>
                    </w:tc>
                  </w:tr>
                  <w:tr>
                    <w:trPr>
                      <w:trHeight w:val="508"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3"/>
                          <w:ind w:left="9" w:right="0"/>
                          <w:jc w:val="left"/>
                          <w:rPr>
                            <w:rFonts w:ascii="宋体" w:hAnsi="宋体" w:cs="宋体" w:eastAsia="宋体" w:hint="default"/>
                            <w:sz w:val="21"/>
                            <w:szCs w:val="21"/>
                          </w:rPr>
                        </w:pPr>
                        <w:r>
                          <w:rPr>
                            <w:rFonts w:ascii="宋体" w:hAnsi="宋体" w:cs="宋体" w:eastAsia="宋体" w:hint="default"/>
                            <w:sz w:val="21"/>
                            <w:szCs w:val="21"/>
                          </w:rPr>
                          <w:t>吉林紫鑫敦化医药药材有限公司</w:t>
                        </w:r>
                      </w:p>
                    </w:tc>
                  </w:tr>
                  <w:tr>
                    <w:trPr>
                      <w:trHeight w:val="508"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3"/>
                          <w:ind w:left="9" w:right="0"/>
                          <w:jc w:val="left"/>
                          <w:rPr>
                            <w:rFonts w:ascii="宋体" w:hAnsi="宋体" w:cs="宋体" w:eastAsia="宋体" w:hint="default"/>
                            <w:sz w:val="21"/>
                            <w:szCs w:val="21"/>
                          </w:rPr>
                        </w:pPr>
                        <w:r>
                          <w:rPr>
                            <w:rFonts w:ascii="宋体" w:hAnsi="宋体" w:cs="宋体" w:eastAsia="宋体" w:hint="default"/>
                            <w:sz w:val="21"/>
                            <w:szCs w:val="21"/>
                          </w:rPr>
                          <w:t>吉林紫鑫初元药业有限公司</w:t>
                        </w:r>
                      </w:p>
                    </w:tc>
                  </w:tr>
                  <w:tr>
                    <w:trPr>
                      <w:trHeight w:val="509"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3"/>
                          <w:ind w:left="9" w:right="0"/>
                          <w:jc w:val="left"/>
                          <w:rPr>
                            <w:rFonts w:ascii="宋体" w:hAnsi="宋体" w:cs="宋体" w:eastAsia="宋体" w:hint="default"/>
                            <w:sz w:val="21"/>
                            <w:szCs w:val="21"/>
                          </w:rPr>
                        </w:pPr>
                        <w:r>
                          <w:rPr>
                            <w:rFonts w:ascii="宋体" w:hAnsi="宋体" w:cs="宋体" w:eastAsia="宋体" w:hint="default"/>
                            <w:sz w:val="21"/>
                            <w:szCs w:val="21"/>
                          </w:rPr>
                          <w:t>吉林紫鑫般若药业有限公司</w:t>
                        </w:r>
                      </w:p>
                    </w:tc>
                  </w:tr>
                  <w:tr>
                    <w:trPr>
                      <w:trHeight w:val="508"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3"/>
                          <w:ind w:left="9" w:right="0"/>
                          <w:jc w:val="left"/>
                          <w:rPr>
                            <w:rFonts w:ascii="宋体" w:hAnsi="宋体" w:cs="宋体" w:eastAsia="宋体" w:hint="default"/>
                            <w:sz w:val="21"/>
                            <w:szCs w:val="21"/>
                          </w:rPr>
                        </w:pPr>
                        <w:r>
                          <w:rPr>
                            <w:rFonts w:ascii="宋体" w:hAnsi="宋体" w:cs="宋体" w:eastAsia="宋体" w:hint="default"/>
                            <w:sz w:val="21"/>
                            <w:szCs w:val="21"/>
                          </w:rPr>
                          <w:t>吉林紫鑫禺拙药业有限公司</w:t>
                        </w:r>
                      </w:p>
                    </w:tc>
                  </w:tr>
                  <w:tr>
                    <w:trPr>
                      <w:trHeight w:val="508"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3"/>
                          <w:ind w:left="9" w:right="0"/>
                          <w:jc w:val="left"/>
                          <w:rPr>
                            <w:rFonts w:ascii="宋体" w:hAnsi="宋体" w:cs="宋体" w:eastAsia="宋体" w:hint="default"/>
                            <w:sz w:val="21"/>
                            <w:szCs w:val="21"/>
                          </w:rPr>
                        </w:pPr>
                        <w:r>
                          <w:rPr>
                            <w:rFonts w:ascii="宋体" w:hAnsi="宋体" w:cs="宋体" w:eastAsia="宋体" w:hint="default"/>
                            <w:sz w:val="21"/>
                            <w:szCs w:val="21"/>
                          </w:rPr>
                          <w:t>吉林紫鑫红石种养殖有限公司</w:t>
                        </w:r>
                      </w:p>
                    </w:tc>
                  </w:tr>
                  <w:tr>
                    <w:trPr>
                      <w:trHeight w:val="509"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3"/>
                          <w:ind w:left="9" w:right="0"/>
                          <w:jc w:val="left"/>
                          <w:rPr>
                            <w:rFonts w:ascii="宋体" w:hAnsi="宋体" w:cs="宋体" w:eastAsia="宋体" w:hint="default"/>
                            <w:sz w:val="21"/>
                            <w:szCs w:val="21"/>
                          </w:rPr>
                        </w:pPr>
                        <w:r>
                          <w:rPr>
                            <w:rFonts w:ascii="宋体" w:hAnsi="宋体" w:cs="宋体" w:eastAsia="宋体" w:hint="default"/>
                            <w:sz w:val="21"/>
                            <w:szCs w:val="21"/>
                          </w:rPr>
                          <w:t>吉林紫鑫人参销售有限公司</w:t>
                        </w:r>
                      </w:p>
                    </w:tc>
                  </w:tr>
                </w:tbl>
                <w:p>
                  <w:pPr/>
                </w:p>
              </w:txbxContent>
            </v:textbox>
            <w10:wrap type="none"/>
          </v:shape>
        </w:pict>
      </w:r>
      <w:r>
        <w:rPr>
          <w:rFonts w:ascii="宋体" w:hAnsi="宋体" w:cs="宋体" w:eastAsia="宋体" w:hint="default"/>
          <w:b/>
          <w:bCs/>
          <w:sz w:val="21"/>
          <w:szCs w:val="21"/>
        </w:rPr>
        <w:t>（六）合并财务报表范围</w:t>
      </w:r>
      <w:r>
        <w:rPr>
          <w:rFonts w:ascii="宋体" w:hAnsi="宋体" w:cs="宋体" w:eastAsia="宋体" w:hint="default"/>
          <w:b/>
          <w:bCs/>
          <w:w w:val="99"/>
          <w:sz w:val="21"/>
          <w:szCs w:val="21"/>
        </w:rPr>
        <w:t> </w:t>
      </w:r>
      <w:r>
        <w:rPr>
          <w:rFonts w:ascii="宋体" w:hAnsi="宋体" w:cs="宋体" w:eastAsia="宋体" w:hint="default"/>
          <w:sz w:val="21"/>
          <w:szCs w:val="21"/>
        </w:rPr>
        <w:t>截</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日止，本公司合并财务报表范围内子公司如下：</w:t>
      </w:r>
    </w:p>
    <w:p>
      <w:pPr>
        <w:spacing w:after="0" w:line="408"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53" w:type="dxa"/>
        <w:tblLayout w:type="fixed"/>
        <w:tblCellMar>
          <w:top w:w="0" w:type="dxa"/>
          <w:left w:w="0" w:type="dxa"/>
          <w:bottom w:w="0" w:type="dxa"/>
          <w:right w:w="0" w:type="dxa"/>
        </w:tblCellMar>
        <w:tblLook w:val="01E0"/>
      </w:tblPr>
      <w:tblGrid>
        <w:gridCol w:w="9074"/>
      </w:tblGrid>
      <w:tr>
        <w:trPr>
          <w:trHeight w:val="513" w:hRule="exact"/>
        </w:trPr>
        <w:tc>
          <w:tcPr>
            <w:tcW w:w="9074" w:type="dxa"/>
            <w:tcBorders>
              <w:top w:val="single" w:sz="8" w:space="0" w:color="000000"/>
              <w:left w:val="nil" w:sz="6" w:space="0" w:color="auto"/>
              <w:bottom w:val="single" w:sz="12" w:space="0" w:color="000000"/>
              <w:right w:val="nil" w:sz="6" w:space="0" w:color="auto"/>
            </w:tcBorders>
          </w:tcPr>
          <w:p>
            <w:pPr>
              <w:pStyle w:val="TableParagraph"/>
              <w:spacing w:line="240" w:lineRule="auto" w:before="74"/>
              <w:ind w:left="9" w:right="0"/>
              <w:jc w:val="left"/>
              <w:rPr>
                <w:rFonts w:ascii="宋体" w:hAnsi="宋体" w:cs="宋体" w:eastAsia="宋体" w:hint="default"/>
                <w:sz w:val="21"/>
                <w:szCs w:val="21"/>
              </w:rPr>
            </w:pPr>
            <w:r>
              <w:rPr>
                <w:rFonts w:ascii="宋体" w:hAnsi="宋体" w:cs="宋体" w:eastAsia="宋体" w:hint="default"/>
                <w:sz w:val="21"/>
                <w:szCs w:val="21"/>
              </w:rPr>
              <w:t>吉林紫鑫人参研发有限公司</w:t>
            </w:r>
          </w:p>
        </w:tc>
      </w:tr>
      <w:tr>
        <w:trPr>
          <w:trHeight w:val="509"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3"/>
              <w:ind w:left="9" w:right="0"/>
              <w:jc w:val="left"/>
              <w:rPr>
                <w:rFonts w:ascii="宋体" w:hAnsi="宋体" w:cs="宋体" w:eastAsia="宋体" w:hint="default"/>
                <w:sz w:val="21"/>
                <w:szCs w:val="21"/>
              </w:rPr>
            </w:pPr>
            <w:r>
              <w:rPr>
                <w:rFonts w:ascii="宋体" w:hAnsi="宋体" w:cs="宋体" w:eastAsia="宋体" w:hint="default"/>
                <w:sz w:val="21"/>
                <w:szCs w:val="21"/>
              </w:rPr>
              <w:t>吉林紫鑫药物研究有限公司</w:t>
            </w:r>
          </w:p>
        </w:tc>
      </w:tr>
      <w:tr>
        <w:trPr>
          <w:trHeight w:val="508"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3"/>
              <w:ind w:left="9" w:right="0"/>
              <w:jc w:val="left"/>
              <w:rPr>
                <w:rFonts w:ascii="宋体" w:hAnsi="宋体" w:cs="宋体" w:eastAsia="宋体" w:hint="default"/>
                <w:sz w:val="21"/>
                <w:szCs w:val="21"/>
              </w:rPr>
            </w:pPr>
            <w:r>
              <w:rPr>
                <w:rFonts w:ascii="宋体" w:hAnsi="宋体" w:cs="宋体" w:eastAsia="宋体" w:hint="default"/>
                <w:sz w:val="21"/>
                <w:szCs w:val="21"/>
              </w:rPr>
              <w:t>吉林中科紫鑫科技有限公司</w:t>
            </w:r>
          </w:p>
        </w:tc>
      </w:tr>
      <w:tr>
        <w:trPr>
          <w:trHeight w:val="508" w:hRule="exact"/>
        </w:trPr>
        <w:tc>
          <w:tcPr>
            <w:tcW w:w="9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63"/>
              <w:ind w:left="9" w:right="0"/>
              <w:jc w:val="left"/>
              <w:rPr>
                <w:rFonts w:ascii="宋体" w:hAnsi="宋体" w:cs="宋体" w:eastAsia="宋体" w:hint="default"/>
                <w:sz w:val="21"/>
                <w:szCs w:val="21"/>
              </w:rPr>
            </w:pPr>
            <w:r>
              <w:rPr>
                <w:rFonts w:ascii="宋体" w:hAnsi="宋体" w:cs="宋体" w:eastAsia="宋体" w:hint="default"/>
                <w:sz w:val="21"/>
                <w:szCs w:val="21"/>
              </w:rPr>
              <w:t>吉林环境能源交易所有限公司</w:t>
            </w:r>
          </w:p>
        </w:tc>
      </w:tr>
    </w:tbl>
    <w:p>
      <w:pPr>
        <w:spacing w:line="240" w:lineRule="auto" w:before="0"/>
        <w:rPr>
          <w:rFonts w:ascii="宋体" w:hAnsi="宋体" w:cs="宋体" w:eastAsia="宋体" w:hint="default"/>
          <w:sz w:val="24"/>
          <w:szCs w:val="24"/>
        </w:rPr>
      </w:pPr>
    </w:p>
    <w:p>
      <w:pPr>
        <w:pStyle w:val="Heading2"/>
        <w:spacing w:line="240" w:lineRule="auto" w:before="26"/>
        <w:ind w:left="154" w:right="0"/>
        <w:jc w:val="left"/>
        <w:rPr>
          <w:b w:val="0"/>
          <w:bCs w:val="0"/>
        </w:rPr>
      </w:pPr>
      <w:bookmarkStart w:name="四、财务报表的编制基础" w:id="148"/>
      <w:bookmarkEnd w:id="148"/>
      <w:r>
        <w:rPr>
          <w:b w:val="0"/>
          <w:bCs w:val="0"/>
        </w:rPr>
      </w:r>
      <w:r>
        <w:rPr/>
        <w:t>四、财务报表的编制基础</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left"/>
        <w:rPr>
          <w:b w:val="0"/>
          <w:bCs w:val="0"/>
        </w:rPr>
      </w:pPr>
      <w:bookmarkStart w:name="1、编制基础" w:id="149"/>
      <w:bookmarkEnd w:id="14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right="1128" w:firstLine="420"/>
        <w:jc w:val="both"/>
      </w:pPr>
      <w:r>
        <w:rPr>
          <w:spacing w:val="-1"/>
        </w:rPr>
        <w:t>本公司以持续经营为基础，根据实际发生的交易和事项，按照财政部颁布的《企业会计准则</w:t>
      </w:r>
      <w:r>
        <w:rPr>
          <w:rFonts w:ascii="Times New Roman" w:hAnsi="Times New Roman" w:cs="Times New Roman" w:eastAsia="Times New Roman" w:hint="default"/>
          <w:spacing w:val="-1"/>
        </w:rPr>
        <w:t>——</w:t>
      </w:r>
      <w:r>
        <w:rPr>
          <w:spacing w:val="-1"/>
        </w:rPr>
        <w:t>基本</w:t>
      </w:r>
      <w:r>
        <w:rPr/>
        <w:t> </w:t>
      </w:r>
      <w:r>
        <w:rPr>
          <w:spacing w:val="2"/>
        </w:rPr>
        <w:t>准则》和各项具体会计准则、企业会计准则应用指南、企业会计准则解释及其他相关规定（以下合称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w:t>
      </w:r>
      <w:r>
        <w:rPr/>
        <w:t> 业会计准则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38"/>
        </w:rPr>
        <w:t> </w:t>
      </w:r>
      <w:r>
        <w:rPr/>
        <w:t>号</w:t>
      </w:r>
      <w:r>
        <w:rPr>
          <w:rFonts w:ascii="Times New Roman" w:hAnsi="Times New Roman" w:cs="Times New Roman" w:eastAsia="Times New Roman" w:hint="default"/>
        </w:rPr>
        <w:t>——</w:t>
      </w:r>
      <w:r>
        <w:rPr/>
        <w:t>财务 报告的一般规定》的披露规定编制财务报表。</w:t>
      </w:r>
    </w:p>
    <w:p>
      <w:pPr>
        <w:spacing w:line="240" w:lineRule="auto" w:before="12"/>
        <w:rPr>
          <w:rFonts w:ascii="宋体" w:hAnsi="宋体" w:cs="宋体" w:eastAsia="宋体" w:hint="default"/>
          <w:sz w:val="27"/>
          <w:szCs w:val="27"/>
        </w:rPr>
      </w:pPr>
    </w:p>
    <w:p>
      <w:pPr>
        <w:pStyle w:val="Heading4"/>
        <w:spacing w:line="240" w:lineRule="auto"/>
        <w:ind w:left="154" w:right="0"/>
        <w:jc w:val="left"/>
        <w:rPr>
          <w:b w:val="0"/>
          <w:bCs w:val="0"/>
        </w:rPr>
      </w:pPr>
      <w:bookmarkStart w:name="2、持续经营" w:id="150"/>
      <w:bookmarkEnd w:id="15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90"/>
        <w:ind w:right="1132" w:firstLine="411"/>
        <w:jc w:val="both"/>
      </w:pPr>
      <w:r>
        <w:rPr>
          <w:spacing w:val="-1"/>
        </w:rPr>
        <w:t>本公司主营业务符合国家产业政策，生产经营正常，盈利能力稳定。自报告期末起</w:t>
      </w:r>
      <w:r>
        <w:rPr>
          <w:rFonts w:ascii="Times New Roman" w:hAnsi="Times New Roman" w:cs="Times New Roman" w:eastAsia="Times New Roman" w:hint="default"/>
          <w:spacing w:val="-1"/>
        </w:rPr>
        <w:t>12</w:t>
      </w:r>
      <w:r>
        <w:rPr>
          <w:spacing w:val="-1"/>
        </w:rPr>
        <w:t>个月本公司持续</w:t>
      </w:r>
      <w:r>
        <w:rPr/>
        <w:t> 经营能力不存在重大疑虑。</w:t>
      </w:r>
    </w:p>
    <w:p>
      <w:pPr>
        <w:spacing w:line="240" w:lineRule="auto" w:before="2"/>
        <w:rPr>
          <w:rFonts w:ascii="宋体" w:hAnsi="宋体" w:cs="宋体" w:eastAsia="宋体" w:hint="default"/>
          <w:sz w:val="26"/>
          <w:szCs w:val="26"/>
        </w:rPr>
      </w:pPr>
    </w:p>
    <w:p>
      <w:pPr>
        <w:pStyle w:val="Heading2"/>
        <w:spacing w:line="240" w:lineRule="auto"/>
        <w:ind w:right="0"/>
        <w:jc w:val="left"/>
        <w:rPr>
          <w:b w:val="0"/>
          <w:bCs w:val="0"/>
        </w:rPr>
      </w:pPr>
      <w:bookmarkStart w:name="五、重要会计政策及会计估计" w:id="151"/>
      <w:bookmarkEnd w:id="151"/>
      <w:r>
        <w:rPr>
          <w:b w:val="0"/>
          <w:bCs w:val="0"/>
        </w:rPr>
      </w:r>
      <w:r>
        <w:rPr/>
        <w:t>五、重要会计政策及会计估计</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11"/>
        <w:rPr>
          <w:rFonts w:ascii="宋体" w:hAnsi="宋体" w:cs="宋体" w:eastAsia="宋体" w:hint="default"/>
          <w:sz w:val="18"/>
          <w:szCs w:val="18"/>
        </w:rPr>
      </w:pPr>
    </w:p>
    <w:p>
      <w:pPr>
        <w:pStyle w:val="BodyText"/>
        <w:spacing w:line="398" w:lineRule="auto"/>
        <w:ind w:right="1131" w:firstLine="420"/>
        <w:jc w:val="both"/>
      </w:pPr>
      <w:r>
        <w:rPr>
          <w:spacing w:val="3"/>
        </w:rPr>
        <w:t>以下披露内容已涵盖了本公司根据实际生产经营特点制定的具体会计政策和会计估计。详见本附注</w:t>
      </w:r>
      <w:r>
        <w:rPr/>
        <w:t> 三、</w:t>
      </w: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t>应收款项坏账准备</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十五</w:t>
      </w:r>
      <w:r>
        <w:rPr>
          <w:rFonts w:ascii="Times New Roman" w:hAnsi="Times New Roman" w:cs="Times New Roman" w:eastAsia="Times New Roman" w:hint="default"/>
        </w:rPr>
        <w:t>) </w:t>
      </w:r>
      <w:r>
        <w:rPr/>
        <w:t>固定资产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十八</w:t>
      </w:r>
      <w:r>
        <w:rPr>
          <w:rFonts w:ascii="Times New Roman" w:hAnsi="Times New Roman" w:cs="Times New Roman" w:eastAsia="Times New Roman" w:hint="default"/>
        </w:rPr>
        <w:t>)</w:t>
      </w:r>
      <w:r>
        <w:rPr/>
        <w:t>无形资产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二十</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t>长期待摊费用</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 </w:t>
      </w:r>
      <w:r>
        <w:rPr/>
        <w:t>收入</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24"/>
          <w:szCs w:val="24"/>
        </w:rPr>
      </w:pPr>
    </w:p>
    <w:p>
      <w:pPr>
        <w:pStyle w:val="Heading4"/>
        <w:spacing w:line="240" w:lineRule="auto"/>
        <w:ind w:left="154" w:right="0"/>
        <w:jc w:val="left"/>
        <w:rPr>
          <w:b w:val="0"/>
          <w:bCs w:val="0"/>
        </w:rPr>
      </w:pPr>
      <w:bookmarkStart w:name="1、遵循企业会计准则的声明" w:id="152"/>
      <w:bookmarkEnd w:id="15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left="154" w:right="1017" w:firstLine="420"/>
        <w:jc w:val="left"/>
      </w:pPr>
      <w:r>
        <w:rPr>
          <w:spacing w:val="-3"/>
        </w:rPr>
        <w:t>本公司编制的财务报表符合企业会计准则的要求，真实、完整地反映了本公司的财务状况、经营成果、</w:t>
      </w:r>
      <w:r>
        <w:rPr/>
        <w:t> 现金流量等有关信息。</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both"/>
        <w:rPr>
          <w:b w:val="0"/>
          <w:bCs w:val="0"/>
        </w:rPr>
      </w:pPr>
      <w:bookmarkStart w:name="2、会计期间" w:id="153"/>
      <w:bookmarkEnd w:id="153"/>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89"/>
        <w:ind w:left="573" w:right="0"/>
        <w:jc w:val="left"/>
      </w:pPr>
      <w:r>
        <w:rPr/>
        <w:t>本公司自公历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0"/>
        <w:rPr>
          <w:rFonts w:ascii="宋体" w:hAnsi="宋体" w:cs="宋体" w:eastAsia="宋体" w:hint="default"/>
          <w:sz w:val="22"/>
          <w:szCs w:val="22"/>
        </w:rPr>
      </w:pPr>
    </w:p>
    <w:p>
      <w:pPr>
        <w:pStyle w:val="Heading4"/>
        <w:spacing w:line="240" w:lineRule="auto" w:before="190"/>
        <w:ind w:right="0"/>
        <w:jc w:val="both"/>
        <w:rPr>
          <w:b w:val="0"/>
          <w:bCs w:val="0"/>
        </w:rPr>
      </w:pPr>
      <w:bookmarkStart w:name="3、营业周期" w:id="154"/>
      <w:bookmarkEnd w:id="154"/>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89"/>
        <w:ind w:left="573" w:right="0"/>
        <w:jc w:val="left"/>
      </w:pPr>
      <w:r>
        <w:rPr/>
        <w:t>本公司营业周期为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22"/>
          <w:szCs w:val="22"/>
        </w:rPr>
      </w:pPr>
    </w:p>
    <w:p>
      <w:pPr>
        <w:pStyle w:val="Heading4"/>
        <w:spacing w:line="240" w:lineRule="auto" w:before="189"/>
        <w:ind w:left="154" w:right="0"/>
        <w:jc w:val="both"/>
        <w:rPr>
          <w:b w:val="0"/>
          <w:bCs w:val="0"/>
        </w:rPr>
      </w:pPr>
      <w:bookmarkStart w:name="4、记账本位币" w:id="155"/>
      <w:bookmarkEnd w:id="155"/>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89"/>
        <w:ind w:left="574" w:right="0"/>
        <w:jc w:val="left"/>
      </w:pPr>
      <w:r>
        <w:rPr/>
        <w:t>本公司采用人民币为记账本位币。</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4"/>
        <w:spacing w:line="240" w:lineRule="auto"/>
        <w:ind w:left="154" w:right="0"/>
        <w:jc w:val="both"/>
        <w:rPr>
          <w:b w:val="0"/>
          <w:bCs w:val="0"/>
        </w:rPr>
      </w:pPr>
      <w:bookmarkStart w:name="5、同一控制下和非同一控制下企业合并的会计处理方法" w:id="156"/>
      <w:bookmarkEnd w:id="15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left="574" w:right="0" w:hanging="9"/>
        <w:jc w:val="left"/>
      </w:pPr>
      <w:r>
        <w:rPr>
          <w:rFonts w:ascii="Times New Roman" w:hAnsi="Times New Roman" w:cs="Times New Roman" w:eastAsia="Times New Roman" w:hint="default"/>
        </w:rPr>
        <w:t>1</w:t>
      </w:r>
      <w:r>
        <w:rPr/>
        <w:t>、同一控制下的企业合并 </w:t>
      </w:r>
      <w:r>
        <w:rPr>
          <w:spacing w:val="-1"/>
        </w:rPr>
        <w:t>本公司在企业合并中取得的资产和负债，按照合并日在被合并方资产、负债（包括最终控制方收购被</w:t>
      </w:r>
    </w:p>
    <w:p>
      <w:pPr>
        <w:pStyle w:val="BodyText"/>
        <w:spacing w:line="408" w:lineRule="auto" w:before="65"/>
        <w:ind w:left="154" w:right="1131"/>
        <w:jc w:val="both"/>
      </w:pPr>
      <w:r>
        <w:rPr>
          <w:spacing w:val="-1"/>
        </w:rPr>
        <w:t>合并方而形成的商誉）在最终控制方合并财务报表中的账面价值计量。在合并中取得的净资产账面价值与</w:t>
      </w:r>
      <w:r>
        <w:rPr>
          <w:spacing w:val="-81"/>
        </w:rPr>
        <w:t> </w:t>
      </w:r>
      <w:r>
        <w:rPr>
          <w:spacing w:val="-81"/>
        </w:rPr>
      </w:r>
      <w:r>
        <w:rPr>
          <w:spacing w:val="-1"/>
        </w:rPr>
        <w:t>支付的合并对价账面价值（或发行股份面值总额）的差额，调整资本公积中的股本溢价，资本公积中的股</w:t>
      </w:r>
      <w:r>
        <w:rPr>
          <w:spacing w:val="-86"/>
        </w:rPr>
        <w:t> </w:t>
      </w:r>
      <w:r>
        <w:rPr>
          <w:spacing w:val="-86"/>
        </w:rPr>
      </w:r>
      <w:r>
        <w:rPr/>
        <w:t>本溢价不足冲减的，调整留存收益。</w:t>
      </w:r>
    </w:p>
    <w:p>
      <w:pPr>
        <w:pStyle w:val="BodyText"/>
        <w:spacing w:line="386" w:lineRule="auto" w:before="46"/>
        <w:ind w:left="574" w:right="0" w:hanging="9"/>
        <w:jc w:val="left"/>
      </w:pPr>
      <w:r>
        <w:rPr>
          <w:rFonts w:ascii="Times New Roman" w:hAnsi="Times New Roman" w:cs="Times New Roman" w:eastAsia="Times New Roman" w:hint="default"/>
        </w:rPr>
        <w:t>2</w:t>
      </w:r>
      <w:r>
        <w:rPr/>
        <w:t>、非同一控制下的合并 </w:t>
      </w:r>
      <w:r>
        <w:rPr>
          <w:spacing w:val="-1"/>
        </w:rPr>
        <w:t>本公司在购买日对作为企业合并对价付出的资产、发生或承担的负债按照公允价值计量，公允价值与</w:t>
      </w:r>
    </w:p>
    <w:p>
      <w:pPr>
        <w:pStyle w:val="BodyText"/>
        <w:spacing w:line="408" w:lineRule="auto" w:before="65"/>
        <w:ind w:left="154" w:right="1131"/>
        <w:jc w:val="both"/>
      </w:pPr>
      <w:r>
        <w:rPr>
          <w:spacing w:val="-1"/>
        </w:rPr>
        <w:t>其账面价值的差额，计入当期损益。本公司对合并成本大于合并中取得的被购买方可辨认净资产公允价值</w:t>
      </w:r>
      <w:r>
        <w:rPr>
          <w:spacing w:val="-81"/>
        </w:rPr>
        <w:t> </w:t>
      </w:r>
      <w:r>
        <w:rPr>
          <w:spacing w:val="-81"/>
        </w:rPr>
      </w:r>
      <w:r>
        <w:rPr>
          <w:spacing w:val="-1"/>
        </w:rPr>
        <w:t>份额的差额，确认为商誉；合并成本小于合并中取得的被购买方可辨认净资产公允价值份额的差额，经复</w:t>
      </w:r>
      <w:r>
        <w:rPr>
          <w:spacing w:val="-83"/>
        </w:rPr>
        <w:t> </w:t>
      </w:r>
      <w:r>
        <w:rPr>
          <w:spacing w:val="-83"/>
        </w:rPr>
      </w:r>
      <w:r>
        <w:rPr/>
        <w:t>核后，计入当期损益。</w:t>
      </w:r>
    </w:p>
    <w:p>
      <w:pPr>
        <w:pStyle w:val="BodyText"/>
        <w:spacing w:line="408" w:lineRule="auto" w:before="46"/>
        <w:ind w:left="154" w:right="0" w:firstLine="420"/>
        <w:jc w:val="left"/>
      </w:pPr>
      <w:r>
        <w:rPr>
          <w:spacing w:val="-1"/>
        </w:rPr>
        <w:t>为企业合并发生的审计、法律服务、评估咨询等中介费用以及其他直接相关费用，于发生时计入当期</w:t>
      </w:r>
      <w:r>
        <w:rPr/>
        <w:t> 损益；为企业合并而发行权益性证券的交易费用，冲减权益。</w:t>
      </w:r>
    </w:p>
    <w:p>
      <w:pPr>
        <w:spacing w:line="240" w:lineRule="auto" w:before="6"/>
        <w:rPr>
          <w:rFonts w:ascii="宋体" w:hAnsi="宋体" w:cs="宋体" w:eastAsia="宋体" w:hint="default"/>
          <w:sz w:val="26"/>
          <w:szCs w:val="26"/>
        </w:rPr>
      </w:pPr>
    </w:p>
    <w:p>
      <w:pPr>
        <w:pStyle w:val="Heading4"/>
        <w:spacing w:line="240" w:lineRule="auto"/>
        <w:ind w:left="154" w:right="0"/>
        <w:jc w:val="both"/>
        <w:rPr>
          <w:b w:val="0"/>
          <w:bCs w:val="0"/>
        </w:rPr>
      </w:pPr>
      <w:bookmarkStart w:name="6、合并财务报表的编制方法" w:id="157"/>
      <w:bookmarkEnd w:id="157"/>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left="574" w:right="1118" w:firstLine="2"/>
        <w:jc w:val="left"/>
      </w:pP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w w:val="99"/>
        </w:rPr>
        <w:t> </w:t>
      </w:r>
      <w:r>
        <w:rPr>
          <w:spacing w:val="-1"/>
        </w:rPr>
        <w:t>本公司合并财务报表的合并范围以控制为基础确定，所有子公司（包括本公司所控制的被投资方可分</w:t>
      </w:r>
    </w:p>
    <w:p>
      <w:pPr>
        <w:pStyle w:val="BodyText"/>
        <w:spacing w:line="240" w:lineRule="auto" w:before="65"/>
        <w:ind w:left="154" w:right="0"/>
        <w:jc w:val="both"/>
      </w:pPr>
      <w:r>
        <w:rPr/>
        <w:t>割的部分）均纳入合并财务报表。</w:t>
      </w:r>
    </w:p>
    <w:p>
      <w:pPr>
        <w:spacing w:line="240" w:lineRule="auto" w:before="10"/>
        <w:rPr>
          <w:rFonts w:ascii="宋体" w:hAnsi="宋体" w:cs="宋体" w:eastAsia="宋体" w:hint="default"/>
          <w:sz w:val="14"/>
          <w:szCs w:val="14"/>
        </w:rPr>
      </w:pPr>
    </w:p>
    <w:p>
      <w:pPr>
        <w:pStyle w:val="Heading4"/>
        <w:spacing w:line="240" w:lineRule="auto"/>
        <w:ind w:left="576" w:right="0"/>
        <w:jc w:val="left"/>
        <w:rPr>
          <w:b w:val="0"/>
          <w:bCs w:val="0"/>
        </w:rPr>
      </w:pPr>
      <w:r>
        <w:rPr>
          <w:rFonts w:ascii="Times New Roman" w:hAnsi="Times New Roman" w:cs="Times New Roman" w:eastAsia="Times New Roman" w:hint="default"/>
        </w:rPr>
        <w:t>2</w:t>
      </w:r>
      <w:r>
        <w:rPr/>
        <w:t>、合并程序</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pStyle w:val="BodyText"/>
        <w:spacing w:line="408" w:lineRule="auto" w:before="174"/>
        <w:ind w:right="1131" w:firstLine="420"/>
        <w:jc w:val="both"/>
      </w:pPr>
      <w:r>
        <w:rPr>
          <w:spacing w:val="-1"/>
        </w:rPr>
        <w:t>本公司以自身和各子公司的财务报表为基础，根据其他有关资料，编制合并财务报表。本公司编制合</w:t>
      </w:r>
      <w:r>
        <w:rPr/>
        <w:t> </w:t>
      </w:r>
      <w:r>
        <w:rPr>
          <w:spacing w:val="-1"/>
        </w:rPr>
        <w:t>并财务报表，将整个企业集团视为一个会计主体，依据相关企业会计准则的确认、计量和列报要求，按照</w:t>
      </w:r>
      <w:r>
        <w:rPr>
          <w:spacing w:val="-86"/>
        </w:rPr>
        <w:t> </w:t>
      </w:r>
      <w:r>
        <w:rPr>
          <w:spacing w:val="-86"/>
        </w:rPr>
      </w:r>
      <w:r>
        <w:rPr/>
        <w:t>统一的会计政策，反映本企业集团整体财务状况、经营成果和现金流量。</w:t>
      </w:r>
    </w:p>
    <w:p>
      <w:pPr>
        <w:pStyle w:val="BodyText"/>
        <w:spacing w:line="408" w:lineRule="auto" w:before="46"/>
        <w:ind w:right="1131" w:firstLine="420"/>
        <w:jc w:val="both"/>
      </w:pPr>
      <w:r>
        <w:rPr>
          <w:spacing w:val="-1"/>
        </w:rPr>
        <w:t>所有纳入合并财务报表合并范围的子公司所采用的会计政策、会计期间与本公司一致，如子公司采用</w:t>
      </w:r>
      <w:r>
        <w:rPr/>
        <w:t> </w:t>
      </w:r>
      <w:r>
        <w:rPr>
          <w:spacing w:val="-1"/>
        </w:rPr>
        <w:t>的会计政策、会计期间与本公司不一致的，在编制合并财务报表时，按本公司的会计政策、会计期间进行</w:t>
      </w:r>
      <w:r>
        <w:rPr>
          <w:spacing w:val="-86"/>
        </w:rPr>
        <w:t> </w:t>
      </w:r>
      <w:r>
        <w:rPr>
          <w:spacing w:val="-86"/>
        </w:rPr>
      </w:r>
      <w:r>
        <w:rPr>
          <w:spacing w:val="-1"/>
        </w:rPr>
        <w:t>必要的调整。对于非同一控制下企业合并取得的子公司，以购买日可辨认净资产公允价值为基础对其财务</w:t>
      </w:r>
      <w:r>
        <w:rPr>
          <w:spacing w:val="-81"/>
        </w:rPr>
        <w:t> </w:t>
      </w:r>
      <w:r>
        <w:rPr>
          <w:spacing w:val="-81"/>
        </w:rPr>
      </w:r>
      <w:r>
        <w:rPr>
          <w:spacing w:val="-1"/>
        </w:rPr>
        <w:t>报表进行调整。对于同一控制下企业合并取得的子公司，以其资产、负债（包括最终控制方收购该子公司</w:t>
      </w:r>
      <w:r>
        <w:rPr>
          <w:spacing w:val="-86"/>
        </w:rPr>
        <w:t> </w:t>
      </w:r>
      <w:r>
        <w:rPr>
          <w:spacing w:val="-86"/>
        </w:rPr>
      </w:r>
      <w:r>
        <w:rPr/>
        <w:t>而形成的商誉）在最终控制方财务报表中的账面价值为基础对其财务报表进行调整。</w:t>
      </w:r>
    </w:p>
    <w:p>
      <w:pPr>
        <w:pStyle w:val="BodyText"/>
        <w:spacing w:line="408" w:lineRule="auto" w:before="46"/>
        <w:ind w:right="1131" w:firstLine="420"/>
        <w:jc w:val="both"/>
      </w:pPr>
      <w:r>
        <w:rPr>
          <w:spacing w:val="-1"/>
        </w:rPr>
        <w:t>子公司所有者权益、当期净损益和当期综合收益中属于少数股东的份额分别在合并资产负债表中所有</w:t>
      </w:r>
      <w:r>
        <w:rPr/>
        <w:t> </w:t>
      </w:r>
      <w:r>
        <w:rPr>
          <w:spacing w:val="-1"/>
        </w:rPr>
        <w:t>者权益项目下、合并利润表中净利润项目下和综合收益总额项目下单独列示。子公司少数股东分担的当期</w:t>
      </w:r>
      <w:r>
        <w:rPr>
          <w:spacing w:val="-81"/>
        </w:rPr>
        <w:t> </w:t>
      </w:r>
      <w:r>
        <w:rPr>
          <w:spacing w:val="-81"/>
        </w:rPr>
      </w:r>
      <w:r>
        <w:rPr/>
        <w:t>亏损超过了少数股东在该子公司期初所有者权益中所享有份额而形成的余额，冲减少数股东权益。</w:t>
      </w:r>
    </w:p>
    <w:p>
      <w:pPr>
        <w:pStyle w:val="BodyText"/>
        <w:spacing w:line="386" w:lineRule="auto" w:before="46"/>
        <w:ind w:left="573" w:right="0"/>
        <w:jc w:val="left"/>
      </w:pPr>
      <w:r>
        <w:rPr/>
        <w:t>（</w:t>
      </w:r>
      <w:r>
        <w:rPr>
          <w:rFonts w:ascii="Times New Roman" w:hAnsi="Times New Roman" w:cs="Times New Roman" w:eastAsia="Times New Roman" w:hint="default"/>
        </w:rPr>
        <w:t>1</w:t>
      </w:r>
      <w:r>
        <w:rPr/>
        <w:t>）增加子公司或业务 </w:t>
      </w:r>
      <w:r>
        <w:rPr>
          <w:spacing w:val="-1"/>
        </w:rPr>
        <w:t>在报告期内，若因同一控制下企业合并增加子公司或业务的，则调整合并资产负债表的期初数；将子</w:t>
      </w:r>
    </w:p>
    <w:p>
      <w:pPr>
        <w:pStyle w:val="BodyText"/>
        <w:spacing w:line="408" w:lineRule="auto" w:before="65"/>
        <w:ind w:right="1131"/>
        <w:jc w:val="both"/>
      </w:pPr>
      <w:r>
        <w:rPr>
          <w:spacing w:val="-1"/>
        </w:rPr>
        <w:t>公司或业务合并当期期初至报告期末的收入、费用、利润纳入合并利润表；将子公司或业务合并当期期初</w:t>
      </w:r>
      <w:r>
        <w:rPr>
          <w:spacing w:val="-83"/>
        </w:rPr>
        <w:t> </w:t>
      </w:r>
      <w:r>
        <w:rPr>
          <w:spacing w:val="-83"/>
        </w:rPr>
      </w:r>
      <w:r>
        <w:rPr>
          <w:spacing w:val="-1"/>
        </w:rPr>
        <w:t>至报告期末的现金流量纳入合并现金流量表，同时对比较报表的相关项目进行调整，视同合并后的报告主</w:t>
      </w:r>
      <w:r>
        <w:rPr>
          <w:spacing w:val="-81"/>
        </w:rPr>
        <w:t> </w:t>
      </w:r>
      <w:r>
        <w:rPr>
          <w:spacing w:val="-81"/>
        </w:rPr>
      </w:r>
      <w:r>
        <w:rPr/>
        <w:t>体自最终控制方开始控制时点起一直存在。</w:t>
      </w:r>
    </w:p>
    <w:p>
      <w:pPr>
        <w:pStyle w:val="BodyText"/>
        <w:spacing w:line="408" w:lineRule="auto" w:before="46"/>
        <w:ind w:left="154" w:right="1131" w:firstLine="420"/>
        <w:jc w:val="both"/>
      </w:pPr>
      <w:r>
        <w:rPr>
          <w:spacing w:val="-1"/>
        </w:rPr>
        <w:t>因追加投资等原因能够对同一控制下的被投资方实施控制的，视同参与合并的各方在最终控制方开始</w:t>
      </w:r>
      <w:r>
        <w:rPr/>
        <w:t> </w:t>
      </w:r>
      <w:r>
        <w:rPr>
          <w:spacing w:val="-1"/>
        </w:rPr>
        <w:t>控制时即以目前的状态存在进行调整。在取得被合并方控制权之前持有的股权投资，在取得原股权之日与</w:t>
      </w:r>
      <w:r>
        <w:rPr>
          <w:spacing w:val="-81"/>
        </w:rPr>
        <w:t> </w:t>
      </w:r>
      <w:r>
        <w:rPr>
          <w:spacing w:val="-81"/>
        </w:rPr>
      </w:r>
      <w:r>
        <w:rPr>
          <w:spacing w:val="-1"/>
        </w:rPr>
        <w:t>合并方和被合并方同处于同一控制之日孰晚日起至合并日之间已确认有关损益、其他综合收益以及其他净</w:t>
      </w:r>
      <w:r>
        <w:rPr>
          <w:spacing w:val="-81"/>
        </w:rPr>
        <w:t> </w:t>
      </w:r>
      <w:r>
        <w:rPr>
          <w:spacing w:val="-81"/>
        </w:rPr>
      </w:r>
      <w:r>
        <w:rPr/>
        <w:t>资产变动，分别冲减比较报表期间的期初留存收益或当期损益。</w:t>
      </w:r>
    </w:p>
    <w:p>
      <w:pPr>
        <w:pStyle w:val="BodyText"/>
        <w:spacing w:line="408" w:lineRule="auto" w:before="46"/>
        <w:ind w:right="1131" w:firstLine="420"/>
        <w:jc w:val="both"/>
      </w:pPr>
      <w:r>
        <w:rPr>
          <w:spacing w:val="-1"/>
        </w:rPr>
        <w:t>在报告期内，若因非同一控制下企业合并增加子公司或业务的，则不调整合并资产负债表期初数；将</w:t>
      </w:r>
      <w:r>
        <w:rPr/>
        <w:t> </w:t>
      </w:r>
      <w:r>
        <w:rPr>
          <w:spacing w:val="-1"/>
        </w:rPr>
        <w:t>该子公司或业务自购买日至报告期末的收入、费用、利润纳入合并利润表；该子公司或业务自购买日至报</w:t>
      </w:r>
      <w:r>
        <w:rPr>
          <w:spacing w:val="-83"/>
        </w:rPr>
        <w:t> </w:t>
      </w:r>
      <w:r>
        <w:rPr>
          <w:spacing w:val="-83"/>
        </w:rPr>
      </w:r>
      <w:r>
        <w:rPr/>
        <w:t>告期末的现金流量纳入合并现金流量表。</w:t>
      </w:r>
    </w:p>
    <w:p>
      <w:pPr>
        <w:pStyle w:val="BodyText"/>
        <w:spacing w:line="408" w:lineRule="auto" w:before="46"/>
        <w:ind w:right="1131" w:firstLine="420"/>
        <w:jc w:val="both"/>
      </w:pPr>
      <w:r>
        <w:rPr>
          <w:spacing w:val="-1"/>
        </w:rPr>
        <w:t>因追加投资等原因能够对非同一控制下的被投资方实施控制的，对于购买日之前持有的被购买方的股</w:t>
      </w:r>
      <w:r>
        <w:rPr/>
        <w:t> </w:t>
      </w:r>
      <w:r>
        <w:rPr>
          <w:spacing w:val="-1"/>
        </w:rPr>
        <w:t>权，本公司按照该股权在购买日的公允价值进行重新计量，公允价值与其账面价值的差额计入当期投资收</w:t>
      </w:r>
      <w:r>
        <w:rPr>
          <w:spacing w:val="-81"/>
        </w:rPr>
        <w:t> </w:t>
      </w:r>
      <w:r>
        <w:rPr>
          <w:spacing w:val="-81"/>
        </w:rPr>
      </w:r>
      <w:r>
        <w:rPr>
          <w:spacing w:val="-1"/>
        </w:rPr>
        <w:t>益。购买日之前持有的被购买方的股权涉及权益法核算下的其他综合收益以及除净损益、其他综合收益和</w:t>
      </w:r>
      <w:r>
        <w:rPr>
          <w:spacing w:val="-81"/>
        </w:rPr>
        <w:t> </w:t>
      </w:r>
      <w:r>
        <w:rPr>
          <w:spacing w:val="-81"/>
        </w:rPr>
      </w:r>
      <w:r>
        <w:rPr>
          <w:spacing w:val="-1"/>
        </w:rPr>
        <w:t>利润分配之外的其他所有者权益变动的，与其相关的其他综合收益、其他所有者权益变动转为购买日所属</w:t>
      </w:r>
      <w:r>
        <w:rPr>
          <w:spacing w:val="-81"/>
        </w:rPr>
        <w:t> </w:t>
      </w:r>
      <w:r>
        <w:rPr>
          <w:spacing w:val="-81"/>
        </w:rPr>
      </w:r>
      <w:r>
        <w:rPr/>
        <w:t>当期投资收益，由于被投资方重新计量设定受益计划净负债或净资产变动而产生的其他综合收益除外。</w:t>
      </w:r>
    </w:p>
    <w:p>
      <w:pPr>
        <w:pStyle w:val="BodyText"/>
        <w:spacing w:line="240" w:lineRule="auto" w:before="46"/>
        <w:ind w:left="573" w:right="0"/>
        <w:jc w:val="left"/>
      </w:pPr>
      <w:r>
        <w:rPr/>
        <w:t>（</w:t>
      </w:r>
      <w:r>
        <w:rPr>
          <w:rFonts w:ascii="Times New Roman" w:hAnsi="Times New Roman" w:cs="Times New Roman" w:eastAsia="Times New Roman" w:hint="default"/>
        </w:rPr>
        <w:t>2</w:t>
      </w:r>
      <w:r>
        <w:rPr/>
        <w:t>）处置子公司或业务</w:t>
      </w:r>
    </w:p>
    <w:p>
      <w:pPr>
        <w:pStyle w:val="BodyText"/>
        <w:spacing w:line="240" w:lineRule="auto" w:before="177"/>
        <w:ind w:left="574" w:right="0"/>
        <w:jc w:val="left"/>
      </w:pPr>
      <w:r>
        <w:rPr/>
        <w:t>①一般处理方法</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3" w:firstLine="420"/>
        <w:jc w:val="both"/>
      </w:pPr>
      <w:r>
        <w:rPr>
          <w:spacing w:val="-1"/>
        </w:rPr>
        <w:t>在报告期内，本公司处置子公司或业务，则该子公司或业务期初至处置日的收入、费用、利润纳入合</w:t>
      </w:r>
      <w:r>
        <w:rPr/>
        <w:t> 并利润表；该子公司或业务期初至处置日的现金流量纳入合并现金流量表。</w:t>
      </w:r>
    </w:p>
    <w:p>
      <w:pPr>
        <w:pStyle w:val="BodyText"/>
        <w:spacing w:line="408" w:lineRule="auto" w:before="46"/>
        <w:ind w:right="1131" w:firstLine="420"/>
        <w:jc w:val="both"/>
      </w:pPr>
      <w:r>
        <w:rPr>
          <w:spacing w:val="-1"/>
        </w:rPr>
        <w:t>因处置部分股权投资或其他原因丧失了对被投资方控制权时，对于处置后的剩余股权投资，本公司按</w:t>
      </w:r>
      <w:r>
        <w:rPr/>
        <w:t> </w:t>
      </w:r>
      <w:r>
        <w:rPr>
          <w:spacing w:val="-1"/>
        </w:rPr>
        <w:t>照其在丧失控制权日的公允价值进行重新计量。处置股权取得的对价与剩余股权公允价值之和，减去按原</w:t>
      </w:r>
      <w:r>
        <w:rPr>
          <w:spacing w:val="-81"/>
        </w:rPr>
        <w:t> </w:t>
      </w:r>
      <w:r>
        <w:rPr>
          <w:spacing w:val="-81"/>
        </w:rPr>
      </w:r>
      <w:r>
        <w:rPr>
          <w:spacing w:val="-1"/>
        </w:rPr>
        <w:t>持股比例计算应享有原有子公司自购买日或合并日开始持续计算的净资产的份额与商誉之和的差额，计入</w:t>
      </w:r>
      <w:r>
        <w:rPr>
          <w:spacing w:val="-81"/>
        </w:rPr>
        <w:t> </w:t>
      </w:r>
      <w:r>
        <w:rPr>
          <w:spacing w:val="-81"/>
        </w:rPr>
      </w:r>
      <w:r>
        <w:rPr>
          <w:spacing w:val="-1"/>
        </w:rPr>
        <w:t>丧失控制权当期的投资收益。与原有子公司股权投资相关的其他综合收益或除净损益、其他综合收益及利</w:t>
      </w:r>
      <w:r>
        <w:rPr>
          <w:spacing w:val="-81"/>
        </w:rPr>
        <w:t> </w:t>
      </w:r>
      <w:r>
        <w:rPr>
          <w:spacing w:val="-81"/>
        </w:rPr>
      </w:r>
      <w:r>
        <w:rPr>
          <w:spacing w:val="-1"/>
        </w:rPr>
        <w:t>润分配之外的其他所有者权益变动，在丧失控制权时转为当期投资收益，由于被投资方重新计量设定受益</w:t>
      </w:r>
      <w:r>
        <w:rPr>
          <w:spacing w:val="-81"/>
        </w:rPr>
        <w:t> </w:t>
      </w:r>
      <w:r>
        <w:rPr>
          <w:spacing w:val="-81"/>
        </w:rPr>
      </w:r>
      <w:r>
        <w:rPr/>
        <w:t>计划净负债或净资产变动而产生的其他综合收益除外。</w:t>
      </w:r>
    </w:p>
    <w:p>
      <w:pPr>
        <w:pStyle w:val="BodyText"/>
        <w:spacing w:line="408" w:lineRule="auto" w:before="46"/>
        <w:ind w:left="573" w:right="0"/>
        <w:jc w:val="left"/>
      </w:pPr>
      <w:r>
        <w:rPr/>
        <w:t>②分步处置子公司 </w:t>
      </w:r>
      <w:r>
        <w:rPr>
          <w:spacing w:val="-1"/>
        </w:rPr>
        <w:t>通过多次交易分步处置对子公司股权投资直至丧失控制权的，处置对子公司股权投资的各项交易的条</w:t>
      </w:r>
    </w:p>
    <w:p>
      <w:pPr>
        <w:pStyle w:val="BodyText"/>
        <w:spacing w:line="408" w:lineRule="auto" w:before="46"/>
        <w:ind w:right="1131"/>
        <w:jc w:val="both"/>
      </w:pPr>
      <w:r>
        <w:rPr>
          <w:spacing w:val="-1"/>
        </w:rPr>
        <w:t>款、条件以及经济影响符合以下一种或多种情况，通常表明应将多次交易事项作为一揽子交易进行会计处</w:t>
      </w:r>
      <w:r>
        <w:rPr>
          <w:spacing w:val="-81"/>
        </w:rPr>
        <w:t> </w:t>
      </w:r>
      <w:r>
        <w:rPr>
          <w:spacing w:val="-81"/>
        </w:rPr>
      </w:r>
      <w:r>
        <w:rPr/>
        <w:t>理：</w:t>
      </w:r>
    </w:p>
    <w:p>
      <w:pPr>
        <w:pStyle w:val="BodyText"/>
        <w:spacing w:line="408" w:lineRule="auto" w:before="46"/>
        <w:ind w:left="573" w:right="1118"/>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 </w:t>
      </w:r>
      <w:r>
        <w:rPr>
          <w:spacing w:val="-1"/>
        </w:rPr>
        <w:t>处置对子公司股权投资直至丧失控制权的各项交易属于一揽子交易的，本公司将各项交易作为一项处</w:t>
      </w:r>
    </w:p>
    <w:p>
      <w:pPr>
        <w:pStyle w:val="BodyText"/>
        <w:spacing w:line="408" w:lineRule="auto" w:before="46"/>
        <w:ind w:right="1131"/>
        <w:jc w:val="both"/>
      </w:pPr>
      <w:r>
        <w:rPr>
          <w:spacing w:val="-1"/>
        </w:rPr>
        <w:t>置子公司并丧失控制权的交易进行会计处理；但是，在丧失控制权之前每一次处置价款与处置投资对应的</w:t>
      </w:r>
      <w:r>
        <w:rPr>
          <w:spacing w:val="-81"/>
        </w:rPr>
        <w:t> </w:t>
      </w:r>
      <w:r>
        <w:rPr>
          <w:spacing w:val="-81"/>
        </w:rPr>
      </w:r>
      <w:r>
        <w:rPr>
          <w:spacing w:val="-1"/>
        </w:rPr>
        <w:t>享有该子公司净资产份额的差额，在合并财务报表中确认为其他综合收益，在丧失控制权时一并转入丧失</w:t>
      </w:r>
      <w:r>
        <w:rPr>
          <w:spacing w:val="-81"/>
        </w:rPr>
        <w:t> </w:t>
      </w:r>
      <w:r>
        <w:rPr>
          <w:spacing w:val="-81"/>
        </w:rPr>
      </w:r>
      <w:r>
        <w:rPr/>
        <w:t>控制权当期的损益。</w:t>
      </w:r>
    </w:p>
    <w:p>
      <w:pPr>
        <w:pStyle w:val="BodyText"/>
        <w:spacing w:line="408" w:lineRule="auto" w:before="46"/>
        <w:ind w:right="1130" w:firstLine="420"/>
        <w:jc w:val="both"/>
      </w:pPr>
      <w:r>
        <w:rPr>
          <w:spacing w:val="-1"/>
        </w:rPr>
        <w:t>处置对子公司股权投资直至丧失控制权的各项交易不属于一揽子交易的，在丧失控制权之前，按不丧</w:t>
      </w:r>
      <w:r>
        <w:rPr/>
        <w:t> </w:t>
      </w:r>
      <w:r>
        <w:rPr>
          <w:spacing w:val="-1"/>
        </w:rPr>
        <w:t>失控制权的情况下部分处置对子公司的股权投资的相关政策进行会计处理；在丧失控制权时，按处置子公</w:t>
      </w:r>
      <w:r>
        <w:rPr>
          <w:spacing w:val="-81"/>
        </w:rPr>
        <w:t> </w:t>
      </w:r>
      <w:r>
        <w:rPr>
          <w:spacing w:val="-81"/>
        </w:rPr>
      </w:r>
      <w:r>
        <w:rPr/>
        <w:t>司一般处理方法进行会计处理。</w:t>
      </w:r>
    </w:p>
    <w:p>
      <w:pPr>
        <w:pStyle w:val="BodyText"/>
        <w:spacing w:line="386" w:lineRule="auto" w:before="46"/>
        <w:ind w:left="573" w:right="0"/>
        <w:jc w:val="left"/>
      </w:pPr>
      <w:r>
        <w:rPr/>
        <w:t>（</w:t>
      </w:r>
      <w:r>
        <w:rPr>
          <w:rFonts w:ascii="Times New Roman" w:hAnsi="Times New Roman" w:cs="Times New Roman" w:eastAsia="Times New Roman" w:hint="default"/>
        </w:rPr>
        <w:t>3</w:t>
      </w:r>
      <w:r>
        <w:rPr/>
        <w:t>）购买子公司少数股权 </w:t>
      </w:r>
      <w:r>
        <w:rPr>
          <w:spacing w:val="-1"/>
        </w:rPr>
        <w:t>本公司因购买少数股权新取得的长期股权投资与按照新增持股比例计算应享有子公司自购买日（或合</w:t>
      </w:r>
    </w:p>
    <w:p>
      <w:pPr>
        <w:pStyle w:val="BodyText"/>
        <w:spacing w:line="408" w:lineRule="auto" w:before="65"/>
        <w:ind w:right="1131"/>
        <w:jc w:val="both"/>
      </w:pPr>
      <w:r>
        <w:rPr>
          <w:spacing w:val="-1"/>
        </w:rPr>
        <w:t>并日）开始持续计算的净资产份额之间的差额，调整合并资产负债表中的资本公积中的股本溢价，资本公</w:t>
      </w:r>
      <w:r>
        <w:rPr>
          <w:spacing w:val="-83"/>
        </w:rPr>
        <w:t> </w:t>
      </w:r>
      <w:r>
        <w:rPr>
          <w:spacing w:val="-83"/>
        </w:rPr>
      </w:r>
      <w:r>
        <w:rPr/>
        <w:t>积中的股本溢价不足冲减的，调整留存收益。</w:t>
      </w:r>
    </w:p>
    <w:p>
      <w:pPr>
        <w:pStyle w:val="BodyText"/>
        <w:spacing w:line="386" w:lineRule="auto" w:before="46"/>
        <w:ind w:left="573" w:right="0"/>
        <w:jc w:val="left"/>
      </w:pPr>
      <w:r>
        <w:rPr/>
        <w:t>（</w:t>
      </w:r>
      <w:r>
        <w:rPr>
          <w:rFonts w:ascii="Times New Roman" w:hAnsi="Times New Roman" w:cs="Times New Roman" w:eastAsia="Times New Roman" w:hint="default"/>
        </w:rPr>
        <w:t>4</w:t>
      </w:r>
      <w:r>
        <w:rPr/>
        <w:t>）不丧失控制权的情况下部分处置对子公司的股权投资 </w:t>
      </w:r>
      <w:r>
        <w:rPr>
          <w:spacing w:val="3"/>
        </w:rPr>
        <w:t>在不丧失控制权的情况下因部分处置对子公司的长期股权投资而取得的处置价款与处置长期股权投</w:t>
      </w:r>
    </w:p>
    <w:p>
      <w:pPr>
        <w:pStyle w:val="BodyText"/>
        <w:spacing w:line="240" w:lineRule="auto" w:before="65"/>
        <w:ind w:right="0"/>
        <w:jc w:val="both"/>
      </w:pPr>
      <w:r>
        <w:rPr/>
        <w:t>资相对应享有子公司自购买日或合并日开始持续计算的净资产份额之间的差额，调整合并资产负债表中的</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资本公积中的股本溢价，资本公积中的股本溢价不足冲减的，调整留存收益。</w:t>
      </w:r>
    </w:p>
    <w:p>
      <w:pPr>
        <w:spacing w:line="750" w:lineRule="atLeast" w:before="34"/>
        <w:ind w:left="573" w:right="6853" w:hanging="420"/>
        <w:jc w:val="left"/>
        <w:rPr>
          <w:rFonts w:ascii="宋体" w:hAnsi="宋体" w:cs="宋体" w:eastAsia="宋体" w:hint="default"/>
          <w:sz w:val="21"/>
          <w:szCs w:val="21"/>
        </w:rPr>
      </w:pPr>
      <w:bookmarkStart w:name="7、合营安排分类及共同经营会计处理方法" w:id="158"/>
      <w:bookmarkEnd w:id="158"/>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z w:val="21"/>
          <w:szCs w:val="21"/>
        </w:rPr>
        <w:t>合营安排分为共同经营和合营企业。</w:t>
      </w:r>
    </w:p>
    <w:p>
      <w:pPr>
        <w:spacing w:line="240" w:lineRule="auto" w:before="10"/>
        <w:rPr>
          <w:rFonts w:ascii="宋体" w:hAnsi="宋体" w:cs="宋体" w:eastAsia="宋体" w:hint="default"/>
          <w:sz w:val="14"/>
          <w:szCs w:val="14"/>
        </w:rPr>
      </w:pPr>
    </w:p>
    <w:p>
      <w:pPr>
        <w:pStyle w:val="BodyText"/>
        <w:spacing w:line="408" w:lineRule="auto"/>
        <w:ind w:left="573" w:right="1093"/>
        <w:jc w:val="left"/>
      </w:pPr>
      <w:r>
        <w:rPr/>
        <w:t>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46"/>
        <w:ind w:left="573"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177"/>
        <w:ind w:left="573"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177"/>
        <w:ind w:left="574"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177"/>
        <w:ind w:left="574"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86" w:lineRule="auto" w:before="177"/>
        <w:ind w:left="574" w:right="3297"/>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w:t>
      </w:r>
      <w:r>
        <w:rPr>
          <w:rFonts w:ascii="Times New Roman" w:hAnsi="Times New Roman" w:cs="Times New Roman" w:eastAsia="Times New Roman" w:hint="default"/>
        </w:rPr>
        <w:t>“</w:t>
      </w:r>
      <w:r>
        <w:rPr/>
        <w:t>三、（十四）长期股权投资</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8、现金及现金等价物的确定标准" w:id="159"/>
      <w:bookmarkEnd w:id="159"/>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90"/>
        <w:ind w:right="1110" w:firstLine="420"/>
        <w:jc w:val="both"/>
      </w:pPr>
      <w:r>
        <w:rPr>
          <w:spacing w:val="-1"/>
        </w:rPr>
        <w:t>在编制现金流量表时，将本公司库存现金以及可以随时用于支付的存款确认为现金。将同时具备期限</w:t>
      </w:r>
      <w:r>
        <w:rPr/>
        <w:t> 短（从购买日起三个月内到期）、流动性强、易于转换为已知现金、价值变动风险很小四个条件的投资， 确定为现金等价物。</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9、外币业务和外币报表折算" w:id="160"/>
      <w:bookmarkEnd w:id="160"/>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left="573" w:right="2773"/>
        <w:jc w:val="left"/>
      </w:pPr>
      <w:r>
        <w:rPr>
          <w:rFonts w:ascii="Times New Roman" w:hAnsi="Times New Roman" w:cs="Times New Roman" w:eastAsia="Times New Roman" w:hint="default"/>
        </w:rPr>
        <w:t>1</w:t>
      </w:r>
      <w:r>
        <w:rPr/>
        <w:t>、外币业务 外币业务采用交易发生日的即期汇率作为折算汇率将外币金额折合成人民币记账。</w:t>
      </w:r>
    </w:p>
    <w:p>
      <w:pPr>
        <w:pStyle w:val="BodyText"/>
        <w:spacing w:line="408" w:lineRule="auto" w:before="65"/>
        <w:ind w:right="1131" w:firstLine="420"/>
        <w:jc w:val="both"/>
      </w:pPr>
      <w:r>
        <w:rPr>
          <w:spacing w:val="-1"/>
        </w:rPr>
        <w:t>资产负债表日外币货币性项目余额按资产负债表日即期汇率折算，由此产生的汇兑差额，除属于与购</w:t>
      </w:r>
      <w:r>
        <w:rPr/>
        <w:t> </w:t>
      </w:r>
      <w:r>
        <w:rPr>
          <w:spacing w:val="-1"/>
        </w:rPr>
        <w:t>建符合资本化条件的资产相关的外币专门借款产生的汇兑差额按照借款费用资本化的原则处理外，均计入</w:t>
      </w:r>
      <w:r>
        <w:rPr>
          <w:spacing w:val="-81"/>
        </w:rPr>
        <w:t> </w:t>
      </w:r>
      <w:r>
        <w:rPr>
          <w:spacing w:val="-81"/>
        </w:rPr>
      </w:r>
      <w:r>
        <w:rPr/>
        <w:t>当期损益。</w:t>
      </w:r>
    </w:p>
    <w:p>
      <w:pPr>
        <w:pStyle w:val="BodyText"/>
        <w:spacing w:line="386" w:lineRule="auto" w:before="46"/>
        <w:ind w:left="574" w:right="1121"/>
        <w:jc w:val="left"/>
      </w:pPr>
      <w:r>
        <w:rPr>
          <w:rFonts w:ascii="Times New Roman" w:hAnsi="Times New Roman" w:cs="Times New Roman" w:eastAsia="Times New Roman" w:hint="default"/>
        </w:rPr>
        <w:t>2</w:t>
      </w:r>
      <w:r>
        <w:rPr/>
        <w:t>、外币财务报表的折算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w:t>
      </w:r>
      <w:r>
        <w:rPr/>
      </w:r>
    </w:p>
    <w:p>
      <w:pPr>
        <w:pStyle w:val="BodyText"/>
        <w:spacing w:line="386" w:lineRule="auto" w:before="36"/>
        <w:ind w:right="1118"/>
        <w:jc w:val="left"/>
      </w:pP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w:t>
      </w:r>
      <w:r>
        <w:rPr>
          <w:spacing w:val="-25"/>
        </w:rPr>
        <w:t> </w:t>
      </w:r>
      <w:r>
        <w:rPr>
          <w:spacing w:val="-25"/>
        </w:rPr>
      </w:r>
      <w:r>
        <w:rPr/>
        <w:t>汇率折算。</w:t>
      </w:r>
    </w:p>
    <w:p>
      <w:pPr>
        <w:pStyle w:val="BodyText"/>
        <w:spacing w:line="240" w:lineRule="auto" w:before="65"/>
        <w:ind w:left="574" w:right="0"/>
        <w:jc w:val="left"/>
      </w:pPr>
      <w:r>
        <w:rPr/>
        <w:t>处置境外经营时，将与该境外经营相关的外币财务报表折算差额，自所有者权益项目转入处置当期损</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4"/>
        <w:spacing w:line="240" w:lineRule="auto"/>
        <w:ind w:left="154" w:right="0"/>
        <w:jc w:val="left"/>
        <w:rPr>
          <w:b w:val="0"/>
          <w:bCs w:val="0"/>
        </w:rPr>
      </w:pPr>
      <w:bookmarkStart w:name="10、金融工具" w:id="161"/>
      <w:bookmarkEnd w:id="161"/>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0"/>
        <w:ind w:left="574" w:right="0"/>
        <w:jc w:val="left"/>
      </w:pPr>
      <w:r>
        <w:rPr/>
        <w:t>金融工具包括金融资产、金融负债和权益工具。</w:t>
      </w:r>
    </w:p>
    <w:p>
      <w:pPr>
        <w:spacing w:line="240" w:lineRule="auto" w:before="10"/>
        <w:rPr>
          <w:rFonts w:ascii="宋体" w:hAnsi="宋体" w:cs="宋体" w:eastAsia="宋体" w:hint="default"/>
          <w:sz w:val="14"/>
          <w:szCs w:val="14"/>
        </w:rPr>
      </w:pPr>
    </w:p>
    <w:p>
      <w:pPr>
        <w:pStyle w:val="BodyText"/>
        <w:spacing w:line="386" w:lineRule="auto"/>
        <w:ind w:left="574" w:right="0"/>
        <w:jc w:val="left"/>
      </w:pPr>
      <w:r>
        <w:rPr>
          <w:rFonts w:ascii="Times New Roman" w:hAnsi="Times New Roman" w:cs="Times New Roman" w:eastAsia="Times New Roman" w:hint="default"/>
        </w:rPr>
        <w:t>1</w:t>
      </w:r>
      <w:r>
        <w:rPr/>
        <w:t>、金融工具的分类 </w:t>
      </w:r>
      <w:r>
        <w:rPr>
          <w:spacing w:val="-1"/>
        </w:rPr>
        <w:t>金融资产和金融负债于初始确认时分类为：以公允价值计量且其变动计入当期损益的金融资产或金融</w:t>
      </w:r>
    </w:p>
    <w:p>
      <w:pPr>
        <w:pStyle w:val="BodyText"/>
        <w:spacing w:line="408" w:lineRule="auto" w:before="65"/>
        <w:ind w:left="154" w:right="0"/>
        <w:jc w:val="left"/>
      </w:pPr>
      <w:r>
        <w:rPr>
          <w:spacing w:val="-1"/>
        </w:rPr>
        <w:t>负债，包括交易性金融资产或金融负债和直接指定为以公允价值计量且其变动计入当期损益的金融资产或</w:t>
      </w:r>
      <w:r>
        <w:rPr>
          <w:spacing w:val="-81"/>
        </w:rPr>
        <w:t> </w:t>
      </w:r>
      <w:r>
        <w:rPr>
          <w:spacing w:val="-81"/>
        </w:rPr>
      </w:r>
      <w:r>
        <w:rPr/>
        <w:t>金融负债；持有至到期投资；应收款项；可供出售金融资产；其他金融负债等</w:t>
      </w:r>
    </w:p>
    <w:p>
      <w:pPr>
        <w:pStyle w:val="BodyText"/>
        <w:spacing w:line="240" w:lineRule="auto" w:before="46"/>
        <w:ind w:left="573" w:right="0"/>
        <w:jc w:val="left"/>
      </w:pPr>
      <w:r>
        <w:rPr>
          <w:rFonts w:ascii="Times New Roman" w:hAnsi="Times New Roman" w:cs="Times New Roman" w:eastAsia="Times New Roman" w:hint="default"/>
        </w:rPr>
        <w:t>2</w:t>
      </w:r>
      <w:r>
        <w:rPr/>
        <w:t>、金融工具的确认依据和计量方法</w:t>
      </w:r>
    </w:p>
    <w:p>
      <w:pPr>
        <w:pStyle w:val="BodyText"/>
        <w:spacing w:line="386" w:lineRule="auto" w:before="177"/>
        <w:ind w:left="573" w:right="0"/>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1"/>
        </w:rPr>
        <w:t>取得时以公允价值（扣除已宣告但尚未发放的现金股利或已到付息期但尚未领取的债券利息）作为初</w:t>
      </w:r>
    </w:p>
    <w:p>
      <w:pPr>
        <w:pStyle w:val="BodyText"/>
        <w:spacing w:line="408" w:lineRule="auto" w:before="65"/>
        <w:ind w:left="573" w:right="1513" w:hanging="420"/>
        <w:jc w:val="left"/>
      </w:pPr>
      <w:r>
        <w:rPr/>
        <w:t>始确认金额，相关的交易费用计入当期损益。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98" w:lineRule="auto" w:before="46"/>
        <w:ind w:left="573" w:right="1018"/>
        <w:jc w:val="left"/>
      </w:pPr>
      <w:r>
        <w:rPr/>
        <w:t>（</w:t>
      </w:r>
      <w:r>
        <w:rPr>
          <w:rFonts w:ascii="Times New Roman" w:hAnsi="Times New Roman" w:cs="Times New Roman" w:eastAsia="Times New Roman" w:hint="default"/>
        </w:rPr>
        <w:t>2</w:t>
      </w:r>
      <w:r>
        <w:rPr/>
        <w:t>）持有至到期投资 </w:t>
      </w:r>
      <w:r>
        <w:rPr>
          <w:spacing w:val="-3"/>
        </w:rPr>
        <w:t>取得时按公允价值（扣除已到付息期但尚未领取的债券利息）和相关交易费用之和作为初始确认金额。</w:t>
      </w:r>
      <w:r>
        <w:rPr>
          <w:spacing w:val="-98"/>
        </w:rPr>
        <w:t> </w:t>
      </w:r>
      <w:r>
        <w:rPr>
          <w:spacing w:val="-98"/>
        </w:rPr>
      </w:r>
      <w:r>
        <w:rPr/>
        <w:t>持有期间按照摊余成本和实际利率计算确认利息收入，计入投资收益。实际利率在取得时确定，在该</w:t>
      </w:r>
    </w:p>
    <w:p>
      <w:pPr>
        <w:pStyle w:val="BodyText"/>
        <w:spacing w:line="408" w:lineRule="auto" w:before="54"/>
        <w:ind w:left="574" w:right="4032" w:hanging="420"/>
        <w:jc w:val="left"/>
      </w:pPr>
      <w:r>
        <w:rPr/>
        <w:t>预期存续期间或适用的更短期间内保持不变。 处置时，将所取得价款与该投资账面价值之间的差额计入投资收益。</w:t>
      </w:r>
    </w:p>
    <w:p>
      <w:pPr>
        <w:pStyle w:val="BodyText"/>
        <w:spacing w:line="386" w:lineRule="auto" w:before="46"/>
        <w:ind w:left="573" w:right="0"/>
        <w:jc w:val="left"/>
      </w:pPr>
      <w:r>
        <w:rPr/>
        <w:t>（</w:t>
      </w:r>
      <w:r>
        <w:rPr>
          <w:rFonts w:ascii="Times New Roman" w:hAnsi="Times New Roman" w:cs="Times New Roman" w:eastAsia="Times New Roman" w:hint="default"/>
        </w:rPr>
        <w:t>3</w:t>
      </w:r>
      <w:r>
        <w:rPr/>
        <w:t>）应收款项 </w:t>
      </w:r>
      <w:r>
        <w:rPr>
          <w:spacing w:val="-1"/>
        </w:rPr>
        <w:t>本公司对外销售商品或提供劳务形成的应收债权，以及本公司持有的其他企业的不包括在活跃市场上</w:t>
      </w:r>
    </w:p>
    <w:p>
      <w:pPr>
        <w:pStyle w:val="BodyText"/>
        <w:spacing w:line="408" w:lineRule="auto" w:before="65"/>
        <w:ind w:right="0"/>
        <w:jc w:val="left"/>
      </w:pPr>
      <w:r>
        <w:rPr>
          <w:spacing w:val="-1"/>
        </w:rPr>
        <w:t>有报价的债务工具的债权，包括应收账款、其他应收款等，以向购货方应收的合同或协议价款作为初始确</w:t>
      </w:r>
      <w:r>
        <w:rPr>
          <w:spacing w:val="-83"/>
        </w:rPr>
        <w:t> </w:t>
      </w:r>
      <w:r>
        <w:rPr>
          <w:spacing w:val="-83"/>
        </w:rPr>
      </w:r>
      <w:r>
        <w:rPr/>
        <w:t>认金额；具有融资性质的，按其现值进行初始确认。</w:t>
      </w:r>
    </w:p>
    <w:p>
      <w:pPr>
        <w:pStyle w:val="BodyText"/>
        <w:spacing w:line="240" w:lineRule="auto" w:before="46"/>
        <w:ind w:left="574" w:right="0"/>
        <w:jc w:val="left"/>
      </w:pPr>
      <w:r>
        <w:rPr/>
        <w:t>收回或处置时，将取得的价款与该应收款项账面价值之间的差额计入当期损益。</w:t>
      </w:r>
    </w:p>
    <w:p>
      <w:pPr>
        <w:spacing w:line="240" w:lineRule="auto" w:before="10"/>
        <w:rPr>
          <w:rFonts w:ascii="宋体" w:hAnsi="宋体" w:cs="宋体" w:eastAsia="宋体" w:hint="default"/>
          <w:sz w:val="14"/>
          <w:szCs w:val="14"/>
        </w:rPr>
      </w:pPr>
    </w:p>
    <w:p>
      <w:pPr>
        <w:pStyle w:val="BodyText"/>
        <w:spacing w:line="386" w:lineRule="auto"/>
        <w:ind w:left="573" w:right="0"/>
        <w:jc w:val="left"/>
      </w:pPr>
      <w:r>
        <w:rPr/>
        <w:t>（</w:t>
      </w:r>
      <w:r>
        <w:rPr>
          <w:rFonts w:ascii="Times New Roman" w:hAnsi="Times New Roman" w:cs="Times New Roman" w:eastAsia="Times New Roman" w:hint="default"/>
        </w:rPr>
        <w:t>4</w:t>
      </w:r>
      <w:r>
        <w:rPr/>
        <w:t>）可供出售金融资产 </w:t>
      </w:r>
      <w:r>
        <w:rPr>
          <w:spacing w:val="-1"/>
        </w:rPr>
        <w:t>取得时按公允价值（扣除已宣告但尚未发放的现金股利或已到付息期但尚未领取的债券利息）和相关</w:t>
      </w:r>
    </w:p>
    <w:p>
      <w:pPr>
        <w:pStyle w:val="BodyText"/>
        <w:spacing w:line="408" w:lineRule="auto" w:before="65"/>
        <w:ind w:left="573" w:right="0" w:hanging="420"/>
        <w:jc w:val="left"/>
      </w:pPr>
      <w:r>
        <w:rPr/>
        <w:t>交易费用之和作为初始确认金额。 </w:t>
      </w:r>
      <w:r>
        <w:rPr>
          <w:spacing w:val="-1"/>
        </w:rPr>
        <w:t>持有期间将取得的利息或现金股利确认为投资收益。期末以公允价值计量且将公允价值变动计入其他</w:t>
      </w:r>
    </w:p>
    <w:p>
      <w:pPr>
        <w:pStyle w:val="BodyText"/>
        <w:spacing w:line="240" w:lineRule="auto" w:before="46"/>
        <w:ind w:right="0"/>
        <w:jc w:val="left"/>
      </w:pPr>
      <w:r>
        <w:rPr/>
        <w:t>综合收益。但是，在活跃市场中没有报价且其公允价值不能可靠计量的权益工具投资，以及与该权益工具</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3" w:right="0" w:hanging="420"/>
        <w:jc w:val="left"/>
      </w:pPr>
      <w:r>
        <w:rPr/>
        <w:t>挂钩并须通过交付该权益工具结算的衍生金融资产，按照成本计量。 </w:t>
      </w:r>
      <w:r>
        <w:rPr>
          <w:spacing w:val="-1"/>
        </w:rPr>
        <w:t>处置时，将取得的价款与该金融资产账面价值之间的差额，计入投资损益；同时，将原直接计入其他</w:t>
      </w:r>
    </w:p>
    <w:p>
      <w:pPr>
        <w:pStyle w:val="BodyText"/>
        <w:spacing w:line="240" w:lineRule="auto" w:before="46"/>
        <w:ind w:right="0"/>
        <w:jc w:val="left"/>
      </w:pPr>
      <w:r>
        <w:rPr/>
        <w:t>综合收益的公允价值变动累计额对应处置部分的金额转出，计入当期损益。</w:t>
      </w:r>
    </w:p>
    <w:p>
      <w:pPr>
        <w:spacing w:line="240" w:lineRule="auto" w:before="10"/>
        <w:rPr>
          <w:rFonts w:ascii="宋体" w:hAnsi="宋体" w:cs="宋体" w:eastAsia="宋体" w:hint="default"/>
          <w:sz w:val="14"/>
          <w:szCs w:val="14"/>
        </w:rPr>
      </w:pPr>
    </w:p>
    <w:p>
      <w:pPr>
        <w:pStyle w:val="BodyText"/>
        <w:spacing w:line="393" w:lineRule="auto"/>
        <w:ind w:left="573" w:right="1118"/>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 </w:t>
      </w:r>
      <w:r>
        <w:rPr>
          <w:rFonts w:ascii="Times New Roman" w:hAnsi="Times New Roman" w:cs="Times New Roman" w:eastAsia="Times New Roman" w:hint="default"/>
        </w:rPr>
        <w:t>3</w:t>
      </w:r>
      <w:r>
        <w:rPr/>
        <w:t>、金融资产转移的确认依据和计量方法 </w:t>
      </w:r>
      <w:r>
        <w:rPr>
          <w:spacing w:val="-1"/>
        </w:rPr>
        <w:t>本公司发生金融资产转移时，如已将金融资产所有权上几乎所有的风险和报酬转移给转入方，则终止</w:t>
      </w:r>
    </w:p>
    <w:p>
      <w:pPr>
        <w:pStyle w:val="BodyText"/>
        <w:spacing w:line="408" w:lineRule="auto" w:before="58"/>
        <w:ind w:left="573" w:right="0" w:hanging="420"/>
        <w:jc w:val="left"/>
      </w:pPr>
      <w:r>
        <w:rPr/>
        <w:t>确认该金融资产；如保留了金融资产所有权上几乎所有的风险和报酬的，则不终止确认该金融资产。 </w:t>
      </w:r>
      <w:r>
        <w:rPr>
          <w:spacing w:val="-1"/>
        </w:rPr>
        <w:t>在判断金融资产转移是否满足上述金融资产终止确认条件时，采用实质重于形式的原则。公司将金融</w:t>
      </w:r>
    </w:p>
    <w:p>
      <w:pPr>
        <w:pStyle w:val="BodyText"/>
        <w:spacing w:line="408" w:lineRule="auto" w:before="46"/>
        <w:ind w:right="0"/>
        <w:jc w:val="left"/>
      </w:pP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BodyText"/>
        <w:spacing w:line="240" w:lineRule="auto" w:before="46"/>
        <w:ind w:left="573" w:right="0"/>
        <w:jc w:val="left"/>
      </w:pPr>
      <w:r>
        <w:rPr/>
        <w:t>（</w:t>
      </w:r>
      <w:r>
        <w:rPr>
          <w:rFonts w:ascii="Times New Roman" w:hAnsi="Times New Roman" w:cs="Times New Roman" w:eastAsia="Times New Roman" w:hint="default"/>
        </w:rPr>
        <w:t>1</w:t>
      </w:r>
      <w:r>
        <w:rPr/>
        <w:t>）所转移金融资产的账面价值；</w:t>
      </w:r>
    </w:p>
    <w:p>
      <w:pPr>
        <w:pStyle w:val="BodyText"/>
        <w:spacing w:line="386" w:lineRule="auto" w:before="177"/>
        <w:ind w:right="0" w:firstLine="42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 为可供出售金融资产的情形）之和。</w:t>
      </w:r>
    </w:p>
    <w:p>
      <w:pPr>
        <w:pStyle w:val="BodyText"/>
        <w:spacing w:line="408" w:lineRule="auto" w:before="65"/>
        <w:ind w:right="0" w:firstLine="420"/>
        <w:jc w:val="left"/>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BodyText"/>
        <w:spacing w:line="240" w:lineRule="auto" w:before="46"/>
        <w:ind w:left="573" w:right="0"/>
        <w:jc w:val="left"/>
      </w:pPr>
      <w:r>
        <w:rPr/>
        <w:t>（</w:t>
      </w:r>
      <w:r>
        <w:rPr>
          <w:rFonts w:ascii="Times New Roman" w:hAnsi="Times New Roman" w:cs="Times New Roman" w:eastAsia="Times New Roman" w:hint="default"/>
        </w:rPr>
        <w:t>1</w:t>
      </w:r>
      <w:r>
        <w:rPr/>
        <w:t>）终止确认部分的账面价值；</w:t>
      </w:r>
    </w:p>
    <w:p>
      <w:pPr>
        <w:pStyle w:val="BodyText"/>
        <w:spacing w:line="386" w:lineRule="auto" w:before="177"/>
        <w:ind w:right="0" w:firstLine="42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 金额（涉及转移的金融资产为可供出售金融资产的情形）之和。</w:t>
      </w:r>
    </w:p>
    <w:p>
      <w:pPr>
        <w:pStyle w:val="BodyText"/>
        <w:spacing w:line="398" w:lineRule="auto" w:before="65"/>
        <w:ind w:left="573" w:right="0"/>
        <w:jc w:val="left"/>
      </w:pPr>
      <w:r>
        <w:rPr/>
        <w:t>金融资产转移不满足终止确认条件的，继续确认该金融资产，所收到的对价确认为一项金融负债。 </w:t>
      </w:r>
      <w:r>
        <w:rPr>
          <w:rFonts w:ascii="Times New Roman" w:hAnsi="Times New Roman" w:cs="Times New Roman" w:eastAsia="Times New Roman" w:hint="default"/>
        </w:rPr>
        <w:t>4</w:t>
      </w:r>
      <w:r>
        <w:rPr/>
        <w:t>、金融负债终止确认条件 </w:t>
      </w:r>
      <w:r>
        <w:rPr>
          <w:spacing w:val="-1"/>
        </w:rPr>
        <w:t>金融负债的现时义务全部或部分已经解除的，则终止确认该金融负债或其一部分；本公司若与债权人</w:t>
      </w:r>
    </w:p>
    <w:p>
      <w:pPr>
        <w:pStyle w:val="BodyText"/>
        <w:spacing w:line="408" w:lineRule="auto" w:before="54"/>
        <w:ind w:left="154" w:right="0"/>
        <w:jc w:val="left"/>
      </w:pPr>
      <w:r>
        <w:rPr>
          <w:spacing w:val="-1"/>
        </w:rPr>
        <w:t>签定协议，以承担新金融负债方式替换现存金融负债，且新金融负债与现存金融负债的合同条款实质上不</w:t>
      </w:r>
      <w:r>
        <w:rPr>
          <w:spacing w:val="-81"/>
        </w:rPr>
        <w:t> </w:t>
      </w:r>
      <w:r>
        <w:rPr>
          <w:spacing w:val="-81"/>
        </w:rPr>
      </w:r>
      <w:r>
        <w:rPr/>
        <w:t>同的，则终止确认现存金融负债，并同时确认新金融负债。</w:t>
      </w:r>
    </w:p>
    <w:p>
      <w:pPr>
        <w:pStyle w:val="BodyText"/>
        <w:spacing w:line="408" w:lineRule="auto" w:before="46"/>
        <w:ind w:left="154" w:right="0" w:firstLine="420"/>
        <w:jc w:val="left"/>
      </w:pPr>
      <w:r>
        <w:rPr>
          <w:spacing w:val="-1"/>
        </w:rPr>
        <w:t>对现存金融负债全部或部分合同条款作出实质性修改的，则终止确认现存金融负债或其一部分，同时</w:t>
      </w:r>
      <w:r>
        <w:rPr/>
        <w:t> 将修改条款后的金融负债确认为一项新金融负债。</w:t>
      </w:r>
    </w:p>
    <w:p>
      <w:pPr>
        <w:pStyle w:val="BodyText"/>
        <w:spacing w:line="408" w:lineRule="auto" w:before="46"/>
        <w:ind w:left="154" w:right="0" w:firstLine="420"/>
        <w:jc w:val="left"/>
      </w:pPr>
      <w:r>
        <w:rPr>
          <w:spacing w:val="-1"/>
        </w:rPr>
        <w:t>金融负债全部或部分终止确认时，终止确认的金融负债账面价值与支付对价（包括转出的非现金资产</w:t>
      </w:r>
      <w:r>
        <w:rPr/>
        <w:t> 或承担的新金融负债）之间的差额，计入当期损益。</w:t>
      </w:r>
    </w:p>
    <w:p>
      <w:pPr>
        <w:pStyle w:val="BodyText"/>
        <w:spacing w:line="408" w:lineRule="auto" w:before="46"/>
        <w:ind w:left="154" w:right="0" w:firstLine="420"/>
        <w:jc w:val="left"/>
      </w:pPr>
      <w:r>
        <w:rPr>
          <w:spacing w:val="-1"/>
        </w:rPr>
        <w:t>本公司若回购部分金融负债的，在回购日按照继续确认部分与终止确认部分的相对公允价值，将该金</w:t>
      </w:r>
      <w:r>
        <w:rPr/>
        <w:t> </w:t>
      </w:r>
      <w:r>
        <w:rPr>
          <w:spacing w:val="-1"/>
        </w:rPr>
        <w:t>融负债整体的账面价值进行分配。分配给终止确认部分的账面价值与支付的对价（包括转出的非现金资产</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both"/>
      </w:pPr>
      <w:r>
        <w:rPr/>
        <w:t>或承担的新金融负债）之间的差额，计入当期损益。</w:t>
      </w:r>
    </w:p>
    <w:p>
      <w:pPr>
        <w:spacing w:line="240" w:lineRule="auto" w:before="10"/>
        <w:rPr>
          <w:rFonts w:ascii="宋体" w:hAnsi="宋体" w:cs="宋体" w:eastAsia="宋体" w:hint="default"/>
          <w:sz w:val="14"/>
          <w:szCs w:val="14"/>
        </w:rPr>
      </w:pPr>
    </w:p>
    <w:p>
      <w:pPr>
        <w:pStyle w:val="BodyText"/>
        <w:spacing w:line="386" w:lineRule="auto"/>
        <w:ind w:left="573" w:right="0"/>
        <w:jc w:val="left"/>
      </w:pPr>
      <w:r>
        <w:rPr>
          <w:rFonts w:ascii="Times New Roman" w:hAnsi="Times New Roman" w:cs="Times New Roman" w:eastAsia="Times New Roman" w:hint="default"/>
        </w:rPr>
        <w:t>5</w:t>
      </w:r>
      <w:r>
        <w:rPr/>
        <w:t>、金融资产和金融负债的公允价值确定方法 </w:t>
      </w:r>
      <w:r>
        <w:rPr>
          <w:spacing w:val="-1"/>
        </w:rPr>
        <w:t>存在活跃市场的金融工具，以活跃市场中的报价确定其公允价值。不存在活跃市场的金融工具，采用</w:t>
      </w:r>
    </w:p>
    <w:p>
      <w:pPr>
        <w:pStyle w:val="BodyText"/>
        <w:spacing w:line="408" w:lineRule="auto" w:before="65"/>
        <w:ind w:right="1109"/>
        <w:jc w:val="both"/>
      </w:pPr>
      <w:r>
        <w:rPr>
          <w:spacing w:val="-1"/>
        </w:rPr>
        <w:t>估值技术确定其公允价值。在估值时，本公司采用在当前情况下适用并且有足够可利用数据和其他信息支</w:t>
      </w:r>
      <w:r>
        <w:rPr>
          <w:spacing w:val="-81"/>
        </w:rPr>
        <w:t> </w:t>
      </w:r>
      <w:r>
        <w:rPr>
          <w:spacing w:val="-81"/>
        </w:rPr>
      </w:r>
      <w:r>
        <w:rPr/>
        <w:t>持的估值技术，选择与市场参与者在相关资产或负债的交易中所考虑的资产或负债特征相一致的输入值， </w:t>
      </w:r>
      <w:r>
        <w:rPr>
          <w:spacing w:val="-1"/>
        </w:rPr>
        <w:t>并优先使用相关可观察输入值。只有在相关可观察输入值无法取得或取得不切实可行的情况下，才使用不</w:t>
      </w:r>
      <w:r>
        <w:rPr>
          <w:spacing w:val="-81"/>
        </w:rPr>
        <w:t> </w:t>
      </w:r>
      <w:r>
        <w:rPr>
          <w:spacing w:val="-81"/>
        </w:rPr>
      </w:r>
      <w:r>
        <w:rPr/>
        <w:t>可观察输入值。</w:t>
      </w:r>
    </w:p>
    <w:p>
      <w:pPr>
        <w:pStyle w:val="BodyText"/>
        <w:spacing w:line="386" w:lineRule="auto" w:before="46"/>
        <w:ind w:left="573" w:right="0"/>
        <w:jc w:val="left"/>
      </w:pPr>
      <w:r>
        <w:rPr>
          <w:rFonts w:ascii="Times New Roman" w:hAnsi="Times New Roman" w:cs="Times New Roman" w:eastAsia="Times New Roman" w:hint="default"/>
        </w:rPr>
        <w:t>6</w:t>
      </w:r>
      <w:r>
        <w:rPr/>
        <w:t>、金融资产（不含应收款项）减值测试方法 </w:t>
      </w:r>
      <w:r>
        <w:rPr>
          <w:spacing w:val="-1"/>
        </w:rPr>
        <w:t>除以公允价值计量且其变动计入当期损益的金融资产外，本公司于资产负债表日对金融资产的账面价</w:t>
      </w:r>
    </w:p>
    <w:p>
      <w:pPr>
        <w:pStyle w:val="BodyText"/>
        <w:spacing w:line="240" w:lineRule="auto" w:before="65"/>
        <w:ind w:right="0"/>
        <w:jc w:val="both"/>
      </w:pPr>
      <w:r>
        <w:rPr/>
        <w:t>值进行检查，如果有客观证据表明某项金融资产发生减值的，计提减值准备。</w:t>
      </w:r>
    </w:p>
    <w:p>
      <w:pPr>
        <w:spacing w:line="240" w:lineRule="auto" w:before="10"/>
        <w:rPr>
          <w:rFonts w:ascii="宋体" w:hAnsi="宋体" w:cs="宋体" w:eastAsia="宋体" w:hint="default"/>
          <w:sz w:val="14"/>
          <w:szCs w:val="14"/>
        </w:rPr>
      </w:pPr>
    </w:p>
    <w:p>
      <w:pPr>
        <w:pStyle w:val="BodyText"/>
        <w:spacing w:line="386" w:lineRule="auto"/>
        <w:ind w:left="573" w:right="0"/>
        <w:jc w:val="left"/>
      </w:pPr>
      <w:r>
        <w:rPr/>
        <w:t>（</w:t>
      </w:r>
      <w:r>
        <w:rPr>
          <w:rFonts w:ascii="Times New Roman" w:hAnsi="Times New Roman" w:cs="Times New Roman" w:eastAsia="Times New Roman" w:hint="default"/>
        </w:rPr>
        <w:t>1</w:t>
      </w:r>
      <w:r>
        <w:rPr/>
        <w:t>）可供出售金融资产的减值准备： </w:t>
      </w:r>
      <w:r>
        <w:rPr>
          <w:spacing w:val="-1"/>
        </w:rPr>
        <w:t>期末如果可供出售金融资产的公允价值发生严重下降，或在综合考虑各种相关因素后，预期这种下降</w:t>
      </w:r>
    </w:p>
    <w:p>
      <w:pPr>
        <w:pStyle w:val="BodyText"/>
        <w:spacing w:line="408" w:lineRule="auto" w:before="65"/>
        <w:ind w:right="0"/>
        <w:jc w:val="left"/>
      </w:pPr>
      <w:r>
        <w:rPr>
          <w:spacing w:val="-1"/>
        </w:rPr>
        <w:t>趋势属于非暂时性的，就认定其已发生减值，将原直接计入所有者权益的公允价值下降形成的累计损失一</w:t>
      </w:r>
      <w:r>
        <w:rPr>
          <w:spacing w:val="-81"/>
        </w:rPr>
        <w:t> </w:t>
      </w:r>
      <w:r>
        <w:rPr>
          <w:spacing w:val="-81"/>
        </w:rPr>
      </w:r>
      <w:r>
        <w:rPr/>
        <w:t>并转出，确认减值损失。</w:t>
      </w:r>
    </w:p>
    <w:p>
      <w:pPr>
        <w:pStyle w:val="BodyText"/>
        <w:spacing w:line="408" w:lineRule="auto" w:before="46"/>
        <w:ind w:right="0" w:firstLine="420"/>
        <w:jc w:val="left"/>
      </w:pPr>
      <w:r>
        <w:rPr>
          <w:spacing w:val="-1"/>
        </w:rPr>
        <w:t>对于已确认减值损失的可供出售债务工具，在随后的会计期间公允价值已上升且客观上与确认原减值</w:t>
      </w:r>
      <w:r>
        <w:rPr/>
        <w:t> 损失确认后发生的事项有关的，原确认的减值损失予以转回，计入当期损益。</w:t>
      </w:r>
    </w:p>
    <w:p>
      <w:pPr>
        <w:pStyle w:val="BodyText"/>
        <w:spacing w:line="391" w:lineRule="auto" w:before="46"/>
        <w:ind w:left="573" w:right="1572"/>
        <w:jc w:val="left"/>
      </w:pPr>
      <w:r>
        <w:rPr/>
        <w:t>可供出售权益工具投资发生的减值损失，不通过损益转回。 本公司对可供出售权益工具投资的公允价值下跌</w:t>
      </w:r>
      <w:r>
        <w:rPr>
          <w:rFonts w:ascii="Times New Roman" w:hAnsi="Times New Roman" w:cs="Times New Roman" w:eastAsia="Times New Roman" w:hint="default"/>
        </w:rPr>
        <w:t>“</w:t>
      </w:r>
      <w:r>
        <w:rPr/>
        <w:t>严重</w:t>
      </w:r>
      <w:r>
        <w:rPr>
          <w:rFonts w:ascii="Times New Roman" w:hAnsi="Times New Roman" w:cs="Times New Roman" w:eastAsia="Times New Roman" w:hint="default"/>
        </w:rPr>
        <w:t>”</w:t>
      </w:r>
      <w:r>
        <w:rPr/>
        <w:t>的标准为： 本公司对可供出售权益工具投资的公允价值下跌</w:t>
      </w:r>
      <w:r>
        <w:rPr>
          <w:rFonts w:ascii="Times New Roman" w:hAnsi="Times New Roman" w:cs="Times New Roman" w:eastAsia="Times New Roman" w:hint="default"/>
        </w:rPr>
        <w:t>“</w:t>
      </w:r>
      <w:r>
        <w:rPr/>
        <w:t>严重</w:t>
      </w:r>
      <w:r>
        <w:rPr>
          <w:rFonts w:ascii="Times New Roman" w:hAnsi="Times New Roman" w:cs="Times New Roman" w:eastAsia="Times New Roman" w:hint="default"/>
        </w:rPr>
        <w:t>”</w:t>
      </w:r>
      <w:r>
        <w:rPr/>
        <w:t>的标准为公允价值下降幅度超过</w:t>
      </w:r>
      <w:r>
        <w:rPr>
          <w:rFonts w:ascii="Times New Roman" w:hAnsi="Times New Roman" w:cs="Times New Roman" w:eastAsia="Times New Roman" w:hint="default"/>
        </w:rPr>
        <w:t>30%</w:t>
      </w:r>
      <w:r>
        <w:rPr/>
        <w:t>的。</w:t>
      </w:r>
      <w:r>
        <w:rPr>
          <w:spacing w:val="-2"/>
        </w:rPr>
        <w:t> </w:t>
      </w:r>
      <w:r>
        <w:rPr/>
        <w:t>本公司对可供出售权益工具投资的公允价值下跌</w:t>
      </w:r>
      <w:r>
        <w:rPr>
          <w:rFonts w:ascii="Times New Roman" w:hAnsi="Times New Roman" w:cs="Times New Roman" w:eastAsia="Times New Roman" w:hint="default"/>
        </w:rPr>
        <w:t>“</w:t>
      </w:r>
      <w:r>
        <w:rPr/>
        <w:t>非暂时性</w:t>
      </w:r>
      <w:r>
        <w:rPr>
          <w:rFonts w:ascii="Times New Roman" w:hAnsi="Times New Roman" w:cs="Times New Roman" w:eastAsia="Times New Roman" w:hint="default"/>
        </w:rPr>
        <w:t>”</w:t>
      </w:r>
      <w:r>
        <w:rPr/>
        <w:t>的标准为： 本公司对可供出售权益工具投资的公允价值下跌跌于其成本超过</w:t>
      </w:r>
      <w:r>
        <w:rPr>
          <w:rFonts w:ascii="Times New Roman" w:hAnsi="Times New Roman" w:cs="Times New Roman" w:eastAsia="Times New Roman" w:hint="default"/>
        </w:rPr>
        <w:t>6</w:t>
      </w:r>
      <w:r>
        <w:rPr/>
        <w:t>个月以上尚未回暖的。</w:t>
      </w:r>
    </w:p>
    <w:p>
      <w:pPr>
        <w:pStyle w:val="BodyText"/>
        <w:spacing w:line="386" w:lineRule="auto" w:before="30"/>
        <w:ind w:left="574" w:right="3822"/>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12"/>
        <w:rPr>
          <w:rFonts w:ascii="宋体" w:hAnsi="宋体" w:cs="宋体" w:eastAsia="宋体" w:hint="default"/>
          <w:sz w:val="27"/>
          <w:szCs w:val="27"/>
        </w:rPr>
      </w:pPr>
    </w:p>
    <w:p>
      <w:pPr>
        <w:pStyle w:val="Heading4"/>
        <w:spacing w:line="240" w:lineRule="auto"/>
        <w:ind w:left="154" w:right="0"/>
        <w:jc w:val="both"/>
        <w:rPr>
          <w:b w:val="0"/>
          <w:bCs w:val="0"/>
        </w:rPr>
      </w:pPr>
      <w:bookmarkStart w:name="11、应收款项" w:id="162"/>
      <w:bookmarkEnd w:id="162"/>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both"/>
        <w:rPr>
          <w:b w:val="0"/>
          <w:bCs w:val="0"/>
        </w:rPr>
      </w:pPr>
      <w:bookmarkStart w:name="（1）单项金额重大并单独计提坏账准备的应收款项" w:id="163"/>
      <w:bookmarkEnd w:id="163"/>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9"/>
              <w:ind w:left="23" w:right="68"/>
              <w:jc w:val="left"/>
              <w:rPr>
                <w:rFonts w:ascii="宋体" w:hAnsi="宋体" w:cs="宋体" w:eastAsia="宋体" w:hint="default"/>
                <w:sz w:val="18"/>
                <w:szCs w:val="18"/>
              </w:rPr>
            </w:pPr>
            <w:r>
              <w:rPr>
                <w:rFonts w:ascii="宋体" w:hAnsi="宋体" w:cs="宋体" w:eastAsia="宋体" w:hint="default"/>
                <w:sz w:val="18"/>
                <w:szCs w:val="18"/>
              </w:rPr>
              <w:t>本公司单项金额重大的应收款项为期末余额在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 的应收款项</w:t>
            </w:r>
          </w:p>
        </w:tc>
      </w:tr>
    </w:tbl>
    <w:p>
      <w:pPr>
        <w:spacing w:after="0" w:line="451"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9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3" w:right="69"/>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本公司对单项金额重大的应收款项单独进行减值测试，如有 客观证据表明其已发生减值，按预计未来现金流量现值低于 其账面价值的差额计提坏账准备，计入当期损益。单独测试 未发生减值的应收款项，将其归入相应组合计提坏账准备。</w:t>
            </w:r>
          </w:p>
        </w:tc>
      </w:tr>
    </w:tbl>
    <w:p>
      <w:pPr>
        <w:spacing w:line="240" w:lineRule="auto" w:before="1"/>
        <w:rPr>
          <w:rFonts w:ascii="宋体" w:hAnsi="宋体" w:cs="宋体" w:eastAsia="宋体" w:hint="default"/>
          <w:b/>
          <w:bCs/>
          <w:sz w:val="25"/>
          <w:szCs w:val="25"/>
        </w:rPr>
      </w:pPr>
    </w:p>
    <w:p>
      <w:pPr>
        <w:pStyle w:val="Heading4"/>
        <w:spacing w:line="240" w:lineRule="auto" w:before="35"/>
        <w:ind w:left="154" w:right="0"/>
        <w:jc w:val="left"/>
        <w:rPr>
          <w:b w:val="0"/>
          <w:bCs w:val="0"/>
        </w:rPr>
      </w:pPr>
      <w:bookmarkStart w:name="（2）按信用风险特征组合计提坏账准备的应收款项" w:id="164"/>
      <w:bookmarkEnd w:id="164"/>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55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558"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合并范围内关联方应收款项</w:t>
            </w:r>
          </w:p>
        </w:tc>
        <w:tc>
          <w:tcPr>
            <w:tcW w:w="4784"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非合并范围内应收款项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6"/>
        <w:rPr>
          <w:rFonts w:ascii="宋体" w:hAnsi="宋体" w:cs="宋体" w:eastAsia="宋体" w:hint="default"/>
          <w:b/>
          <w:bCs/>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line="240" w:lineRule="auto" w:before="10"/>
        <w:rPr>
          <w:rFonts w:ascii="宋体" w:hAnsi="宋体" w:cs="宋体" w:eastAsia="宋体" w:hint="default"/>
          <w:sz w:val="20"/>
          <w:szCs w:val="20"/>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w:t>
            </w:r>
          </w:p>
        </w:tc>
      </w:tr>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r>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r>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r>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r>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240" w:lineRule="auto" w:before="12"/>
        <w:rPr>
          <w:rFonts w:ascii="宋体" w:hAnsi="宋体" w:cs="宋体" w:eastAsia="宋体" w:hint="default"/>
          <w:sz w:val="20"/>
          <w:szCs w:val="20"/>
        </w:rPr>
      </w:pPr>
    </w:p>
    <w:p>
      <w:pPr>
        <w:spacing w:line="489" w:lineRule="auto" w:before="0"/>
        <w:ind w:left="15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8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4"/>
        <w:spacing w:line="240" w:lineRule="auto"/>
        <w:ind w:right="0"/>
        <w:jc w:val="left"/>
        <w:rPr>
          <w:b w:val="0"/>
          <w:bCs w:val="0"/>
        </w:rPr>
      </w:pPr>
      <w:bookmarkStart w:name="（3）单项金额上重大但单独计提坏账准备的应收款项" w:id="165"/>
      <w:bookmarkEnd w:id="165"/>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559"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得到有效证据表明应当单独计提坏账准备时</w:t>
            </w:r>
          </w:p>
        </w:tc>
      </w:tr>
      <w:tr>
        <w:trPr>
          <w:trHeight w:val="559"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按照实际余额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计提坏账准备</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pStyle w:val="Heading4"/>
        <w:spacing w:line="240" w:lineRule="auto" w:before="174"/>
        <w:ind w:right="0"/>
        <w:jc w:val="both"/>
        <w:rPr>
          <w:b w:val="0"/>
          <w:bCs w:val="0"/>
        </w:rPr>
      </w:pPr>
      <w:bookmarkStart w:name="12、存货" w:id="166"/>
      <w:bookmarkEnd w:id="166"/>
      <w:r>
        <w:rPr>
          <w:b w:val="0"/>
          <w:bCs w:val="0"/>
        </w:rPr>
      </w:r>
      <w:r>
        <w:rPr>
          <w:rFonts w:ascii="Times New Roman" w:hAnsi="Times New Roman" w:cs="Times New Roman" w:eastAsia="Times New Roman" w:hint="default"/>
        </w:rPr>
        <w:t>12</w:t>
      </w:r>
      <w:r>
        <w:rPr/>
        <w:t>、存货</w:t>
      </w:r>
      <w:r>
        <w:rPr>
          <w:b w:val="0"/>
          <w:bCs w:val="0"/>
        </w:rPr>
      </w:r>
    </w:p>
    <w:p>
      <w:pPr>
        <w:spacing w:line="240" w:lineRule="auto" w:before="0"/>
        <w:rPr>
          <w:rFonts w:ascii="宋体" w:hAnsi="宋体" w:cs="宋体" w:eastAsia="宋体" w:hint="default"/>
          <w:b/>
          <w:bCs/>
          <w:sz w:val="22"/>
          <w:szCs w:val="22"/>
        </w:rPr>
      </w:pPr>
    </w:p>
    <w:p>
      <w:pPr>
        <w:pStyle w:val="BodyText"/>
        <w:spacing w:line="398" w:lineRule="auto" w:before="189"/>
        <w:ind w:left="573" w:right="1723"/>
        <w:jc w:val="left"/>
      </w:pPr>
      <w:r>
        <w:rPr>
          <w:rFonts w:ascii="Times New Roman" w:hAnsi="Times New Roman" w:cs="Times New Roman" w:eastAsia="Times New Roman" w:hint="default"/>
        </w:rPr>
        <w:t>1</w:t>
      </w:r>
      <w:r>
        <w:rPr/>
        <w:t>、存货分类： 本公司存货分类为：库存商品、原材料、包装物、在产品、自制半成品、消耗性生物资产等。 </w:t>
      </w:r>
      <w:r>
        <w:rPr>
          <w:rFonts w:ascii="Times New Roman" w:hAnsi="Times New Roman" w:cs="Times New Roman" w:eastAsia="Times New Roman" w:hint="default"/>
        </w:rPr>
        <w:t>2</w:t>
      </w:r>
      <w:r>
        <w:rPr/>
        <w:t>、存货发出的计价方法：</w:t>
      </w:r>
    </w:p>
    <w:p>
      <w:pPr>
        <w:pStyle w:val="BodyText"/>
        <w:spacing w:line="240" w:lineRule="auto" w:before="24"/>
        <w:ind w:left="573" w:right="0"/>
        <w:jc w:val="left"/>
      </w:pPr>
      <w:r>
        <w:rPr/>
        <w:t>本公司存货发出时按照加权平均法计价。</w:t>
      </w:r>
    </w:p>
    <w:p>
      <w:pPr>
        <w:spacing w:line="240" w:lineRule="auto" w:before="10"/>
        <w:rPr>
          <w:rFonts w:ascii="宋体" w:hAnsi="宋体" w:cs="宋体" w:eastAsia="宋体" w:hint="default"/>
          <w:sz w:val="14"/>
          <w:szCs w:val="14"/>
        </w:rPr>
      </w:pPr>
    </w:p>
    <w:p>
      <w:pPr>
        <w:pStyle w:val="BodyText"/>
        <w:spacing w:line="386" w:lineRule="auto"/>
        <w:ind w:left="574" w:right="0"/>
        <w:jc w:val="left"/>
      </w:pPr>
      <w:r>
        <w:rPr>
          <w:rFonts w:ascii="Times New Roman" w:hAnsi="Times New Roman" w:cs="Times New Roman" w:eastAsia="Times New Roman" w:hint="default"/>
        </w:rPr>
        <w:t>3</w:t>
      </w:r>
      <w:r>
        <w:rPr/>
        <w:t>、不同类别存货可变现净值的确定依据 </w:t>
      </w:r>
      <w:r>
        <w:rPr>
          <w:spacing w:val="-1"/>
        </w:rPr>
        <w:t>产成品、库存商品和用于出售的材料等直接用于出售的商品存货，在正常生产经营过程中，以该存货</w:t>
      </w:r>
    </w:p>
    <w:p>
      <w:pPr>
        <w:pStyle w:val="BodyText"/>
        <w:spacing w:line="408" w:lineRule="auto" w:before="65"/>
        <w:ind w:left="154" w:right="1130"/>
        <w:jc w:val="both"/>
      </w:pPr>
      <w:r>
        <w:rPr>
          <w:spacing w:val="-1"/>
        </w:rPr>
        <w:t>的估计售价减去估计的销售费用和相关税费后的金额，确定其可变现净值；需要经过加工的材料存货，在</w:t>
      </w:r>
      <w:r>
        <w:rPr>
          <w:spacing w:val="-83"/>
        </w:rPr>
        <w:t> </w:t>
      </w:r>
      <w:r>
        <w:rPr>
          <w:spacing w:val="-83"/>
        </w:rPr>
      </w:r>
      <w:r>
        <w:rPr>
          <w:spacing w:val="-1"/>
        </w:rPr>
        <w:t>正常生产经营过程中，以所生产的产成品的估计售价减去至完工时估计将要发生的成本、估计的销售费用</w:t>
      </w:r>
      <w:r>
        <w:rPr>
          <w:spacing w:val="-81"/>
        </w:rPr>
        <w:t> </w:t>
      </w:r>
      <w:r>
        <w:rPr>
          <w:spacing w:val="-81"/>
        </w:rPr>
      </w:r>
      <w:r>
        <w:rPr>
          <w:spacing w:val="-1"/>
        </w:rPr>
        <w:t>和相关税费后的金额，确定其可变现净值；为执行销售合同或者劳务合同而持有的存货，其可变现净值以</w:t>
      </w:r>
      <w:r>
        <w:rPr>
          <w:spacing w:val="-83"/>
        </w:rPr>
        <w:t> </w:t>
      </w:r>
      <w:r>
        <w:rPr>
          <w:spacing w:val="-83"/>
        </w:rPr>
      </w:r>
      <w:r>
        <w:rPr>
          <w:spacing w:val="-1"/>
        </w:rPr>
        <w:t>合同价格为基础计算，若持有存货的数量多于销售合同订购数量的，超出部分的存货的可变现净值以一般</w:t>
      </w:r>
      <w:r>
        <w:rPr>
          <w:spacing w:val="-80"/>
        </w:rPr>
        <w:t> </w:t>
      </w:r>
      <w:r>
        <w:rPr>
          <w:spacing w:val="-80"/>
        </w:rPr>
      </w:r>
      <w:r>
        <w:rPr/>
        <w:t>销售价格为基础计算。</w:t>
      </w:r>
    </w:p>
    <w:p>
      <w:pPr>
        <w:pStyle w:val="BodyText"/>
        <w:spacing w:line="408" w:lineRule="auto" w:before="46"/>
        <w:ind w:left="154" w:right="1131" w:firstLine="420"/>
        <w:jc w:val="both"/>
      </w:pPr>
      <w:r>
        <w:rPr>
          <w:spacing w:val="-1"/>
        </w:rPr>
        <w:t>期末按照单个存货项目计提存货跌价准备；但对于数量繁多、单价较低的存货，按照存货类别计提存</w:t>
      </w:r>
      <w:r>
        <w:rPr/>
        <w:t> </w:t>
      </w:r>
      <w:r>
        <w:rPr>
          <w:spacing w:val="-1"/>
        </w:rPr>
        <w:t>货跌价准备；与在同一地区生产和销售的产品系列相关、具有相同或类似最终用途或目的，且难以与其他</w:t>
      </w:r>
      <w:r>
        <w:rPr>
          <w:spacing w:val="-83"/>
        </w:rPr>
        <w:t> </w:t>
      </w:r>
      <w:r>
        <w:rPr>
          <w:spacing w:val="-83"/>
        </w:rPr>
      </w:r>
      <w:r>
        <w:rPr/>
        <w:t>项目分开计量的存货，则合并计提存货跌价准备。</w:t>
      </w:r>
    </w:p>
    <w:p>
      <w:pPr>
        <w:pStyle w:val="BodyText"/>
        <w:spacing w:line="408" w:lineRule="auto" w:before="46"/>
        <w:ind w:left="154" w:right="1118" w:firstLine="420"/>
        <w:jc w:val="left"/>
      </w:pPr>
      <w:r>
        <w:rPr>
          <w:spacing w:val="-1"/>
        </w:rPr>
        <w:t>除有明确证据表明资产负债表日市场价格异常外，存货项目的可变现净值以资产负债表日市场价格为</w:t>
      </w:r>
      <w:r>
        <w:rPr/>
        <w:t> 基础确定。</w:t>
      </w:r>
    </w:p>
    <w:p>
      <w:pPr>
        <w:pStyle w:val="BodyText"/>
        <w:spacing w:line="240" w:lineRule="auto" w:before="46"/>
        <w:ind w:left="574" w:right="0"/>
        <w:jc w:val="left"/>
      </w:pPr>
      <w:r>
        <w:rPr/>
        <w:t>本期期末存货项目的可变现净值以资产负债表日市场价格为基础确定。</w:t>
      </w:r>
    </w:p>
    <w:p>
      <w:pPr>
        <w:spacing w:line="240" w:lineRule="auto" w:before="10"/>
        <w:rPr>
          <w:rFonts w:ascii="宋体" w:hAnsi="宋体" w:cs="宋体" w:eastAsia="宋体" w:hint="default"/>
          <w:sz w:val="14"/>
          <w:szCs w:val="14"/>
        </w:rPr>
      </w:pPr>
    </w:p>
    <w:p>
      <w:pPr>
        <w:pStyle w:val="BodyText"/>
        <w:spacing w:line="398" w:lineRule="auto"/>
        <w:ind w:left="565" w:right="7086" w:firstLine="8"/>
        <w:jc w:val="left"/>
      </w:pPr>
      <w:r>
        <w:rPr>
          <w:rFonts w:ascii="Times New Roman" w:hAnsi="Times New Roman" w:cs="Times New Roman" w:eastAsia="Times New Roman" w:hint="default"/>
        </w:rPr>
        <w:t>4</w:t>
      </w:r>
      <w:r>
        <w:rPr/>
        <w:t>、存货的盘存制度 本公司存货采取永续盘存制。 </w:t>
      </w:r>
      <w:r>
        <w:rPr>
          <w:rFonts w:ascii="Times New Roman" w:hAnsi="Times New Roman" w:cs="Times New Roman" w:eastAsia="Times New Roman" w:hint="default"/>
        </w:rPr>
        <w:t>5</w:t>
      </w:r>
      <w:r>
        <w:rPr/>
        <w:t>、低值易耗品和包装物的转销方法</w:t>
      </w:r>
    </w:p>
    <w:p>
      <w:pPr>
        <w:pStyle w:val="BodyText"/>
        <w:spacing w:line="240" w:lineRule="auto" w:before="24"/>
        <w:ind w:left="565" w:right="0"/>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177"/>
        <w:ind w:left="565" w:right="0"/>
        <w:jc w:val="left"/>
      </w:pPr>
      <w:r>
        <w:rPr/>
        <w:t>（</w:t>
      </w:r>
      <w:r>
        <w:rPr>
          <w:rFonts w:ascii="Times New Roman" w:hAnsi="Times New Roman" w:cs="Times New Roman" w:eastAsia="Times New Roman" w:hint="default"/>
        </w:rPr>
        <w:t>2</w:t>
      </w:r>
      <w:r>
        <w:rPr/>
        <w:t>）包装物采用一次转销法</w:t>
      </w:r>
    </w:p>
    <w:p>
      <w:pPr>
        <w:spacing w:line="750" w:lineRule="atLeast" w:before="18"/>
        <w:ind w:left="573" w:right="3403" w:hanging="420"/>
        <w:jc w:val="left"/>
        <w:rPr>
          <w:rFonts w:ascii="宋体" w:hAnsi="宋体" w:cs="宋体" w:eastAsia="宋体" w:hint="default"/>
          <w:sz w:val="21"/>
          <w:szCs w:val="21"/>
        </w:rPr>
      </w:pPr>
      <w:bookmarkStart w:name="13、划分为持有待售资产" w:id="167"/>
      <w:bookmarkEnd w:id="167"/>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、划分为持有待售资产</w:t>
      </w:r>
      <w:r>
        <w:rPr>
          <w:rFonts w:ascii="宋体" w:hAnsi="宋体" w:cs="宋体" w:eastAsia="宋体" w:hint="default"/>
          <w:b/>
          <w:bCs/>
          <w:w w:val="99"/>
          <w:sz w:val="21"/>
          <w:szCs w:val="21"/>
        </w:rPr>
        <w:t> </w:t>
      </w:r>
      <w:r>
        <w:rPr>
          <w:rFonts w:ascii="宋体" w:hAnsi="宋体" w:cs="宋体" w:eastAsia="宋体" w:hint="default"/>
          <w:sz w:val="21"/>
          <w:szCs w:val="21"/>
        </w:rPr>
        <w:t>本公司将同时满足下列条件的组成部分（或非流动资产）确认为持有待售：</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pStyle w:val="BodyText"/>
        <w:spacing w:line="386" w:lineRule="auto" w:before="177"/>
        <w:ind w:left="154" w:right="0" w:firstLine="420"/>
        <w:jc w:val="left"/>
      </w:pPr>
      <w:r>
        <w:rPr/>
        <w:t>（</w:t>
      </w:r>
      <w:r>
        <w:rPr>
          <w:rFonts w:ascii="Times New Roman" w:hAnsi="Times New Roman" w:cs="Times New Roman" w:eastAsia="Times New Roman" w:hint="default"/>
        </w:rPr>
        <w:t>2</w:t>
      </w:r>
      <w:r>
        <w:rPr/>
        <w:t>）公司已经就处置该组成部分（或非流动资产）作出决议，如按规定需得到股东批准的，已经取 得股东大会或相应权力机构的批准；</w:t>
      </w:r>
    </w:p>
    <w:p>
      <w:pPr>
        <w:spacing w:after="0" w:line="38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573" w:right="0"/>
        <w:jc w:val="left"/>
      </w:pPr>
      <w:r>
        <w:rPr/>
        <w:t>（</w:t>
      </w:r>
      <w:r>
        <w:rPr>
          <w:rFonts w:ascii="Times New Roman" w:hAnsi="Times New Roman" w:cs="Times New Roman" w:eastAsia="Times New Roman" w:hint="default"/>
        </w:rPr>
        <w:t>3</w:t>
      </w:r>
      <w:r>
        <w:rPr/>
        <w:t>）公司已与受让方签订了不可撤销的转让协议；</w:t>
      </w:r>
    </w:p>
    <w:p>
      <w:pPr>
        <w:pStyle w:val="BodyText"/>
        <w:spacing w:line="240" w:lineRule="auto" w:before="177"/>
        <w:ind w:left="573" w:right="0"/>
        <w:jc w:val="left"/>
      </w:pPr>
      <w:r>
        <w:rPr/>
        <w:t>（</w:t>
      </w:r>
      <w:r>
        <w:rPr>
          <w:rFonts w:ascii="Times New Roman" w:hAnsi="Times New Roman" w:cs="Times New Roman" w:eastAsia="Times New Roman" w:hint="default"/>
        </w:rPr>
        <w:t>4</w:t>
      </w:r>
      <w:r>
        <w:rPr/>
        <w:t>）该项转让将在一年内完成。</w:t>
      </w:r>
    </w:p>
    <w:p>
      <w:pPr>
        <w:spacing w:line="240" w:lineRule="auto" w:before="0"/>
        <w:rPr>
          <w:rFonts w:ascii="宋体" w:hAnsi="宋体" w:cs="宋体" w:eastAsia="宋体" w:hint="default"/>
          <w:sz w:val="22"/>
          <w:szCs w:val="22"/>
        </w:rPr>
      </w:pPr>
    </w:p>
    <w:p>
      <w:pPr>
        <w:pStyle w:val="Heading4"/>
        <w:spacing w:line="240" w:lineRule="auto" w:before="190"/>
        <w:ind w:right="0"/>
        <w:jc w:val="both"/>
        <w:rPr>
          <w:b w:val="0"/>
          <w:bCs w:val="0"/>
        </w:rPr>
      </w:pPr>
      <w:bookmarkStart w:name="14、长期股权投资" w:id="168"/>
      <w:bookmarkEnd w:id="168"/>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left="574" w:right="0"/>
        <w:jc w:val="left"/>
      </w:pPr>
      <w:r>
        <w:rPr>
          <w:rFonts w:ascii="Times New Roman" w:hAnsi="Times New Roman" w:cs="Times New Roman" w:eastAsia="Times New Roman" w:hint="default"/>
        </w:rPr>
        <w:t>1</w:t>
      </w:r>
      <w:r>
        <w:rPr/>
        <w:t>、共同控制、重大影响的判断标准 </w:t>
      </w:r>
      <w:r>
        <w:rPr>
          <w:spacing w:val="-1"/>
        </w:rPr>
        <w:t>共同控制，是指按照相关约定对某项安排所共有的控制，并且该安排的相关活动必须经过分享控制权</w:t>
      </w:r>
    </w:p>
    <w:p>
      <w:pPr>
        <w:pStyle w:val="BodyText"/>
        <w:spacing w:line="408" w:lineRule="auto" w:before="65"/>
        <w:ind w:left="154" w:right="1132"/>
        <w:jc w:val="both"/>
      </w:pPr>
      <w:r>
        <w:rPr>
          <w:spacing w:val="-1"/>
        </w:rPr>
        <w:t>的参与方一致同意后才能决策。本公司与其他合营方一同对被投资单位实施共同控制且对被投资单位净资</w:t>
      </w:r>
      <w:r>
        <w:rPr>
          <w:spacing w:val="-81"/>
        </w:rPr>
        <w:t> </w:t>
      </w:r>
      <w:r>
        <w:rPr>
          <w:spacing w:val="-81"/>
        </w:rPr>
      </w:r>
      <w:r>
        <w:rPr/>
        <w:t>产享有权利的，被投资单位为本公司的合营企业。</w:t>
      </w:r>
    </w:p>
    <w:p>
      <w:pPr>
        <w:pStyle w:val="BodyText"/>
        <w:spacing w:line="408" w:lineRule="auto" w:before="46"/>
        <w:ind w:left="154" w:right="1131" w:firstLine="420"/>
        <w:jc w:val="both"/>
      </w:pPr>
      <w:r>
        <w:rPr>
          <w:spacing w:val="-1"/>
        </w:rPr>
        <w:t>重大影响，是指对一个企业的财务和经营决策有参与决策的权力，但并不能够控制或者与其他方一起</w:t>
      </w:r>
      <w:r>
        <w:rPr/>
        <w:t> 共同控制这些政策的制定。本公司能够对被投资单位施加重大影响的，被投资单位为本公司联营企业。</w:t>
      </w:r>
    </w:p>
    <w:p>
      <w:pPr>
        <w:pStyle w:val="BodyText"/>
        <w:spacing w:line="240" w:lineRule="auto" w:before="46"/>
        <w:ind w:left="573" w:right="0"/>
        <w:jc w:val="left"/>
      </w:pPr>
      <w:r>
        <w:rPr>
          <w:rFonts w:ascii="Times New Roman" w:hAnsi="Times New Roman" w:cs="Times New Roman" w:eastAsia="Times New Roman" w:hint="default"/>
        </w:rPr>
        <w:t>2</w:t>
      </w:r>
      <w:r>
        <w:rPr/>
        <w:t>、初始投资成本的确定</w:t>
      </w:r>
    </w:p>
    <w:p>
      <w:pPr>
        <w:pStyle w:val="BodyText"/>
        <w:spacing w:line="386" w:lineRule="auto" w:before="177"/>
        <w:ind w:left="573" w:right="0"/>
        <w:jc w:val="left"/>
      </w:pPr>
      <w:r>
        <w:rPr/>
        <w:t>（</w:t>
      </w:r>
      <w:r>
        <w:rPr>
          <w:rFonts w:ascii="Times New Roman" w:hAnsi="Times New Roman" w:cs="Times New Roman" w:eastAsia="Times New Roman" w:hint="default"/>
        </w:rPr>
        <w:t>1</w:t>
      </w:r>
      <w:r>
        <w:rPr/>
        <w:t>）企业合并形成的长期股权投资 </w:t>
      </w:r>
      <w:r>
        <w:rPr>
          <w:spacing w:val="-1"/>
        </w:rPr>
        <w:t>同一控制下的企业合并：公司以支付现金、转让非现金资产或承担债务方式以及以发行权益性证券作</w:t>
      </w:r>
    </w:p>
    <w:p>
      <w:pPr>
        <w:pStyle w:val="BodyText"/>
        <w:spacing w:line="408" w:lineRule="auto" w:before="65"/>
        <w:ind w:right="1131"/>
        <w:jc w:val="both"/>
      </w:pPr>
      <w:r>
        <w:rPr>
          <w:spacing w:val="-1"/>
        </w:rPr>
        <w:t>为合并对价的，在合并日按照取得被合并方所有者权益在最终控制方合并财务报表中的账面价值的份额作</w:t>
      </w:r>
      <w:r>
        <w:rPr>
          <w:spacing w:val="-81"/>
        </w:rPr>
        <w:t> </w:t>
      </w:r>
      <w:r>
        <w:rPr>
          <w:spacing w:val="-81"/>
        </w:rPr>
      </w:r>
      <w:r>
        <w:rPr>
          <w:spacing w:val="-1"/>
        </w:rPr>
        <w:t>为长期股权投资的初始投资成本。因追加投资等原因能够对同一控制下的被投资单位实施控制的，在合并</w:t>
      </w:r>
      <w:r>
        <w:rPr>
          <w:spacing w:val="-81"/>
        </w:rPr>
        <w:t> </w:t>
      </w:r>
      <w:r>
        <w:rPr>
          <w:spacing w:val="-81"/>
        </w:rPr>
      </w:r>
      <w:r>
        <w:rPr>
          <w:spacing w:val="-1"/>
        </w:rPr>
        <w:t>日根据合并后应享有被合并方净资产在最终控制方合并财务报表中的账面价值的份额，确定长期股权投资</w:t>
      </w:r>
      <w:r>
        <w:rPr>
          <w:spacing w:val="-81"/>
        </w:rPr>
        <w:t> </w:t>
      </w:r>
      <w:r>
        <w:rPr>
          <w:spacing w:val="-81"/>
        </w:rPr>
      </w:r>
      <w:r>
        <w:rPr>
          <w:spacing w:val="-1"/>
        </w:rPr>
        <w:t>的初始投资成本。合并日长期股权投资的初始投资成本，与达到合并前的长期股权投资账面价值加上合并</w:t>
      </w:r>
      <w:r>
        <w:rPr>
          <w:spacing w:val="-81"/>
        </w:rPr>
        <w:t> </w:t>
      </w:r>
      <w:r>
        <w:rPr>
          <w:spacing w:val="-81"/>
        </w:rPr>
      </w:r>
      <w:r>
        <w:rPr>
          <w:spacing w:val="-1"/>
        </w:rPr>
        <w:t>日进一步取得股份新支付对价的账面价值之和的差额，调整股本溢价，股本溢价不足冲减的，冲减留存收</w:t>
      </w:r>
      <w:r>
        <w:rPr>
          <w:spacing w:val="-83"/>
        </w:rPr>
        <w:t> </w:t>
      </w:r>
      <w:r>
        <w:rPr>
          <w:spacing w:val="-83"/>
        </w:rPr>
      </w:r>
      <w:r>
        <w:rPr/>
        <w:t>益。</w:t>
      </w:r>
    </w:p>
    <w:p>
      <w:pPr>
        <w:pStyle w:val="BodyText"/>
        <w:spacing w:line="408" w:lineRule="auto" w:before="46"/>
        <w:ind w:left="154" w:right="1131" w:firstLine="420"/>
        <w:jc w:val="both"/>
      </w:pPr>
      <w:r>
        <w:rPr>
          <w:spacing w:val="-1"/>
        </w:rPr>
        <w:t>非同一控制下的企业合并：公司按照购买日确定的合并成本作为长期股权投资的初始投资成本。因追</w:t>
      </w:r>
      <w:r>
        <w:rPr/>
        <w:t> </w:t>
      </w:r>
      <w:r>
        <w:rPr>
          <w:spacing w:val="-1"/>
        </w:rPr>
        <w:t>加投资等原因能够对非同一控制下的被投资单位实施控制的，按照原持有的股权投资账面价值加上新增投</w:t>
      </w:r>
      <w:r>
        <w:rPr>
          <w:spacing w:val="-81"/>
        </w:rPr>
        <w:t> </w:t>
      </w:r>
      <w:r>
        <w:rPr>
          <w:spacing w:val="-81"/>
        </w:rPr>
      </w:r>
      <w:r>
        <w:rPr/>
        <w:t>资成本之和，作为改按成本法核算的初始投资成本。</w:t>
      </w:r>
    </w:p>
    <w:p>
      <w:pPr>
        <w:pStyle w:val="BodyText"/>
        <w:spacing w:line="400" w:lineRule="auto" w:before="46"/>
        <w:ind w:left="573" w:right="0"/>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1"/>
        </w:rPr>
        <w:t>在非货币性资产交换具备商业实质和换入资产或换出资产的公允价值能够可靠计量的前提下，非货币</w:t>
      </w:r>
    </w:p>
    <w:p>
      <w:pPr>
        <w:pStyle w:val="BodyText"/>
        <w:spacing w:line="408" w:lineRule="auto" w:before="53"/>
        <w:ind w:right="1131"/>
        <w:jc w:val="both"/>
      </w:pPr>
      <w:r>
        <w:rPr>
          <w:spacing w:val="-1"/>
        </w:rPr>
        <w:t>性资产交换换入的长期股权投资以换出资产的公允价值和应支付的相关税费确定其初始投资成本，除非有</w:t>
      </w:r>
      <w:r>
        <w:rPr>
          <w:spacing w:val="-81"/>
        </w:rPr>
        <w:t> </w:t>
      </w:r>
      <w:r>
        <w:rPr>
          <w:spacing w:val="-81"/>
        </w:rPr>
      </w:r>
      <w:r>
        <w:rPr>
          <w:spacing w:val="-1"/>
        </w:rPr>
        <w:t>确凿证据表明换入资产的公允价值更加可靠；不满足上述前提的非货币性资产交换，以换出资产的账面价</w:t>
      </w:r>
      <w:r>
        <w:rPr>
          <w:spacing w:val="-81"/>
        </w:rPr>
        <w:t> </w:t>
      </w:r>
      <w:r>
        <w:rPr>
          <w:spacing w:val="-81"/>
        </w:rPr>
      </w:r>
      <w:r>
        <w:rPr/>
        <w:t>值和应支付的相关税费作为换入长期股权投资的初始投资成本。</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573" w:right="0"/>
        <w:jc w:val="left"/>
      </w:pPr>
      <w:r>
        <w:rPr/>
        <w:t>通过债务重组取得的长期股权投资，其初始投资成本按照公允价值为基础确定。</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rFonts w:ascii="Times New Roman" w:hAnsi="Times New Roman" w:cs="Times New Roman" w:eastAsia="Times New Roman" w:hint="default"/>
        </w:rPr>
        <w:t>3</w:t>
      </w:r>
      <w:r>
        <w:rPr/>
        <w:t>、后续计量及损益确认方法</w:t>
      </w:r>
    </w:p>
    <w:p>
      <w:pPr>
        <w:pStyle w:val="BodyText"/>
        <w:spacing w:line="386" w:lineRule="auto" w:before="177"/>
        <w:ind w:left="573" w:right="0"/>
        <w:jc w:val="left"/>
      </w:pPr>
      <w:r>
        <w:rPr/>
        <w:t>（</w:t>
      </w:r>
      <w:r>
        <w:rPr>
          <w:rFonts w:ascii="Times New Roman" w:hAnsi="Times New Roman" w:cs="Times New Roman" w:eastAsia="Times New Roman" w:hint="default"/>
        </w:rPr>
        <w:t>1</w:t>
      </w:r>
      <w:r>
        <w:rPr/>
        <w:t>）成本法核算的长期股权投资 </w:t>
      </w:r>
      <w:r>
        <w:rPr>
          <w:spacing w:val="-1"/>
        </w:rPr>
        <w:t>本公司对子公司的长期股权投资，采用成本法核算。除取得投资时实际支付的价款或对价中包含的已</w:t>
      </w:r>
    </w:p>
    <w:p>
      <w:pPr>
        <w:pStyle w:val="BodyText"/>
        <w:spacing w:line="408" w:lineRule="auto" w:before="65"/>
        <w:ind w:right="1118"/>
        <w:jc w:val="left"/>
      </w:pPr>
      <w:r>
        <w:rPr>
          <w:spacing w:val="-1"/>
        </w:rPr>
        <w:t>宣告但尚未发放的现金股利或利润外，公司按照享有被投资单位宣告发放的现金股利或利润确认当期投资</w:t>
      </w:r>
      <w:r>
        <w:rPr>
          <w:spacing w:val="-80"/>
        </w:rPr>
        <w:t> </w:t>
      </w:r>
      <w:r>
        <w:rPr>
          <w:spacing w:val="-80"/>
        </w:rPr>
      </w:r>
      <w:r>
        <w:rPr/>
        <w:t>收益。</w:t>
      </w:r>
    </w:p>
    <w:p>
      <w:pPr>
        <w:pStyle w:val="BodyText"/>
        <w:spacing w:line="386" w:lineRule="auto" w:before="46"/>
        <w:ind w:left="573" w:right="0"/>
        <w:jc w:val="left"/>
      </w:pPr>
      <w:r>
        <w:rPr/>
        <w:t>（</w:t>
      </w:r>
      <w:r>
        <w:rPr>
          <w:rFonts w:ascii="Times New Roman" w:hAnsi="Times New Roman" w:cs="Times New Roman" w:eastAsia="Times New Roman" w:hint="default"/>
        </w:rPr>
        <w:t>2</w:t>
      </w:r>
      <w:r>
        <w:rPr/>
        <w:t>）权益法核算的长期股权投资 </w:t>
      </w:r>
      <w:r>
        <w:rPr>
          <w:spacing w:val="-1"/>
        </w:rPr>
        <w:t>对联营企业和合营企业的长期股权投资，采用权益法核算。初始投资成本大于投资时应享有被投资单</w:t>
      </w:r>
    </w:p>
    <w:p>
      <w:pPr>
        <w:pStyle w:val="BodyText"/>
        <w:spacing w:line="408" w:lineRule="auto" w:before="65"/>
        <w:ind w:right="0"/>
        <w:jc w:val="left"/>
      </w:pPr>
      <w:r>
        <w:rPr>
          <w:spacing w:val="-1"/>
        </w:rPr>
        <w:t>位可辨认净资产公允价值份额的差额，不调整长期股权投资的初始投资成本；初始投资成本小于投资时应</w:t>
      </w:r>
      <w:r>
        <w:rPr>
          <w:spacing w:val="-81"/>
        </w:rPr>
        <w:t> </w:t>
      </w:r>
      <w:r>
        <w:rPr>
          <w:spacing w:val="-81"/>
        </w:rPr>
      </w:r>
      <w:r>
        <w:rPr/>
        <w:t>享有被投资单位可辨认净资产公允价值份额的差额，计入当期损益。</w:t>
      </w:r>
    </w:p>
    <w:p>
      <w:pPr>
        <w:pStyle w:val="BodyText"/>
        <w:spacing w:line="408" w:lineRule="auto" w:before="46"/>
        <w:ind w:right="1130" w:firstLine="420"/>
        <w:jc w:val="both"/>
      </w:pPr>
      <w:r>
        <w:rPr>
          <w:spacing w:val="-1"/>
        </w:rPr>
        <w:t>本公司按照应享有或应分担的被投资单位实现的净损益和其他综合收益的份额，分别确认投资收益和</w:t>
      </w:r>
      <w:r>
        <w:rPr/>
        <w:t> </w:t>
      </w:r>
      <w:r>
        <w:rPr>
          <w:spacing w:val="-1"/>
        </w:rPr>
        <w:t>其他综合收益，同时调整长期股权投资的账面价值；按照被投资单位宣告分派的利润或现金股利计算应享</w:t>
      </w:r>
      <w:r>
        <w:rPr>
          <w:spacing w:val="-81"/>
        </w:rPr>
        <w:t> </w:t>
      </w:r>
      <w:r>
        <w:rPr>
          <w:spacing w:val="-81"/>
        </w:rPr>
      </w:r>
      <w:r>
        <w:rPr>
          <w:spacing w:val="-1"/>
        </w:rPr>
        <w:t>有的部分，相应减少长期股权投资的账面价值；对于被投资单位除净损益、其他综合收益和利润分配以外</w:t>
      </w:r>
      <w:r>
        <w:rPr>
          <w:spacing w:val="-83"/>
        </w:rPr>
        <w:t> </w:t>
      </w:r>
      <w:r>
        <w:rPr>
          <w:spacing w:val="-83"/>
        </w:rPr>
      </w:r>
      <w:r>
        <w:rPr/>
        <w:t>所有者权益的其他变动，调整长期股权投资的账面价值并计入所有者权益。</w:t>
      </w:r>
    </w:p>
    <w:p>
      <w:pPr>
        <w:pStyle w:val="BodyText"/>
        <w:spacing w:line="408" w:lineRule="auto" w:before="46"/>
        <w:ind w:right="1131" w:firstLine="420"/>
        <w:jc w:val="both"/>
      </w:pPr>
      <w:r>
        <w:rPr>
          <w:spacing w:val="3"/>
        </w:rPr>
        <w:t>在确认应享有被投资单位净损益的份额时，以取得投资时被投资单位可辨认净资产的公允价值为基</w:t>
      </w:r>
      <w:r>
        <w:rPr/>
        <w:t> </w:t>
      </w:r>
      <w:r>
        <w:rPr>
          <w:spacing w:val="-1"/>
        </w:rPr>
        <w:t>础，并按照公司的会计政策及会计期间，对被投资单位的净利润进行调整后确认。在持有投资期间，被投</w:t>
      </w:r>
      <w:r>
        <w:rPr>
          <w:spacing w:val="-86"/>
        </w:rPr>
        <w:t> </w:t>
      </w:r>
      <w:r>
        <w:rPr>
          <w:spacing w:val="-86"/>
        </w:rPr>
      </w:r>
      <w:r>
        <w:rPr>
          <w:spacing w:val="-1"/>
        </w:rPr>
        <w:t>资单位编制合并财务报表的，以合并财务报表中的净利润、其他综合收益和其他所有者权益变动中归属于</w:t>
      </w:r>
      <w:r>
        <w:rPr>
          <w:spacing w:val="-81"/>
        </w:rPr>
        <w:t> </w:t>
      </w:r>
      <w:r>
        <w:rPr>
          <w:spacing w:val="-81"/>
        </w:rPr>
      </w:r>
      <w:r>
        <w:rPr/>
        <w:t>被投资单位的金额为基础进行核算。</w:t>
      </w:r>
    </w:p>
    <w:p>
      <w:pPr>
        <w:pStyle w:val="BodyText"/>
        <w:spacing w:line="403" w:lineRule="auto" w:before="46"/>
        <w:ind w:right="1130" w:firstLine="420"/>
        <w:jc w:val="both"/>
      </w:pPr>
      <w:r>
        <w:rPr>
          <w:spacing w:val="-1"/>
        </w:rPr>
        <w:t>本公司与联营企业、合营企业之间发生的未实现内部交易损益按照应享有的比例计算归属于公司的部</w:t>
      </w:r>
      <w:r>
        <w:rPr/>
        <w:t> </w:t>
      </w:r>
      <w:r>
        <w:rPr>
          <w:spacing w:val="-1"/>
        </w:rPr>
        <w:t>分，予以抵销，在此基础上确认投资收益。与被投资单位发生的未实现内部交易损失，属于资产减值损失</w:t>
      </w:r>
      <w:r>
        <w:rPr>
          <w:spacing w:val="-86"/>
        </w:rPr>
        <w:t> </w:t>
      </w:r>
      <w:r>
        <w:rPr>
          <w:spacing w:val="-86"/>
        </w:rPr>
      </w:r>
      <w:r>
        <w:rPr>
          <w:spacing w:val="-1"/>
        </w:rPr>
        <w:t>的，全额确认。公司与联营企业、合营企业之间发生投出或出售资产的交易，该资产构成业务的，按照本</w:t>
      </w:r>
      <w:r>
        <w:rPr>
          <w:spacing w:val="-83"/>
        </w:rPr>
        <w:t> </w:t>
      </w:r>
      <w:r>
        <w:rPr>
          <w:spacing w:val="-83"/>
        </w:rPr>
      </w:r>
      <w:r>
        <w:rPr>
          <w:spacing w:val="-2"/>
        </w:rPr>
        <w:t>附注</w:t>
      </w:r>
      <w:r>
        <w:rPr>
          <w:rFonts w:ascii="Times New Roman" w:hAnsi="Times New Roman" w:cs="Times New Roman" w:eastAsia="Times New Roman" w:hint="default"/>
          <w:spacing w:val="-2"/>
        </w:rPr>
        <w:t>“</w:t>
      </w:r>
      <w:r>
        <w:rPr>
          <w:spacing w:val="-2"/>
        </w:rPr>
        <w:t>三、（五）同一控制下和非同一控制下企业合并的会计处理方法</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三、（六）合并财务报表的编制</w:t>
      </w:r>
      <w:r>
        <w:rPr/>
        <w:t> 方法</w:t>
      </w:r>
      <w:r>
        <w:rPr>
          <w:rFonts w:ascii="Times New Roman" w:hAnsi="Times New Roman" w:cs="Times New Roman" w:eastAsia="Times New Roman" w:hint="default"/>
        </w:rPr>
        <w:t>”</w:t>
      </w:r>
      <w:r>
        <w:rPr/>
        <w:t>中披露的相关政策进行会计处理。</w:t>
      </w:r>
    </w:p>
    <w:p>
      <w:pPr>
        <w:pStyle w:val="BodyText"/>
        <w:spacing w:line="408" w:lineRule="auto" w:before="19"/>
        <w:ind w:left="154" w:right="1131" w:firstLine="420"/>
        <w:jc w:val="both"/>
      </w:pPr>
      <w:r>
        <w:rPr>
          <w:spacing w:val="-1"/>
        </w:rPr>
        <w:t>在公司确认应分担被投资单位发生的亏损时，按照以下顺序进行处理：首先，冲减长期股权投资的账</w:t>
      </w:r>
      <w:r>
        <w:rPr/>
        <w:t> </w:t>
      </w:r>
      <w:r>
        <w:rPr>
          <w:spacing w:val="-1"/>
        </w:rPr>
        <w:t>面价值。其次，长期股权投资的账面价值不足以冲减的，以其他实质上构成对被投资单位净投资的长期权</w:t>
      </w:r>
      <w:r>
        <w:rPr>
          <w:spacing w:val="-83"/>
        </w:rPr>
        <w:t> </w:t>
      </w:r>
      <w:r>
        <w:rPr>
          <w:spacing w:val="-83"/>
        </w:rPr>
      </w:r>
      <w:r>
        <w:rPr>
          <w:spacing w:val="-1"/>
        </w:rPr>
        <w:t>益账面价值为限继续确认投资损失，冲减长期应收项目等的账面价值。最后，经过上述处理，按照投资合</w:t>
      </w:r>
      <w:r>
        <w:rPr>
          <w:spacing w:val="-86"/>
        </w:rPr>
        <w:t> </w:t>
      </w:r>
      <w:r>
        <w:rPr>
          <w:spacing w:val="-86"/>
        </w:rPr>
      </w:r>
      <w:r>
        <w:rPr/>
        <w:t>同或协议约定企业仍承担额外义务的，按预计承担的义务确认预计负债，计入当期投资损失。</w:t>
      </w:r>
    </w:p>
    <w:p>
      <w:pPr>
        <w:pStyle w:val="BodyText"/>
        <w:spacing w:line="386" w:lineRule="auto" w:before="46"/>
        <w:ind w:left="573" w:right="3613"/>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240" w:lineRule="auto" w:before="65"/>
        <w:ind w:left="573" w:right="0"/>
        <w:jc w:val="left"/>
      </w:pPr>
      <w:r>
        <w:rPr/>
        <w:t>采用权益法核算的长期股权投资，在处置该项投资时，采用与被投资单位直接处置相关资产或负债相</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0"/>
        <w:jc w:val="both"/>
      </w:pPr>
      <w:r>
        <w:rPr>
          <w:spacing w:val="-1"/>
        </w:rPr>
        <w:t>同的基础，按相应比例对原计入其他综合收益的部分进行会计处理。因被投资单位除净损益、其他综合收</w:t>
      </w:r>
      <w:r>
        <w:rPr>
          <w:spacing w:val="-83"/>
        </w:rPr>
        <w:t> </w:t>
      </w:r>
      <w:r>
        <w:rPr>
          <w:spacing w:val="-83"/>
        </w:rPr>
      </w:r>
      <w:r>
        <w:rPr>
          <w:spacing w:val="-1"/>
        </w:rPr>
        <w:t>益和利润分配以外的其他所有者权益变动而确认的所有者权益，按比例结转入当期损益，由于被投资方重</w:t>
      </w:r>
      <w:r>
        <w:rPr>
          <w:spacing w:val="-80"/>
        </w:rPr>
        <w:t> </w:t>
      </w:r>
      <w:r>
        <w:rPr>
          <w:spacing w:val="-80"/>
        </w:rPr>
      </w:r>
      <w:r>
        <w:rPr/>
        <w:t>新计量设定受益计划净负债或净资产变动而产生的其他综合收益除外。</w:t>
      </w:r>
    </w:p>
    <w:p>
      <w:pPr>
        <w:pStyle w:val="BodyText"/>
        <w:spacing w:line="408" w:lineRule="auto" w:before="46"/>
        <w:ind w:right="1131" w:firstLine="420"/>
        <w:jc w:val="both"/>
      </w:pPr>
      <w:r>
        <w:rPr>
          <w:spacing w:val="-1"/>
        </w:rPr>
        <w:t>因处置部分股权投资等原因丧失了对被投资单位的共同控制或重大影响的，处置后的剩余股权改按金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外的其他所有者权益变动而确认的所有者权益，在终止采用权益法核算时全部转入当期损益。</w:t>
      </w:r>
    </w:p>
    <w:p>
      <w:pPr>
        <w:pStyle w:val="BodyText"/>
        <w:spacing w:line="408" w:lineRule="auto" w:before="46"/>
        <w:ind w:right="1131" w:firstLine="420"/>
        <w:jc w:val="both"/>
      </w:pPr>
      <w:r>
        <w:rPr>
          <w:spacing w:val="-1"/>
        </w:rPr>
        <w:t>因处置部分股权投资等原因丧失了对被投资单位控制权的，在编制个别财务报表时，处置后的剩余股</w:t>
      </w:r>
      <w:r>
        <w:rPr/>
        <w:t> </w:t>
      </w:r>
      <w:r>
        <w:rPr>
          <w:spacing w:val="-1"/>
        </w:rPr>
        <w:t>权能够对被投资单位实施共同控制或重大影响的，改按权益法核算，并对该剩余股权视同自取得时即采用</w:t>
      </w:r>
      <w:r>
        <w:rPr>
          <w:spacing w:val="-81"/>
        </w:rPr>
        <w:t> </w:t>
      </w:r>
      <w:r>
        <w:rPr>
          <w:spacing w:val="-81"/>
        </w:rPr>
      </w:r>
      <w:r>
        <w:rPr>
          <w:spacing w:val="-1"/>
        </w:rPr>
        <w:t>权益法核算进行调整；处置后的剩余股权不能对被投资单位实施共同控制或施加重大影响的，改按金融工</w:t>
      </w:r>
      <w:r>
        <w:rPr>
          <w:spacing w:val="-81"/>
        </w:rPr>
        <w:t> </w:t>
      </w:r>
      <w:r>
        <w:rPr>
          <w:spacing w:val="-81"/>
        </w:rPr>
      </w:r>
      <w:r>
        <w:rPr>
          <w:spacing w:val="-1"/>
        </w:rPr>
        <w:t>具确认和计量准则的有关规定进行会计处理，其在丧失控制之日的公允价值与账面价值间的差额计入当期</w:t>
      </w:r>
      <w:r>
        <w:rPr>
          <w:spacing w:val="-81"/>
        </w:rPr>
        <w:t> </w:t>
      </w:r>
      <w:r>
        <w:rPr>
          <w:spacing w:val="-81"/>
        </w:rPr>
      </w:r>
      <w:r>
        <w:rPr/>
        <w:t>损益。</w:t>
      </w:r>
    </w:p>
    <w:p>
      <w:pPr>
        <w:pStyle w:val="BodyText"/>
        <w:spacing w:line="408" w:lineRule="auto" w:before="46"/>
        <w:ind w:right="1131" w:firstLine="420"/>
        <w:jc w:val="both"/>
      </w:pPr>
      <w:r>
        <w:rPr>
          <w:spacing w:val="-1"/>
        </w:rPr>
        <w:t>处置的股权是因追加投资等原因通过企业合并取得的，在编制个别财务报表时，处置后的剩余股权采</w:t>
      </w:r>
      <w:r>
        <w:rPr/>
        <w:t> </w:t>
      </w:r>
      <w:r>
        <w:rPr>
          <w:spacing w:val="-1"/>
        </w:rPr>
        <w:t>用成本法或权益法核算的，购买日之前持有的股权投资因采用权益法核算而确认的其他综合收益和其他所</w:t>
      </w:r>
      <w:r>
        <w:rPr>
          <w:spacing w:val="-81"/>
        </w:rPr>
        <w:t> </w:t>
      </w:r>
      <w:r>
        <w:rPr>
          <w:spacing w:val="-81"/>
        </w:rPr>
      </w:r>
      <w:r>
        <w:rPr>
          <w:spacing w:val="-1"/>
        </w:rPr>
        <w:t>有者权益按比例结转；处置后的剩余股权改按金融工具确认和计量准则进行会计处理的，其他综合收益和</w:t>
      </w:r>
      <w:r>
        <w:rPr>
          <w:spacing w:val="-81"/>
        </w:rPr>
        <w:t> </w:t>
      </w:r>
      <w:r>
        <w:rPr>
          <w:spacing w:val="-81"/>
        </w:rPr>
      </w:r>
      <w:r>
        <w:rPr/>
        <w:t>其他所有者权益全部结转。</w:t>
      </w:r>
    </w:p>
    <w:p>
      <w:pPr>
        <w:spacing w:line="240" w:lineRule="auto" w:before="6"/>
        <w:rPr>
          <w:rFonts w:ascii="宋体" w:hAnsi="宋体" w:cs="宋体" w:eastAsia="宋体" w:hint="default"/>
          <w:sz w:val="26"/>
          <w:szCs w:val="26"/>
        </w:rPr>
      </w:pPr>
    </w:p>
    <w:p>
      <w:pPr>
        <w:pStyle w:val="Heading4"/>
        <w:spacing w:line="240" w:lineRule="auto"/>
        <w:ind w:left="154" w:right="0"/>
        <w:jc w:val="left"/>
        <w:rPr>
          <w:b w:val="0"/>
          <w:bCs w:val="0"/>
        </w:rPr>
      </w:pPr>
      <w:bookmarkStart w:name="15、投资性房地产" w:id="169"/>
      <w:bookmarkEnd w:id="169"/>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518"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408" w:lineRule="auto" w:before="36"/>
        <w:ind w:left="154" w:right="1110" w:firstLine="420"/>
        <w:jc w:val="both"/>
      </w:pPr>
      <w:r>
        <w:rPr/>
        <w:t>投资性房地产是指为赚取租金或资本增值，或两者兼有而持有的房地产，包括已出租的土地使用权、 </w:t>
      </w:r>
      <w:r>
        <w:rPr>
          <w:spacing w:val="-1"/>
        </w:rPr>
        <w:t>持有并准备增值后转让的土地使用权、已出租的建筑物（含自行建造或开发活动完成后用于出租的建筑物</w:t>
      </w:r>
      <w:r>
        <w:rPr>
          <w:spacing w:val="-81"/>
        </w:rPr>
        <w:t> </w:t>
      </w:r>
      <w:r>
        <w:rPr>
          <w:spacing w:val="-81"/>
        </w:rPr>
      </w:r>
      <w:r>
        <w:rPr/>
        <w:t>以及正在建造或开发过程中将来用于出租的建筑物）。</w:t>
      </w:r>
    </w:p>
    <w:p>
      <w:pPr>
        <w:pStyle w:val="BodyText"/>
        <w:spacing w:line="408" w:lineRule="auto" w:before="46"/>
        <w:ind w:left="154" w:right="1131" w:firstLine="420"/>
        <w:jc w:val="both"/>
      </w:pPr>
      <w:r>
        <w:rPr>
          <w:spacing w:val="-1"/>
        </w:rPr>
        <w:t>公司对现有投资性房地产采用成本模式计量。对按照成本模式计量的投资性房地产－出租用建筑物采</w:t>
      </w:r>
      <w:r>
        <w:rPr/>
        <w:t> 用与本公司固定资产相同的折旧政策，出租用土地使用权按与无形资产相同的摊销政策执行。</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16、固定资产" w:id="170"/>
      <w:bookmarkEnd w:id="170"/>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确认条件" w:id="171"/>
      <w:bookmarkEnd w:id="171"/>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spacing w:line="477"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固定资产指为生产商品、提供劳务、出租或经营管理而持有，并且使用寿命超过一个会计年度的有形资产。固定资产在同时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满足下列条件时予以确认：（</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）与该固定资产有关的经济利益很可能流入本公司；（</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）该固定资产的成本能够可靠地计量。</w:t>
      </w:r>
    </w:p>
    <w:p>
      <w:pPr>
        <w:spacing w:line="240" w:lineRule="auto" w:before="7"/>
        <w:rPr>
          <w:rFonts w:ascii="宋体" w:hAnsi="宋体" w:cs="宋体" w:eastAsia="宋体" w:hint="default"/>
          <w:sz w:val="22"/>
          <w:szCs w:val="22"/>
        </w:rPr>
      </w:pPr>
    </w:p>
    <w:p>
      <w:pPr>
        <w:pStyle w:val="Heading4"/>
        <w:spacing w:line="240" w:lineRule="auto"/>
        <w:ind w:left="154" w:right="0"/>
        <w:jc w:val="left"/>
        <w:rPr>
          <w:b w:val="0"/>
          <w:bCs w:val="0"/>
        </w:rPr>
      </w:pPr>
      <w:bookmarkStart w:name="（2）折旧方法" w:id="172"/>
      <w:bookmarkEnd w:id="172"/>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558"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558"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3.80%</w:t>
            </w:r>
          </w:p>
        </w:tc>
      </w:tr>
      <w:tr>
        <w:trPr>
          <w:trHeight w:val="558"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9.50%</w:t>
            </w:r>
          </w:p>
        </w:tc>
      </w:tr>
      <w:tr>
        <w:trPr>
          <w:trHeight w:val="558"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558"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19.00%</w:t>
            </w:r>
          </w:p>
        </w:tc>
      </w:tr>
    </w:tbl>
    <w:p>
      <w:pPr>
        <w:pStyle w:val="BodyText"/>
        <w:spacing w:line="408" w:lineRule="auto" w:before="63"/>
        <w:ind w:left="154" w:right="1131" w:firstLine="420"/>
        <w:jc w:val="both"/>
      </w:pPr>
      <w:r>
        <w:rPr>
          <w:spacing w:val="-1"/>
        </w:rPr>
        <w:t>固定资产折旧采用年限平均法分类计提，根据固定资产类别、预计使用年限和预计净残值率确定固定</w:t>
      </w:r>
      <w:r>
        <w:rPr/>
        <w:t> </w:t>
      </w:r>
      <w:r>
        <w:rPr>
          <w:spacing w:val="-1"/>
        </w:rPr>
        <w:t>资产折旧率，如固定资产各组成部分的使用寿命不同或者以不同方式为企业提供经济利益，则选择不同折</w:t>
      </w:r>
      <w:r>
        <w:rPr>
          <w:spacing w:val="-81"/>
        </w:rPr>
        <w:t> </w:t>
      </w:r>
      <w:r>
        <w:rPr>
          <w:spacing w:val="-81"/>
        </w:rPr>
      </w:r>
      <w:r>
        <w:rPr/>
        <w:t>旧率或折旧方法，分别计提折旧。</w:t>
      </w:r>
    </w:p>
    <w:p>
      <w:pPr>
        <w:pStyle w:val="BodyText"/>
        <w:spacing w:line="408" w:lineRule="auto" w:before="46"/>
        <w:ind w:left="154" w:right="1131" w:firstLine="420"/>
        <w:jc w:val="both"/>
      </w:pPr>
      <w:r>
        <w:rPr>
          <w:spacing w:val="-1"/>
        </w:rPr>
        <w:t>融资租赁方式租入的固定资产，能合理确定租赁期届满时将会取得租赁资产所有权的，在租赁资产尚</w:t>
      </w:r>
      <w:r>
        <w:rPr/>
        <w:t> </w:t>
      </w:r>
      <w:r>
        <w:rPr>
          <w:spacing w:val="-1"/>
        </w:rPr>
        <w:t>可使用年限内计提折旧；无法合理确定租赁期届满时能够取得租赁资产所有权的，在租赁期与租赁资产尚</w:t>
      </w:r>
      <w:r>
        <w:rPr>
          <w:spacing w:val="-81"/>
        </w:rPr>
        <w:t> </w:t>
      </w:r>
      <w:r>
        <w:rPr>
          <w:spacing w:val="-81"/>
        </w:rPr>
      </w:r>
      <w:r>
        <w:rPr/>
        <w:t>可使用年限两者中较短的期间内计提折旧。</w:t>
      </w:r>
    </w:p>
    <w:p>
      <w:pPr>
        <w:spacing w:line="240" w:lineRule="auto" w:before="6"/>
        <w:rPr>
          <w:rFonts w:ascii="宋体" w:hAnsi="宋体" w:cs="宋体" w:eastAsia="宋体" w:hint="default"/>
          <w:sz w:val="26"/>
          <w:szCs w:val="26"/>
        </w:rPr>
      </w:pPr>
    </w:p>
    <w:p>
      <w:pPr>
        <w:pStyle w:val="Heading4"/>
        <w:spacing w:line="240" w:lineRule="auto"/>
        <w:ind w:left="154" w:right="0"/>
        <w:jc w:val="left"/>
        <w:rPr>
          <w:b w:val="0"/>
          <w:bCs w:val="0"/>
        </w:rPr>
      </w:pPr>
      <w:bookmarkStart w:name="（3）融资租入固定资产的认定依据、计价和折旧方法" w:id="173"/>
      <w:bookmarkEnd w:id="173"/>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spacing w:line="458" w:lineRule="auto" w:before="0"/>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本公司与租赁方所签订的租赁协议条款中规定了下列条件之一的，确认为融资租入资产：（</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）租赁期满后租赁资产的所有权</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5"/>
          <w:sz w:val="18"/>
          <w:szCs w:val="18"/>
        </w:rPr>
        <w:t>归属于本公司；（</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）公司具有购买资产的选择权，购买价款远低于行使选择权时该资产的公允价值；（</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）租赁期占所租赁资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产使用寿命的大部分；（</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）租赁开始日的最低租赁付款额现值，与该资产的公允价值不存在较大的差异。公司在承租开始日，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将租赁资产公允价值与最低租赁付款额现值两者中较低者作为租入资产的入账价值，将最低租赁付款额作为长期应付款的入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账价值，其差额作为未确认的融资费。</w:t>
      </w:r>
    </w:p>
    <w:p>
      <w:pPr>
        <w:spacing w:after="0" w:line="45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17、在建工程" w:id="174"/>
      <w:bookmarkEnd w:id="174"/>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0"/>
        <w:rPr>
          <w:rFonts w:ascii="宋体" w:hAnsi="宋体" w:cs="宋体" w:eastAsia="宋体" w:hint="default"/>
          <w:b/>
          <w:bCs/>
          <w:sz w:val="22"/>
          <w:szCs w:val="22"/>
        </w:rPr>
      </w:pPr>
    </w:p>
    <w:p>
      <w:pPr>
        <w:pStyle w:val="BodyText"/>
        <w:spacing w:line="398" w:lineRule="auto" w:before="189"/>
        <w:ind w:left="574" w:right="6447"/>
        <w:jc w:val="left"/>
      </w:pPr>
      <w:r>
        <w:rPr>
          <w:rFonts w:ascii="Times New Roman" w:hAnsi="Times New Roman" w:cs="Times New Roman" w:eastAsia="Times New Roman" w:hint="default"/>
        </w:rPr>
        <w:t>1</w:t>
      </w:r>
      <w:r>
        <w:rPr/>
        <w:t>、在建工程的类别 本公司在建工程以立项项目分类核算。 </w:t>
      </w:r>
      <w:r>
        <w:rPr>
          <w:rFonts w:ascii="Times New Roman" w:hAnsi="Times New Roman" w:cs="Times New Roman" w:eastAsia="Times New Roman" w:hint="default"/>
        </w:rPr>
        <w:t>2</w:t>
      </w:r>
      <w:r>
        <w:rPr/>
        <w:t>、在建工程结转为固定资产的标准和时点</w:t>
      </w:r>
    </w:p>
    <w:p>
      <w:pPr>
        <w:pStyle w:val="BodyText"/>
        <w:spacing w:line="408" w:lineRule="auto" w:before="24"/>
        <w:ind w:right="1131"/>
        <w:jc w:val="both"/>
      </w:pPr>
      <w:r>
        <w:rPr>
          <w:spacing w:val="-1"/>
        </w:rPr>
        <w:t>在建工程项目按建造该项资产达到预定可使用状态前所发生的必要支出，作为固定资产的入账价值。所建</w:t>
      </w:r>
      <w:r>
        <w:rPr>
          <w:spacing w:val="-81"/>
        </w:rPr>
        <w:t> </w:t>
      </w:r>
      <w:r>
        <w:rPr>
          <w:spacing w:val="-81"/>
        </w:rPr>
      </w:r>
      <w:r>
        <w:rPr>
          <w:spacing w:val="-1"/>
        </w:rPr>
        <w:t>造的固定资产在工程已达到预定可使用状态，但尚未办理竣工决算的，自达到预定可使用状态之日起，根</w:t>
      </w:r>
      <w:r>
        <w:rPr>
          <w:spacing w:val="-83"/>
        </w:rPr>
        <w:t> </w:t>
      </w:r>
      <w:r>
        <w:rPr>
          <w:spacing w:val="-83"/>
        </w:rPr>
      </w:r>
      <w:r>
        <w:rPr>
          <w:spacing w:val="-1"/>
        </w:rPr>
        <w:t>据工程预算、造价或者工程实际成本等，按估计的价值转入固定资产，并按本公司固定资产折旧政策计提</w:t>
      </w:r>
      <w:r>
        <w:rPr>
          <w:spacing w:val="-83"/>
        </w:rPr>
        <w:t> </w:t>
      </w:r>
      <w:r>
        <w:rPr>
          <w:spacing w:val="-83"/>
        </w:rPr>
      </w:r>
      <w:r>
        <w:rPr/>
        <w:t>固定资产的折旧，待办理竣工决算后，再按实际成本调整原来的暂估价值，但不调整原已计提的折旧额</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18、借款费用" w:id="175"/>
      <w:bookmarkEnd w:id="175"/>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0"/>
        <w:rPr>
          <w:rFonts w:ascii="宋体" w:hAnsi="宋体" w:cs="宋体" w:eastAsia="宋体" w:hint="default"/>
          <w:b/>
          <w:bCs/>
          <w:sz w:val="22"/>
          <w:szCs w:val="22"/>
        </w:rPr>
      </w:pPr>
    </w:p>
    <w:p>
      <w:pPr>
        <w:pStyle w:val="BodyText"/>
        <w:spacing w:line="398" w:lineRule="auto" w:before="189"/>
        <w:ind w:left="573" w:right="0"/>
        <w:jc w:val="left"/>
      </w:pPr>
      <w:r>
        <w:rPr>
          <w:rFonts w:ascii="Times New Roman" w:hAnsi="Times New Roman" w:cs="Times New Roman" w:eastAsia="Times New Roman" w:hint="default"/>
        </w:rPr>
        <w:t>1</w:t>
      </w:r>
      <w:r>
        <w:rPr/>
        <w:t>、借款费用资本化的确认原则 借款费用，包括借款利息、折价或者溢价的摊销、辅助费用以及因外币借款而发生的汇兑差额等。 </w:t>
      </w:r>
      <w:r>
        <w:rPr>
          <w:spacing w:val="-1"/>
        </w:rPr>
        <w:t>本公司发生的借款费用，可直接归属于符合资本化条件的资产的购建或者生产的，予以资本化，计入</w:t>
      </w:r>
    </w:p>
    <w:p>
      <w:pPr>
        <w:pStyle w:val="BodyText"/>
        <w:spacing w:line="408" w:lineRule="auto" w:before="54"/>
        <w:ind w:left="573" w:right="0" w:hanging="420"/>
        <w:jc w:val="left"/>
      </w:pPr>
      <w:r>
        <w:rPr/>
        <w:t>相关资产成本；其他借款费用，在发生时根据其发生额确认为费用，计入当期损益。 </w:t>
      </w:r>
      <w:r>
        <w:rPr>
          <w:spacing w:val="-1"/>
        </w:rPr>
        <w:t>符合资本化条件的资产，是指需要经过相当长时间的购建或者生产活动才能达到预定可使用或者可销</w:t>
      </w:r>
    </w:p>
    <w:p>
      <w:pPr>
        <w:pStyle w:val="BodyText"/>
        <w:spacing w:line="408" w:lineRule="auto" w:before="46"/>
        <w:ind w:left="574" w:right="6132" w:hanging="420"/>
        <w:jc w:val="left"/>
      </w:pPr>
      <w:r>
        <w:rPr/>
        <w:t>售状态的固定资产、投资性房地产和存货等资产。 借款费用同时满足下列条件时开始资本化：</w:t>
      </w:r>
    </w:p>
    <w:p>
      <w:pPr>
        <w:pStyle w:val="BodyText"/>
        <w:spacing w:line="386" w:lineRule="auto" w:before="46"/>
        <w:ind w:left="154" w:right="0" w:firstLine="42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 非现金资产或者承担带息债务形式发生的支出；</w:t>
      </w:r>
    </w:p>
    <w:p>
      <w:pPr>
        <w:pStyle w:val="BodyText"/>
        <w:spacing w:line="240" w:lineRule="auto" w:before="65"/>
        <w:ind w:left="574" w:right="0"/>
        <w:jc w:val="left"/>
      </w:pPr>
      <w:r>
        <w:rPr/>
        <w:t>（</w:t>
      </w:r>
      <w:r>
        <w:rPr>
          <w:rFonts w:ascii="Times New Roman" w:hAnsi="Times New Roman" w:cs="Times New Roman" w:eastAsia="Times New Roman" w:hint="default"/>
        </w:rPr>
        <w:t>2</w:t>
      </w:r>
      <w:r>
        <w:rPr/>
        <w:t>）借款费用已经发生；</w:t>
      </w:r>
    </w:p>
    <w:p>
      <w:pPr>
        <w:pStyle w:val="BodyText"/>
        <w:spacing w:line="386" w:lineRule="auto" w:before="177"/>
        <w:ind w:left="574" w:right="1118"/>
        <w:jc w:val="left"/>
      </w:pPr>
      <w:r>
        <w:rPr/>
        <w:t>（</w:t>
      </w:r>
      <w:r>
        <w:rPr>
          <w:rFonts w:ascii="Times New Roman" w:hAnsi="Times New Roman" w:cs="Times New Roman" w:eastAsia="Times New Roman" w:hint="default"/>
        </w:rPr>
        <w:t>3</w:t>
      </w:r>
      <w:r>
        <w:rPr/>
        <w:t>）为使资产达到预定可使用或者可销售状态所必要的购建或者生产活动已经开始。 </w:t>
      </w:r>
      <w:r>
        <w:rPr>
          <w:rFonts w:ascii="Times New Roman" w:hAnsi="Times New Roman" w:cs="Times New Roman" w:eastAsia="Times New Roman" w:hint="default"/>
        </w:rPr>
        <w:t>2</w:t>
      </w:r>
      <w:r>
        <w:rPr/>
        <w:t>、借款费用资本化期间 </w:t>
      </w:r>
      <w:r>
        <w:rPr>
          <w:spacing w:val="-1"/>
        </w:rPr>
        <w:t>资本化期间，指从借款费用开始资本化时点到停止资本化时点的期间，借款费用暂停资本化的期间不</w:t>
      </w:r>
    </w:p>
    <w:p>
      <w:pPr>
        <w:pStyle w:val="BodyText"/>
        <w:spacing w:line="240" w:lineRule="auto" w:before="65"/>
        <w:ind w:left="154" w:right="0"/>
        <w:jc w:val="left"/>
      </w:pPr>
      <w:r>
        <w:rPr/>
        <w:t>包括在内。</w:t>
      </w:r>
    </w:p>
    <w:p>
      <w:pPr>
        <w:spacing w:line="240" w:lineRule="auto" w:before="10"/>
        <w:rPr>
          <w:rFonts w:ascii="宋体" w:hAnsi="宋体" w:cs="宋体" w:eastAsia="宋体" w:hint="default"/>
          <w:sz w:val="14"/>
          <w:szCs w:val="14"/>
        </w:rPr>
      </w:pPr>
    </w:p>
    <w:p>
      <w:pPr>
        <w:pStyle w:val="BodyText"/>
        <w:spacing w:line="408" w:lineRule="auto"/>
        <w:ind w:left="574" w:right="0"/>
        <w:jc w:val="left"/>
      </w:pPr>
      <w:r>
        <w:rPr/>
        <w:t>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w:t>
      </w:r>
    </w:p>
    <w:p>
      <w:pPr>
        <w:pStyle w:val="BodyText"/>
        <w:spacing w:line="240" w:lineRule="auto" w:before="46"/>
        <w:ind w:left="154" w:right="0"/>
        <w:jc w:val="left"/>
      </w:pPr>
      <w:r>
        <w:rPr/>
        <w:t>止资本化。</w:t>
      </w:r>
    </w:p>
    <w:p>
      <w:pPr>
        <w:spacing w:line="240" w:lineRule="auto" w:before="10"/>
        <w:rPr>
          <w:rFonts w:ascii="宋体" w:hAnsi="宋体" w:cs="宋体" w:eastAsia="宋体" w:hint="default"/>
          <w:sz w:val="14"/>
          <w:szCs w:val="14"/>
        </w:rPr>
      </w:pPr>
    </w:p>
    <w:p>
      <w:pPr>
        <w:pStyle w:val="BodyText"/>
        <w:spacing w:line="408" w:lineRule="auto"/>
        <w:ind w:left="154" w:right="0" w:firstLine="420"/>
        <w:jc w:val="left"/>
      </w:pPr>
      <w:r>
        <w:rPr>
          <w:spacing w:val="-1"/>
        </w:rPr>
        <w:t>购建或者生产的资产的各部分分别完工，但必须等到整体完工后才可使用或可对外销售的，在该资产</w:t>
      </w:r>
      <w:r>
        <w:rPr/>
        <w:t> 整体完工时停止借款费用资本化。</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left="573" w:right="0"/>
        <w:jc w:val="left"/>
      </w:pPr>
      <w:r>
        <w:rPr>
          <w:rFonts w:ascii="Times New Roman" w:hAnsi="Times New Roman" w:cs="Times New Roman" w:eastAsia="Times New Roman" w:hint="default"/>
        </w:rPr>
        <w:t>3</w:t>
      </w:r>
      <w:r>
        <w:rPr/>
        <w:t>、暂停资本化期间 符合资本化条件的资产在购建或生产过程中发生的非正常中断、且中断时间连续超过</w:t>
      </w:r>
      <w:r>
        <w:rPr>
          <w:rFonts w:ascii="Times New Roman" w:hAnsi="Times New Roman" w:cs="Times New Roman" w:eastAsia="Times New Roman" w:hint="default"/>
        </w:rPr>
        <w:t>3</w:t>
      </w:r>
      <w:r>
        <w:rPr/>
        <w:t>个月的，则借</w:t>
      </w:r>
    </w:p>
    <w:p>
      <w:pPr>
        <w:pStyle w:val="BodyText"/>
        <w:spacing w:line="408" w:lineRule="auto" w:before="35"/>
        <w:ind w:right="1131"/>
        <w:jc w:val="both"/>
      </w:pPr>
      <w:r>
        <w:rPr>
          <w:spacing w:val="-1"/>
        </w:rPr>
        <w:t>款费用暂停资本化；该项中断如是所购建或生产的符合资本化条件的资产达到预定可使用状态或者可销售</w:t>
      </w:r>
      <w:r>
        <w:rPr>
          <w:spacing w:val="-81"/>
        </w:rPr>
        <w:t> </w:t>
      </w:r>
      <w:r>
        <w:rPr>
          <w:spacing w:val="-81"/>
        </w:rPr>
      </w:r>
      <w:r>
        <w:rPr>
          <w:spacing w:val="-1"/>
        </w:rPr>
        <w:t>状态必要的程序，则借款费用继续资本化。在中断期间发生的借款费用确认为当期损益，直至资产的购建</w:t>
      </w:r>
      <w:r>
        <w:rPr>
          <w:spacing w:val="-83"/>
        </w:rPr>
        <w:t> </w:t>
      </w:r>
      <w:r>
        <w:rPr>
          <w:spacing w:val="-83"/>
        </w:rPr>
      </w:r>
      <w:r>
        <w:rPr/>
        <w:t>或者生产活动重新开始后借款费用继续资本化。</w:t>
      </w:r>
    </w:p>
    <w:p>
      <w:pPr>
        <w:pStyle w:val="BodyText"/>
        <w:spacing w:line="386" w:lineRule="auto" w:before="46"/>
        <w:ind w:left="573" w:right="0"/>
        <w:jc w:val="left"/>
      </w:pPr>
      <w:r>
        <w:rPr>
          <w:rFonts w:ascii="Times New Roman" w:hAnsi="Times New Roman" w:cs="Times New Roman" w:eastAsia="Times New Roman" w:hint="default"/>
        </w:rPr>
        <w:t>4</w:t>
      </w:r>
      <w:r>
        <w:rPr/>
        <w:t>、借款费用资本化率、资本化金额的计算方法 </w:t>
      </w:r>
      <w:r>
        <w:rPr>
          <w:spacing w:val="3"/>
        </w:rPr>
        <w:t>对于为购建或者生产符合资本化条件的资产而借入的专门借款，以专门借款当期实际发生的借款费</w:t>
      </w:r>
    </w:p>
    <w:p>
      <w:pPr>
        <w:pStyle w:val="BodyText"/>
        <w:spacing w:line="408" w:lineRule="auto" w:before="65"/>
        <w:ind w:right="1131"/>
        <w:jc w:val="both"/>
      </w:pPr>
      <w:r>
        <w:rPr>
          <w:spacing w:val="-1"/>
        </w:rPr>
        <w:t>用，减去尚未动用的借款资金存入银行取得的利息收入或进行暂时性投资取得的投资收益后的金额，来确</w:t>
      </w:r>
      <w:r>
        <w:rPr>
          <w:spacing w:val="-81"/>
        </w:rPr>
        <w:t> </w:t>
      </w:r>
      <w:r>
        <w:rPr>
          <w:spacing w:val="-81"/>
        </w:rPr>
      </w:r>
      <w:r>
        <w:rPr/>
        <w:t>定借款费用的资本化金额。</w:t>
      </w:r>
    </w:p>
    <w:p>
      <w:pPr>
        <w:pStyle w:val="BodyText"/>
        <w:spacing w:line="408" w:lineRule="auto" w:before="46"/>
        <w:ind w:right="1110" w:firstLine="420"/>
        <w:jc w:val="both"/>
      </w:pPr>
      <w:r>
        <w:rPr>
          <w:spacing w:val="-1"/>
        </w:rPr>
        <w:t>对于为购建或者生产符合资本化条件的资产而占用的一般借款，根据累计资产支出超过专门借款部分</w:t>
      </w:r>
      <w:r>
        <w:rPr/>
        <w:t> 的资产支出加权平均数乘以所占用一般借款的资本化率，计算确定一般借款应予资本化的借款费用金额。 资本化率根据一般借款加权平均利率计算确定。</w:t>
      </w:r>
    </w:p>
    <w:p>
      <w:pPr>
        <w:spacing w:line="240" w:lineRule="auto" w:before="6"/>
        <w:rPr>
          <w:rFonts w:ascii="宋体" w:hAnsi="宋体" w:cs="宋体" w:eastAsia="宋体" w:hint="default"/>
          <w:sz w:val="26"/>
          <w:szCs w:val="26"/>
        </w:rPr>
      </w:pPr>
    </w:p>
    <w:p>
      <w:pPr>
        <w:pStyle w:val="Heading4"/>
        <w:spacing w:line="240" w:lineRule="auto"/>
        <w:ind w:right="0"/>
        <w:jc w:val="both"/>
        <w:rPr>
          <w:b w:val="0"/>
          <w:bCs w:val="0"/>
        </w:rPr>
      </w:pPr>
      <w:bookmarkStart w:name="19、无形资产" w:id="176"/>
      <w:bookmarkEnd w:id="176"/>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90"/>
        <w:ind w:left="154" w:right="0"/>
        <w:jc w:val="both"/>
        <w:rPr>
          <w:b w:val="0"/>
          <w:bCs w:val="0"/>
        </w:rPr>
      </w:pPr>
      <w:bookmarkStart w:name="（1）计价方法、使用寿命、减值测试" w:id="177"/>
      <w:bookmarkEnd w:id="177"/>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89"/>
        <w:ind w:left="574" w:right="0"/>
        <w:jc w:val="left"/>
      </w:pPr>
      <w:r>
        <w:rPr>
          <w:rFonts w:ascii="Times New Roman" w:hAnsi="Times New Roman" w:cs="Times New Roman" w:eastAsia="Times New Roman" w:hint="default"/>
        </w:rPr>
        <w:t>1</w:t>
      </w:r>
      <w:r>
        <w:rPr/>
        <w:t>、无形资产的计价方法</w:t>
      </w:r>
    </w:p>
    <w:p>
      <w:pPr>
        <w:pStyle w:val="BodyText"/>
        <w:spacing w:line="386" w:lineRule="auto" w:before="177"/>
        <w:ind w:left="574" w:right="0"/>
        <w:jc w:val="left"/>
      </w:pPr>
      <w:r>
        <w:rPr/>
        <w:t>（</w:t>
      </w:r>
      <w:r>
        <w:rPr>
          <w:rFonts w:ascii="Times New Roman" w:hAnsi="Times New Roman" w:cs="Times New Roman" w:eastAsia="Times New Roman" w:hint="default"/>
        </w:rPr>
        <w:t>1</w:t>
      </w:r>
      <w:r>
        <w:rPr/>
        <w:t>）公司取得无形资产时按成本进行初始计量； </w:t>
      </w:r>
      <w:r>
        <w:rPr>
          <w:spacing w:val="-1"/>
        </w:rPr>
        <w:t>外购无形资产的成本，包括购买价款、相关税费以及直接归属于使该项资产达到预定用途所发生的其</w:t>
      </w:r>
    </w:p>
    <w:p>
      <w:pPr>
        <w:pStyle w:val="BodyText"/>
        <w:spacing w:line="408" w:lineRule="auto" w:before="65"/>
        <w:ind w:left="154" w:right="1131"/>
        <w:jc w:val="both"/>
      </w:pPr>
      <w:r>
        <w:rPr>
          <w:spacing w:val="-1"/>
        </w:rPr>
        <w:t>他支出。购买无形资产的价款超过正常信用条件延期支付，实质上具有融资性质的，无形资产的成本以购</w:t>
      </w:r>
      <w:r>
        <w:rPr>
          <w:spacing w:val="-83"/>
        </w:rPr>
        <w:t> </w:t>
      </w:r>
      <w:r>
        <w:rPr>
          <w:spacing w:val="-83"/>
        </w:rPr>
      </w:r>
      <w:r>
        <w:rPr/>
        <w:t>买价款的现值为基础确定。</w:t>
      </w:r>
    </w:p>
    <w:p>
      <w:pPr>
        <w:pStyle w:val="BodyText"/>
        <w:spacing w:line="408" w:lineRule="auto" w:before="46"/>
        <w:ind w:left="154" w:right="1131" w:firstLine="420"/>
        <w:jc w:val="both"/>
      </w:pPr>
      <w:r>
        <w:rPr>
          <w:spacing w:val="-1"/>
        </w:rPr>
        <w:t>债务重组取得债务人用以抵债的无形资产，以该无形资产的公允价值为基础确定其入账价值，并将重</w:t>
      </w:r>
      <w:r>
        <w:rPr/>
        <w:t> 组债务的账面价值与该用以抵债的无形资产公允价值之间的差额，计入当期损益。</w:t>
      </w:r>
    </w:p>
    <w:p>
      <w:pPr>
        <w:pStyle w:val="BodyText"/>
        <w:spacing w:line="408" w:lineRule="auto" w:before="46"/>
        <w:ind w:left="154" w:right="1131" w:firstLine="420"/>
        <w:jc w:val="both"/>
      </w:pPr>
      <w:r>
        <w:rPr>
          <w:spacing w:val="-1"/>
        </w:rPr>
        <w:t>在非货币性资产交换具备商业实质且换入资产或换出资产的公允价值能够可靠计量的前提下，非货币</w:t>
      </w:r>
      <w:r>
        <w:rPr/>
        <w:t> </w:t>
      </w:r>
      <w:r>
        <w:rPr>
          <w:spacing w:val="-1"/>
        </w:rPr>
        <w:t>性资产交换换入的无形资产以换出资产的公允价值为基础确定其入账价值，除非有确凿证据表明换入资产</w:t>
      </w:r>
      <w:r>
        <w:rPr>
          <w:spacing w:val="-81"/>
        </w:rPr>
        <w:t> </w:t>
      </w:r>
      <w:r>
        <w:rPr>
          <w:spacing w:val="-81"/>
        </w:rPr>
      </w:r>
      <w:r>
        <w:rPr>
          <w:spacing w:val="-1"/>
        </w:rPr>
        <w:t>的公允价值更加可靠；不满足上述前提的非货币性资产交换，以换出资产的账面价值和应支付的相关税费</w:t>
      </w:r>
      <w:r>
        <w:rPr>
          <w:spacing w:val="-81"/>
        </w:rPr>
        <w:t> </w:t>
      </w:r>
      <w:r>
        <w:rPr>
          <w:spacing w:val="-81"/>
        </w:rPr>
      </w:r>
      <w:r>
        <w:rPr/>
        <w:t>作为换入无形资产的成本，不确认损益。</w:t>
      </w:r>
    </w:p>
    <w:p>
      <w:pPr>
        <w:pStyle w:val="BodyText"/>
        <w:spacing w:line="386" w:lineRule="auto" w:before="46"/>
        <w:ind w:left="574" w:right="6552"/>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240" w:lineRule="auto" w:before="65"/>
        <w:ind w:left="574" w:right="0"/>
        <w:jc w:val="left"/>
      </w:pPr>
      <w:r>
        <w:rPr/>
        <w:t>对于使用寿命有限的无形资产，在为企业带来经济利益的期限内按直线法摊销；无法预见无形资产为</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企业带来经济利益期限的，视为使用寿命不确定的无形资产，不予摊销。</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rFonts w:ascii="Times New Roman" w:hAnsi="Times New Roman" w:cs="Times New Roman" w:eastAsia="Times New Roman" w:hint="default"/>
        </w:rPr>
        <w:t>2</w:t>
      </w:r>
      <w:r>
        <w:rPr/>
        <w:t>、使用寿命有限的无形资产的使用寿命估计情况：</w:t>
      </w:r>
    </w:p>
    <w:p>
      <w:pPr>
        <w:spacing w:line="240" w:lineRule="auto" w:before="9"/>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214"/>
        <w:gridCol w:w="1536"/>
        <w:gridCol w:w="3999"/>
      </w:tblGrid>
      <w:tr>
        <w:trPr>
          <w:trHeight w:val="511" w:hRule="exact"/>
        </w:trPr>
        <w:tc>
          <w:tcPr>
            <w:tcW w:w="32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5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99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9"/>
              <w:ind w:right="4"/>
              <w:jc w:val="center"/>
              <w:rPr>
                <w:rFonts w:ascii="宋体" w:hAnsi="宋体" w:cs="宋体" w:eastAsia="宋体" w:hint="default"/>
                <w:sz w:val="18"/>
                <w:szCs w:val="18"/>
              </w:rPr>
            </w:pPr>
            <w:r>
              <w:rPr>
                <w:rFonts w:ascii="宋体" w:hAnsi="宋体" w:cs="宋体" w:eastAsia="宋体" w:hint="default"/>
                <w:sz w:val="18"/>
                <w:szCs w:val="18"/>
              </w:rPr>
              <w:t>依</w:t>
            </w:r>
            <w:r>
              <w:rPr>
                <w:rFonts w:ascii="宋体" w:hAnsi="宋体" w:cs="宋体" w:eastAsia="宋体" w:hint="default"/>
                <w:spacing w:val="55"/>
                <w:sz w:val="18"/>
                <w:szCs w:val="18"/>
              </w:rPr>
              <w:t> </w:t>
            </w:r>
            <w:r>
              <w:rPr>
                <w:rFonts w:ascii="宋体" w:hAnsi="宋体" w:cs="宋体" w:eastAsia="宋体" w:hint="default"/>
                <w:sz w:val="18"/>
                <w:szCs w:val="18"/>
              </w:rPr>
              <w:t>据</w:t>
            </w:r>
          </w:p>
        </w:tc>
      </w:tr>
      <w:tr>
        <w:trPr>
          <w:trHeight w:val="508" w:hRule="exact"/>
        </w:trPr>
        <w:tc>
          <w:tcPr>
            <w:tcW w:w="32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45-50</w:t>
            </w:r>
            <w:r>
              <w:rPr>
                <w:rFonts w:ascii="宋体" w:hAnsi="宋体" w:cs="宋体" w:eastAsia="宋体" w:hint="default"/>
                <w:sz w:val="18"/>
                <w:szCs w:val="18"/>
              </w:rPr>
              <w:t>年</w:t>
            </w:r>
          </w:p>
        </w:tc>
        <w:tc>
          <w:tcPr>
            <w:tcW w:w="399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8"/>
              <w:ind w:left="3" w:right="0"/>
              <w:jc w:val="left"/>
              <w:rPr>
                <w:rFonts w:ascii="宋体" w:hAnsi="宋体" w:cs="宋体" w:eastAsia="宋体" w:hint="default"/>
                <w:sz w:val="18"/>
                <w:szCs w:val="18"/>
              </w:rPr>
            </w:pPr>
            <w:r>
              <w:rPr>
                <w:rFonts w:ascii="宋体" w:hAnsi="宋体" w:cs="宋体" w:eastAsia="宋体" w:hint="default"/>
                <w:sz w:val="18"/>
                <w:szCs w:val="18"/>
              </w:rPr>
              <w:t>按土地使用权证约定日期</w:t>
            </w:r>
          </w:p>
        </w:tc>
      </w:tr>
      <w:tr>
        <w:trPr>
          <w:trHeight w:val="509" w:hRule="exact"/>
        </w:trPr>
        <w:tc>
          <w:tcPr>
            <w:tcW w:w="32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林地使用权</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399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8"/>
              <w:ind w:left="3" w:right="0"/>
              <w:jc w:val="left"/>
              <w:rPr>
                <w:rFonts w:ascii="宋体" w:hAnsi="宋体" w:cs="宋体" w:eastAsia="宋体" w:hint="default"/>
                <w:sz w:val="18"/>
                <w:szCs w:val="18"/>
              </w:rPr>
            </w:pPr>
            <w:r>
              <w:rPr>
                <w:rFonts w:ascii="宋体" w:hAnsi="宋体" w:cs="宋体" w:eastAsia="宋体" w:hint="default"/>
                <w:sz w:val="18"/>
                <w:szCs w:val="18"/>
              </w:rPr>
              <w:t>按林地使用权证约定日期</w:t>
            </w:r>
          </w:p>
        </w:tc>
      </w:tr>
      <w:tr>
        <w:trPr>
          <w:trHeight w:val="508" w:hRule="exact"/>
        </w:trPr>
        <w:tc>
          <w:tcPr>
            <w:tcW w:w="32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99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8"/>
              <w:ind w:left="3" w:right="0"/>
              <w:jc w:val="left"/>
              <w:rPr>
                <w:rFonts w:ascii="宋体" w:hAnsi="宋体" w:cs="宋体" w:eastAsia="宋体" w:hint="default"/>
                <w:sz w:val="18"/>
                <w:szCs w:val="18"/>
              </w:rPr>
            </w:pPr>
            <w:r>
              <w:rPr>
                <w:rFonts w:ascii="宋体" w:hAnsi="宋体" w:cs="宋体" w:eastAsia="宋体" w:hint="default"/>
                <w:sz w:val="18"/>
                <w:szCs w:val="18"/>
              </w:rPr>
              <w:t>按非专利技术证书使用年限约定日期</w:t>
            </w:r>
          </w:p>
        </w:tc>
      </w:tr>
      <w:tr>
        <w:trPr>
          <w:trHeight w:val="508" w:hRule="exact"/>
        </w:trPr>
        <w:tc>
          <w:tcPr>
            <w:tcW w:w="32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99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8"/>
              <w:ind w:left="3" w:right="0"/>
              <w:jc w:val="left"/>
              <w:rPr>
                <w:rFonts w:ascii="宋体" w:hAnsi="宋体" w:cs="宋体" w:eastAsia="宋体" w:hint="default"/>
                <w:sz w:val="18"/>
                <w:szCs w:val="18"/>
              </w:rPr>
            </w:pPr>
            <w:r>
              <w:rPr>
                <w:rFonts w:ascii="宋体" w:hAnsi="宋体" w:cs="宋体" w:eastAsia="宋体" w:hint="default"/>
                <w:sz w:val="18"/>
                <w:szCs w:val="18"/>
              </w:rPr>
              <w:t>按照预计使用年限</w:t>
            </w:r>
          </w:p>
        </w:tc>
      </w:tr>
    </w:tbl>
    <w:p>
      <w:pPr>
        <w:spacing w:line="240" w:lineRule="auto" w:before="4"/>
        <w:rPr>
          <w:rFonts w:ascii="宋体" w:hAnsi="宋体" w:cs="宋体" w:eastAsia="宋体" w:hint="default"/>
          <w:sz w:val="11"/>
          <w:szCs w:val="11"/>
        </w:rPr>
      </w:pPr>
    </w:p>
    <w:p>
      <w:pPr>
        <w:pStyle w:val="BodyText"/>
        <w:spacing w:line="400" w:lineRule="auto" w:before="35"/>
        <w:ind w:left="573" w:right="3613"/>
        <w:jc w:val="left"/>
      </w:pPr>
      <w:r>
        <w:rPr/>
        <w:t>每年终了，对使用寿命有限的无形资产的使用寿命及摊销方法进行复核。 经复核，本年期末无形资产的使用寿命及摊销方法与以前估计未有不同。 </w:t>
      </w:r>
      <w:r>
        <w:rPr>
          <w:rFonts w:ascii="Times New Roman" w:hAnsi="Times New Roman" w:cs="Times New Roman" w:eastAsia="Times New Roman" w:hint="default"/>
        </w:rPr>
        <w:t>3</w:t>
      </w:r>
      <w:r>
        <w:rPr/>
        <w:t>、使用寿命不确定的无形资产的判断依据： 截至资产负债表日</w:t>
      </w:r>
      <w:r>
        <w:rPr>
          <w:rFonts w:ascii="Times New Roman" w:hAnsi="Times New Roman" w:cs="Times New Roman" w:eastAsia="Times New Roman" w:hint="default"/>
        </w:rPr>
        <w:t>,</w:t>
      </w:r>
      <w:r>
        <w:rPr/>
        <w:t>本公司没有使用寿命不确定的无形资产</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bookmarkStart w:name="（2）内部研究开发支出会计政策" w:id="178"/>
      <w:bookmarkEnd w:id="178"/>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0"/>
        <w:rPr>
          <w:rFonts w:ascii="宋体" w:hAnsi="宋体" w:cs="宋体" w:eastAsia="宋体" w:hint="default"/>
          <w:b/>
          <w:bCs/>
          <w:sz w:val="22"/>
          <w:szCs w:val="22"/>
        </w:rPr>
      </w:pPr>
    </w:p>
    <w:p>
      <w:pPr>
        <w:pStyle w:val="BodyText"/>
        <w:spacing w:line="400" w:lineRule="auto" w:before="189"/>
        <w:ind w:left="573" w:right="0"/>
        <w:jc w:val="left"/>
      </w:pPr>
      <w:r>
        <w:rPr>
          <w:rFonts w:ascii="Times New Roman" w:hAnsi="Times New Roman" w:cs="Times New Roman" w:eastAsia="Times New Roman" w:hint="default"/>
        </w:rPr>
        <w:t>1</w:t>
      </w:r>
      <w:r>
        <w:rPr/>
        <w:t>、划分为本公司研究开发项目研究阶段和开发阶段的具体标准 公司内部研究开发项目的支出分为研究阶段支出和开发阶段支出。 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w:t>
      </w:r>
    </w:p>
    <w:p>
      <w:pPr>
        <w:pStyle w:val="BodyText"/>
        <w:spacing w:line="408" w:lineRule="auto" w:before="52"/>
        <w:ind w:left="574" w:right="0" w:hanging="420"/>
        <w:jc w:val="left"/>
      </w:pPr>
      <w:r>
        <w:rPr/>
        <w:t>的或具有实质性改进的材料、装置、产品等活动的阶段。 </w:t>
      </w:r>
      <w:r>
        <w:rPr>
          <w:spacing w:val="3"/>
        </w:rPr>
        <w:t>本公司内部研究开发项目开发阶段系指公司多肽药品技术获取国家药品监督管理局核发临床批件后</w:t>
      </w:r>
    </w:p>
    <w:p>
      <w:pPr>
        <w:pStyle w:val="BodyText"/>
        <w:spacing w:line="398" w:lineRule="auto" w:before="46"/>
        <w:ind w:left="574" w:right="3402" w:hanging="420"/>
        <w:jc w:val="left"/>
      </w:pPr>
      <w:r>
        <w:rPr/>
        <w:t>开始进行临床实验、获取生产批件前的阶段。 </w:t>
      </w:r>
      <w:r>
        <w:rPr>
          <w:rFonts w:ascii="Times New Roman" w:hAnsi="Times New Roman" w:cs="Times New Roman" w:eastAsia="Times New Roman" w:hint="default"/>
        </w:rPr>
        <w:t>2</w:t>
      </w:r>
      <w:r>
        <w:rPr/>
        <w:t>、开发阶段支出符合资本化的具体标准 内部研究开发项目开发阶段的支出，同时满足下列条件时确认为无形资产：</w:t>
      </w:r>
    </w:p>
    <w:p>
      <w:pPr>
        <w:pStyle w:val="BodyText"/>
        <w:spacing w:line="240" w:lineRule="auto" w:before="54"/>
        <w:ind w:left="574"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77"/>
        <w:ind w:left="574"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86" w:lineRule="auto" w:before="177"/>
        <w:ind w:left="154" w:right="0" w:firstLine="42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 自身存在市场，无形资产将在内部使用的，能够证明其有用性；</w:t>
      </w:r>
    </w:p>
    <w:p>
      <w:pPr>
        <w:pStyle w:val="BodyText"/>
        <w:spacing w:line="386" w:lineRule="auto" w:before="65"/>
        <w:ind w:left="154" w:right="1118" w:firstLine="42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 无形资产；</w:t>
      </w:r>
    </w:p>
    <w:p>
      <w:pPr>
        <w:pStyle w:val="BodyText"/>
        <w:spacing w:line="240" w:lineRule="auto" w:before="65"/>
        <w:ind w:left="574" w:right="0"/>
        <w:jc w:val="left"/>
      </w:pPr>
      <w:r>
        <w:rPr/>
        <w:t>（</w:t>
      </w:r>
      <w:r>
        <w:rPr>
          <w:rFonts w:ascii="Times New Roman" w:hAnsi="Times New Roman" w:cs="Times New Roman" w:eastAsia="Times New Roman" w:hint="default"/>
        </w:rPr>
        <w:t>5</w:t>
      </w:r>
      <w:r>
        <w:rPr/>
        <w:t>）归属于该无形资产开发阶段的支出能够可靠地计量。</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2" w:firstLine="420"/>
        <w:jc w:val="both"/>
      </w:pPr>
      <w:r>
        <w:rPr>
          <w:spacing w:val="-1"/>
        </w:rPr>
        <w:t>开发阶段的支出，若不满足上列条件的，于发生时计入当期损益。研究阶段的支出，在发生时计入当</w:t>
      </w:r>
      <w:r>
        <w:rPr/>
        <w:t> 期损益。</w:t>
      </w:r>
    </w:p>
    <w:p>
      <w:pPr>
        <w:pStyle w:val="BodyText"/>
        <w:spacing w:line="240" w:lineRule="auto" w:before="46"/>
        <w:ind w:left="573" w:right="0"/>
        <w:jc w:val="left"/>
      </w:pPr>
      <w:r>
        <w:rPr/>
        <w:t>外购或委托外部研究开发项目开发阶段的支出，满足下列条件时确认为无形资产：</w:t>
      </w:r>
    </w:p>
    <w:p>
      <w:pPr>
        <w:spacing w:line="240" w:lineRule="auto" w:before="10"/>
        <w:rPr>
          <w:rFonts w:ascii="宋体" w:hAnsi="宋体" w:cs="宋体" w:eastAsia="宋体" w:hint="default"/>
          <w:sz w:val="14"/>
          <w:szCs w:val="14"/>
        </w:rPr>
      </w:pPr>
    </w:p>
    <w:p>
      <w:pPr>
        <w:pStyle w:val="BodyText"/>
        <w:spacing w:line="386" w:lineRule="auto"/>
        <w:ind w:right="1141" w:firstLine="420"/>
        <w:jc w:val="both"/>
      </w:pPr>
      <w:r>
        <w:rPr/>
        <w:t>（</w:t>
      </w:r>
      <w:r>
        <w:rPr>
          <w:rFonts w:ascii="Times New Roman" w:hAnsi="Times New Roman" w:cs="Times New Roman" w:eastAsia="Times New Roman" w:hint="default"/>
        </w:rPr>
        <w:t>1</w:t>
      </w:r>
      <w:r>
        <w:rPr/>
        <w:t>）外购的已获得临床批件的生产技术或配方，其购买价款及后续临床试验费用确认为开发支出， 取得生产批件后结转为无形资产。</w:t>
      </w:r>
    </w:p>
    <w:p>
      <w:pPr>
        <w:pStyle w:val="BodyText"/>
        <w:spacing w:line="386" w:lineRule="auto" w:before="65"/>
        <w:ind w:right="1141" w:firstLine="420"/>
        <w:jc w:val="both"/>
      </w:pPr>
      <w:r>
        <w:rPr/>
        <w:t>（</w:t>
      </w:r>
      <w:r>
        <w:rPr>
          <w:rFonts w:ascii="Times New Roman" w:hAnsi="Times New Roman" w:cs="Times New Roman" w:eastAsia="Times New Roman" w:hint="default"/>
        </w:rPr>
        <w:t>2</w:t>
      </w:r>
      <w:r>
        <w:rPr/>
        <w:t>）委托外部机构研发的多肽类生产技术或配方，自研发开始至取得临床批件期间发生的支出计入 当期损益；获得临床批件后发生的临床试验费用确认为开发支出，取得生产批件后结转为无形资产。</w:t>
      </w:r>
    </w:p>
    <w:p>
      <w:pPr>
        <w:pStyle w:val="BodyText"/>
        <w:spacing w:line="386" w:lineRule="auto" w:before="65"/>
        <w:ind w:right="1141" w:firstLine="420"/>
        <w:jc w:val="both"/>
      </w:pPr>
      <w:r>
        <w:rPr/>
        <w:t>（</w:t>
      </w:r>
      <w:r>
        <w:rPr>
          <w:rFonts w:ascii="Times New Roman" w:hAnsi="Times New Roman" w:cs="Times New Roman" w:eastAsia="Times New Roman" w:hint="default"/>
        </w:rPr>
        <w:t>3</w:t>
      </w:r>
      <w:r>
        <w:rPr/>
        <w:t>）委托外部机构研发的非多肽类生产技术或配方，自研发开始至获取生产批件期间发生的支出全 部计入当期损益。</w:t>
      </w:r>
    </w:p>
    <w:p>
      <w:pPr>
        <w:spacing w:line="240" w:lineRule="auto" w:before="12"/>
        <w:rPr>
          <w:rFonts w:ascii="宋体" w:hAnsi="宋体" w:cs="宋体" w:eastAsia="宋体" w:hint="default"/>
          <w:sz w:val="27"/>
          <w:szCs w:val="27"/>
        </w:rPr>
      </w:pPr>
    </w:p>
    <w:p>
      <w:pPr>
        <w:pStyle w:val="Heading4"/>
        <w:spacing w:line="240" w:lineRule="auto"/>
        <w:ind w:left="154" w:right="0"/>
        <w:jc w:val="both"/>
        <w:rPr>
          <w:b w:val="0"/>
          <w:bCs w:val="0"/>
        </w:rPr>
      </w:pPr>
      <w:bookmarkStart w:name="20、长期资产减值" w:id="179"/>
      <w:bookmarkEnd w:id="179"/>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left="154" w:right="1110" w:firstLine="420"/>
        <w:jc w:val="both"/>
      </w:pPr>
      <w:r>
        <w:rPr>
          <w:spacing w:val="-1"/>
        </w:rPr>
        <w:t>长期股权投资、采用成本模式计量的投资性房地产、固定资产、在建工程、无形资产等长期资产，于</w:t>
      </w:r>
      <w:r>
        <w:rPr/>
        <w:t> 资产负债表日存在减值迹象的，进行减值测试。减值测试结果表明资产的可收回金额低于其账面价值的， </w:t>
      </w:r>
      <w:r>
        <w:rPr>
          <w:spacing w:val="-1"/>
        </w:rPr>
        <w:t>按其差额计提减值准备并计入减值损失。可收回金额为资产的公允价值减去处置费用后的净额与资产预计</w:t>
      </w:r>
      <w:r>
        <w:rPr>
          <w:spacing w:val="-81"/>
        </w:rPr>
        <w:t> </w:t>
      </w:r>
      <w:r>
        <w:rPr>
          <w:spacing w:val="-81"/>
        </w:rPr>
      </w:r>
      <w:r>
        <w:rPr>
          <w:spacing w:val="-1"/>
        </w:rPr>
        <w:t>未来现金流量的现值两者之间的较高者。资产减值准备按单项资产为基础计算并确认，如果难以对单项资</w:t>
      </w:r>
      <w:r>
        <w:rPr>
          <w:spacing w:val="-81"/>
        </w:rPr>
        <w:t> </w:t>
      </w:r>
      <w:r>
        <w:rPr>
          <w:spacing w:val="-81"/>
        </w:rPr>
      </w:r>
      <w:r>
        <w:rPr>
          <w:spacing w:val="-1"/>
        </w:rPr>
        <w:t>产的可收回金额进行估计的，以该资产所属的资产组确定资产组的可收回金额。资产组是能够独立产生现</w:t>
      </w:r>
      <w:r>
        <w:rPr>
          <w:spacing w:val="-81"/>
        </w:rPr>
        <w:t> </w:t>
      </w:r>
      <w:r>
        <w:rPr>
          <w:spacing w:val="-81"/>
        </w:rPr>
      </w:r>
      <w:r>
        <w:rPr/>
        <w:t>金流入的最小资产组合。</w:t>
      </w:r>
    </w:p>
    <w:p>
      <w:pPr>
        <w:pStyle w:val="BodyText"/>
        <w:spacing w:line="408" w:lineRule="auto" w:before="46"/>
        <w:ind w:left="574" w:right="0"/>
        <w:jc w:val="left"/>
      </w:pPr>
      <w:r>
        <w:rPr/>
        <w:t>商誉至少在每年年度终了进行减值测试。 </w:t>
      </w:r>
      <w:r>
        <w:rPr>
          <w:spacing w:val="-1"/>
        </w:rPr>
        <w:t>本公司进行商誉减值测试，对于因企业合并形成的商誉的账面价值，自购买日起按照合理的方法分摊</w:t>
      </w:r>
    </w:p>
    <w:p>
      <w:pPr>
        <w:pStyle w:val="BodyText"/>
        <w:spacing w:line="408" w:lineRule="auto" w:before="46"/>
        <w:ind w:left="154" w:right="1131"/>
        <w:jc w:val="both"/>
      </w:pPr>
      <w:r>
        <w:rPr>
          <w:spacing w:val="-1"/>
        </w:rPr>
        <w:t>至相关的资产组；难以分摊至相关的资产组的，将其分摊至相关的资产组组合。在将商誉的账面价值分摊</w:t>
      </w:r>
      <w:r>
        <w:rPr>
          <w:spacing w:val="-83"/>
        </w:rPr>
        <w:t> </w:t>
      </w:r>
      <w:r>
        <w:rPr>
          <w:spacing w:val="-83"/>
        </w:rPr>
      </w:r>
      <w:r>
        <w:rPr>
          <w:spacing w:val="-1"/>
        </w:rPr>
        <w:t>至相关的资产组或者资产组组合时，按照各资产组或者资产组组合的公允价值占相关资产组或者资产组组</w:t>
      </w:r>
      <w:r>
        <w:rPr>
          <w:spacing w:val="-81"/>
        </w:rPr>
        <w:t> </w:t>
      </w:r>
      <w:r>
        <w:rPr>
          <w:spacing w:val="-81"/>
        </w:rPr>
      </w:r>
      <w:r>
        <w:rPr>
          <w:spacing w:val="-1"/>
        </w:rPr>
        <w:t>合公允价值总额的比例进行分摊。公允价值难以可靠计量的，按照各资产组或者资产组组合的账面价值占</w:t>
      </w:r>
      <w:r>
        <w:rPr>
          <w:spacing w:val="-81"/>
        </w:rPr>
        <w:t> </w:t>
      </w:r>
      <w:r>
        <w:rPr>
          <w:spacing w:val="-81"/>
        </w:rPr>
      </w:r>
      <w:r>
        <w:rPr/>
        <w:t>相关资产组或者资产组组合账面价值总额的比例进行分摊。</w:t>
      </w:r>
    </w:p>
    <w:p>
      <w:pPr>
        <w:pStyle w:val="BodyText"/>
        <w:spacing w:line="408" w:lineRule="auto" w:before="46"/>
        <w:ind w:left="154" w:right="1130" w:firstLine="420"/>
        <w:jc w:val="both"/>
      </w:pPr>
      <w:r>
        <w:rPr>
          <w:spacing w:val="-1"/>
        </w:rPr>
        <w:t>在对包含商誉的相关资产组或者资产组组合进行减值测试时，如与商誉相关的资产组或者资产组组合</w:t>
      </w:r>
      <w:r>
        <w:rPr/>
        <w:t> </w:t>
      </w:r>
      <w:r>
        <w:rPr>
          <w:spacing w:val="-1"/>
        </w:rPr>
        <w:t>存在减值迹象的，先对不包含商誉的资产组或者资产组组合进行减值测试，计算可收回金额，并与相关账</w:t>
      </w:r>
      <w:r>
        <w:rPr>
          <w:spacing w:val="-83"/>
        </w:rPr>
        <w:t> </w:t>
      </w:r>
      <w:r>
        <w:rPr>
          <w:spacing w:val="-83"/>
        </w:rPr>
      </w:r>
      <w:r>
        <w:rPr>
          <w:spacing w:val="-1"/>
        </w:rPr>
        <w:t>面价值相比较，确认相应的减值损失。再对包含商誉的资产组或者资产组组合进行减值测试，比较这些相</w:t>
      </w:r>
      <w:r>
        <w:rPr>
          <w:spacing w:val="-83"/>
        </w:rPr>
        <w:t> </w:t>
      </w:r>
      <w:r>
        <w:rPr>
          <w:spacing w:val="-83"/>
        </w:rPr>
      </w:r>
      <w:r>
        <w:rPr>
          <w:spacing w:val="-1"/>
        </w:rPr>
        <w:t>关资产组或者资产组组合的账面价值（包括所分摊的商誉的账面价值部分）与其可收回金额，如相关资产</w:t>
      </w:r>
      <w:r>
        <w:rPr>
          <w:spacing w:val="-83"/>
        </w:rPr>
        <w:t> </w:t>
      </w:r>
      <w:r>
        <w:rPr>
          <w:spacing w:val="-83"/>
        </w:rPr>
      </w:r>
      <w:r>
        <w:rPr/>
        <w:t>组或者资产组组合的可收回金额低于其账面价值的，确认商誉的减值损失。</w:t>
      </w:r>
    </w:p>
    <w:p>
      <w:pPr>
        <w:pStyle w:val="BodyText"/>
        <w:spacing w:line="240" w:lineRule="auto" w:before="46"/>
        <w:ind w:left="573" w:right="0"/>
        <w:jc w:val="left"/>
      </w:pPr>
      <w:r>
        <w:rPr/>
        <w:t>上述资产减值损失一经确认，在以后会计期间不予转回。</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21、长期待摊费用" w:id="180"/>
      <w:bookmarkEnd w:id="180"/>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89"/>
        <w:ind w:left="565" w:right="0"/>
        <w:jc w:val="left"/>
      </w:pPr>
      <w:r>
        <w:rPr/>
        <w:t>长期待摊费用是指本公司已经发生但应由本期和以后各期负担的期限在一年以上的各项费用。</w:t>
      </w:r>
    </w:p>
    <w:p>
      <w:pPr>
        <w:spacing w:line="240" w:lineRule="auto" w:before="10"/>
        <w:rPr>
          <w:rFonts w:ascii="宋体" w:hAnsi="宋体" w:cs="宋体" w:eastAsia="宋体" w:hint="default"/>
          <w:sz w:val="14"/>
          <w:szCs w:val="14"/>
        </w:rPr>
      </w:pPr>
    </w:p>
    <w:p>
      <w:pPr>
        <w:pStyle w:val="BodyText"/>
        <w:spacing w:line="398" w:lineRule="auto"/>
        <w:ind w:left="565" w:right="6981" w:firstLine="8"/>
        <w:jc w:val="left"/>
      </w:pPr>
      <w:r>
        <w:rPr>
          <w:rFonts w:ascii="Times New Roman" w:hAnsi="Times New Roman" w:cs="Times New Roman" w:eastAsia="Times New Roman" w:hint="default"/>
        </w:rPr>
        <w:t>1</w:t>
      </w:r>
      <w:r>
        <w:rPr/>
        <w:t>、摊销方法 长期待摊费用在受益期内平均摊销。 </w:t>
      </w:r>
      <w:r>
        <w:rPr>
          <w:rFonts w:ascii="Times New Roman" w:hAnsi="Times New Roman" w:cs="Times New Roman" w:eastAsia="Times New Roman" w:hint="default"/>
        </w:rPr>
        <w:t>2</w:t>
      </w:r>
      <w:r>
        <w:rPr/>
        <w:t>、摊销年限</w:t>
      </w:r>
    </w:p>
    <w:p>
      <w:pPr>
        <w:pStyle w:val="BodyText"/>
        <w:spacing w:line="408" w:lineRule="auto" w:before="24"/>
        <w:ind w:left="565" w:right="0"/>
        <w:jc w:val="left"/>
      </w:pPr>
      <w:r>
        <w:rPr/>
        <w:t>预付经营租入固定资产的租金，按租赁合同规定的期限平均摊销。 </w:t>
      </w:r>
      <w:r>
        <w:rPr>
          <w:spacing w:val="-1"/>
        </w:rPr>
        <w:t>经营租赁方式租入的固定资产改良支出，按剩余租赁期与租赁资产尚可使用年限两者中较短的期限平</w:t>
      </w:r>
    </w:p>
    <w:p>
      <w:pPr>
        <w:pStyle w:val="BodyText"/>
        <w:spacing w:line="240" w:lineRule="auto" w:before="46"/>
        <w:ind w:left="154" w:right="0"/>
        <w:jc w:val="left"/>
      </w:pPr>
      <w:r>
        <w:rPr/>
        <w:t>均摊销。</w:t>
      </w:r>
    </w:p>
    <w:p>
      <w:pPr>
        <w:spacing w:line="240" w:lineRule="auto" w:before="10"/>
        <w:rPr>
          <w:rFonts w:ascii="宋体" w:hAnsi="宋体" w:cs="宋体" w:eastAsia="宋体" w:hint="default"/>
          <w:sz w:val="14"/>
          <w:szCs w:val="14"/>
        </w:rPr>
      </w:pPr>
    </w:p>
    <w:p>
      <w:pPr>
        <w:pStyle w:val="BodyText"/>
        <w:spacing w:line="408" w:lineRule="auto"/>
        <w:ind w:left="154" w:right="0" w:firstLine="420"/>
        <w:jc w:val="left"/>
      </w:pPr>
      <w:r>
        <w:rPr>
          <w:spacing w:val="-1"/>
        </w:rPr>
        <w:t>融资租赁方式租入的固定资产，其符合资本化条件的装修费用，在两次装修间隔期间、剩余租赁期和</w:t>
      </w:r>
      <w:r>
        <w:rPr/>
        <w:t> 固定资产尚可使用年限三者中较短的期限平均摊销。</w:t>
      </w:r>
    </w:p>
    <w:p>
      <w:pPr>
        <w:spacing w:line="240" w:lineRule="auto" w:before="6"/>
        <w:rPr>
          <w:rFonts w:ascii="宋体" w:hAnsi="宋体" w:cs="宋体" w:eastAsia="宋体" w:hint="default"/>
          <w:sz w:val="26"/>
          <w:szCs w:val="26"/>
        </w:rPr>
      </w:pPr>
    </w:p>
    <w:p>
      <w:pPr>
        <w:pStyle w:val="Heading4"/>
        <w:spacing w:line="240" w:lineRule="auto"/>
        <w:ind w:left="154" w:right="0"/>
        <w:jc w:val="left"/>
        <w:rPr>
          <w:b w:val="0"/>
          <w:bCs w:val="0"/>
        </w:rPr>
      </w:pPr>
      <w:bookmarkStart w:name="22、职工薪酬" w:id="181"/>
      <w:bookmarkEnd w:id="181"/>
      <w:r>
        <w:rPr>
          <w:b w:val="0"/>
          <w:bCs w:val="0"/>
        </w:rPr>
      </w:r>
      <w:r>
        <w:rPr>
          <w:rFonts w:ascii="Times New Roman" w:hAnsi="Times New Roman" w:cs="Times New Roman" w:eastAsia="Times New Roman" w:hint="default"/>
        </w:rPr>
        <w:t>22</w:t>
      </w:r>
      <w:r>
        <w:rPr/>
        <w:t>、职工薪酬</w:t>
      </w:r>
      <w:r>
        <w:rPr>
          <w:b w:val="0"/>
          <w:bCs w:val="0"/>
        </w:rPr>
      </w:r>
    </w:p>
    <w:p>
      <w:pPr>
        <w:spacing w:line="750" w:lineRule="atLeast" w:before="18"/>
        <w:ind w:left="565" w:right="0" w:hanging="412"/>
        <w:jc w:val="left"/>
        <w:rPr>
          <w:rFonts w:ascii="宋体" w:hAnsi="宋体" w:cs="宋体" w:eastAsia="宋体" w:hint="default"/>
          <w:sz w:val="21"/>
          <w:szCs w:val="21"/>
        </w:rPr>
      </w:pPr>
      <w:bookmarkStart w:name="（1）短期薪酬的会计处理方法" w:id="182"/>
      <w:bookmarkEnd w:id="18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本公司在职工为本公司提供服务的会计期间，将实际发生的短期薪酬确认为负债，并计入当期损益或</w:t>
      </w:r>
    </w:p>
    <w:p>
      <w:pPr>
        <w:spacing w:line="240" w:lineRule="auto" w:before="10"/>
        <w:rPr>
          <w:rFonts w:ascii="宋体" w:hAnsi="宋体" w:cs="宋体" w:eastAsia="宋体" w:hint="default"/>
          <w:sz w:val="14"/>
          <w:szCs w:val="14"/>
        </w:rPr>
      </w:pPr>
    </w:p>
    <w:p>
      <w:pPr>
        <w:pStyle w:val="BodyText"/>
        <w:spacing w:line="408" w:lineRule="auto"/>
        <w:ind w:left="565" w:right="1118" w:hanging="412"/>
        <w:jc w:val="left"/>
      </w:pPr>
      <w:r>
        <w:rPr/>
        <w:t>相关资产成本。 </w:t>
      </w:r>
      <w:r>
        <w:rPr>
          <w:spacing w:val="-1"/>
        </w:rPr>
        <w:t>本公司为职工缴纳的社会保险费和住房公积金，以及按规定提取的工会经费和职工教育经费，在职工</w:t>
      </w:r>
    </w:p>
    <w:p>
      <w:pPr>
        <w:pStyle w:val="BodyText"/>
        <w:spacing w:line="408" w:lineRule="auto" w:before="46"/>
        <w:ind w:left="565" w:right="1933" w:hanging="412"/>
        <w:jc w:val="left"/>
      </w:pPr>
      <w:r>
        <w:rPr/>
        <w:t>为本公司提供服务的会计期间，根据规定的计提基础和计提比例计算确定相应的职工薪酬金额。 职工福利费为非货币性福利的，如能够可靠计量的，按照公允价值计量。</w:t>
      </w:r>
    </w:p>
    <w:p>
      <w:pPr>
        <w:spacing w:line="240" w:lineRule="auto" w:before="6"/>
        <w:rPr>
          <w:rFonts w:ascii="宋体" w:hAnsi="宋体" w:cs="宋体" w:eastAsia="宋体" w:hint="default"/>
          <w:sz w:val="26"/>
          <w:szCs w:val="26"/>
        </w:rPr>
      </w:pPr>
    </w:p>
    <w:p>
      <w:pPr>
        <w:pStyle w:val="Heading4"/>
        <w:spacing w:line="240" w:lineRule="auto"/>
        <w:ind w:left="154" w:right="0"/>
        <w:jc w:val="left"/>
        <w:rPr>
          <w:b w:val="0"/>
          <w:bCs w:val="0"/>
        </w:rPr>
      </w:pPr>
      <w:bookmarkStart w:name="（2）离职后福利的会计处理方法" w:id="183"/>
      <w:bookmarkEnd w:id="183"/>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left="154" w:right="1092" w:firstLine="411"/>
        <w:jc w:val="left"/>
      </w:pPr>
      <w:r>
        <w:rPr/>
        <w:t>本公司按当地政府的相关规定为职工缴纳基本养老保险和失业保险，在职工为本公司提供服务的会计 期间，按以当地规定的缴纳基数和比例计算应缴纳金额，确认为负债，并计入当期损益或相关资产成本。</w:t>
      </w:r>
    </w:p>
    <w:p>
      <w:pPr>
        <w:spacing w:line="240" w:lineRule="auto" w:before="6"/>
        <w:rPr>
          <w:rFonts w:ascii="宋体" w:hAnsi="宋体" w:cs="宋体" w:eastAsia="宋体" w:hint="default"/>
          <w:sz w:val="26"/>
          <w:szCs w:val="26"/>
        </w:rPr>
      </w:pPr>
    </w:p>
    <w:p>
      <w:pPr>
        <w:pStyle w:val="Heading4"/>
        <w:spacing w:line="240" w:lineRule="auto"/>
        <w:ind w:left="154" w:right="0"/>
        <w:jc w:val="left"/>
        <w:rPr>
          <w:b w:val="0"/>
          <w:bCs w:val="0"/>
        </w:rPr>
      </w:pPr>
      <w:bookmarkStart w:name="（3）辞退福利的会计处理方法" w:id="184"/>
      <w:bookmarkEnd w:id="184"/>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left="154" w:right="1092" w:firstLine="411"/>
        <w:jc w:val="left"/>
      </w:pPr>
      <w:r>
        <w:rPr/>
        <w:t>本公司在不能单方面撤回因解除劳动关系计划或裁减建议所提供的辞退福利时，或确认与涉及支付辞 退福利的重组相关的成本或费用时（两者孰早），确认辞退福利产生的职工薪酬负债，并计入当期损益。</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23、预计负债" w:id="185"/>
      <w:bookmarkEnd w:id="185"/>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left="154" w:right="0" w:firstLine="411"/>
        <w:jc w:val="left"/>
      </w:pPr>
      <w:r>
        <w:rPr>
          <w:spacing w:val="-1"/>
        </w:rPr>
        <w:t>本公司涉及诉讼、债务担保、亏损合同、重组事项时，如该等事项很可能需要未来以交付资产或提供</w:t>
      </w:r>
      <w:r>
        <w:rPr/>
        <w:t> 劳务、其金额能够可靠计量的，确认为预计负债。</w:t>
      </w:r>
    </w:p>
    <w:p>
      <w:pPr>
        <w:pStyle w:val="BodyText"/>
        <w:spacing w:line="386" w:lineRule="auto" w:before="46"/>
        <w:ind w:left="565" w:right="0" w:firstLine="8"/>
        <w:jc w:val="left"/>
      </w:pPr>
      <w:r>
        <w:rPr>
          <w:rFonts w:ascii="Times New Roman" w:hAnsi="Times New Roman" w:cs="Times New Roman" w:eastAsia="Times New Roman" w:hint="default"/>
        </w:rPr>
        <w:t>1</w:t>
      </w:r>
      <w:r>
        <w:rPr/>
        <w:t>、预计负债的确认标准 </w:t>
      </w:r>
      <w:r>
        <w:rPr>
          <w:spacing w:val="-1"/>
        </w:rPr>
        <w:t>与诉讼、债务担保、亏损合同、重组事项等或有事项相关的义务同时满足下列条件时，本公司确认为</w:t>
      </w:r>
    </w:p>
    <w:p>
      <w:pPr>
        <w:pStyle w:val="BodyText"/>
        <w:spacing w:line="240" w:lineRule="auto" w:before="65"/>
        <w:ind w:left="154" w:right="0"/>
        <w:jc w:val="left"/>
      </w:pPr>
      <w:r>
        <w:rPr/>
        <w:t>预计负债：</w:t>
      </w:r>
    </w:p>
    <w:p>
      <w:pPr>
        <w:spacing w:line="240" w:lineRule="auto" w:before="10"/>
        <w:rPr>
          <w:rFonts w:ascii="宋体" w:hAnsi="宋体" w:cs="宋体" w:eastAsia="宋体" w:hint="default"/>
          <w:sz w:val="14"/>
          <w:szCs w:val="14"/>
        </w:rPr>
      </w:pPr>
    </w:p>
    <w:p>
      <w:pPr>
        <w:pStyle w:val="BodyText"/>
        <w:spacing w:line="240" w:lineRule="auto"/>
        <w:ind w:left="565" w:right="0"/>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177"/>
        <w:ind w:left="565" w:right="0"/>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177"/>
        <w:ind w:left="565" w:right="0"/>
        <w:jc w:val="left"/>
      </w:pPr>
      <w:r>
        <w:rPr/>
        <w:t>（</w:t>
      </w:r>
      <w:r>
        <w:rPr>
          <w:rFonts w:ascii="Times New Roman" w:hAnsi="Times New Roman" w:cs="Times New Roman" w:eastAsia="Times New Roman" w:hint="default"/>
        </w:rPr>
        <w:t>3</w:t>
      </w:r>
      <w:r>
        <w:rPr/>
        <w:t>）该义务的金额能够可靠地计量。</w:t>
      </w:r>
    </w:p>
    <w:p>
      <w:pPr>
        <w:pStyle w:val="BodyText"/>
        <w:spacing w:line="398" w:lineRule="auto" w:before="177"/>
        <w:ind w:left="565" w:right="1118" w:firstLine="8"/>
        <w:jc w:val="left"/>
      </w:pPr>
      <w:r>
        <w:rPr>
          <w:rFonts w:ascii="Times New Roman" w:hAnsi="Times New Roman" w:cs="Times New Roman" w:eastAsia="Times New Roman" w:hint="default"/>
        </w:rPr>
        <w:t>2</w:t>
      </w:r>
      <w:r>
        <w:rPr/>
        <w:t>、预计负债的计量方法 本公司预计负债按履行相关现时义务所需的支出的最佳估计数进行初始计量。 </w:t>
      </w:r>
      <w:r>
        <w:rPr>
          <w:spacing w:val="-1"/>
        </w:rPr>
        <w:t>本公司在确定最佳估计数时，综合考虑与或有事项有关的风险、不确定性和货币时间价值等因素。对</w:t>
      </w:r>
    </w:p>
    <w:p>
      <w:pPr>
        <w:pStyle w:val="BodyText"/>
        <w:spacing w:line="408" w:lineRule="auto" w:before="54"/>
        <w:ind w:left="565" w:right="1118" w:hanging="412"/>
        <w:jc w:val="left"/>
      </w:pPr>
      <w:r>
        <w:rPr/>
        <w:t>于货币时间价值影响重大的，通过对相关未来现金流出进行折现后确定最佳估计数。 最佳估计数分别以下情况处理： </w:t>
      </w:r>
      <w:r>
        <w:rPr>
          <w:spacing w:val="-1"/>
        </w:rPr>
        <w:t>所需支出存在一个连续范围（或区间），且该范围内各种结果发生的可能性相同的，则最佳估计数按</w:t>
      </w:r>
    </w:p>
    <w:p>
      <w:pPr>
        <w:pStyle w:val="BodyText"/>
        <w:spacing w:line="408" w:lineRule="auto" w:before="46"/>
        <w:ind w:left="565" w:right="0" w:hanging="412"/>
        <w:jc w:val="left"/>
      </w:pPr>
      <w:r>
        <w:rPr/>
        <w:t>照该范围的中间值即上下限金额的平均数确定。 </w:t>
      </w:r>
      <w:r>
        <w:rPr>
          <w:spacing w:val="-1"/>
        </w:rPr>
        <w:t>所需支出不存在一个连续范围（或区间），或虽然存在一个连续范围但该范围内各种结果发生的可能</w:t>
      </w:r>
    </w:p>
    <w:p>
      <w:pPr>
        <w:pStyle w:val="BodyText"/>
        <w:spacing w:line="408" w:lineRule="auto" w:before="46"/>
        <w:ind w:left="154" w:right="0"/>
        <w:jc w:val="left"/>
      </w:pPr>
      <w:r>
        <w:rPr>
          <w:spacing w:val="-1"/>
        </w:rPr>
        <w:t>性不相同的，如或有事项涉及单个项目的，则最佳估计数按照最可能发生金额确定；如或有事项涉及多个</w:t>
      </w:r>
      <w:r>
        <w:rPr>
          <w:spacing w:val="-83"/>
        </w:rPr>
        <w:t> </w:t>
      </w:r>
      <w:r>
        <w:rPr>
          <w:spacing w:val="-83"/>
        </w:rPr>
      </w:r>
      <w:r>
        <w:rPr/>
        <w:t>项目的，则最佳估计数按各种可能结果及相关概率计算确定。</w:t>
      </w:r>
    </w:p>
    <w:p>
      <w:pPr>
        <w:pStyle w:val="BodyText"/>
        <w:spacing w:line="408" w:lineRule="auto" w:before="46"/>
        <w:ind w:left="154" w:right="0" w:firstLine="411"/>
        <w:jc w:val="left"/>
      </w:pPr>
      <w:r>
        <w:rPr>
          <w:spacing w:val="-1"/>
        </w:rPr>
        <w:t>本公司清偿预计负债所需支出全部或部分预期由第三方补偿的，补偿金额在基本确定能够收到时，作</w:t>
      </w:r>
      <w:r>
        <w:rPr/>
        <w:t> 为资产单独确认，确认的补偿金额不超过预计负债的账面价值。</w:t>
      </w:r>
    </w:p>
    <w:p>
      <w:pPr>
        <w:spacing w:line="240" w:lineRule="auto" w:before="6"/>
        <w:rPr>
          <w:rFonts w:ascii="宋体" w:hAnsi="宋体" w:cs="宋体" w:eastAsia="宋体" w:hint="default"/>
          <w:sz w:val="26"/>
          <w:szCs w:val="26"/>
        </w:rPr>
      </w:pPr>
    </w:p>
    <w:p>
      <w:pPr>
        <w:pStyle w:val="Heading4"/>
        <w:spacing w:line="240" w:lineRule="auto"/>
        <w:ind w:left="154" w:right="0"/>
        <w:jc w:val="left"/>
        <w:rPr>
          <w:b w:val="0"/>
          <w:bCs w:val="0"/>
        </w:rPr>
      </w:pPr>
      <w:bookmarkStart w:name="24、收入" w:id="186"/>
      <w:bookmarkEnd w:id="186"/>
      <w:r>
        <w:rPr>
          <w:b w:val="0"/>
          <w:bCs w:val="0"/>
        </w:rPr>
      </w:r>
      <w:r>
        <w:rPr>
          <w:rFonts w:ascii="Times New Roman" w:hAnsi="Times New Roman" w:cs="Times New Roman" w:eastAsia="Times New Roman" w:hint="default"/>
        </w:rPr>
        <w:t>24</w:t>
      </w:r>
      <w:r>
        <w:rPr/>
        <w:t>、收入</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89"/>
        <w:ind w:left="574" w:right="0"/>
        <w:jc w:val="left"/>
      </w:pPr>
      <w:r>
        <w:rPr>
          <w:rFonts w:ascii="Times New Roman" w:hAnsi="Times New Roman" w:cs="Times New Roman" w:eastAsia="Times New Roman" w:hint="default"/>
        </w:rPr>
        <w:t>1</w:t>
      </w:r>
      <w:r>
        <w:rPr/>
        <w:t>、销售商品收入确认和计量原则</w:t>
      </w:r>
    </w:p>
    <w:p>
      <w:pPr>
        <w:pStyle w:val="BodyText"/>
        <w:spacing w:line="386" w:lineRule="auto" w:before="177"/>
        <w:ind w:left="574" w:right="0"/>
        <w:jc w:val="left"/>
      </w:pPr>
      <w:r>
        <w:rPr/>
        <w:t>（</w:t>
      </w:r>
      <w:r>
        <w:rPr>
          <w:rFonts w:ascii="Times New Roman" w:hAnsi="Times New Roman" w:cs="Times New Roman" w:eastAsia="Times New Roman" w:hint="default"/>
        </w:rPr>
        <w:t>1</w:t>
      </w:r>
      <w:r>
        <w:rPr/>
        <w:t>）销售商品收入确认和计量的总体原则 </w:t>
      </w:r>
      <w:r>
        <w:rPr>
          <w:spacing w:val="-1"/>
        </w:rPr>
        <w:t>公司已将商品所有权上的主要风险和报酬转移给购买方；公司既没有保留与所有权相联系的继续管理</w:t>
      </w:r>
    </w:p>
    <w:p>
      <w:pPr>
        <w:pStyle w:val="BodyText"/>
        <w:spacing w:line="408" w:lineRule="auto" w:before="65"/>
        <w:ind w:left="154" w:right="1023"/>
        <w:jc w:val="left"/>
      </w:pPr>
      <w:r>
        <w:rPr>
          <w:spacing w:val="-3"/>
        </w:rPr>
        <w:t>权，也没有对已售出的商品实施有效控制；收入的金额能够可靠地计量；相关的经济利益很可能流入企业；</w:t>
      </w:r>
      <w:r>
        <w:rPr>
          <w:spacing w:val="-90"/>
        </w:rPr>
        <w:t> </w:t>
      </w:r>
      <w:r>
        <w:rPr>
          <w:spacing w:val="-90"/>
        </w:rPr>
      </w:r>
      <w:r>
        <w:rPr/>
        <w:t>相关的已发生或将发生的成本能够可靠地计量时，确认商品销售收入实现。</w:t>
      </w:r>
    </w:p>
    <w:p>
      <w:pPr>
        <w:pStyle w:val="BodyText"/>
        <w:spacing w:line="240" w:lineRule="auto" w:before="46"/>
        <w:ind w:left="574" w:right="0"/>
        <w:jc w:val="left"/>
      </w:pPr>
      <w:r>
        <w:rPr/>
        <w:t>（</w:t>
      </w:r>
      <w:r>
        <w:rPr>
          <w:rFonts w:ascii="Times New Roman" w:hAnsi="Times New Roman" w:cs="Times New Roman" w:eastAsia="Times New Roman" w:hint="default"/>
        </w:rPr>
        <w:t>2</w:t>
      </w:r>
      <w:r>
        <w:rPr/>
        <w:t>）本公司销售商品收入确认的确认标准及收入确认时间的具体判断标准</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573" w:right="0"/>
        <w:jc w:val="left"/>
      </w:pPr>
      <w:r>
        <w:rPr/>
        <w:t>①客户现款提货，于收款发货后确认销售收入。</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t>②预收款结算的，于收款发货后确认销售收入。</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t>③按一定账期赊销的，客户按账期结算，于根据客户订单发货并经对方验收确认后确认销售收入。</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rFonts w:ascii="Times New Roman" w:hAnsi="Times New Roman" w:cs="Times New Roman" w:eastAsia="Times New Roman" w:hint="default"/>
        </w:rPr>
        <w:t>2</w:t>
      </w:r>
      <w:r>
        <w:rPr/>
        <w:t>、让渡资产使用权收入的确认和计量原则</w:t>
      </w:r>
    </w:p>
    <w:p>
      <w:pPr>
        <w:pStyle w:val="BodyText"/>
        <w:spacing w:line="386" w:lineRule="auto" w:before="177"/>
        <w:ind w:left="573" w:right="0"/>
        <w:jc w:val="left"/>
      </w:pPr>
      <w:r>
        <w:rPr/>
        <w:t>（</w:t>
      </w:r>
      <w:r>
        <w:rPr>
          <w:rFonts w:ascii="Times New Roman" w:hAnsi="Times New Roman" w:cs="Times New Roman" w:eastAsia="Times New Roman" w:hint="default"/>
        </w:rPr>
        <w:t>1</w:t>
      </w:r>
      <w:r>
        <w:rPr/>
        <w:t>）让渡资产使用权收入确认和计量的总体原则 </w:t>
      </w:r>
      <w:r>
        <w:rPr>
          <w:spacing w:val="-1"/>
        </w:rPr>
        <w:t>与交易相关的经济利益很可能流入企业，收入的金额能够可靠地计量时。分别下列情况确定让渡资产</w:t>
      </w:r>
    </w:p>
    <w:p>
      <w:pPr>
        <w:pStyle w:val="BodyText"/>
        <w:spacing w:line="240" w:lineRule="auto" w:before="65"/>
        <w:ind w:right="0"/>
        <w:jc w:val="left"/>
      </w:pPr>
      <w:r>
        <w:rPr/>
        <w:t>使用权收入金额：</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t>①利息收入金额，按照他人使用本企业货币资金的时间和实际利率计算确定。</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t>②使用费收入金额，按照有关合同或协议约定的收费时间和方法计算确定。</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4"/>
        <w:spacing w:line="240" w:lineRule="auto"/>
        <w:ind w:right="0"/>
        <w:jc w:val="left"/>
        <w:rPr>
          <w:b w:val="0"/>
          <w:bCs w:val="0"/>
        </w:rPr>
      </w:pPr>
      <w:bookmarkStart w:name="25、政府补助" w:id="187"/>
      <w:bookmarkEnd w:id="187"/>
      <w:r>
        <w:rPr>
          <w:b w:val="0"/>
          <w:bCs w:val="0"/>
        </w:rPr>
      </w:r>
      <w:r>
        <w:rPr>
          <w:rFonts w:ascii="Times New Roman" w:hAnsi="Times New Roman" w:cs="Times New Roman" w:eastAsia="Times New Roman" w:hint="default"/>
        </w:rPr>
        <w:t>25</w:t>
      </w:r>
      <w:r>
        <w:rPr/>
        <w:t>、政府补助</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与资产相关的政府补助判断依据及会计处理方法" w:id="188"/>
      <w:bookmarkEnd w:id="188"/>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left="574" w:right="1118"/>
        <w:jc w:val="left"/>
      </w:pPr>
      <w:r>
        <w:rPr>
          <w:rFonts w:ascii="Times New Roman" w:hAnsi="Times New Roman" w:cs="Times New Roman" w:eastAsia="Times New Roman" w:hint="default"/>
        </w:rPr>
        <w:t>1</w:t>
      </w:r>
      <w:r>
        <w:rPr/>
        <w:t>、类型 </w:t>
      </w:r>
      <w:r>
        <w:rPr>
          <w:spacing w:val="-1"/>
        </w:rPr>
        <w:t>政府补助，是本公司从政府无偿取得的货币性资产与非货币性资产。分为与资产相关的政府补助和与</w:t>
      </w:r>
    </w:p>
    <w:p>
      <w:pPr>
        <w:pStyle w:val="BodyText"/>
        <w:spacing w:line="408" w:lineRule="auto" w:before="65"/>
        <w:ind w:left="574" w:right="0" w:hanging="420"/>
        <w:jc w:val="left"/>
      </w:pPr>
      <w:r>
        <w:rPr/>
        <w:t>收益相关的政府补助。 </w:t>
      </w:r>
      <w:r>
        <w:rPr>
          <w:spacing w:val="-1"/>
        </w:rPr>
        <w:t>与资产相关的政府补助，是指本公司取得的、用于购建或以其他方式形成长期资产的政府补助，包括</w:t>
      </w:r>
    </w:p>
    <w:p>
      <w:pPr>
        <w:pStyle w:val="BodyText"/>
        <w:spacing w:line="408" w:lineRule="auto" w:before="46"/>
        <w:ind w:left="154" w:right="0"/>
        <w:jc w:val="left"/>
      </w:pPr>
      <w:r>
        <w:rPr>
          <w:spacing w:val="-1"/>
        </w:rPr>
        <w:t>购买固定资产或无形资产的财政拨款、固定资产专门借款的财政贴息等。与收益相关的政府补助，是指除</w:t>
      </w:r>
      <w:r>
        <w:rPr>
          <w:spacing w:val="-83"/>
        </w:rPr>
        <w:t> </w:t>
      </w:r>
      <w:r>
        <w:rPr>
          <w:spacing w:val="-83"/>
        </w:rPr>
      </w:r>
      <w:r>
        <w:rPr/>
        <w:t>与资产相关的政府补助之外的政府补助。</w:t>
      </w:r>
    </w:p>
    <w:p>
      <w:pPr>
        <w:pStyle w:val="BodyText"/>
        <w:spacing w:line="408" w:lineRule="auto" w:before="46"/>
        <w:ind w:left="154" w:right="0" w:firstLine="420"/>
        <w:jc w:val="left"/>
      </w:pPr>
      <w:r>
        <w:rPr>
          <w:spacing w:val="-1"/>
        </w:rPr>
        <w:t>本公司将政府补助划分为与资产相关的具体标准为：申请政府补助的项目最终形成一项或多项长期资</w:t>
      </w:r>
      <w:r>
        <w:rPr/>
        <w:t> 产，且该长期资产可以为本公司带来预期的经济利益。</w:t>
      </w:r>
    </w:p>
    <w:p>
      <w:pPr>
        <w:pStyle w:val="BodyText"/>
        <w:spacing w:line="240" w:lineRule="auto" w:before="46"/>
        <w:ind w:left="574" w:right="0"/>
        <w:jc w:val="left"/>
      </w:pPr>
      <w:r>
        <w:rPr/>
        <w:t>与资产相关的政府补助，确认为递延收益，按照所建造或购买的资产使用年限分期计入营业外收入；</w:t>
      </w:r>
    </w:p>
    <w:p>
      <w:pPr>
        <w:spacing w:line="750" w:lineRule="atLeast" w:before="34"/>
        <w:ind w:left="490" w:right="1011" w:hanging="336"/>
        <w:jc w:val="left"/>
        <w:rPr>
          <w:rFonts w:ascii="宋体" w:hAnsi="宋体" w:cs="宋体" w:eastAsia="宋体" w:hint="default"/>
          <w:sz w:val="21"/>
          <w:szCs w:val="21"/>
        </w:rPr>
      </w:pPr>
      <w:bookmarkStart w:name="（2）与收益相关的政府补助判断依据及会计处理方法" w:id="189"/>
      <w:bookmarkEnd w:id="1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本公司将政府补助划分为与收益相关的具体标准为：申请政府补助的项目与本公司主营业务紧密相关，</w:t>
      </w:r>
    </w:p>
    <w:p>
      <w:pPr>
        <w:spacing w:line="240" w:lineRule="auto" w:before="10"/>
        <w:rPr>
          <w:rFonts w:ascii="宋体" w:hAnsi="宋体" w:cs="宋体" w:eastAsia="宋体" w:hint="default"/>
          <w:sz w:val="14"/>
          <w:szCs w:val="14"/>
        </w:rPr>
      </w:pPr>
    </w:p>
    <w:p>
      <w:pPr>
        <w:pStyle w:val="BodyText"/>
        <w:spacing w:line="240" w:lineRule="auto"/>
        <w:ind w:left="154" w:right="0"/>
        <w:jc w:val="left"/>
      </w:pPr>
      <w:r>
        <w:rPr/>
        <w:t>本公司的相关投入最终将计入相应会计期间的费用。</w:t>
      </w:r>
    </w:p>
    <w:p>
      <w:pPr>
        <w:spacing w:line="240" w:lineRule="auto" w:before="9"/>
        <w:rPr>
          <w:rFonts w:ascii="宋体" w:hAnsi="宋体" w:cs="宋体" w:eastAsia="宋体" w:hint="default"/>
          <w:sz w:val="16"/>
          <w:szCs w:val="16"/>
        </w:rPr>
      </w:pPr>
    </w:p>
    <w:p>
      <w:pPr>
        <w:spacing w:line="477" w:lineRule="auto" w:before="0"/>
        <w:ind w:left="154" w:right="0" w:firstLine="362"/>
        <w:jc w:val="left"/>
        <w:rPr>
          <w:rFonts w:ascii="宋体" w:hAnsi="宋体" w:cs="宋体" w:eastAsia="宋体" w:hint="default"/>
          <w:sz w:val="18"/>
          <w:szCs w:val="18"/>
        </w:rPr>
      </w:pPr>
      <w:r>
        <w:rPr>
          <w:rFonts w:ascii="宋体" w:hAnsi="宋体" w:cs="宋体" w:eastAsia="宋体" w:hint="default"/>
          <w:spacing w:val="-2"/>
          <w:sz w:val="18"/>
          <w:szCs w:val="18"/>
        </w:rPr>
        <w:t>与收益相关的政府补助，用于补偿本公司以后期间的相关费用或损失的，取得时确认为递延收益，在确认相关费用的期</w:t>
      </w:r>
      <w:r>
        <w:rPr>
          <w:rFonts w:ascii="宋体" w:hAnsi="宋体" w:cs="宋体" w:eastAsia="宋体" w:hint="default"/>
          <w:sz w:val="18"/>
          <w:szCs w:val="18"/>
        </w:rPr>
        <w:t> 间计入当期营业外收入；用于补偿本公司已发生的相关费用或损失的，取得时直接计入当期营业外收入。</w:t>
      </w:r>
    </w:p>
    <w:p>
      <w:pPr>
        <w:pStyle w:val="BodyText"/>
        <w:spacing w:line="240" w:lineRule="auto" w:before="29"/>
        <w:ind w:left="573" w:right="0"/>
        <w:jc w:val="left"/>
      </w:pPr>
      <w:r>
        <w:rPr/>
        <w:t>对于政府文件未明确规定补助对象的，本公司直接将收到政府补助计入当期收益。</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26、递延所得税资产/递延所得税负债" w:id="190"/>
      <w:bookmarkEnd w:id="190"/>
      <w:r>
        <w:rPr>
          <w:b w:val="0"/>
          <w:bCs w:val="0"/>
        </w:rPr>
      </w: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right="1130" w:firstLine="420"/>
        <w:jc w:val="both"/>
      </w:pPr>
      <w:r>
        <w:rPr>
          <w:spacing w:val="-1"/>
        </w:rPr>
        <w:t>对于可抵扣暂时性差异确认递延所得税资产，以未来期间很可能取得的用来抵扣可抵扣暂时性差异的</w:t>
      </w:r>
      <w:r>
        <w:rPr/>
        <w:t> </w:t>
      </w:r>
      <w:r>
        <w:rPr>
          <w:spacing w:val="-1"/>
        </w:rPr>
        <w:t>应纳税所得额为限。对于能够结转以后年度的可抵扣亏损和税款抵减，以很可能获得用来抵扣可抵扣亏损</w:t>
      </w:r>
      <w:r>
        <w:rPr>
          <w:spacing w:val="-80"/>
        </w:rPr>
        <w:t> </w:t>
      </w:r>
      <w:r>
        <w:rPr>
          <w:spacing w:val="-80"/>
        </w:rPr>
      </w:r>
      <w:r>
        <w:rPr/>
        <w:t>和税款抵减的未来应纳税所得额为限，确认相应的递延所得税资产。</w:t>
      </w:r>
    </w:p>
    <w:p>
      <w:pPr>
        <w:pStyle w:val="BodyText"/>
        <w:spacing w:line="408" w:lineRule="auto" w:before="46"/>
        <w:ind w:left="573" w:right="0"/>
        <w:jc w:val="left"/>
      </w:pPr>
      <w:r>
        <w:rPr/>
        <w:t>对于应纳税暂时性差异，除特殊情况外，确认递延所得税负债。 </w:t>
      </w:r>
      <w:r>
        <w:rPr>
          <w:spacing w:val="-1"/>
        </w:rPr>
        <w:t>不确认递延所得税资产或递延所得税负债的特殊情况包括：商誉的初始确认；除企业合并以外的发生</w:t>
      </w:r>
    </w:p>
    <w:p>
      <w:pPr>
        <w:pStyle w:val="BodyText"/>
        <w:spacing w:line="408" w:lineRule="auto" w:before="46"/>
        <w:ind w:left="573" w:right="0" w:hanging="420"/>
        <w:jc w:val="left"/>
      </w:pPr>
      <w:r>
        <w:rPr/>
        <w:t>时既不影响会计利润也不影响应纳税所得额（或可抵扣亏损）的其他交易或事项。 </w:t>
      </w:r>
      <w:r>
        <w:rPr>
          <w:spacing w:val="-1"/>
        </w:rPr>
        <w:t>当拥有以净额结算的法定权利，且意图以净额结算或取得资产、清偿负债同时进行时，当期所得税资</w:t>
      </w:r>
    </w:p>
    <w:p>
      <w:pPr>
        <w:pStyle w:val="BodyText"/>
        <w:spacing w:line="408" w:lineRule="auto" w:before="46"/>
        <w:ind w:left="574" w:right="0" w:hanging="420"/>
        <w:jc w:val="left"/>
      </w:pPr>
      <w:r>
        <w:rPr/>
        <w:t>产及当期所得税负债以抵销后的净额列报。 </w:t>
      </w:r>
      <w:r>
        <w:rPr>
          <w:spacing w:val="-1"/>
        </w:rPr>
        <w:t>当拥有以净额结算当期所得税资产及当期所得税负债的法定权利，且递延所得税资产及递延所得税负</w:t>
      </w:r>
    </w:p>
    <w:p>
      <w:pPr>
        <w:pStyle w:val="BodyText"/>
        <w:spacing w:line="408" w:lineRule="auto" w:before="46"/>
        <w:ind w:left="154" w:right="1131"/>
        <w:jc w:val="both"/>
      </w:pPr>
      <w:r>
        <w:rPr>
          <w:spacing w:val="-1"/>
        </w:rPr>
        <w:t>债是与同一税收征管部门对同一纳税主体征收的所得税相关或者是对不同的纳税主体相关，但在未来每一</w:t>
      </w:r>
      <w:r>
        <w:rPr>
          <w:spacing w:val="-81"/>
        </w:rPr>
        <w:t> </w:t>
      </w:r>
      <w:r>
        <w:rPr>
          <w:spacing w:val="-81"/>
        </w:rPr>
      </w: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债或是同时取得资产、清偿负债时，递延所得税资产及递延所得税负债以抵销后的净额列报。</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27、租赁" w:id="191"/>
      <w:bookmarkEnd w:id="191"/>
      <w:r>
        <w:rPr>
          <w:b w:val="0"/>
          <w:bCs w:val="0"/>
        </w:rPr>
      </w:r>
      <w:r>
        <w:rPr>
          <w:rFonts w:ascii="Times New Roman" w:hAnsi="Times New Roman" w:cs="Times New Roman" w:eastAsia="Times New Roman" w:hint="default"/>
        </w:rPr>
        <w:t>27</w:t>
      </w:r>
      <w:r>
        <w:rPr/>
        <w:t>、租赁</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经营租赁的会计处理方法" w:id="192"/>
      <w:bookmarkEnd w:id="192"/>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left="154" w:right="1141" w:firstLine="420"/>
        <w:jc w:val="both"/>
      </w:pPr>
      <w:r>
        <w:rPr>
          <w:rFonts w:ascii="Times New Roman" w:hAnsi="Times New Roman" w:cs="Times New Roman" w:eastAsia="Times New Roman" w:hint="default"/>
        </w:rPr>
        <w:t>1</w:t>
      </w:r>
      <w:r>
        <w:rPr/>
        <w:t>、本公司租入资产所支付的租赁费，在不扣除免租期的整个租赁期内，按直线法进行分摊，计入当 期费用。本公司支付的与租赁交易相关的初始直接费用，计入当期费用。</w:t>
      </w:r>
    </w:p>
    <w:p>
      <w:pPr>
        <w:pStyle w:val="BodyText"/>
        <w:spacing w:line="408" w:lineRule="auto" w:before="65"/>
        <w:ind w:right="1109" w:firstLine="420"/>
        <w:jc w:val="both"/>
      </w:pPr>
      <w:r>
        <w:rPr/>
        <w:t>资产出租方承担了应由本公司承担的与租赁相关的费用时，本公司将该部分费用从租金总额中扣除， 按扣除后的租金费用在租赁期内分摊，计入当期费用。</w:t>
      </w:r>
    </w:p>
    <w:p>
      <w:pPr>
        <w:pStyle w:val="BodyText"/>
        <w:spacing w:line="398" w:lineRule="auto" w:before="46"/>
        <w:ind w:left="154" w:right="1133" w:firstLine="420"/>
        <w:jc w:val="both"/>
      </w:pPr>
      <w:r>
        <w:rPr>
          <w:rFonts w:ascii="Times New Roman" w:hAnsi="Times New Roman" w:cs="Times New Roman" w:eastAsia="Times New Roman" w:hint="default"/>
        </w:rPr>
        <w:t>2</w:t>
      </w:r>
      <w:r>
        <w:rPr/>
        <w:t>、本公司出租资产所收取的租赁费，在不扣除免租期的整个租赁期内，按直线法进行分摊，确认为 </w:t>
      </w:r>
      <w:r>
        <w:rPr>
          <w:spacing w:val="-1"/>
        </w:rPr>
        <w:t>租赁相关收入。本公司支付的与租赁交易相关的初始直接费用，计入当期费用；如金额较大的，则予以资</w:t>
      </w:r>
      <w:r>
        <w:rPr>
          <w:spacing w:val="-86"/>
        </w:rPr>
        <w:t> </w:t>
      </w:r>
      <w:r>
        <w:rPr>
          <w:spacing w:val="-86"/>
        </w:rPr>
      </w:r>
      <w:r>
        <w:rPr/>
        <w:t>本化，在整个租赁期间内按照与租赁相关收入确认相同的基础分期计入当期收益。</w:t>
      </w:r>
    </w:p>
    <w:p>
      <w:pPr>
        <w:pStyle w:val="BodyText"/>
        <w:spacing w:line="408" w:lineRule="auto" w:before="54"/>
        <w:ind w:right="1110" w:firstLine="420"/>
        <w:jc w:val="both"/>
      </w:pPr>
      <w:r>
        <w:rPr/>
        <w:t>本公司承担了应由承租方承担的与租赁相关的费用时，本公司将该部分费用从租金收入总额中扣除， 按扣除后的租金费用在租赁期内分配。</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28、其他重要的会计政策和会计估计" w:id="193"/>
      <w:bookmarkEnd w:id="193"/>
      <w:r>
        <w:rPr>
          <w:b w:val="0"/>
          <w:bCs w:val="0"/>
        </w:rPr>
      </w:r>
      <w:r>
        <w:rPr>
          <w:rFonts w:ascii="Times New Roman" w:hAnsi="Times New Roman" w:cs="Times New Roman" w:eastAsia="Times New Roman" w:hint="default"/>
        </w:rPr>
        <w:t>28</w:t>
      </w:r>
      <w:r>
        <w:rPr/>
        <w:t>、其他重要的会计政策和会计估计</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right="0" w:firstLine="420"/>
        <w:jc w:val="left"/>
      </w:pPr>
      <w:r>
        <w:rPr>
          <w:spacing w:val="-1"/>
        </w:rPr>
        <w:t>终止经营是满足下列条件之一的已被本公司处置或被本公司划归为持有待售的、在经营和编制财务报</w:t>
      </w:r>
      <w:r>
        <w:rPr/>
        <w:t> 表时能够单独区分的组成部分：</w:t>
      </w:r>
    </w:p>
    <w:p>
      <w:pPr>
        <w:pStyle w:val="BodyText"/>
        <w:spacing w:line="240" w:lineRule="auto" w:before="46"/>
        <w:ind w:left="574" w:right="0"/>
        <w:jc w:val="left"/>
      </w:pPr>
      <w:r>
        <w:rPr/>
        <w:t>（</w:t>
      </w:r>
      <w:r>
        <w:rPr>
          <w:rFonts w:ascii="Times New Roman" w:hAnsi="Times New Roman" w:cs="Times New Roman" w:eastAsia="Times New Roman" w:hint="default"/>
        </w:rPr>
        <w:t>1</w:t>
      </w:r>
      <w:r>
        <w:rPr/>
        <w:t>）该组成部分代表一项独立的主要业务或一个主要经营地区；</w:t>
      </w:r>
    </w:p>
    <w:p>
      <w:pPr>
        <w:pStyle w:val="BodyText"/>
        <w:spacing w:line="240" w:lineRule="auto" w:before="177"/>
        <w:ind w:left="573" w:right="0"/>
        <w:jc w:val="left"/>
      </w:pPr>
      <w:r>
        <w:rPr/>
        <w:t>（</w:t>
      </w:r>
      <w:r>
        <w:rPr>
          <w:rFonts w:ascii="Times New Roman" w:hAnsi="Times New Roman" w:cs="Times New Roman" w:eastAsia="Times New Roman" w:hint="default"/>
        </w:rPr>
        <w:t>2</w:t>
      </w:r>
      <w:r>
        <w:rPr/>
        <w:t>）该组成部分是拟对一项独立的主要业务或一个主要经营地区进行处置计划的一部分；</w:t>
      </w:r>
    </w:p>
    <w:p>
      <w:pPr>
        <w:pStyle w:val="BodyText"/>
        <w:spacing w:line="240" w:lineRule="auto" w:before="177"/>
        <w:ind w:left="574" w:right="0"/>
        <w:jc w:val="left"/>
      </w:pPr>
      <w:r>
        <w:rPr/>
        <w:t>（</w:t>
      </w:r>
      <w:r>
        <w:rPr>
          <w:rFonts w:ascii="Times New Roman" w:hAnsi="Times New Roman" w:cs="Times New Roman" w:eastAsia="Times New Roman" w:hint="default"/>
        </w:rPr>
        <w:t>3</w:t>
      </w:r>
      <w:r>
        <w:rPr/>
        <w:t>）该组成部分是仅仅为了再出售而取得的子公司。</w:t>
      </w:r>
    </w:p>
    <w:p>
      <w:pPr>
        <w:spacing w:line="240" w:lineRule="auto" w:before="0"/>
        <w:rPr>
          <w:rFonts w:ascii="宋体" w:hAnsi="宋体" w:cs="宋体" w:eastAsia="宋体" w:hint="default"/>
          <w:sz w:val="22"/>
          <w:szCs w:val="22"/>
        </w:rPr>
      </w:pPr>
    </w:p>
    <w:p>
      <w:pPr>
        <w:pStyle w:val="Heading4"/>
        <w:spacing w:line="240" w:lineRule="auto" w:before="189"/>
        <w:ind w:left="154" w:right="0"/>
        <w:jc w:val="left"/>
        <w:rPr>
          <w:b w:val="0"/>
          <w:bCs w:val="0"/>
        </w:rPr>
      </w:pPr>
      <w:bookmarkStart w:name="29、重要会计政策和会计估计变更" w:id="194"/>
      <w:bookmarkEnd w:id="194"/>
      <w:r>
        <w:rPr>
          <w:b w:val="0"/>
          <w:bCs w:val="0"/>
        </w:rPr>
      </w:r>
      <w:r>
        <w:rPr>
          <w:rFonts w:ascii="Times New Roman" w:hAnsi="Times New Roman" w:cs="Times New Roman" w:eastAsia="Times New Roman" w:hint="default"/>
        </w:rPr>
        <w:t>29</w:t>
      </w:r>
      <w:r>
        <w:rPr/>
        <w:t>、重要会计政策和会计估计变更</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right="0"/>
        <w:jc w:val="left"/>
        <w:rPr>
          <w:b w:val="0"/>
          <w:bCs w:val="0"/>
        </w:rPr>
      </w:pPr>
      <w:bookmarkStart w:name="（1）重要会计政策变更" w:id="195"/>
      <w:bookmarkEnd w:id="195"/>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3233"/>
        <w:gridCol w:w="3231"/>
        <w:gridCol w:w="3231"/>
      </w:tblGrid>
      <w:tr>
        <w:trPr>
          <w:trHeight w:val="557"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3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12" w:hRule="exact"/>
        </w:trPr>
        <w:tc>
          <w:tcPr>
            <w:tcW w:w="3233"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30"/>
              <w:ind w:left="22" w:right="0"/>
              <w:jc w:val="both"/>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日起执行财政部</w:t>
            </w:r>
          </w:p>
          <w:p>
            <w:pPr>
              <w:pStyle w:val="TableParagraph"/>
              <w:spacing w:line="240" w:lineRule="auto" w:before="8"/>
              <w:ind w:right="0"/>
              <w:jc w:val="left"/>
              <w:rPr>
                <w:rFonts w:ascii="宋体" w:hAnsi="宋体" w:cs="宋体" w:eastAsia="宋体" w:hint="default"/>
                <w:sz w:val="16"/>
                <w:szCs w:val="16"/>
              </w:rPr>
            </w:pPr>
          </w:p>
          <w:p>
            <w:pPr>
              <w:pStyle w:val="TableParagraph"/>
              <w:spacing w:line="451" w:lineRule="auto"/>
              <w:ind w:left="22" w:right="41"/>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年修订及新颁布的《企业会计准 </w:t>
            </w:r>
            <w:r>
              <w:rPr>
                <w:rFonts w:ascii="宋体" w:hAnsi="宋体" w:cs="宋体" w:eastAsia="宋体" w:hint="default"/>
                <w:spacing w:val="-15"/>
                <w:sz w:val="18"/>
                <w:szCs w:val="18"/>
              </w:rPr>
              <w:t>则</w:t>
            </w:r>
            <w:r>
              <w:rPr>
                <w:rFonts w:ascii="Times New Roman" w:hAnsi="Times New Roman" w:cs="Times New Roman" w:eastAsia="Times New Roman" w:hint="default"/>
                <w:spacing w:val="-15"/>
                <w:sz w:val="18"/>
                <w:szCs w:val="18"/>
              </w:rPr>
              <w:t>—</w:t>
            </w:r>
            <w:r>
              <w:rPr>
                <w:rFonts w:ascii="宋体" w:hAnsi="宋体" w:cs="宋体" w:eastAsia="宋体" w:hint="default"/>
                <w:spacing w:val="-15"/>
                <w:sz w:val="18"/>
                <w:szCs w:val="18"/>
              </w:rPr>
              <w:t>基本准则》（修订）、《企业会计准则</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16"/>
                <w:sz w:val="18"/>
                <w:szCs w:val="18"/>
              </w:rPr>
              <w:t>号</w:t>
            </w:r>
            <w:r>
              <w:rPr>
                <w:rFonts w:ascii="Times New Roman" w:hAnsi="Times New Roman" w:cs="Times New Roman" w:eastAsia="Times New Roman" w:hint="default"/>
                <w:spacing w:val="-16"/>
                <w:sz w:val="18"/>
                <w:szCs w:val="18"/>
              </w:rPr>
              <w:t>——</w:t>
            </w:r>
            <w:r>
              <w:rPr>
                <w:rFonts w:ascii="宋体" w:hAnsi="宋体" w:cs="宋体" w:eastAsia="宋体" w:hint="default"/>
                <w:spacing w:val="-16"/>
                <w:sz w:val="18"/>
                <w:szCs w:val="18"/>
              </w:rPr>
              <w:t>长期股权投资》（修订）、《企</w:t>
            </w:r>
          </w:p>
          <w:p>
            <w:pPr>
              <w:pStyle w:val="TableParagraph"/>
              <w:spacing w:line="240" w:lineRule="auto" w:before="43"/>
              <w:ind w:left="22" w:right="0"/>
              <w:jc w:val="both"/>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职工薪酬</w:t>
            </w:r>
            <w:r>
              <w:rPr>
                <w:rFonts w:ascii="宋体" w:hAnsi="宋体" w:cs="宋体" w:eastAsia="宋体" w:hint="default"/>
                <w:spacing w:val="-90"/>
                <w:sz w:val="18"/>
                <w:szCs w:val="18"/>
              </w:rPr>
              <w:t>》</w:t>
            </w:r>
            <w:r>
              <w:rPr>
                <w:rFonts w:ascii="宋体" w:hAnsi="宋体" w:cs="宋体" w:eastAsia="宋体" w:hint="default"/>
                <w:sz w:val="18"/>
                <w:szCs w:val="18"/>
              </w:rPr>
              <w:t>（修</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订</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表列报</w:t>
            </w:r>
            <w:r>
              <w:rPr>
                <w:rFonts w:ascii="宋体" w:hAnsi="宋体" w:cs="宋体" w:eastAsia="宋体" w:hint="default"/>
                <w:spacing w:val="-122"/>
                <w:sz w:val="18"/>
                <w:szCs w:val="18"/>
              </w:rPr>
              <w:t>》</w:t>
            </w:r>
            <w:r>
              <w:rPr>
                <w:rFonts w:ascii="宋体" w:hAnsi="宋体" w:cs="宋体" w:eastAsia="宋体" w:hint="default"/>
                <w:sz w:val="18"/>
                <w:szCs w:val="18"/>
              </w:rPr>
              <w:t>（修订</w:t>
            </w:r>
            <w:r>
              <w:rPr>
                <w:rFonts w:ascii="宋体" w:hAnsi="宋体" w:cs="宋体" w:eastAsia="宋体" w:hint="default"/>
                <w:spacing w:val="-90"/>
                <w:sz w:val="18"/>
                <w:szCs w:val="18"/>
              </w:rPr>
              <w:t>）</w:t>
            </w:r>
            <w:r>
              <w:rPr>
                <w:rFonts w:ascii="宋体" w:hAnsi="宋体" w:cs="宋体" w:eastAsia="宋体" w:hint="default"/>
                <w:spacing w:val="-122"/>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9"/>
              <w:ind w:right="0"/>
              <w:jc w:val="left"/>
              <w:rPr>
                <w:rFonts w:ascii="宋体" w:hAnsi="宋体" w:cs="宋体" w:eastAsia="宋体" w:hint="default"/>
                <w:sz w:val="16"/>
                <w:szCs w:val="16"/>
              </w:rPr>
            </w:pPr>
          </w:p>
          <w:p>
            <w:pPr>
              <w:pStyle w:val="TableParagraph"/>
              <w:spacing w:line="451" w:lineRule="auto"/>
              <w:ind w:left="22" w:right="-39"/>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w:t>
            </w:r>
            <w:r>
              <w:rPr>
                <w:rFonts w:ascii="宋体" w:hAnsi="宋体" w:cs="宋体" w:eastAsia="宋体" w:hint="default"/>
                <w:spacing w:val="-90"/>
                <w:sz w:val="18"/>
                <w:szCs w:val="18"/>
              </w:rPr>
              <w:t>》</w:t>
            </w:r>
            <w:r>
              <w:rPr>
                <w:rFonts w:ascii="宋体" w:hAnsi="宋体" w:cs="宋体" w:eastAsia="宋体" w:hint="default"/>
                <w:sz w:val="18"/>
                <w:szCs w:val="18"/>
              </w:rPr>
              <w:t>（修订</w:t>
            </w:r>
            <w:r>
              <w:rPr>
                <w:rFonts w:ascii="宋体" w:hAnsi="宋体" w:cs="宋体" w:eastAsia="宋体" w:hint="default"/>
                <w:spacing w:val="-90"/>
                <w:sz w:val="18"/>
                <w:szCs w:val="18"/>
              </w:rPr>
              <w:t>）、</w:t>
            </w:r>
            <w:r>
              <w:rPr>
                <w:rFonts w:ascii="宋体" w:hAnsi="宋体" w:cs="宋体" w:eastAsia="宋体" w:hint="default"/>
                <w:sz w:val="18"/>
                <w:szCs w:val="18"/>
              </w:rPr>
              <w:t>《企业会计</w:t>
            </w:r>
            <w:r>
              <w:rPr>
                <w:rFonts w:ascii="宋体" w:hAnsi="宋体" w:cs="宋体" w:eastAsia="宋体" w:hint="default"/>
                <w:sz w:val="18"/>
                <w:szCs w:val="18"/>
              </w:rPr>
              <w:t> 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r>
              <w:rPr>
                <w:rFonts w:ascii="宋体" w:hAnsi="宋体" w:cs="宋体" w:eastAsia="宋体" w:hint="default"/>
                <w:spacing w:val="-153"/>
                <w:sz w:val="18"/>
                <w:szCs w:val="18"/>
              </w:rPr>
              <w:t>》</w:t>
            </w:r>
            <w:r>
              <w:rPr>
                <w:rFonts w:ascii="宋体" w:hAnsi="宋体" w:cs="宋体" w:eastAsia="宋体" w:hint="default"/>
                <w:sz w:val="18"/>
                <w:szCs w:val="18"/>
              </w:rPr>
              <w:t>（修订</w:t>
            </w:r>
            <w:r>
              <w:rPr>
                <w:rFonts w:ascii="宋体" w:hAnsi="宋体" w:cs="宋体" w:eastAsia="宋体" w:hint="default"/>
                <w:spacing w:val="-90"/>
                <w:sz w:val="18"/>
                <w:szCs w:val="18"/>
              </w:rPr>
              <w:t>）</w:t>
            </w:r>
            <w:r>
              <w:rPr>
                <w:rFonts w:ascii="宋体" w:hAnsi="宋体" w:cs="宋体" w:eastAsia="宋体" w:hint="default"/>
                <w:spacing w:val="-35"/>
                <w:sz w:val="18"/>
                <w:szCs w:val="18"/>
              </w:rPr>
              <w:t>、</w:t>
            </w:r>
            <w:r>
              <w:rPr>
                <w:rFonts w:ascii="宋体" w:hAnsi="宋体" w:cs="宋体" w:eastAsia="宋体" w:hint="default"/>
                <w:sz w:val="18"/>
                <w:szCs w:val="18"/>
              </w:rPr>
            </w:r>
          </w:p>
          <w:p>
            <w:pPr>
              <w:pStyle w:val="TableParagraph"/>
              <w:spacing w:line="240" w:lineRule="auto" w:before="43"/>
              <w:ind w:left="22" w:right="0"/>
              <w:jc w:val="both"/>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公允价值计</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量</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合营安</w:t>
            </w:r>
          </w:p>
          <w:p>
            <w:pPr>
              <w:pStyle w:val="TableParagraph"/>
              <w:spacing w:line="240" w:lineRule="auto" w:before="9"/>
              <w:ind w:right="0"/>
              <w:jc w:val="left"/>
              <w:rPr>
                <w:rFonts w:ascii="宋体" w:hAnsi="宋体" w:cs="宋体" w:eastAsia="宋体" w:hint="default"/>
                <w:sz w:val="16"/>
                <w:szCs w:val="16"/>
              </w:rPr>
            </w:pPr>
          </w:p>
          <w:p>
            <w:pPr>
              <w:pStyle w:val="TableParagraph"/>
              <w:spacing w:line="468" w:lineRule="auto"/>
              <w:ind w:left="22" w:right="14"/>
              <w:jc w:val="both"/>
              <w:rPr>
                <w:rFonts w:ascii="宋体" w:hAnsi="宋体" w:cs="宋体" w:eastAsia="宋体" w:hint="default"/>
                <w:sz w:val="18"/>
                <w:szCs w:val="18"/>
              </w:rPr>
            </w:pPr>
            <w:r>
              <w:rPr>
                <w:rFonts w:ascii="宋体" w:hAnsi="宋体" w:cs="宋体" w:eastAsia="宋体" w:hint="default"/>
                <w:spacing w:val="-17"/>
                <w:sz w:val="18"/>
                <w:szCs w:val="18"/>
              </w:rPr>
              <w:t>排》、《企业会计准则第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在其他</w:t>
            </w:r>
            <w:r>
              <w:rPr>
                <w:rFonts w:ascii="宋体" w:hAnsi="宋体" w:cs="宋体" w:eastAsia="宋体" w:hint="default"/>
                <w:spacing w:val="-88"/>
                <w:sz w:val="18"/>
                <w:szCs w:val="18"/>
              </w:rPr>
              <w:t> </w:t>
            </w:r>
            <w:r>
              <w:rPr>
                <w:rFonts w:ascii="宋体" w:hAnsi="宋体" w:cs="宋体" w:eastAsia="宋体" w:hint="default"/>
                <w:spacing w:val="-4"/>
                <w:sz w:val="18"/>
                <w:szCs w:val="18"/>
              </w:rPr>
              <w:t>主体中权益的披露》等八项具体准则。本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公司已按新修订及新颁布的《企业会计准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则》对比较财务报表进行了追溯重述。</w:t>
            </w:r>
          </w:p>
        </w:tc>
        <w:tc>
          <w:tcPr>
            <w:tcW w:w="323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463" w:lineRule="auto"/>
              <w:ind w:left="16" w:right="-42"/>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日公司第五届董事会第二 </w:t>
            </w:r>
            <w:r>
              <w:rPr>
                <w:rFonts w:ascii="宋体" w:hAnsi="宋体" w:cs="宋体" w:eastAsia="宋体" w:hint="default"/>
                <w:spacing w:val="-4"/>
                <w:sz w:val="18"/>
                <w:szCs w:val="18"/>
              </w:rPr>
              <w:t>十四次会议、第五届监事会第十三次会议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审议通过了《关于会计政策变更的议案》</w:t>
            </w:r>
          </w:p>
        </w:tc>
        <w:tc>
          <w:tcPr>
            <w:tcW w:w="323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63"/>
        <w:ind w:left="490" w:right="0"/>
        <w:jc w:val="left"/>
      </w:pPr>
      <w:r>
        <w:rPr/>
        <w:pict>
          <v:group style="position:absolute;margin-left:218.360001pt;margin-top:-166.346329pt;width:321.5pt;height:165.8pt;mso-position-horizontal-relative:page;mso-position-vertical-relative:paragraph;z-index:-915448" coordorigin="4367,-3327" coordsize="6430,3316">
            <v:group style="position:absolute;left:4367;top:-3327;width:3176;height:508" coordorigin="4367,-3327" coordsize="3176,508">
              <v:shape style="position:absolute;left:4367;top:-3327;width:3176;height:508" coordorigin="4367,-3327" coordsize="3176,508" path="m4367,-2819l7543,-2819,7543,-3327,4367,-3327,4367,-2819xe" filled="true" fillcolor="#ffffff" stroked="false">
                <v:path arrowok="t"/>
                <v:fill type="solid"/>
              </v:shape>
            </v:group>
            <v:group style="position:absolute;left:7576;top:-3287;width:3220;height:3277" coordorigin="7576,-3287" coordsize="3220,3277">
              <v:shape style="position:absolute;left:7576;top:-3287;width:3220;height:3277" coordorigin="7576,-3287" coordsize="3220,3277" path="m7576,-11l10796,-11,10796,-3287,7576,-3287,7576,-11xe" filled="true" fillcolor="#ffffff" stroked="false">
                <v:path arrowok="t"/>
                <v:fill type="solid"/>
              </v:shape>
            </v:group>
            <w10:wrap type="none"/>
          </v:group>
        </w:pict>
      </w:r>
      <w:r>
        <w:rPr/>
        <w:t>因本公司生产经营活动涉及本次《企业会计准则第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长期股权投资》（修订）的修订内容，本公</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司对被投资单位不具有共同控制或重大影响，并且在活跃市场中没有报价、公允价值不能可靠计量的投资</w:t>
      </w:r>
      <w:r>
        <w:rPr>
          <w:spacing w:val="-81"/>
        </w:rPr>
        <w:t> </w:t>
      </w:r>
      <w:r>
        <w:rPr>
          <w:spacing w:val="-81"/>
        </w:rPr>
      </w:r>
      <w:r>
        <w:rPr>
          <w:spacing w:val="-1"/>
        </w:rPr>
        <w:t>从长期股权投资中分类至可供出售金融资产核算，并进行了追溯调整。主要影响长期股权投资与可供出售</w:t>
      </w:r>
      <w:r>
        <w:rPr>
          <w:spacing w:val="-81"/>
        </w:rPr>
        <w:t> </w:t>
      </w:r>
      <w:r>
        <w:rPr>
          <w:spacing w:val="-81"/>
        </w:rPr>
      </w:r>
      <w:r>
        <w:rPr/>
        <w:t>金融资产金额为</w:t>
      </w:r>
      <w:r>
        <w:rPr>
          <w:rFonts w:ascii="Times New Roman" w:hAnsi="Times New Roman" w:cs="Times New Roman" w:eastAsia="Times New Roman" w:hint="default"/>
        </w:rPr>
        <w:t>2,800</w:t>
      </w:r>
      <w:r>
        <w:rPr/>
        <w:t>万元。</w:t>
      </w:r>
    </w:p>
    <w:p>
      <w:pPr>
        <w:spacing w:line="240" w:lineRule="auto" w:before="1"/>
        <w:rPr>
          <w:rFonts w:ascii="宋体" w:hAnsi="宋体" w:cs="宋体" w:eastAsia="宋体" w:hint="default"/>
          <w:sz w:val="24"/>
          <w:szCs w:val="24"/>
        </w:rPr>
      </w:pPr>
    </w:p>
    <w:p>
      <w:pPr>
        <w:pStyle w:val="Heading4"/>
        <w:spacing w:line="240" w:lineRule="auto"/>
        <w:ind w:right="0"/>
        <w:jc w:val="both"/>
        <w:rPr>
          <w:b w:val="0"/>
          <w:bCs w:val="0"/>
        </w:rPr>
      </w:pPr>
      <w:bookmarkStart w:name="（2）重要会计估计变更" w:id="196"/>
      <w:bookmarkEnd w:id="196"/>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4"/>
        <w:spacing w:line="240" w:lineRule="auto"/>
        <w:ind w:right="0"/>
        <w:jc w:val="both"/>
        <w:rPr>
          <w:b w:val="0"/>
          <w:bCs w:val="0"/>
        </w:rPr>
      </w:pPr>
      <w:bookmarkStart w:name="30、其他" w:id="197"/>
      <w:bookmarkEnd w:id="197"/>
      <w:r>
        <w:rPr>
          <w:b w:val="0"/>
          <w:bCs w:val="0"/>
        </w:rPr>
      </w:r>
      <w:r>
        <w:rPr>
          <w:rFonts w:ascii="Times New Roman" w:hAnsi="Times New Roman" w:cs="Times New Roman" w:eastAsia="Times New Roman" w:hint="default"/>
        </w:rPr>
        <w:t>30</w:t>
      </w:r>
      <w:r>
        <w:rPr/>
        <w:t>、其他</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left="574" w:right="1118"/>
        <w:jc w:val="left"/>
      </w:pPr>
      <w:r>
        <w:rPr>
          <w:rFonts w:ascii="宋体" w:hAnsi="宋体" w:cs="宋体" w:eastAsia="宋体" w:hint="default"/>
          <w:b/>
          <w:bCs/>
        </w:rPr>
        <w:t>关联方</w:t>
      </w:r>
      <w:r>
        <w:rPr>
          <w:rFonts w:ascii="宋体" w:hAnsi="宋体" w:cs="宋体" w:eastAsia="宋体" w:hint="default"/>
          <w:b/>
          <w:bCs/>
          <w:spacing w:val="1"/>
          <w:w w:val="99"/>
        </w:rPr>
        <w:t> </w:t>
      </w:r>
      <w:r>
        <w:rPr>
          <w:spacing w:val="-1"/>
        </w:rPr>
        <w:t>一方控制、共同控制另一方或对另一方施加重大影响，以及两方或两方以上同受一方控制、共同控制</w:t>
      </w:r>
    </w:p>
    <w:p>
      <w:pPr>
        <w:pStyle w:val="BodyText"/>
        <w:spacing w:line="408" w:lineRule="auto" w:before="46"/>
        <w:ind w:left="154" w:right="1133"/>
        <w:jc w:val="both"/>
      </w:pPr>
      <w:r>
        <w:rPr>
          <w:spacing w:val="-1"/>
        </w:rPr>
        <w:t>的，构成关联方。关联方可为个人或企业。仅仅同受国家控制而不存在其他关联方关系的企业，不构成本</w:t>
      </w:r>
      <w:r>
        <w:rPr>
          <w:spacing w:val="-86"/>
        </w:rPr>
        <w:t> </w:t>
      </w:r>
      <w:r>
        <w:rPr>
          <w:spacing w:val="-86"/>
        </w:rPr>
      </w:r>
      <w:r>
        <w:rPr/>
        <w:t>公司的关联方。</w:t>
      </w:r>
    </w:p>
    <w:p>
      <w:pPr>
        <w:pStyle w:val="BodyText"/>
        <w:spacing w:line="240" w:lineRule="auto" w:before="46"/>
        <w:ind w:left="573" w:right="0"/>
        <w:jc w:val="left"/>
      </w:pPr>
      <w:r>
        <w:rPr/>
        <w:t>本公司的关联方包括但不限于：</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t>（</w:t>
      </w:r>
      <w:r>
        <w:rPr>
          <w:rFonts w:ascii="Times New Roman" w:hAnsi="Times New Roman" w:cs="Times New Roman" w:eastAsia="Times New Roman" w:hint="default"/>
        </w:rPr>
        <w:t>1</w:t>
      </w:r>
      <w:r>
        <w:rPr/>
        <w:t>）本公司的母公司；</w:t>
      </w:r>
    </w:p>
    <w:p>
      <w:pPr>
        <w:pStyle w:val="BodyText"/>
        <w:spacing w:line="240" w:lineRule="auto" w:before="177"/>
        <w:ind w:left="573" w:right="0"/>
        <w:jc w:val="left"/>
      </w:pPr>
      <w:r>
        <w:rPr/>
        <w:t>（</w:t>
      </w:r>
      <w:r>
        <w:rPr>
          <w:rFonts w:ascii="Times New Roman" w:hAnsi="Times New Roman" w:cs="Times New Roman" w:eastAsia="Times New Roman" w:hint="default"/>
        </w:rPr>
        <w:t>2</w:t>
      </w:r>
      <w:r>
        <w:rPr/>
        <w:t>）本公司的子公司；</w:t>
      </w:r>
    </w:p>
    <w:p>
      <w:pPr>
        <w:pStyle w:val="BodyText"/>
        <w:spacing w:line="240" w:lineRule="auto" w:before="177"/>
        <w:ind w:left="573" w:right="0"/>
        <w:jc w:val="left"/>
      </w:pPr>
      <w:r>
        <w:rPr/>
        <w:t>（</w:t>
      </w:r>
      <w:r>
        <w:rPr>
          <w:rFonts w:ascii="Times New Roman" w:hAnsi="Times New Roman" w:cs="Times New Roman" w:eastAsia="Times New Roman" w:hint="default"/>
        </w:rPr>
        <w:t>3</w:t>
      </w:r>
      <w:r>
        <w:rPr/>
        <w:t>）与本公司受同一母公司控制的其他企业；</w:t>
      </w:r>
    </w:p>
    <w:p>
      <w:pPr>
        <w:pStyle w:val="BodyText"/>
        <w:spacing w:line="240" w:lineRule="auto" w:before="177"/>
        <w:ind w:left="573" w:right="0"/>
        <w:jc w:val="left"/>
      </w:pPr>
      <w:r>
        <w:rPr/>
        <w:t>（</w:t>
      </w:r>
      <w:r>
        <w:rPr>
          <w:rFonts w:ascii="Times New Roman" w:hAnsi="Times New Roman" w:cs="Times New Roman" w:eastAsia="Times New Roman" w:hint="default"/>
        </w:rPr>
        <w:t>4</w:t>
      </w:r>
      <w:r>
        <w:rPr/>
        <w:t>）对本公司实施共同控制的投资方；</w:t>
      </w:r>
    </w:p>
    <w:p>
      <w:pPr>
        <w:pStyle w:val="BodyText"/>
        <w:spacing w:line="240" w:lineRule="auto" w:before="177"/>
        <w:ind w:left="573" w:right="0"/>
        <w:jc w:val="left"/>
      </w:pPr>
      <w:r>
        <w:rPr/>
        <w:t>（</w:t>
      </w:r>
      <w:r>
        <w:rPr>
          <w:rFonts w:ascii="Times New Roman" w:hAnsi="Times New Roman" w:cs="Times New Roman" w:eastAsia="Times New Roman" w:hint="default"/>
        </w:rPr>
        <w:t>5</w:t>
      </w:r>
      <w:r>
        <w:rPr/>
        <w:t>）对本公司施加重大影响的投资方；</w:t>
      </w:r>
    </w:p>
    <w:p>
      <w:pPr>
        <w:pStyle w:val="BodyText"/>
        <w:spacing w:line="240" w:lineRule="auto" w:before="177"/>
        <w:ind w:left="573" w:right="0"/>
        <w:jc w:val="left"/>
      </w:pPr>
      <w:r>
        <w:rPr/>
        <w:t>（</w:t>
      </w:r>
      <w:r>
        <w:rPr>
          <w:rFonts w:ascii="Times New Roman" w:hAnsi="Times New Roman" w:cs="Times New Roman" w:eastAsia="Times New Roman" w:hint="default"/>
        </w:rPr>
        <w:t>6</w:t>
      </w:r>
      <w:r>
        <w:rPr/>
        <w:t>）本公司的合营企业，包括合营企业的子公司；</w:t>
      </w:r>
    </w:p>
    <w:p>
      <w:pPr>
        <w:pStyle w:val="BodyText"/>
        <w:spacing w:line="240" w:lineRule="auto" w:before="177"/>
        <w:ind w:left="573" w:right="0"/>
        <w:jc w:val="left"/>
      </w:pPr>
      <w:r>
        <w:rPr/>
        <w:t>（</w:t>
      </w:r>
      <w:r>
        <w:rPr>
          <w:rFonts w:ascii="Times New Roman" w:hAnsi="Times New Roman" w:cs="Times New Roman" w:eastAsia="Times New Roman" w:hint="default"/>
        </w:rPr>
        <w:t>7</w:t>
      </w:r>
      <w:r>
        <w:rPr/>
        <w:t>）本公司的联营企业，包括联营企业的子公司；</w:t>
      </w:r>
    </w:p>
    <w:p>
      <w:pPr>
        <w:pStyle w:val="BodyText"/>
        <w:spacing w:line="240" w:lineRule="auto" w:before="177"/>
        <w:ind w:left="573" w:right="0"/>
        <w:jc w:val="left"/>
      </w:pPr>
      <w:r>
        <w:rPr/>
        <w:t>（</w:t>
      </w:r>
      <w:r>
        <w:rPr>
          <w:rFonts w:ascii="Times New Roman" w:hAnsi="Times New Roman" w:cs="Times New Roman" w:eastAsia="Times New Roman" w:hint="default"/>
        </w:rPr>
        <w:t>8</w:t>
      </w:r>
      <w:r>
        <w:rPr/>
        <w:t>）本公司的主要投资者个人及与其关系密切的家庭成员</w:t>
      </w:r>
      <w:r>
        <w:rPr>
          <w:spacing w:val="-23"/>
        </w:rPr>
        <w:t> </w:t>
      </w:r>
      <w:r>
        <w:rPr/>
        <w:t>；</w:t>
      </w:r>
    </w:p>
    <w:p>
      <w:pPr>
        <w:pStyle w:val="BodyText"/>
        <w:spacing w:line="240" w:lineRule="auto" w:before="177"/>
        <w:ind w:left="574" w:right="0"/>
        <w:jc w:val="left"/>
      </w:pPr>
      <w:r>
        <w:rPr/>
        <w:t>（</w:t>
      </w:r>
      <w:r>
        <w:rPr>
          <w:rFonts w:ascii="Times New Roman" w:hAnsi="Times New Roman" w:cs="Times New Roman" w:eastAsia="Times New Roman" w:hint="default"/>
        </w:rPr>
        <w:t>9</w:t>
      </w:r>
      <w:r>
        <w:rPr/>
        <w:t>）本公司或其母公司的关键管理人员及与其关系密切的家庭成员；</w:t>
      </w:r>
    </w:p>
    <w:p>
      <w:pPr>
        <w:pStyle w:val="BodyText"/>
        <w:spacing w:line="386" w:lineRule="auto" w:before="177"/>
        <w:ind w:left="154" w:right="1118" w:firstLine="420"/>
        <w:jc w:val="left"/>
      </w:pPr>
      <w:r>
        <w:rPr>
          <w:spacing w:val="-1"/>
        </w:rPr>
        <w:t>（</w:t>
      </w:r>
      <w:r>
        <w:rPr>
          <w:rFonts w:ascii="Times New Roman" w:hAnsi="Times New Roman" w:cs="Times New Roman" w:eastAsia="Times New Roman" w:hint="default"/>
          <w:spacing w:val="-1"/>
        </w:rPr>
        <w:t>10</w:t>
      </w:r>
      <w:r>
        <w:rPr>
          <w:spacing w:val="-1"/>
        </w:rPr>
        <w:t>）本公司的主要投资者个人、关键管理人员或与其关系密切的家庭成员控制、共同控制的其他企</w:t>
      </w:r>
      <w:r>
        <w:rPr/>
        <w:t> 业。</w:t>
      </w:r>
    </w:p>
    <w:p>
      <w:pPr>
        <w:spacing w:after="0" w:line="386"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2"/>
        <w:spacing w:line="240" w:lineRule="auto" w:before="26"/>
        <w:ind w:right="0"/>
        <w:jc w:val="left"/>
        <w:rPr>
          <w:b w:val="0"/>
          <w:bCs w:val="0"/>
        </w:rPr>
      </w:pPr>
      <w:bookmarkStart w:name="六、税项" w:id="198"/>
      <w:bookmarkEnd w:id="198"/>
      <w:r>
        <w:rPr>
          <w:b w:val="0"/>
          <w:bCs w:val="0"/>
        </w:rPr>
      </w:r>
      <w:r>
        <w:rPr/>
        <w:t>六、税项</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left"/>
        <w:rPr>
          <w:b w:val="0"/>
          <w:bCs w:val="0"/>
        </w:rPr>
      </w:pPr>
      <w:bookmarkStart w:name="1、主要税种及税率" w:id="199"/>
      <w:bookmarkEnd w:id="199"/>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21" w:type="dxa"/>
        <w:tblLayout w:type="fixed"/>
        <w:tblCellMar>
          <w:top w:w="0" w:type="dxa"/>
          <w:left w:w="0" w:type="dxa"/>
          <w:bottom w:w="0" w:type="dxa"/>
          <w:right w:w="0" w:type="dxa"/>
        </w:tblCellMar>
        <w:tblLook w:val="01E0"/>
      </w:tblPr>
      <w:tblGrid>
        <w:gridCol w:w="3230"/>
        <w:gridCol w:w="3233"/>
        <w:gridCol w:w="3232"/>
      </w:tblGrid>
      <w:tr>
        <w:trPr>
          <w:trHeight w:val="558"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07" w:hRule="exact"/>
        </w:trPr>
        <w:tc>
          <w:tcPr>
            <w:tcW w:w="3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3233" w:type="dxa"/>
            <w:vMerge w:val="restart"/>
            <w:tcBorders>
              <w:top w:val="single" w:sz="4" w:space="0" w:color="000000"/>
              <w:left w:val="single" w:sz="9" w:space="0" w:color="D2D2D2"/>
              <w:right w:val="single" w:sz="4" w:space="0" w:color="000000"/>
            </w:tcBorders>
          </w:tcPr>
          <w:p>
            <w:pPr>
              <w:pStyle w:val="TableParagraph"/>
              <w:spacing w:line="477" w:lineRule="auto" w:before="129"/>
              <w:ind w:left="17" w:right="21"/>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按税法规定计算的销售货物和应税劳务 </w:t>
            </w:r>
            <w:r>
              <w:rPr>
                <w:rFonts w:ascii="宋体" w:hAnsi="宋体" w:cs="宋体" w:eastAsia="宋体" w:hint="default"/>
                <w:spacing w:val="-4"/>
                <w:sz w:val="18"/>
                <w:szCs w:val="18"/>
              </w:rPr>
              <w:t>收入为基础计算销项税额，在扣除当期允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许抵扣的进项税额后，差额部分为应交增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值税</w:t>
            </w:r>
          </w:p>
        </w:tc>
        <w:tc>
          <w:tcPr>
            <w:tcW w:w="32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548" w:hRule="exact"/>
        </w:trPr>
        <w:tc>
          <w:tcPr>
            <w:tcW w:w="3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33" w:type="dxa"/>
            <w:vMerge/>
            <w:tcBorders>
              <w:left w:val="single" w:sz="9" w:space="0" w:color="D2D2D2"/>
              <w:right w:val="single" w:sz="4" w:space="0" w:color="000000"/>
            </w:tcBorders>
          </w:tcPr>
          <w:p>
            <w:pPr/>
          </w:p>
        </w:tc>
        <w:tc>
          <w:tcPr>
            <w:tcW w:w="3232" w:type="dxa"/>
            <w:vMerge/>
            <w:tcBorders>
              <w:left w:val="single" w:sz="4" w:space="0" w:color="000000"/>
              <w:right w:val="single" w:sz="4" w:space="0" w:color="000000"/>
            </w:tcBorders>
          </w:tcPr>
          <w:p>
            <w:pPr/>
          </w:p>
        </w:tc>
      </w:tr>
      <w:tr>
        <w:trPr>
          <w:trHeight w:val="707" w:hRule="exact"/>
        </w:trPr>
        <w:tc>
          <w:tcPr>
            <w:tcW w:w="3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3233" w:type="dxa"/>
            <w:vMerge/>
            <w:tcBorders>
              <w:left w:val="single" w:sz="9" w:space="0" w:color="D2D2D2"/>
              <w:bottom w:val="single" w:sz="4" w:space="0" w:color="000000"/>
              <w:right w:val="single" w:sz="4" w:space="0" w:color="000000"/>
            </w:tcBorders>
          </w:tcPr>
          <w:p>
            <w:pPr/>
          </w:p>
        </w:tc>
        <w:tc>
          <w:tcPr>
            <w:tcW w:w="3232" w:type="dxa"/>
            <w:vMerge/>
            <w:tcBorders>
              <w:left w:val="single" w:sz="4" w:space="0" w:color="000000"/>
              <w:bottom w:val="single" w:sz="4" w:space="0" w:color="000000"/>
              <w:right w:val="single" w:sz="4" w:space="0" w:color="000000"/>
            </w:tcBorders>
          </w:tcPr>
          <w:p>
            <w:pPr/>
          </w:p>
        </w:tc>
      </w:tr>
      <w:tr>
        <w:trPr>
          <w:trHeight w:val="239" w:hRule="exact"/>
        </w:trPr>
        <w:tc>
          <w:tcPr>
            <w:tcW w:w="3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3233" w:type="dxa"/>
            <w:vMerge w:val="restart"/>
            <w:tcBorders>
              <w:top w:val="single" w:sz="4" w:space="0" w:color="000000"/>
              <w:left w:val="single" w:sz="9" w:space="0" w:color="D2D2D2"/>
              <w:right w:val="single" w:sz="4" w:space="0" w:color="000000"/>
            </w:tcBorders>
          </w:tcPr>
          <w:p>
            <w:pPr>
              <w:pStyle w:val="TableParagraph"/>
              <w:spacing w:line="477" w:lineRule="auto" w:before="129"/>
              <w:ind w:left="17" w:right="21"/>
              <w:jc w:val="left"/>
              <w:rPr>
                <w:rFonts w:ascii="宋体" w:hAnsi="宋体" w:cs="宋体" w:eastAsia="宋体" w:hint="default"/>
                <w:sz w:val="18"/>
                <w:szCs w:val="18"/>
              </w:rPr>
            </w:pPr>
            <w:r>
              <w:rPr>
                <w:rFonts w:ascii="宋体" w:hAnsi="宋体" w:cs="宋体" w:eastAsia="宋体" w:hint="default"/>
                <w:spacing w:val="-4"/>
                <w:sz w:val="18"/>
                <w:szCs w:val="18"/>
              </w:rPr>
              <w:t>按实际缴纳的营业税、增值税及消费税计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征</w:t>
            </w:r>
          </w:p>
        </w:tc>
        <w:tc>
          <w:tcPr>
            <w:tcW w:w="32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548" w:hRule="exact"/>
        </w:trPr>
        <w:tc>
          <w:tcPr>
            <w:tcW w:w="3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33" w:type="dxa"/>
            <w:vMerge/>
            <w:tcBorders>
              <w:left w:val="single" w:sz="9" w:space="0" w:color="D2D2D2"/>
              <w:right w:val="single" w:sz="4" w:space="0" w:color="000000"/>
            </w:tcBorders>
          </w:tcPr>
          <w:p>
            <w:pPr/>
          </w:p>
        </w:tc>
        <w:tc>
          <w:tcPr>
            <w:tcW w:w="3232" w:type="dxa"/>
            <w:vMerge/>
            <w:tcBorders>
              <w:left w:val="single" w:sz="4" w:space="0" w:color="000000"/>
              <w:right w:val="single" w:sz="4" w:space="0" w:color="000000"/>
            </w:tcBorders>
          </w:tcPr>
          <w:p>
            <w:pPr/>
          </w:p>
        </w:tc>
      </w:tr>
      <w:tr>
        <w:trPr>
          <w:trHeight w:val="239" w:hRule="exact"/>
        </w:trPr>
        <w:tc>
          <w:tcPr>
            <w:tcW w:w="3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3233" w:type="dxa"/>
            <w:vMerge/>
            <w:tcBorders>
              <w:left w:val="single" w:sz="9" w:space="0" w:color="D2D2D2"/>
              <w:bottom w:val="single" w:sz="4" w:space="0" w:color="000000"/>
              <w:right w:val="single" w:sz="4" w:space="0" w:color="000000"/>
            </w:tcBorders>
          </w:tcPr>
          <w:p>
            <w:pPr/>
          </w:p>
        </w:tc>
        <w:tc>
          <w:tcPr>
            <w:tcW w:w="3232" w:type="dxa"/>
            <w:vMerge/>
            <w:tcBorders>
              <w:left w:val="single" w:sz="4" w:space="0" w:color="000000"/>
              <w:bottom w:val="single" w:sz="4" w:space="0" w:color="000000"/>
              <w:right w:val="single" w:sz="4" w:space="0" w:color="000000"/>
            </w:tcBorders>
          </w:tcPr>
          <w:p>
            <w:pPr/>
          </w:p>
        </w:tc>
      </w:tr>
      <w:tr>
        <w:trPr>
          <w:trHeight w:val="558"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12"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1026"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3" w:right="21"/>
              <w:jc w:val="left"/>
              <w:rPr>
                <w:rFonts w:ascii="宋体" w:hAnsi="宋体" w:cs="宋体" w:eastAsia="宋体" w:hint="default"/>
                <w:sz w:val="18"/>
                <w:szCs w:val="18"/>
              </w:rPr>
            </w:pPr>
            <w:r>
              <w:rPr>
                <w:rFonts w:ascii="宋体" w:hAnsi="宋体" w:cs="宋体" w:eastAsia="宋体" w:hint="default"/>
                <w:spacing w:val="-4"/>
                <w:sz w:val="18"/>
                <w:szCs w:val="18"/>
              </w:rPr>
              <w:t>按实际缴纳的营业税、增值税及消费税计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征</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3" w:right="21"/>
              <w:jc w:val="left"/>
              <w:rPr>
                <w:rFonts w:ascii="宋体" w:hAnsi="宋体" w:cs="宋体" w:eastAsia="宋体" w:hint="default"/>
                <w:sz w:val="18"/>
                <w:szCs w:val="18"/>
              </w:rPr>
            </w:pPr>
            <w:r>
              <w:rPr>
                <w:rFonts w:ascii="宋体" w:hAnsi="宋体" w:cs="宋体" w:eastAsia="宋体" w:hint="default"/>
                <w:spacing w:val="-4"/>
                <w:sz w:val="18"/>
                <w:szCs w:val="18"/>
              </w:rPr>
              <w:t>按实际缴纳的营业税、增值税及消费税计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征</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line="240" w:lineRule="auto" w:before="6"/>
        <w:rPr>
          <w:rFonts w:ascii="宋体" w:hAnsi="宋体" w:cs="宋体" w:eastAsia="宋体" w:hint="default"/>
          <w:b/>
          <w:bCs/>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55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both"/>
        <w:rPr>
          <w:b w:val="0"/>
          <w:bCs w:val="0"/>
        </w:rPr>
      </w:pPr>
      <w:bookmarkStart w:name="2、税收优惠" w:id="200"/>
      <w:bookmarkEnd w:id="200"/>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left="574" w:right="1118"/>
        <w:jc w:val="left"/>
      </w:pPr>
      <w:r>
        <w:rPr>
          <w:rFonts w:ascii="Times New Roman" w:hAnsi="Times New Roman" w:cs="Times New Roman" w:eastAsia="Times New Roman" w:hint="default"/>
          <w:b/>
          <w:bCs/>
        </w:rPr>
        <w:t>1</w:t>
      </w:r>
      <w:r>
        <w:rPr>
          <w:rFonts w:ascii="宋体" w:hAnsi="宋体" w:cs="宋体" w:eastAsia="宋体" w:hint="default"/>
          <w:b/>
          <w:bCs/>
        </w:rPr>
        <w:t>、增值税</w:t>
      </w:r>
      <w:r>
        <w:rPr>
          <w:rFonts w:ascii="宋体" w:hAnsi="宋体" w:cs="宋体" w:eastAsia="宋体" w:hint="default"/>
          <w:b/>
          <w:bCs/>
          <w:w w:val="99"/>
        </w:rPr>
        <w:t> </w:t>
      </w:r>
      <w:r>
        <w:rPr>
          <w:spacing w:val="-1"/>
        </w:rPr>
        <w:t>本公司及子公司吉林紫鑫敦化医药药材有限公司、吉林草还丹药业有限公司、吉林紫鑫初元药业有限</w:t>
      </w:r>
    </w:p>
    <w:p>
      <w:pPr>
        <w:pStyle w:val="BodyText"/>
        <w:spacing w:line="400" w:lineRule="auto" w:before="65"/>
        <w:ind w:right="1131"/>
        <w:jc w:val="both"/>
      </w:pPr>
      <w:r>
        <w:rPr>
          <w:spacing w:val="-1"/>
        </w:rPr>
        <w:t>公司、吉林紫鑫般若药业有限公司、吉林紫鑫禺拙药业有限公司、吉林紫鑫人参销售有限公司均为增值税</w:t>
      </w:r>
      <w:r>
        <w:rPr>
          <w:spacing w:val="-83"/>
        </w:rPr>
        <w:t> </w:t>
      </w:r>
      <w:r>
        <w:rPr>
          <w:spacing w:val="-83"/>
        </w:rPr>
      </w:r>
      <w:r>
        <w:rPr>
          <w:spacing w:val="3"/>
        </w:rPr>
        <w:t>一般纳税人，增值税应纳税额为当期销项税额抵减可以抵扣的进项税额后的余额，增值税的销项税率为</w:t>
      </w:r>
      <w:r>
        <w:rPr>
          <w:spacing w:val="-82"/>
        </w:rPr>
        <w:t> </w:t>
      </w:r>
      <w:r>
        <w:rPr>
          <w:spacing w:val="-82"/>
        </w:rPr>
      </w:r>
      <w:r>
        <w:rPr>
          <w:rFonts w:ascii="Times New Roman" w:hAnsi="Times New Roman" w:cs="Times New Roman" w:eastAsia="Times New Roman" w:hint="default"/>
        </w:rPr>
        <w:t>17%</w:t>
      </w:r>
      <w:r>
        <w:rPr/>
        <w:t>。销售人参产品按照人参初加工和深加工分类，增值税的销项税率为</w:t>
      </w:r>
      <w:r>
        <w:rPr>
          <w:rFonts w:ascii="Times New Roman" w:hAnsi="Times New Roman" w:cs="Times New Roman" w:eastAsia="Times New Roman" w:hint="default"/>
        </w:rPr>
        <w:t>13%</w:t>
      </w:r>
      <w:r>
        <w:rPr/>
        <w:t>和</w:t>
      </w:r>
      <w:r>
        <w:rPr>
          <w:rFonts w:ascii="Times New Roman" w:hAnsi="Times New Roman" w:cs="Times New Roman" w:eastAsia="Times New Roman" w:hint="default"/>
        </w:rPr>
        <w:t>17%</w:t>
      </w:r>
      <w:r>
        <w:rPr/>
        <w:t>。子公司吉林紫鑫红</w:t>
      </w:r>
      <w:r>
        <w:rPr>
          <w:spacing w:val="-29"/>
        </w:rPr>
        <w:t> </w:t>
      </w:r>
      <w:r>
        <w:rPr>
          <w:spacing w:val="-29"/>
        </w:rPr>
      </w:r>
      <w:r>
        <w:rPr/>
        <w:t>石种养殖有限公司享受增值税免税政策。</w:t>
      </w:r>
    </w:p>
    <w:p>
      <w:pPr>
        <w:pStyle w:val="BodyText"/>
        <w:spacing w:line="386" w:lineRule="auto" w:before="53"/>
        <w:ind w:left="573" w:right="1128"/>
        <w:jc w:val="left"/>
      </w:pPr>
      <w:r>
        <w:rPr>
          <w:rFonts w:ascii="Times New Roman" w:hAnsi="Times New Roman" w:cs="Times New Roman" w:eastAsia="Times New Roman" w:hint="default"/>
        </w:rPr>
        <w:t>2</w:t>
      </w:r>
      <w:r>
        <w:rPr/>
        <w:t>、企业所得税 本公司为吉林省高新技术企业执行的所得税税率为</w:t>
      </w:r>
      <w:r>
        <w:rPr>
          <w:rFonts w:ascii="Times New Roman" w:hAnsi="Times New Roman" w:cs="Times New Roman" w:eastAsia="Times New Roman" w:hint="default"/>
        </w:rPr>
        <w:t>15%</w:t>
      </w:r>
      <w:r>
        <w:rPr/>
        <w:t>。子公司吉林草还丹药业有限公司坐落在吉林</w:t>
      </w:r>
    </w:p>
    <w:p>
      <w:pPr>
        <w:spacing w:after="0" w:line="38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3" w:lineRule="auto" w:before="174"/>
        <w:ind w:right="1130"/>
        <w:jc w:val="both"/>
      </w:pPr>
      <w:r>
        <w:rPr/>
        <w:t>省延边朝鲜族自治州敦化市，根据国家有关规定享受国家西部大开发政策，执行的所得税税率为</w:t>
      </w:r>
      <w:r>
        <w:rPr>
          <w:rFonts w:ascii="Times New Roman" w:hAnsi="Times New Roman" w:cs="Times New Roman" w:eastAsia="Times New Roman" w:hint="default"/>
        </w:rPr>
        <w:t>15%</w:t>
      </w:r>
      <w:r>
        <w:rPr/>
        <w:t>。子</w:t>
      </w:r>
      <w:r>
        <w:rPr>
          <w:spacing w:val="-94"/>
        </w:rPr>
        <w:t> </w:t>
      </w:r>
      <w:r>
        <w:rPr>
          <w:spacing w:val="-1"/>
        </w:rPr>
        <w:t>公司吉林紫鑫敦化医药药材有限公司、吉林紫鑫初元药业有限公司、吉林紫鑫般若药业有限公司、吉林紫</w:t>
      </w:r>
      <w:r>
        <w:rPr>
          <w:spacing w:val="-83"/>
        </w:rPr>
        <w:t> </w:t>
      </w:r>
      <w:r>
        <w:rPr>
          <w:spacing w:val="-83"/>
        </w:rPr>
      </w:r>
      <w:r>
        <w:rPr>
          <w:spacing w:val="-1"/>
        </w:rPr>
        <w:t>鑫禺拙药业有限公司、吉林紫鑫人参销售有限公司、吉林紫鑫人参研发有限公司、吉林紫鑫药物研究有限</w:t>
      </w:r>
      <w:r>
        <w:rPr>
          <w:spacing w:val="-83"/>
        </w:rPr>
        <w:t> </w:t>
      </w:r>
      <w:r>
        <w:rPr>
          <w:spacing w:val="-83"/>
        </w:rPr>
      </w:r>
      <w:r>
        <w:rPr>
          <w:spacing w:val="-1"/>
        </w:rPr>
        <w:t>公司、吉林紫鑫敦化医药药材有限公司、吉林中科紫鑫科技有限公司、吉林环境能源交易所有限公司执行</w:t>
      </w:r>
      <w:r>
        <w:rPr>
          <w:spacing w:val="-83"/>
        </w:rPr>
        <w:t> </w:t>
      </w:r>
      <w:r>
        <w:rPr>
          <w:spacing w:val="-83"/>
        </w:rPr>
      </w:r>
      <w:r>
        <w:rPr/>
        <w:t>的所得税税率</w:t>
      </w:r>
      <w:r>
        <w:rPr>
          <w:rFonts w:ascii="Times New Roman" w:hAnsi="Times New Roman" w:cs="Times New Roman" w:eastAsia="Times New Roman" w:hint="default"/>
        </w:rPr>
        <w:t>25%</w:t>
      </w:r>
      <w:r>
        <w:rPr/>
        <w:t>。</w:t>
      </w:r>
    </w:p>
    <w:p>
      <w:pPr>
        <w:pStyle w:val="BodyText"/>
        <w:spacing w:line="408" w:lineRule="auto" w:before="139"/>
        <w:ind w:left="573" w:right="1128"/>
        <w:jc w:val="left"/>
      </w:pPr>
      <w:r>
        <w:rPr/>
        <w:t>税收优惠及批文 本公司为吉林省高新技术企业执行的所得税税率为</w:t>
      </w:r>
      <w:r>
        <w:rPr>
          <w:rFonts w:ascii="Times New Roman" w:hAnsi="Times New Roman" w:cs="Times New Roman" w:eastAsia="Times New Roman" w:hint="default"/>
        </w:rPr>
        <w:t>15%</w:t>
      </w:r>
      <w:r>
        <w:rPr/>
        <w:t>。子公司吉林草还丹药业有限公司坐落在吉林</w:t>
      </w:r>
    </w:p>
    <w:p>
      <w:pPr>
        <w:pStyle w:val="BodyText"/>
        <w:spacing w:line="386" w:lineRule="auto" w:before="14"/>
        <w:ind w:left="573" w:right="0" w:hanging="420"/>
        <w:jc w:val="left"/>
      </w:pPr>
      <w:r>
        <w:rPr/>
        <w:t>省延边朝鲜族自治州敦化市，根据国家有关规定享受国家西部大开发政策，执行的所得税税率为</w:t>
      </w:r>
      <w:r>
        <w:rPr>
          <w:rFonts w:ascii="Times New Roman" w:hAnsi="Times New Roman" w:cs="Times New Roman" w:eastAsia="Times New Roman" w:hint="default"/>
        </w:rPr>
        <w:t>15%</w:t>
      </w:r>
      <w:r>
        <w:rPr/>
        <w:t>。 根据国税函【</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850</w:t>
      </w:r>
      <w:r>
        <w:rPr/>
        <w:t>号《国家税务总局关于贯彻落实从事农、林、牧、渔业项目企业所得税优</w:t>
      </w:r>
    </w:p>
    <w:p>
      <w:pPr>
        <w:pStyle w:val="BodyText"/>
        <w:spacing w:line="408" w:lineRule="auto" w:before="35"/>
        <w:ind w:left="154" w:right="1130"/>
        <w:jc w:val="both"/>
      </w:pPr>
      <w:r>
        <w:rPr>
          <w:spacing w:val="-1"/>
        </w:rPr>
        <w:t>惠政策有关事项的通知》及《中华人民共和国企业所得税法实施条例》第八十六条的规定，子公司吉林紫</w:t>
      </w:r>
      <w:r>
        <w:rPr>
          <w:spacing w:val="-86"/>
        </w:rPr>
        <w:t> </w:t>
      </w:r>
      <w:r>
        <w:rPr>
          <w:spacing w:val="-86"/>
        </w:rPr>
      </w:r>
      <w:r>
        <w:rPr>
          <w:spacing w:val="-1"/>
        </w:rPr>
        <w:t>鑫红石种养殖有限公司享受所得税免征政策。子公司吉林草还丹药业有限公司、吉林紫鑫般若药业有限公</w:t>
      </w:r>
      <w:r>
        <w:rPr>
          <w:spacing w:val="-80"/>
        </w:rPr>
        <w:t> </w:t>
      </w:r>
      <w:r>
        <w:rPr>
          <w:spacing w:val="-80"/>
        </w:rPr>
      </w:r>
      <w:r>
        <w:rPr/>
        <w:t>司人参初加工产品享受所得税免征政策。</w:t>
      </w:r>
    </w:p>
    <w:p>
      <w:pPr>
        <w:spacing w:line="240" w:lineRule="auto" w:before="9"/>
        <w:rPr>
          <w:rFonts w:ascii="宋体" w:hAnsi="宋体" w:cs="宋体" w:eastAsia="宋体" w:hint="default"/>
          <w:sz w:val="24"/>
          <w:szCs w:val="24"/>
        </w:rPr>
      </w:pPr>
    </w:p>
    <w:p>
      <w:pPr>
        <w:pStyle w:val="Heading2"/>
        <w:spacing w:line="240" w:lineRule="auto"/>
        <w:ind w:left="154" w:right="0"/>
        <w:jc w:val="both"/>
        <w:rPr>
          <w:b w:val="0"/>
          <w:bCs w:val="0"/>
        </w:rPr>
      </w:pPr>
      <w:bookmarkStart w:name="七、合并财务报表项目注释" w:id="201"/>
      <w:bookmarkEnd w:id="201"/>
      <w:r>
        <w:rPr>
          <w:b w:val="0"/>
          <w:bCs w:val="0"/>
        </w:rPr>
      </w:r>
      <w:r>
        <w:rPr/>
        <w:t>七、合并财务报表项目注释</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left="154" w:right="0"/>
        <w:jc w:val="both"/>
        <w:rPr>
          <w:b w:val="0"/>
          <w:bCs w:val="0"/>
        </w:rPr>
      </w:pPr>
      <w:bookmarkStart w:name="1、货币资金" w:id="202"/>
      <w:bookmarkEnd w:id="202"/>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20,521.70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74,500.46</w:t>
            </w:r>
          </w:p>
        </w:tc>
      </w:tr>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134,081,933.51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111,541,132.32</w:t>
            </w:r>
          </w:p>
        </w:tc>
      </w:tr>
      <w:tr>
        <w:trPr>
          <w:trHeight w:val="559"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134,102,455.21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111,615,632.78</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8"/>
          <w:szCs w:val="18"/>
        </w:rPr>
      </w:pPr>
    </w:p>
    <w:p>
      <w:pPr>
        <w:pStyle w:val="BodyText"/>
        <w:spacing w:line="240" w:lineRule="auto"/>
        <w:ind w:right="0"/>
        <w:jc w:val="left"/>
      </w:pPr>
      <w:r>
        <w:rPr/>
        <w:t>本公司不存在抵押、冻结等对变现有限制或存放在境外、或有潜在回收风险的资金。</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4"/>
        <w:spacing w:line="240" w:lineRule="auto"/>
        <w:ind w:right="0"/>
        <w:jc w:val="left"/>
        <w:rPr>
          <w:b w:val="0"/>
          <w:bCs w:val="0"/>
        </w:rPr>
      </w:pPr>
      <w:bookmarkStart w:name="2、应收票据" w:id="203"/>
      <w:bookmarkEnd w:id="203"/>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90"/>
        <w:ind w:right="0"/>
        <w:jc w:val="left"/>
        <w:rPr>
          <w:b w:val="0"/>
          <w:bCs w:val="0"/>
        </w:rPr>
      </w:pPr>
      <w:bookmarkStart w:name="（1）应收票据分类列示" w:id="204"/>
      <w:bookmarkEnd w:id="204"/>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9,689,780.60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3,614,662.87</w:t>
            </w:r>
          </w:p>
        </w:tc>
      </w:tr>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9,689,780.60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3,614,662.87</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2）期末公司已背书或贴现且在资产负债表日尚未到期的应收票据" w:id="205"/>
      <w:bookmarkEnd w:id="205"/>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15,120,276.69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15,120,276.69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3、应收账款" w:id="206"/>
      <w:bookmarkEnd w:id="206"/>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应收账款分类披露" w:id="207"/>
      <w:bookmarkEnd w:id="20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559"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39"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19"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37"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0"/>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9"/>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71"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2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26"/>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26"/>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2"/>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2"/>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2"/>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2"/>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78"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239"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494"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412,923,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12" w:right="0"/>
              <w:jc w:val="center"/>
              <w:rPr>
                <w:rFonts w:ascii="Times New Roman" w:hAnsi="Times New Roman" w:cs="Times New Roman" w:eastAsia="Times New Roman" w:hint="default"/>
                <w:sz w:val="18"/>
                <w:szCs w:val="18"/>
              </w:rPr>
            </w:pPr>
            <w:r>
              <w:rPr>
                <w:rFonts w:ascii="Times New Roman"/>
                <w:sz w:val="18"/>
              </w:rPr>
              <w:t>321.72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25,864,9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45.31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387,058,3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76.41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pacing w:val="-3"/>
                <w:sz w:val="18"/>
              </w:rPr>
              <w:t>111,985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,109.55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39.18%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7,106,619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104,878,49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0.45</w:t>
            </w:r>
          </w:p>
        </w:tc>
      </w:tr>
      <w:tr>
        <w:trPr>
          <w:trHeight w:val="1494"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209,216,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12" w:right="0"/>
              <w:jc w:val="center"/>
              <w:rPr>
                <w:rFonts w:ascii="Times New Roman" w:hAnsi="Times New Roman" w:cs="Times New Roman" w:eastAsia="Times New Roman" w:hint="default"/>
                <w:sz w:val="18"/>
                <w:szCs w:val="18"/>
              </w:rPr>
            </w:pPr>
            <w:r>
              <w:rPr>
                <w:rFonts w:ascii="Times New Roman"/>
                <w:sz w:val="18"/>
              </w:rPr>
              <w:t>526.62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18,959,7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37.26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190,256,7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89.36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173,824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,715.69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60.82%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13,063,26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6.79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160,761,44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8.90</w:t>
            </w:r>
          </w:p>
        </w:tc>
      </w:tr>
      <w:tr>
        <w:trPr>
          <w:trHeight w:val="240"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622,139,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17" w:right="0"/>
              <w:jc w:val="center"/>
              <w:rPr>
                <w:rFonts w:ascii="Times New Roman" w:hAnsi="Times New Roman" w:cs="Times New Roman" w:eastAsia="Times New Roman" w:hint="default"/>
                <w:sz w:val="18"/>
                <w:szCs w:val="18"/>
              </w:rPr>
            </w:pPr>
            <w:r>
              <w:rPr>
                <w:rFonts w:ascii="Times New Roman"/>
                <w:sz w:val="18"/>
              </w:rPr>
              <w:t>848.34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44,824,6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82.57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7.20%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577,315,1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65.77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285,809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,825.24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20,169,88</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5.89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7.06%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265,639,93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9.35</w:t>
            </w:r>
          </w:p>
        </w:tc>
      </w:tr>
      <w:tr>
        <w:trPr>
          <w:trHeight w:val="547"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240"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489"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8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84"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74"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74"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89"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552"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558"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480,522,917.45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28,831,375.05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w:t>
            </w:r>
          </w:p>
        </w:tc>
      </w:tr>
      <w:tr>
        <w:trPr>
          <w:trHeight w:val="558"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74,573,413.14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5,965,873.06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r>
      <w:tr>
        <w:trPr>
          <w:trHeight w:val="558"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39,571,648.17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3,957,164.83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r>
      <w:tr>
        <w:trPr>
          <w:trHeight w:val="558"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23,504,866.04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4,700,973.21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r>
      <w:tr>
        <w:trPr>
          <w:trHeight w:val="558"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3,071,026.79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921,308.04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r>
      <w:tr>
        <w:trPr>
          <w:trHeight w:val="558"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895,976.75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447,988.38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r>
      <w:tr>
        <w:trPr>
          <w:trHeight w:val="559"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622,139,848.30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44,824,682.57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7.20%</w:t>
            </w:r>
          </w:p>
        </w:tc>
      </w:tr>
    </w:tbl>
    <w:p>
      <w:pPr>
        <w:spacing w:line="240" w:lineRule="auto" w:before="6"/>
        <w:rPr>
          <w:rFonts w:ascii="宋体" w:hAnsi="宋体" w:cs="宋体" w:eastAsia="宋体" w:hint="default"/>
          <w:sz w:val="6"/>
          <w:szCs w:val="6"/>
        </w:rPr>
      </w:pPr>
    </w:p>
    <w:p>
      <w:pPr>
        <w:spacing w:line="516" w:lineRule="auto" w:before="44"/>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489" w:lineRule="auto" w:before="6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bookmarkStart w:name="（2）按欠款方归集的期末余额前五吊的应收账款情况" w:id="208"/>
      <w:bookmarkEnd w:id="208"/>
      <w:r>
        <w:rPr>
          <w:b w:val="0"/>
          <w:bCs w:val="0"/>
        </w:rPr>
      </w:r>
      <w:r>
        <w:rPr/>
        <w:t>（</w:t>
      </w:r>
      <w:r>
        <w:rPr>
          <w:rFonts w:ascii="Times New Roman" w:hAnsi="Times New Roman" w:cs="Times New Roman" w:eastAsia="Times New Roman" w:hint="default"/>
        </w:rPr>
        <w:t>2</w:t>
      </w:r>
      <w:r>
        <w:rPr/>
        <w:t>）按欠款方归集的期末余额前五名的应收账款情况</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right="0" w:firstLine="420"/>
        <w:jc w:val="left"/>
      </w:pPr>
      <w:r>
        <w:rPr>
          <w:spacing w:val="-2"/>
        </w:rPr>
        <w:t>按欠款方归集的期末余额前五名应收账款汇总金额</w:t>
      </w:r>
      <w:r>
        <w:rPr>
          <w:rFonts w:ascii="Times New Roman" w:hAnsi="Times New Roman" w:cs="Times New Roman" w:eastAsia="Times New Roman" w:hint="default"/>
          <w:spacing w:val="-2"/>
        </w:rPr>
        <w:t>340,351,684.52</w:t>
      </w:r>
      <w:r>
        <w:rPr>
          <w:spacing w:val="-2"/>
        </w:rPr>
        <w:t>元，占应收账款期末余额合计数的比</w:t>
      </w:r>
      <w:r>
        <w:rPr/>
        <w:t> 例</w:t>
      </w:r>
      <w:r>
        <w:rPr>
          <w:rFonts w:ascii="Times New Roman" w:hAnsi="Times New Roman" w:cs="Times New Roman" w:eastAsia="Times New Roman" w:hint="default"/>
        </w:rPr>
        <w:t>54.71%</w:t>
      </w:r>
      <w:r>
        <w:rPr/>
        <w:t>，相应计提的坏账准备期末余额汇总金额</w:t>
      </w:r>
      <w:r>
        <w:rPr>
          <w:rFonts w:ascii="Times New Roman" w:hAnsi="Times New Roman" w:cs="Times New Roman" w:eastAsia="Times New Roman" w:hint="default"/>
        </w:rPr>
        <w:t>20,642,500.14</w:t>
      </w:r>
      <w:r>
        <w:rPr/>
        <w:t>元。</w:t>
      </w:r>
    </w:p>
    <w:p>
      <w:pPr>
        <w:spacing w:line="240" w:lineRule="auto" w:before="8"/>
        <w:rPr>
          <w:rFonts w:ascii="宋体" w:hAnsi="宋体" w:cs="宋体" w:eastAsia="宋体" w:hint="default"/>
          <w:sz w:val="25"/>
          <w:szCs w:val="25"/>
        </w:rPr>
      </w:pPr>
    </w:p>
    <w:p>
      <w:pPr>
        <w:pStyle w:val="Heading4"/>
        <w:spacing w:line="240" w:lineRule="auto"/>
        <w:ind w:left="154" w:right="0"/>
        <w:jc w:val="left"/>
        <w:rPr>
          <w:b w:val="0"/>
          <w:bCs w:val="0"/>
        </w:rPr>
      </w:pPr>
      <w:bookmarkStart w:name="（3）转移应收账款且继续涉入形成的资产、负债金额" w:id="209"/>
      <w:bookmarkEnd w:id="209"/>
      <w:r>
        <w:rPr>
          <w:b w:val="0"/>
          <w:bCs w:val="0"/>
        </w:rPr>
      </w:r>
      <w:r>
        <w:rPr/>
        <w:t>（</w:t>
      </w:r>
      <w:r>
        <w:rPr>
          <w:rFonts w:ascii="Times New Roman" w:hAnsi="Times New Roman" w:cs="Times New Roman" w:eastAsia="Times New Roman" w:hint="default"/>
        </w:rPr>
        <w:t>3</w:t>
      </w:r>
      <w:r>
        <w:rPr/>
        <w:t>）转移应收账款且继续涉入形成的资产、负债金额</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0"/>
        <w:ind w:left="528" w:right="0"/>
        <w:jc w:val="left"/>
      </w:pPr>
      <w:r>
        <w:rPr/>
        <w:t>无</w:t>
      </w:r>
    </w:p>
    <w:p>
      <w:pPr>
        <w:spacing w:line="240" w:lineRule="auto" w:before="11"/>
        <w:rPr>
          <w:rFonts w:ascii="宋体" w:hAnsi="宋体" w:cs="宋体" w:eastAsia="宋体" w:hint="default"/>
          <w:sz w:val="19"/>
          <w:szCs w:val="19"/>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left="574" w:right="1022"/>
        <w:jc w:val="left"/>
      </w:pPr>
      <w:r>
        <w:rPr/>
        <w:t>应收账款期末余额中无持有本公司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以上表决权股份的股东单位的欠款，无应收关联方欠款。 无前期已全额计提坏账准备，或计提减值准备的比例较大，但在本期又全额收回或转回，或在本期收</w:t>
      </w:r>
    </w:p>
    <w:p>
      <w:pPr>
        <w:pStyle w:val="BodyText"/>
        <w:spacing w:line="240" w:lineRule="auto" w:before="65"/>
        <w:ind w:left="154" w:right="0"/>
        <w:jc w:val="left"/>
      </w:pPr>
      <w:r>
        <w:rPr/>
        <w:t>回或转回比例较大的应收账款情况。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4"/>
        <w:spacing w:line="240" w:lineRule="auto"/>
        <w:ind w:left="154" w:right="0"/>
        <w:jc w:val="left"/>
        <w:rPr>
          <w:b w:val="0"/>
          <w:bCs w:val="0"/>
        </w:rPr>
      </w:pPr>
      <w:bookmarkStart w:name="4、预付款项" w:id="210"/>
      <w:bookmarkEnd w:id="210"/>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预付款项按账龄列示" w:id="211"/>
      <w:bookmarkEnd w:id="21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84"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74"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74"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83"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20,187,299.26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203,541,895.83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91.18%</w:t>
            </w: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4,904,222.40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3,224,961.45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w:t>
            </w: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627,008.15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15,196,126.00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6.81%</w:t>
            </w: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7,095,299.00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1,257,325.15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0.56%</w:t>
            </w:r>
          </w:p>
        </w:tc>
      </w:tr>
      <w:tr>
        <w:trPr>
          <w:trHeight w:val="55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32,813,828.81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223,220,308.43</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1"/>
        <w:rPr>
          <w:rFonts w:ascii="宋体" w:hAnsi="宋体" w:cs="宋体" w:eastAsia="宋体" w:hint="default"/>
          <w:sz w:val="23"/>
          <w:szCs w:val="23"/>
        </w:rPr>
      </w:pPr>
    </w:p>
    <w:p>
      <w:pPr>
        <w:pStyle w:val="BodyText"/>
        <w:spacing w:line="240" w:lineRule="auto"/>
        <w:ind w:left="574" w:right="0"/>
        <w:jc w:val="left"/>
      </w:pPr>
      <w:r>
        <w:rPr/>
        <w:t>账龄超过一年以上且金额重大的预付款项金额为</w:t>
      </w:r>
      <w:r>
        <w:rPr>
          <w:rFonts w:ascii="Times New Roman" w:hAnsi="Times New Roman" w:cs="Times New Roman" w:eastAsia="Times New Roman" w:hint="default"/>
        </w:rPr>
        <w:t>455</w:t>
      </w:r>
      <w:r>
        <w:rPr/>
        <w:t>万元，主要为预付的广告制作款。</w:t>
      </w:r>
    </w:p>
    <w:p>
      <w:pPr>
        <w:spacing w:line="760" w:lineRule="atLeast" w:before="8"/>
        <w:ind w:left="574" w:right="0" w:hanging="420"/>
        <w:jc w:val="left"/>
        <w:rPr>
          <w:rFonts w:ascii="宋体" w:hAnsi="宋体" w:cs="宋体" w:eastAsia="宋体" w:hint="default"/>
          <w:sz w:val="21"/>
          <w:szCs w:val="21"/>
        </w:rPr>
      </w:pPr>
      <w:bookmarkStart w:name="（2）按预付对象归集的期末余额前五吊的预付款情况" w:id="212"/>
      <w:bookmarkEnd w:id="2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99"/>
          <w:sz w:val="21"/>
          <w:szCs w:val="21"/>
        </w:rPr>
        <w:t> </w:t>
      </w:r>
      <w:r>
        <w:rPr>
          <w:rFonts w:ascii="宋体" w:hAnsi="宋体" w:cs="宋体" w:eastAsia="宋体" w:hint="default"/>
          <w:sz w:val="21"/>
          <w:szCs w:val="21"/>
        </w:rPr>
        <w:t>按预付对象集中度归集的期末余额前五名预付款项汇总金额</w:t>
      </w:r>
      <w:r>
        <w:rPr>
          <w:rFonts w:ascii="Times New Roman" w:hAnsi="Times New Roman" w:cs="Times New Roman" w:eastAsia="Times New Roman" w:hint="default"/>
          <w:sz w:val="21"/>
          <w:szCs w:val="21"/>
        </w:rPr>
        <w:t>20,713,531.03</w:t>
      </w:r>
      <w:r>
        <w:rPr>
          <w:rFonts w:ascii="宋体" w:hAnsi="宋体" w:cs="宋体" w:eastAsia="宋体" w:hint="default"/>
          <w:sz w:val="21"/>
          <w:szCs w:val="21"/>
        </w:rPr>
        <w:t>元，占预付款项期末余额合</w:t>
      </w:r>
    </w:p>
    <w:p>
      <w:pPr>
        <w:spacing w:before="177"/>
        <w:ind w:left="154" w:right="0" w:firstLine="0"/>
        <w:jc w:val="left"/>
        <w:rPr>
          <w:rFonts w:ascii="宋体" w:hAnsi="宋体" w:cs="宋体" w:eastAsia="宋体" w:hint="default"/>
          <w:sz w:val="21"/>
          <w:szCs w:val="21"/>
        </w:rPr>
      </w:pPr>
      <w:r>
        <w:rPr>
          <w:rFonts w:ascii="宋体" w:hAnsi="宋体" w:cs="宋体" w:eastAsia="宋体" w:hint="default"/>
          <w:sz w:val="21"/>
          <w:szCs w:val="21"/>
        </w:rPr>
        <w:t>计数的比例</w:t>
      </w:r>
      <w:r>
        <w:rPr>
          <w:rFonts w:ascii="Times New Roman" w:hAnsi="Times New Roman" w:cs="Times New Roman" w:eastAsia="Times New Roman" w:hint="default"/>
          <w:sz w:val="18"/>
          <w:szCs w:val="18"/>
        </w:rPr>
        <w:t>63.12</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240" w:lineRule="auto" w:before="8"/>
        <w:rPr>
          <w:rFonts w:ascii="宋体" w:hAnsi="宋体" w:cs="宋体" w:eastAsia="宋体" w:hint="default"/>
          <w:sz w:val="18"/>
          <w:szCs w:val="18"/>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8"/>
          <w:szCs w:val="18"/>
        </w:rPr>
      </w:pPr>
    </w:p>
    <w:p>
      <w:pPr>
        <w:pStyle w:val="BodyText"/>
        <w:spacing w:line="240" w:lineRule="auto"/>
        <w:ind w:left="154" w:right="0"/>
        <w:jc w:val="left"/>
      </w:pPr>
      <w:r>
        <w:rPr/>
        <w:t>预付款项期末余额中无持有本公司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以上表决权股份的股东单位款项；无其他关联方款项。</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5、其他应收款" w:id="213"/>
      <w:bookmarkEnd w:id="213"/>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right="0"/>
        <w:jc w:val="left"/>
        <w:rPr>
          <w:b w:val="0"/>
          <w:bCs w:val="0"/>
        </w:rPr>
      </w:pPr>
      <w:bookmarkStart w:name="（1）其他应收款分类披露" w:id="214"/>
      <w:bookmarkEnd w:id="21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559"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39"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19"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37"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0"/>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9"/>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72"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2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26"/>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26"/>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2"/>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2"/>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2"/>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2"/>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78"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239"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494"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48,238,2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41.60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2,900,67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1.14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45,337,57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0.46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28,256,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084.59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40.85%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5,999,365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21.23%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22,256,719.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r>
      <w:tr>
        <w:trPr>
          <w:trHeight w:val="1494"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20,927,8</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38.26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1,441,51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2.97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19,486,32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5.29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40,913,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117.85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59.15%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2,700,080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38,213,037.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w:t>
            </w:r>
          </w:p>
        </w:tc>
      </w:tr>
      <w:tr>
        <w:trPr>
          <w:trHeight w:val="240"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69,166,0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79.86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4,342,18</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20" w:right="0"/>
              <w:jc w:val="left"/>
              <w:rPr>
                <w:rFonts w:ascii="Times New Roman" w:hAnsi="Times New Roman" w:cs="Times New Roman" w:eastAsia="Times New Roman" w:hint="default"/>
                <w:sz w:val="18"/>
                <w:szCs w:val="18"/>
              </w:rPr>
            </w:pPr>
            <w:r>
              <w:rPr>
                <w:rFonts w:ascii="Times New Roman"/>
                <w:sz w:val="18"/>
              </w:rPr>
              <w:t>4.11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6.28%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64,823,89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5.75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69,169,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202.44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8,699,445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12.58%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60,469,756.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66</w:t>
            </w:r>
          </w:p>
        </w:tc>
      </w:tr>
      <w:tr>
        <w:trPr>
          <w:trHeight w:val="547"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240"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240" w:lineRule="auto" w:before="10"/>
        <w:rPr>
          <w:rFonts w:ascii="宋体" w:hAnsi="宋体" w:cs="宋体" w:eastAsia="宋体" w:hint="default"/>
          <w:sz w:val="20"/>
          <w:szCs w:val="20"/>
        </w:rPr>
      </w:pPr>
    </w:p>
    <w:p>
      <w:pPr>
        <w:spacing w:line="489"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85"/>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83"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70"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78"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89"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553"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558"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67,501,777.04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4,050,106.63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w:t>
            </w:r>
          </w:p>
        </w:tc>
      </w:tr>
      <w:tr>
        <w:trPr>
          <w:trHeight w:val="558"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975,403.70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78,032.30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55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31,270.00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3,127.00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r>
      <w:tr>
        <w:trPr>
          <w:trHeight w:val="55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90,345.00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18,069.00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r>
      <w:tr>
        <w:trPr>
          <w:trHeight w:val="55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478,964.40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143,689.32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r>
      <w:tr>
        <w:trPr>
          <w:trHeight w:val="55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88,319.72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49,159.86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55.66%</w:t>
            </w:r>
          </w:p>
        </w:tc>
      </w:tr>
      <w:tr>
        <w:trPr>
          <w:trHeight w:val="55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69,166,079.86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4,342,184.11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6.28%</w:t>
            </w:r>
          </w:p>
        </w:tc>
      </w:tr>
    </w:tbl>
    <w:p>
      <w:pPr>
        <w:spacing w:line="240" w:lineRule="auto" w:before="6"/>
        <w:rPr>
          <w:rFonts w:ascii="宋体" w:hAnsi="宋体" w:cs="宋体" w:eastAsia="宋体" w:hint="default"/>
          <w:sz w:val="6"/>
          <w:szCs w:val="6"/>
        </w:rPr>
      </w:pPr>
    </w:p>
    <w:p>
      <w:pPr>
        <w:spacing w:line="518" w:lineRule="auto" w:before="44"/>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489" w:lineRule="auto" w:before="63"/>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85"/>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bookmarkStart w:name="（2）其他应收款按款项性质分类情况" w:id="215"/>
      <w:bookmarkEnd w:id="215"/>
      <w:r>
        <w:rPr>
          <w:b w:val="0"/>
          <w:bCs w:val="0"/>
        </w:rPr>
      </w:r>
      <w:r>
        <w:rPr/>
        <w:t>（</w:t>
      </w:r>
      <w:r>
        <w:rPr>
          <w:rFonts w:ascii="Times New Roman" w:hAnsi="Times New Roman" w:cs="Times New Roman" w:eastAsia="Times New Roman" w:hint="default"/>
        </w:rPr>
        <w:t>2</w:t>
      </w:r>
      <w:r>
        <w:rPr/>
        <w:t>）其他应收款按款项性质分类情况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其他应收款按账龄分析</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69,166,079.86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69,169,202.44</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69,166,079.86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69,169,202.44</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3）按欠款方归集的期末余额前五吊的其他应收款情况" w:id="216"/>
      <w:bookmarkEnd w:id="216"/>
      <w:r>
        <w:rPr>
          <w:b w:val="0"/>
          <w:bCs w:val="0"/>
        </w:rPr>
      </w:r>
      <w:r>
        <w:rPr/>
        <w:t>（</w:t>
      </w: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55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乔淑杰</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3,579,431.94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214,765.92</w:t>
            </w:r>
          </w:p>
        </w:tc>
      </w:tr>
      <w:tr>
        <w:trPr>
          <w:trHeight w:val="55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张殿荣</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3,264,800.00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195,888.00</w:t>
            </w:r>
          </w:p>
        </w:tc>
      </w:tr>
      <w:tr>
        <w:trPr>
          <w:trHeight w:val="55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王占武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3,242,283.43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194,537.01</w:t>
            </w:r>
          </w:p>
        </w:tc>
      </w:tr>
      <w:tr>
        <w:trPr>
          <w:trHeight w:val="55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一年以内</w:t>
            </w:r>
            <w:r>
              <w:rPr>
                <w:rFonts w:ascii="宋体" w:hAnsi="宋体" w:cs="宋体" w:eastAsia="宋体" w:hint="default"/>
                <w:spacing w:val="-82"/>
                <w:sz w:val="18"/>
                <w:szCs w:val="18"/>
              </w:rPr>
              <w:t>；</w:t>
            </w:r>
            <w:r>
              <w:rPr>
                <w:rFonts w:ascii="宋体" w:hAnsi="宋体" w:cs="宋体" w:eastAsia="宋体" w:hint="default"/>
                <w:sz w:val="18"/>
                <w:szCs w:val="18"/>
              </w:rPr>
              <w:t>一至二年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55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李冬梅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2,606,682.60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156,400.96</w:t>
            </w:r>
          </w:p>
        </w:tc>
      </w:tr>
      <w:tr>
        <w:trPr>
          <w:trHeight w:val="55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15,493,197.97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933,591.89</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4）转移其他应收款且继续涉入形成的资产、负债金额" w:id="217"/>
      <w:bookmarkEnd w:id="217"/>
      <w:r>
        <w:rPr>
          <w:b w:val="0"/>
          <w:bCs w:val="0"/>
        </w:rPr>
      </w:r>
      <w:r>
        <w:rPr/>
        <w:t>（</w:t>
      </w:r>
      <w:r>
        <w:rPr>
          <w:rFonts w:ascii="Times New Roman" w:hAnsi="Times New Roman" w:cs="Times New Roman" w:eastAsia="Times New Roman" w:hint="default"/>
        </w:rPr>
        <w:t>4</w:t>
      </w:r>
      <w:r>
        <w:rPr/>
        <w:t>）转移其他应收款且继续涉入形成的资产、负债金额</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spacing w:line="518" w:lineRule="auto" w:before="0"/>
        <w:ind w:left="154" w:right="9852" w:firstLine="0"/>
        <w:jc w:val="left"/>
        <w:rPr>
          <w:rFonts w:ascii="宋体" w:hAnsi="宋体" w:cs="宋体" w:eastAsia="宋体" w:hint="default"/>
          <w:sz w:val="18"/>
          <w:szCs w:val="18"/>
        </w:rPr>
      </w:pPr>
      <w:r>
        <w:rPr>
          <w:rFonts w:ascii="宋体" w:hAnsi="宋体" w:cs="宋体" w:eastAsia="宋体" w:hint="default"/>
          <w:sz w:val="18"/>
          <w:szCs w:val="18"/>
        </w:rPr>
        <w:t>无 其他说明：</w:t>
      </w:r>
    </w:p>
    <w:p>
      <w:pPr>
        <w:pStyle w:val="BodyText"/>
        <w:spacing w:line="386" w:lineRule="auto" w:before="118"/>
        <w:ind w:left="154" w:right="1127" w:firstLine="420"/>
        <w:jc w:val="left"/>
      </w:pPr>
      <w:r>
        <w:rPr/>
        <w:t>（</w:t>
      </w:r>
      <w:r>
        <w:rPr>
          <w:rFonts w:ascii="Times New Roman" w:hAnsi="Times New Roman" w:cs="Times New Roman" w:eastAsia="Times New Roman" w:hint="default"/>
        </w:rPr>
        <w:t>1</w:t>
      </w:r>
      <w:r>
        <w:rPr/>
        <w:t>）期末其他应收款余额中无持本公司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以上表决权股份的股东单位的欠款；无其他关联方 欠款。</w:t>
      </w:r>
    </w:p>
    <w:p>
      <w:pPr>
        <w:pStyle w:val="BodyText"/>
        <w:spacing w:line="386" w:lineRule="auto" w:before="65"/>
        <w:ind w:left="154" w:right="0" w:firstLine="420"/>
        <w:jc w:val="left"/>
      </w:pPr>
      <w:r>
        <w:rPr/>
        <w:t>（</w:t>
      </w:r>
      <w:r>
        <w:rPr>
          <w:rFonts w:ascii="Times New Roman" w:hAnsi="Times New Roman" w:cs="Times New Roman" w:eastAsia="Times New Roman" w:hint="default"/>
        </w:rPr>
        <w:t>2</w:t>
      </w:r>
      <w:r>
        <w:rPr/>
        <w:t>）无前期已全额计提坏账准备，或计提减值准备的比例较大，但在本期又全额收回或转回，或在 本期收回或转回比例较大的其他应收款情况。</w:t>
      </w:r>
    </w:p>
    <w:p>
      <w:pPr>
        <w:pStyle w:val="BodyText"/>
        <w:spacing w:line="386" w:lineRule="auto" w:before="65"/>
        <w:ind w:right="0" w:firstLine="420"/>
        <w:jc w:val="left"/>
      </w:pPr>
      <w:r>
        <w:rPr>
          <w:spacing w:val="-1"/>
        </w:rPr>
        <w:t>（</w:t>
      </w:r>
      <w:r>
        <w:rPr>
          <w:rFonts w:ascii="Times New Roman" w:hAnsi="Times New Roman" w:cs="Times New Roman" w:eastAsia="Times New Roman" w:hint="default"/>
          <w:spacing w:val="-1"/>
        </w:rPr>
        <w:t>3</w:t>
      </w:r>
      <w:r>
        <w:rPr>
          <w:spacing w:val="-1"/>
        </w:rPr>
        <w:t>）本期实际核销的其他应收款金额为</w:t>
      </w:r>
      <w:r>
        <w:rPr>
          <w:rFonts w:ascii="Times New Roman" w:hAnsi="Times New Roman" w:cs="Times New Roman" w:eastAsia="Times New Roman" w:hint="default"/>
          <w:spacing w:val="-1"/>
        </w:rPr>
        <w:t>1,300</w:t>
      </w:r>
      <w:r>
        <w:rPr>
          <w:spacing w:val="-1"/>
        </w:rPr>
        <w:t>万元</w:t>
      </w:r>
      <w:r>
        <w:rPr>
          <w:rFonts w:ascii="Times New Roman" w:hAnsi="Times New Roman" w:cs="Times New Roman" w:eastAsia="Times New Roman" w:hint="default"/>
          <w:spacing w:val="-1"/>
        </w:rPr>
        <w:t>,</w:t>
      </w:r>
      <w:r>
        <w:rPr>
          <w:spacing w:val="-1"/>
        </w:rPr>
        <w:t>是因为本公司与外部单位合作研发项目失败，形成</w:t>
      </w:r>
      <w:r>
        <w:rPr/>
        <w:t> 了损失，经过总经理办公会确认后予以核销费用。</w:t>
      </w:r>
    </w:p>
    <w:p>
      <w:pPr>
        <w:pStyle w:val="BodyText"/>
        <w:spacing w:line="386" w:lineRule="auto" w:before="65"/>
        <w:ind w:left="154" w:right="1118" w:firstLine="420"/>
        <w:jc w:val="left"/>
      </w:pPr>
      <w:r>
        <w:rPr/>
        <w:t>（</w:t>
      </w:r>
      <w:r>
        <w:rPr>
          <w:rFonts w:ascii="Times New Roman" w:hAnsi="Times New Roman" w:cs="Times New Roman" w:eastAsia="Times New Roman" w:hint="default"/>
        </w:rPr>
        <w:t>4</w:t>
      </w:r>
      <w:r>
        <w:rPr/>
        <w:t>）本期三至四年余额与上期比较差异为本公司新增合并吉林环境能源交易所有限公司其他应收款 账龄所致。</w:t>
      </w:r>
    </w:p>
    <w:p>
      <w:pPr>
        <w:spacing w:line="240" w:lineRule="auto" w:before="12"/>
        <w:rPr>
          <w:rFonts w:ascii="宋体" w:hAnsi="宋体" w:cs="宋体" w:eastAsia="宋体" w:hint="default"/>
          <w:sz w:val="27"/>
          <w:szCs w:val="27"/>
        </w:rPr>
      </w:pPr>
    </w:p>
    <w:p>
      <w:pPr>
        <w:pStyle w:val="Heading4"/>
        <w:spacing w:line="240" w:lineRule="auto"/>
        <w:ind w:left="154" w:right="0"/>
        <w:jc w:val="left"/>
        <w:rPr>
          <w:b w:val="0"/>
          <w:bCs w:val="0"/>
        </w:rPr>
      </w:pPr>
      <w:bookmarkStart w:name="6、存货" w:id="218"/>
      <w:bookmarkEnd w:id="218"/>
      <w:r>
        <w:rPr>
          <w:b w:val="0"/>
          <w:bCs w:val="0"/>
        </w:rPr>
      </w:r>
      <w:r>
        <w:rPr>
          <w:rFonts w:ascii="Times New Roman" w:hAnsi="Times New Roman" w:cs="Times New Roman" w:eastAsia="Times New Roman" w:hint="default"/>
        </w:rPr>
        <w:t>6</w:t>
      </w:r>
      <w:r>
        <w:rPr/>
        <w:t>、存货</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存货分类" w:id="219"/>
      <w:bookmarkEnd w:id="219"/>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84"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69"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78"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84"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55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162,483,900.27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162,483,900.27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153,139,276.69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153,139,276.69</w:t>
            </w:r>
          </w:p>
        </w:tc>
      </w:tr>
      <w:tr>
        <w:trPr>
          <w:trHeight w:val="55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10,130,573.31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10,130,573.31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39,139,933.49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39,139,933.49</w:t>
            </w:r>
          </w:p>
        </w:tc>
      </w:tr>
      <w:tr>
        <w:trPr>
          <w:trHeight w:val="55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1,419,473,764.42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1,419,473,764.42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1,447,669,421.62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1,447,669,421.62</w:t>
            </w:r>
          </w:p>
        </w:tc>
      </w:tr>
      <w:tr>
        <w:trPr>
          <w:trHeight w:val="55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304,145,347.96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304,145,347.96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5,291,202.65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5,291,202.65</w:t>
            </w:r>
          </w:p>
        </w:tc>
      </w:tr>
      <w:tr>
        <w:trPr>
          <w:trHeight w:val="558"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56,960,404.39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56,960,404.39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174,080,563.91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174,080,563.91</w:t>
            </w:r>
          </w:p>
        </w:tc>
      </w:tr>
      <w:tr>
        <w:trPr>
          <w:trHeight w:val="558"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7,512,951.22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7,512,951.22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5,715,801.87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5,715,801.87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55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1,828,655.52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1,828,655.52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549,613.97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549,613.97</w:t>
            </w:r>
          </w:p>
        </w:tc>
      </w:tr>
      <w:tr>
        <w:trPr>
          <w:trHeight w:val="55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1,962,535,597.09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1,962,535,597.09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1,825,585,814.20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1,825,585,814.20</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2）存货跌价准备" w:id="220"/>
      <w:bookmarkEnd w:id="220"/>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558"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8"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11"/>
          <w:szCs w:val="11"/>
        </w:rPr>
      </w:pPr>
    </w:p>
    <w:p>
      <w:pPr>
        <w:pStyle w:val="BodyText"/>
        <w:spacing w:line="240" w:lineRule="auto" w:before="35"/>
        <w:ind w:left="574" w:right="0"/>
        <w:jc w:val="left"/>
      </w:pPr>
      <w:r>
        <w:rPr/>
        <w:t>存货中的消耗性生物资产</w:t>
      </w:r>
    </w:p>
    <w:p>
      <w:pPr>
        <w:spacing w:line="240" w:lineRule="auto" w:before="12"/>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4238"/>
        <w:gridCol w:w="2471"/>
        <w:gridCol w:w="2471"/>
      </w:tblGrid>
      <w:tr>
        <w:trPr>
          <w:trHeight w:val="511" w:hRule="exact"/>
        </w:trPr>
        <w:tc>
          <w:tcPr>
            <w:tcW w:w="42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1840"/>
              <w:jc w:val="right"/>
              <w:rPr>
                <w:rFonts w:ascii="宋体" w:hAnsi="宋体" w:cs="宋体" w:eastAsia="宋体" w:hint="default"/>
                <w:sz w:val="18"/>
                <w:szCs w:val="18"/>
              </w:rPr>
            </w:pPr>
            <w:r>
              <w:rPr>
                <w:rFonts w:ascii="宋体" w:hAnsi="宋体" w:cs="宋体" w:eastAsia="宋体" w:hint="default"/>
                <w:sz w:val="18"/>
                <w:szCs w:val="18"/>
              </w:rPr>
              <w:t>项  目</w:t>
            </w:r>
          </w:p>
        </w:tc>
        <w:tc>
          <w:tcPr>
            <w:tcW w:w="24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7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9"/>
              <w:ind w:right="7"/>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508" w:hRule="exact"/>
        </w:trPr>
        <w:tc>
          <w:tcPr>
            <w:tcW w:w="4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一、种植业</w:t>
            </w:r>
          </w:p>
        </w:tc>
        <w:tc>
          <w:tcPr>
            <w:tcW w:w="24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304,145,347.96</w:t>
            </w:r>
          </w:p>
        </w:tc>
        <w:tc>
          <w:tcPr>
            <w:tcW w:w="24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5,291,202.65</w:t>
            </w:r>
          </w:p>
        </w:tc>
      </w:tr>
      <w:tr>
        <w:trPr>
          <w:trHeight w:val="509" w:hRule="exact"/>
        </w:trPr>
        <w:tc>
          <w:tcPr>
            <w:tcW w:w="4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在地参</w:t>
            </w:r>
          </w:p>
        </w:tc>
        <w:tc>
          <w:tcPr>
            <w:tcW w:w="24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85,030,000.04</w:t>
            </w:r>
          </w:p>
        </w:tc>
        <w:tc>
          <w:tcPr>
            <w:tcW w:w="2471" w:type="dxa"/>
            <w:tcBorders>
              <w:top w:val="single" w:sz="12" w:space="0" w:color="000000"/>
              <w:left w:val="single" w:sz="6" w:space="0" w:color="000000"/>
              <w:bottom w:val="single" w:sz="12" w:space="0" w:color="000000"/>
              <w:right w:val="nil" w:sz="6" w:space="0" w:color="auto"/>
            </w:tcBorders>
          </w:tcPr>
          <w:p>
            <w:pPr/>
          </w:p>
        </w:tc>
      </w:tr>
      <w:tr>
        <w:trPr>
          <w:trHeight w:val="508" w:hRule="exact"/>
        </w:trPr>
        <w:tc>
          <w:tcPr>
            <w:tcW w:w="4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人参种苗</w:t>
            </w:r>
          </w:p>
        </w:tc>
        <w:tc>
          <w:tcPr>
            <w:tcW w:w="24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7,458,889.27</w:t>
            </w:r>
          </w:p>
        </w:tc>
        <w:tc>
          <w:tcPr>
            <w:tcW w:w="2471" w:type="dxa"/>
            <w:tcBorders>
              <w:top w:val="single" w:sz="12" w:space="0" w:color="000000"/>
              <w:left w:val="single" w:sz="6" w:space="0" w:color="000000"/>
              <w:bottom w:val="single" w:sz="12" w:space="0" w:color="000000"/>
              <w:right w:val="nil" w:sz="6" w:space="0" w:color="auto"/>
            </w:tcBorders>
          </w:tcPr>
          <w:p>
            <w:pPr/>
          </w:p>
        </w:tc>
      </w:tr>
      <w:tr>
        <w:trPr>
          <w:trHeight w:val="508" w:hRule="exact"/>
        </w:trPr>
        <w:tc>
          <w:tcPr>
            <w:tcW w:w="4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五味子等</w:t>
            </w:r>
          </w:p>
        </w:tc>
        <w:tc>
          <w:tcPr>
            <w:tcW w:w="24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6,688,638.07</w:t>
            </w:r>
          </w:p>
        </w:tc>
        <w:tc>
          <w:tcPr>
            <w:tcW w:w="24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5,291,202.65</w:t>
            </w:r>
          </w:p>
        </w:tc>
      </w:tr>
      <w:tr>
        <w:trPr>
          <w:trHeight w:val="509" w:hRule="exact"/>
        </w:trPr>
        <w:tc>
          <w:tcPr>
            <w:tcW w:w="4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林下参</w:t>
            </w:r>
          </w:p>
        </w:tc>
        <w:tc>
          <w:tcPr>
            <w:tcW w:w="24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204,030,000.04</w:t>
            </w:r>
          </w:p>
        </w:tc>
        <w:tc>
          <w:tcPr>
            <w:tcW w:w="2471" w:type="dxa"/>
            <w:tcBorders>
              <w:top w:val="single" w:sz="12" w:space="0" w:color="000000"/>
              <w:left w:val="single" w:sz="6" w:space="0" w:color="000000"/>
              <w:bottom w:val="single" w:sz="12" w:space="0" w:color="000000"/>
              <w:right w:val="nil" w:sz="6" w:space="0" w:color="auto"/>
            </w:tcBorders>
          </w:tcPr>
          <w:p>
            <w:pPr/>
          </w:p>
        </w:tc>
      </w:tr>
      <w:tr>
        <w:trPr>
          <w:trHeight w:val="508" w:hRule="exact"/>
        </w:trPr>
        <w:tc>
          <w:tcPr>
            <w:tcW w:w="4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其他作物</w:t>
            </w:r>
          </w:p>
        </w:tc>
        <w:tc>
          <w:tcPr>
            <w:tcW w:w="24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z w:val="18"/>
              </w:rPr>
              <w:t>937,820.54</w:t>
            </w:r>
          </w:p>
        </w:tc>
        <w:tc>
          <w:tcPr>
            <w:tcW w:w="2471" w:type="dxa"/>
            <w:tcBorders>
              <w:top w:val="single" w:sz="12" w:space="0" w:color="000000"/>
              <w:left w:val="single" w:sz="6" w:space="0" w:color="000000"/>
              <w:bottom w:val="single" w:sz="12" w:space="0" w:color="000000"/>
              <w:right w:val="nil" w:sz="6" w:space="0" w:color="auto"/>
            </w:tcBorders>
          </w:tcPr>
          <w:p>
            <w:pPr/>
          </w:p>
        </w:tc>
      </w:tr>
      <w:tr>
        <w:trPr>
          <w:trHeight w:val="508" w:hRule="exact"/>
        </w:trPr>
        <w:tc>
          <w:tcPr>
            <w:tcW w:w="4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840"/>
              <w:jc w:val="right"/>
              <w:rPr>
                <w:rFonts w:ascii="宋体" w:hAnsi="宋体" w:cs="宋体" w:eastAsia="宋体" w:hint="default"/>
                <w:sz w:val="18"/>
                <w:szCs w:val="18"/>
              </w:rPr>
            </w:pPr>
            <w:r>
              <w:rPr>
                <w:rFonts w:ascii="宋体" w:hAnsi="宋体" w:cs="宋体" w:eastAsia="宋体" w:hint="default"/>
                <w:sz w:val="18"/>
                <w:szCs w:val="18"/>
              </w:rPr>
              <w:t>合  计</w:t>
            </w:r>
          </w:p>
        </w:tc>
        <w:tc>
          <w:tcPr>
            <w:tcW w:w="24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304,145,347.96</w:t>
            </w:r>
          </w:p>
        </w:tc>
        <w:tc>
          <w:tcPr>
            <w:tcW w:w="24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5,291,202.65</w:t>
            </w:r>
          </w:p>
        </w:tc>
      </w:tr>
    </w:tbl>
    <w:p>
      <w:pPr>
        <w:spacing w:line="240" w:lineRule="auto" w:before="4"/>
        <w:rPr>
          <w:rFonts w:ascii="宋体" w:hAnsi="宋体" w:cs="宋体" w:eastAsia="宋体" w:hint="default"/>
          <w:sz w:val="11"/>
          <w:szCs w:val="11"/>
        </w:rPr>
      </w:pPr>
    </w:p>
    <w:p>
      <w:pPr>
        <w:pStyle w:val="BodyText"/>
        <w:spacing w:line="240" w:lineRule="auto" w:before="35"/>
        <w:ind w:left="574" w:right="0"/>
        <w:jc w:val="left"/>
      </w:pPr>
      <w:r>
        <w:rPr/>
        <w:t>（</w:t>
      </w:r>
      <w:r>
        <w:rPr>
          <w:rFonts w:ascii="Times New Roman" w:hAnsi="Times New Roman" w:cs="Times New Roman" w:eastAsia="Times New Roman" w:hint="default"/>
        </w:rPr>
        <w:t>3</w:t>
      </w:r>
      <w:r>
        <w:rPr/>
        <w:t>）本公司期末消耗性生物资产中在地参、林下参增加，主要因本公司购买的在地参和林下参形成。</w:t>
      </w:r>
    </w:p>
    <w:p>
      <w:pPr>
        <w:pStyle w:val="BodyText"/>
        <w:spacing w:line="240" w:lineRule="auto" w:before="177"/>
        <w:ind w:left="574" w:right="0"/>
        <w:jc w:val="left"/>
      </w:pPr>
      <w:r>
        <w:rPr/>
        <w:t>（</w:t>
      </w:r>
      <w:r>
        <w:rPr>
          <w:rFonts w:ascii="Times New Roman" w:hAnsi="Times New Roman" w:cs="Times New Roman" w:eastAsia="Times New Roman" w:hint="default"/>
        </w:rPr>
        <w:t>4</w:t>
      </w:r>
      <w:r>
        <w:rPr/>
        <w:t>）存货期末余额中无成本高于可变现净值情况，无需计提存货跌价准备。</w:t>
      </w:r>
    </w:p>
    <w:p>
      <w:pPr>
        <w:pStyle w:val="BodyText"/>
        <w:spacing w:line="386" w:lineRule="auto" w:before="177"/>
        <w:ind w:left="574" w:right="0"/>
        <w:jc w:val="left"/>
      </w:pPr>
      <w:r>
        <w:rPr/>
        <w:t>（</w:t>
      </w:r>
      <w:r>
        <w:rPr>
          <w:rFonts w:ascii="Times New Roman" w:hAnsi="Times New Roman" w:cs="Times New Roman" w:eastAsia="Times New Roman" w:hint="default"/>
        </w:rPr>
        <w:t>5</w:t>
      </w:r>
      <w:r>
        <w:rPr/>
        <w:t>）存货期末余额中抵押和担保的情况。 根据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日本公司与吉林银行股份有限公司长春瑞祥支行签订的质押合同，以本公司存货人</w:t>
      </w:r>
    </w:p>
    <w:p>
      <w:pPr>
        <w:pStyle w:val="BodyText"/>
        <w:spacing w:line="240" w:lineRule="auto" w:before="35"/>
        <w:ind w:left="154" w:right="0"/>
        <w:jc w:val="left"/>
      </w:pPr>
      <w:r>
        <w:rPr/>
        <w:t>参（干品）中的</w:t>
      </w:r>
      <w:r>
        <w:rPr>
          <w:rFonts w:ascii="Times New Roman" w:hAnsi="Times New Roman" w:cs="Times New Roman" w:eastAsia="Times New Roman" w:hint="default"/>
        </w:rPr>
        <w:t>989</w:t>
      </w:r>
      <w:r>
        <w:rPr/>
        <w:t>吨，估价为</w:t>
      </w:r>
      <w:r>
        <w:rPr>
          <w:rFonts w:ascii="Times New Roman" w:hAnsi="Times New Roman" w:cs="Times New Roman" w:eastAsia="Times New Roman" w:hint="default"/>
        </w:rPr>
        <w:t>98,428.87</w:t>
      </w:r>
      <w:r>
        <w:rPr/>
        <w:t>万元，作为质押物取得银行流动资金贷款</w:t>
      </w:r>
      <w:r>
        <w:rPr>
          <w:rFonts w:ascii="Times New Roman" w:hAnsi="Times New Roman" w:cs="Times New Roman" w:eastAsia="Times New Roman" w:hint="default"/>
        </w:rPr>
        <w:t>20,000</w:t>
      </w:r>
      <w:r>
        <w:rPr/>
        <w:t>万元；</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7、其他流动资产" w:id="221"/>
      <w:bookmarkEnd w:id="221"/>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已交税费和未抵扣进项税小计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156,489,707.96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190,231,243.27</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未抵扣进项税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3,255,918.09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159,745,626.05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190,231,243.27</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8、可供出售金融资产" w:id="222"/>
      <w:bookmarkEnd w:id="222"/>
      <w:r>
        <w:rPr>
          <w:b w:val="0"/>
          <w:bCs w:val="0"/>
        </w:rPr>
      </w:r>
      <w:r>
        <w:rPr>
          <w:rFonts w:ascii="Times New Roman" w:hAnsi="Times New Roman" w:cs="Times New Roman" w:eastAsia="Times New Roman" w:hint="default"/>
        </w:rPr>
        <w:t>8</w:t>
      </w:r>
      <w:r>
        <w:rPr/>
        <w:t>、可供出售金融资产</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right="0"/>
        <w:jc w:val="left"/>
        <w:rPr>
          <w:b w:val="0"/>
          <w:bCs w:val="0"/>
        </w:rPr>
      </w:pPr>
      <w:bookmarkStart w:name="（1）可供出售金融资产情况" w:id="223"/>
      <w:bookmarkEnd w:id="223"/>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84"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74"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75"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83"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558"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558"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559"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28,000,000.00</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2）期末按成本计量的可供出售金融资产" w:id="224"/>
      <w:bookmarkEnd w:id="224"/>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21" w:type="dxa"/>
        <w:tblLayout w:type="fixed"/>
        <w:tblCellMar>
          <w:top w:w="0" w:type="dxa"/>
          <w:left w:w="0" w:type="dxa"/>
          <w:bottom w:w="0" w:type="dxa"/>
          <w:right w:w="0" w:type="dxa"/>
        </w:tblCellMar>
        <w:tblLook w:val="01E0"/>
      </w:tblPr>
      <w:tblGrid>
        <w:gridCol w:w="714"/>
        <w:gridCol w:w="1091"/>
        <w:gridCol w:w="722"/>
        <w:gridCol w:w="724"/>
        <w:gridCol w:w="1091"/>
        <w:gridCol w:w="1091"/>
        <w:gridCol w:w="724"/>
        <w:gridCol w:w="722"/>
        <w:gridCol w:w="1091"/>
        <w:gridCol w:w="724"/>
        <w:gridCol w:w="1001"/>
      </w:tblGrid>
      <w:tr>
        <w:trPr>
          <w:trHeight w:val="558" w:hRule="exact"/>
        </w:trPr>
        <w:tc>
          <w:tcPr>
            <w:tcW w:w="7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6"/>
              <w:ind w:left="171" w:right="81"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362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62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724"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9"/>
              <w:ind w:left="87" w:right="84"/>
              <w:jc w:val="center"/>
              <w:rPr>
                <w:rFonts w:ascii="宋体" w:hAnsi="宋体" w:cs="宋体" w:eastAsia="宋体" w:hint="default"/>
                <w:sz w:val="18"/>
                <w:szCs w:val="18"/>
              </w:rPr>
            </w:pPr>
            <w:r>
              <w:rPr>
                <w:rFonts w:ascii="宋体" w:hAnsi="宋体" w:cs="宋体" w:eastAsia="宋体" w:hint="default"/>
                <w:sz w:val="18"/>
                <w:szCs w:val="18"/>
              </w:rPr>
              <w:t>在被投 资单位 持股比 例</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6"/>
              <w:ind w:left="405" w:right="43" w:hanging="360"/>
              <w:jc w:val="left"/>
              <w:rPr>
                <w:rFonts w:ascii="宋体" w:hAnsi="宋体" w:cs="宋体" w:eastAsia="宋体" w:hint="default"/>
                <w:sz w:val="18"/>
                <w:szCs w:val="18"/>
              </w:rPr>
            </w:pPr>
            <w:r>
              <w:rPr>
                <w:rFonts w:ascii="宋体" w:hAnsi="宋体" w:cs="宋体" w:eastAsia="宋体" w:hint="default"/>
                <w:sz w:val="18"/>
                <w:szCs w:val="18"/>
              </w:rPr>
              <w:t>本期现金红 利</w:t>
            </w:r>
          </w:p>
        </w:tc>
      </w:tr>
      <w:tr>
        <w:trPr>
          <w:trHeight w:val="1404" w:hRule="exact"/>
        </w:trPr>
        <w:tc>
          <w:tcPr>
            <w:tcW w:w="714"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477" w:lineRule="auto"/>
              <w:ind w:left="266" w:right="84"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477" w:lineRule="auto"/>
              <w:ind w:left="267" w:right="84"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477" w:lineRule="auto"/>
              <w:ind w:left="266" w:right="85"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477" w:lineRule="auto"/>
              <w:ind w:left="266" w:right="84"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724"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r>
      <w:tr>
        <w:trPr>
          <w:trHeight w:val="986"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长春农</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村商业</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 w:right="0"/>
              <w:jc w:val="center"/>
              <w:rPr>
                <w:rFonts w:ascii="Times New Roman" w:hAnsi="Times New Roman" w:cs="Times New Roman" w:eastAsia="Times New Roman" w:hint="default"/>
                <w:sz w:val="18"/>
                <w:szCs w:val="18"/>
              </w:rPr>
            </w:pPr>
            <w:r>
              <w:rPr>
                <w:rFonts w:ascii="Times New Roman"/>
                <w:sz w:val="18"/>
              </w:rPr>
              <w:t>28,000,000.00</w:t>
            </w:r>
          </w:p>
        </w:tc>
        <w:tc>
          <w:tcPr>
            <w:tcW w:w="722"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 w:right="0"/>
              <w:jc w:val="center"/>
              <w:rPr>
                <w:rFonts w:ascii="Times New Roman" w:hAnsi="Times New Roman" w:cs="Times New Roman" w:eastAsia="Times New Roman" w:hint="default"/>
                <w:sz w:val="18"/>
                <w:szCs w:val="18"/>
              </w:rPr>
            </w:pPr>
            <w:r>
              <w:rPr>
                <w:rFonts w:ascii="Times New Roman"/>
                <w:sz w:val="18"/>
              </w:rPr>
              <w:t>28,000,000.00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 w:right="0"/>
              <w:jc w:val="center"/>
              <w:rPr>
                <w:rFonts w:ascii="Times New Roman" w:hAnsi="Times New Roman" w:cs="Times New Roman" w:eastAsia="Times New Roman" w:hint="default"/>
                <w:sz w:val="18"/>
                <w:szCs w:val="18"/>
              </w:rPr>
            </w:pPr>
            <w:r>
              <w:rPr>
                <w:rFonts w:ascii="Times New Roman"/>
                <w:sz w:val="18"/>
              </w:rPr>
              <w:t>28,000,000.00</w:t>
            </w:r>
          </w:p>
        </w:tc>
        <w:tc>
          <w:tcPr>
            <w:tcW w:w="72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 w:right="0"/>
              <w:jc w:val="center"/>
              <w:rPr>
                <w:rFonts w:ascii="Times New Roman" w:hAnsi="Times New Roman" w:cs="Times New Roman" w:eastAsia="Times New Roman" w:hint="default"/>
                <w:sz w:val="18"/>
                <w:szCs w:val="18"/>
              </w:rPr>
            </w:pPr>
            <w:r>
              <w:rPr>
                <w:rFonts w:ascii="Times New Roman"/>
                <w:sz w:val="18"/>
              </w:rPr>
              <w:t>28,000,000.00</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6" w:right="0"/>
              <w:jc w:val="left"/>
              <w:rPr>
                <w:rFonts w:ascii="Times New Roman" w:hAnsi="Times New Roman" w:cs="Times New Roman" w:eastAsia="Times New Roman" w:hint="default"/>
                <w:sz w:val="18"/>
                <w:szCs w:val="18"/>
              </w:rPr>
            </w:pPr>
            <w:r>
              <w:rPr>
                <w:rFonts w:ascii="Times New Roman"/>
                <w:sz w:val="18"/>
              </w:rPr>
              <w:t>4.08%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9,800,000.00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714"/>
        <w:gridCol w:w="1091"/>
        <w:gridCol w:w="722"/>
        <w:gridCol w:w="724"/>
        <w:gridCol w:w="1091"/>
        <w:gridCol w:w="1091"/>
        <w:gridCol w:w="724"/>
        <w:gridCol w:w="722"/>
        <w:gridCol w:w="1091"/>
        <w:gridCol w:w="724"/>
        <w:gridCol w:w="1001"/>
      </w:tblGrid>
      <w:tr>
        <w:trPr>
          <w:trHeight w:val="1455"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141"/>
              <w:jc w:val="both"/>
              <w:rPr>
                <w:rFonts w:ascii="宋体" w:hAnsi="宋体" w:cs="宋体" w:eastAsia="宋体" w:hint="default"/>
                <w:sz w:val="18"/>
                <w:szCs w:val="18"/>
              </w:rPr>
            </w:pPr>
            <w:r>
              <w:rPr>
                <w:rFonts w:ascii="宋体" w:hAnsi="宋体" w:cs="宋体" w:eastAsia="宋体" w:hint="default"/>
                <w:sz w:val="18"/>
                <w:szCs w:val="18"/>
              </w:rPr>
              <w:t>银行股 份有限 公司</w:t>
            </w:r>
          </w:p>
        </w:tc>
        <w:tc>
          <w:tcPr>
            <w:tcW w:w="109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28,000,000.00</w:t>
            </w:r>
          </w:p>
        </w:tc>
        <w:tc>
          <w:tcPr>
            <w:tcW w:w="722"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28,000,000.00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28,000,000.00</w:t>
            </w:r>
          </w:p>
        </w:tc>
        <w:tc>
          <w:tcPr>
            <w:tcW w:w="72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28,000,000.00</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9,800,000.00</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3）可供出售权益工具期末公允价值严重下跌或非暂时性下跌但未计提减值准备的相关说" w:id="225"/>
      <w:bookmarkEnd w:id="225"/>
      <w:r>
        <w:rPr>
          <w:b w:val="0"/>
          <w:bCs w:val="0"/>
        </w:rPr>
      </w:r>
      <w:r>
        <w:rPr/>
        <w:t>（</w:t>
      </w:r>
      <w:r>
        <w:rPr>
          <w:rFonts w:ascii="Times New Roman" w:hAnsi="Times New Roman" w:cs="Times New Roman" w:eastAsia="Times New Roman" w:hint="default"/>
        </w:rPr>
        <w:t>3</w:t>
      </w:r>
      <w:r>
        <w:rPr/>
        <w:t>）可供出售权益工具期末公允价值严重下跌或非暂时性下跌但未计提减值准备的相关说明</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line="240" w:lineRule="auto" w:before="7"/>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8"/>
          <w:szCs w:val="18"/>
        </w:rPr>
      </w:pPr>
    </w:p>
    <w:p>
      <w:pPr>
        <w:pStyle w:val="BodyText"/>
        <w:spacing w:line="240" w:lineRule="auto"/>
        <w:ind w:left="0" w:right="1193"/>
        <w:jc w:val="right"/>
      </w:pPr>
      <w:r>
        <w:rPr>
          <w:spacing w:val="-1"/>
        </w:rPr>
        <w:t>（</w:t>
      </w:r>
      <w:r>
        <w:rPr>
          <w:rFonts w:ascii="Times New Roman" w:hAnsi="Times New Roman" w:cs="Times New Roman" w:eastAsia="Times New Roman" w:hint="default"/>
          <w:spacing w:val="-1"/>
        </w:rPr>
        <w:t>1</w:t>
      </w:r>
      <w:r>
        <w:rPr>
          <w:spacing w:val="-1"/>
        </w:rPr>
        <w:t>）可供出售金融资产是本公司按照</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w:t>
      </w:r>
      <w:r>
        <w:rPr>
          <w:spacing w:val="-1"/>
        </w:rPr>
        <w:t>日执行新的《企业会计准则第</w:t>
      </w:r>
      <w:r>
        <w:rPr>
          <w:rFonts w:ascii="Times New Roman" w:hAnsi="Times New Roman" w:cs="Times New Roman" w:eastAsia="Times New Roman" w:hint="default"/>
          <w:spacing w:val="-1"/>
        </w:rPr>
        <w:t>2</w:t>
      </w:r>
      <w:r>
        <w:rPr>
          <w:spacing w:val="-1"/>
        </w:rPr>
        <w:t>号</w:t>
      </w:r>
      <w:r>
        <w:rPr>
          <w:rFonts w:ascii="Times New Roman" w:hAnsi="Times New Roman" w:cs="Times New Roman" w:eastAsia="Times New Roman" w:hint="default"/>
          <w:spacing w:val="-1"/>
        </w:rPr>
        <w:t>—</w:t>
      </w:r>
      <w:r>
        <w:rPr>
          <w:spacing w:val="-1"/>
        </w:rPr>
        <w:t>长期股权投资》</w:t>
      </w:r>
    </w:p>
    <w:p>
      <w:pPr>
        <w:pStyle w:val="BodyText"/>
        <w:spacing w:line="240" w:lineRule="auto" w:before="177"/>
        <w:ind w:right="0"/>
        <w:jc w:val="left"/>
      </w:pPr>
      <w:r>
        <w:rPr/>
        <w:t>（修订），将对长春农村商业银行股份有限公司的投资按照新准则调整。</w:t>
      </w:r>
    </w:p>
    <w:p>
      <w:pPr>
        <w:spacing w:line="240" w:lineRule="auto" w:before="12"/>
        <w:rPr>
          <w:rFonts w:ascii="宋体" w:hAnsi="宋体" w:cs="宋体" w:eastAsia="宋体" w:hint="default"/>
          <w:sz w:val="23"/>
          <w:szCs w:val="23"/>
        </w:rPr>
      </w:pPr>
    </w:p>
    <w:p>
      <w:pPr>
        <w:pStyle w:val="BodyText"/>
        <w:spacing w:line="386" w:lineRule="auto"/>
        <w:ind w:right="1313" w:firstLine="420"/>
        <w:jc w:val="both"/>
      </w:pPr>
      <w:r>
        <w:rPr>
          <w:spacing w:val="-5"/>
        </w:rPr>
        <w:t>（</w:t>
      </w:r>
      <w:r>
        <w:rPr>
          <w:rFonts w:ascii="Times New Roman" w:hAnsi="Times New Roman" w:cs="Times New Roman" w:eastAsia="Times New Roman" w:hint="default"/>
          <w:spacing w:val="-5"/>
        </w:rPr>
        <w:t>2</w:t>
      </w:r>
      <w:r>
        <w:rPr>
          <w:spacing w:val="-5"/>
        </w:rPr>
        <w:t>）根据</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20</w:t>
      </w:r>
      <w:r>
        <w:rPr>
          <w:spacing w:val="-5"/>
        </w:rPr>
        <w:t>日长春农村商业银行股份有限公司召开的</w:t>
      </w:r>
      <w:r>
        <w:rPr>
          <w:rFonts w:ascii="Times New Roman" w:hAnsi="Times New Roman" w:cs="Times New Roman" w:eastAsia="Times New Roman" w:hint="default"/>
          <w:spacing w:val="-5"/>
        </w:rPr>
        <w:t>2013</w:t>
      </w:r>
      <w:r>
        <w:rPr>
          <w:spacing w:val="-5"/>
        </w:rPr>
        <w:t>年度股东大会，审议通过了</w:t>
      </w:r>
      <w:r>
        <w:rPr>
          <w:rFonts w:ascii="Times New Roman" w:hAnsi="Times New Roman" w:cs="Times New Roman" w:eastAsia="Times New Roman" w:hint="default"/>
          <w:spacing w:val="-5"/>
        </w:rPr>
        <w:t>2013</w:t>
      </w:r>
      <w:r>
        <w:rPr>
          <w:rFonts w:ascii="Times New Roman" w:hAnsi="Times New Roman" w:cs="Times New Roman" w:eastAsia="Times New Roman" w:hint="default"/>
        </w:rPr>
        <w:t> </w:t>
      </w:r>
      <w:r>
        <w:rPr/>
        <w:t>年度利润分配方案，</w:t>
      </w:r>
      <w:r>
        <w:rPr>
          <w:rFonts w:ascii="Times New Roman" w:hAnsi="Times New Roman" w:cs="Times New Roman" w:eastAsia="Times New Roman" w:hint="default"/>
        </w:rPr>
        <w:t>“</w:t>
      </w:r>
      <w:r>
        <w:rPr/>
        <w:t>按照每股</w:t>
      </w:r>
      <w:r>
        <w:rPr>
          <w:rFonts w:ascii="Times New Roman" w:hAnsi="Times New Roman" w:cs="Times New Roman" w:eastAsia="Times New Roman" w:hint="default"/>
        </w:rPr>
        <w:t>0.2</w:t>
      </w:r>
      <w:r>
        <w:rPr/>
        <w:t>元（含税）的比例，向本行截止</w:t>
      </w:r>
      <w:r>
        <w:rPr>
          <w:rFonts w:ascii="Times New Roman" w:hAnsi="Times New Roman" w:cs="Times New Roman" w:eastAsia="Times New Roman" w:hint="default"/>
        </w:rPr>
        <w:t>2013</w:t>
      </w:r>
      <w:r>
        <w:rPr/>
        <w:t>年末登记在册的股东进行现金分</w:t>
      </w:r>
      <w:r>
        <w:rPr>
          <w:spacing w:val="-45"/>
        </w:rPr>
        <w:t> </w:t>
      </w:r>
      <w:r>
        <w:rPr>
          <w:spacing w:val="-45"/>
        </w:rPr>
      </w:r>
      <w:r>
        <w:rPr/>
        <w:t>红</w:t>
      </w:r>
      <w:r>
        <w:rPr>
          <w:rFonts w:ascii="Times New Roman" w:hAnsi="Times New Roman" w:cs="Times New Roman" w:eastAsia="Times New Roman" w:hint="default"/>
        </w:rPr>
        <w:t>”</w:t>
      </w:r>
      <w:r>
        <w:rPr/>
        <w:t>，本期</w:t>
      </w:r>
      <w:r>
        <w:rPr>
          <w:rFonts w:ascii="Times New Roman" w:hAnsi="Times New Roman" w:cs="Times New Roman" w:eastAsia="Times New Roman" w:hint="default"/>
        </w:rPr>
        <w:t>2014</w:t>
      </w:r>
      <w:r>
        <w:rPr/>
        <w:t>年确认投资收益</w:t>
      </w:r>
      <w:r>
        <w:rPr>
          <w:rFonts w:ascii="Times New Roman" w:hAnsi="Times New Roman" w:cs="Times New Roman" w:eastAsia="Times New Roman" w:hint="default"/>
        </w:rPr>
        <w:t>980</w:t>
      </w:r>
      <w:r>
        <w:rPr/>
        <w:t>万元。</w:t>
      </w:r>
    </w:p>
    <w:p>
      <w:pPr>
        <w:spacing w:line="240" w:lineRule="auto" w:before="8"/>
        <w:rPr>
          <w:rFonts w:ascii="宋体" w:hAnsi="宋体" w:cs="宋体" w:eastAsia="宋体" w:hint="default"/>
          <w:sz w:val="25"/>
          <w:szCs w:val="25"/>
        </w:rPr>
      </w:pPr>
    </w:p>
    <w:p>
      <w:pPr>
        <w:pStyle w:val="Heading4"/>
        <w:spacing w:line="240" w:lineRule="auto"/>
        <w:ind w:left="154" w:right="0"/>
        <w:jc w:val="left"/>
        <w:rPr>
          <w:b w:val="0"/>
          <w:bCs w:val="0"/>
        </w:rPr>
      </w:pPr>
      <w:bookmarkStart w:name="9、长期股权投资" w:id="226"/>
      <w:bookmarkEnd w:id="226"/>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558"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477"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477"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494"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558"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558"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7"/>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8"/>
          <w:szCs w:val="18"/>
        </w:rPr>
      </w:pPr>
    </w:p>
    <w:p>
      <w:pPr>
        <w:pStyle w:val="BodyText"/>
        <w:spacing w:line="240" w:lineRule="auto"/>
        <w:ind w:left="565" w:right="0"/>
        <w:jc w:val="left"/>
      </w:pPr>
      <w:r>
        <w:rPr/>
        <w:t>长期股权投资分类：</w:t>
      </w:r>
    </w:p>
    <w:p>
      <w:pPr>
        <w:spacing w:line="240" w:lineRule="auto" w:before="12"/>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4072"/>
        <w:gridCol w:w="2284"/>
        <w:gridCol w:w="2285"/>
      </w:tblGrid>
      <w:tr>
        <w:trPr>
          <w:trHeight w:val="511" w:hRule="exact"/>
        </w:trPr>
        <w:tc>
          <w:tcPr>
            <w:tcW w:w="40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2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8"/>
              <w:ind w:right="4"/>
              <w:jc w:val="center"/>
              <w:rPr>
                <w:rFonts w:ascii="宋体" w:hAnsi="宋体" w:cs="宋体" w:eastAsia="宋体" w:hint="default"/>
                <w:sz w:val="18"/>
                <w:szCs w:val="18"/>
              </w:rPr>
            </w:pPr>
            <w:r>
              <w:rPr>
                <w:rFonts w:ascii="宋体" w:hAnsi="宋体" w:cs="宋体" w:eastAsia="宋体" w:hint="default"/>
                <w:sz w:val="18"/>
                <w:szCs w:val="18"/>
              </w:rPr>
              <w:t>年初余额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072"/>
        <w:gridCol w:w="2284"/>
        <w:gridCol w:w="2285"/>
      </w:tblGrid>
      <w:tr>
        <w:trPr>
          <w:trHeight w:val="511" w:hRule="exact"/>
        </w:trPr>
        <w:tc>
          <w:tcPr>
            <w:tcW w:w="40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2284" w:type="dxa"/>
            <w:tcBorders>
              <w:top w:val="single" w:sz="6" w:space="0" w:color="000000"/>
              <w:left w:val="single" w:sz="6" w:space="0" w:color="000000"/>
              <w:bottom w:val="single" w:sz="12" w:space="0" w:color="000000"/>
              <w:right w:val="single" w:sz="6" w:space="0" w:color="000000"/>
            </w:tcBorders>
          </w:tcPr>
          <w:p>
            <w:pPr/>
          </w:p>
        </w:tc>
        <w:tc>
          <w:tcPr>
            <w:tcW w:w="2285" w:type="dxa"/>
            <w:tcBorders>
              <w:top w:val="single" w:sz="6" w:space="0" w:color="000000"/>
              <w:left w:val="single" w:sz="6" w:space="0" w:color="000000"/>
              <w:bottom w:val="single" w:sz="12" w:space="0" w:color="000000"/>
              <w:right w:val="nil" w:sz="6" w:space="0" w:color="auto"/>
            </w:tcBorders>
          </w:tcPr>
          <w:p>
            <w:pPr/>
          </w:p>
        </w:tc>
      </w:tr>
      <w:tr>
        <w:trPr>
          <w:trHeight w:val="508" w:hRule="exact"/>
        </w:trPr>
        <w:tc>
          <w:tcPr>
            <w:tcW w:w="40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2284" w:type="dxa"/>
            <w:tcBorders>
              <w:top w:val="single" w:sz="12" w:space="0" w:color="000000"/>
              <w:left w:val="single" w:sz="6" w:space="0" w:color="000000"/>
              <w:bottom w:val="single" w:sz="12" w:space="0" w:color="000000"/>
              <w:right w:val="single" w:sz="6" w:space="0" w:color="000000"/>
            </w:tcBorders>
          </w:tcPr>
          <w:p>
            <w:pPr/>
          </w:p>
        </w:tc>
        <w:tc>
          <w:tcPr>
            <w:tcW w:w="2285" w:type="dxa"/>
            <w:tcBorders>
              <w:top w:val="single" w:sz="12" w:space="0" w:color="000000"/>
              <w:left w:val="single" w:sz="6" w:space="0" w:color="000000"/>
              <w:bottom w:val="single" w:sz="12" w:space="0" w:color="000000"/>
              <w:right w:val="nil" w:sz="6" w:space="0" w:color="auto"/>
            </w:tcBorders>
          </w:tcPr>
          <w:p>
            <w:pPr/>
          </w:p>
        </w:tc>
      </w:tr>
      <w:tr>
        <w:trPr>
          <w:trHeight w:val="509" w:hRule="exact"/>
        </w:trPr>
        <w:tc>
          <w:tcPr>
            <w:tcW w:w="40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2284" w:type="dxa"/>
            <w:tcBorders>
              <w:top w:val="single" w:sz="12" w:space="0" w:color="000000"/>
              <w:left w:val="single" w:sz="6" w:space="0" w:color="000000"/>
              <w:bottom w:val="single" w:sz="12" w:space="0" w:color="000000"/>
              <w:right w:val="single" w:sz="6" w:space="0" w:color="000000"/>
            </w:tcBorders>
          </w:tcPr>
          <w:p>
            <w:pPr/>
          </w:p>
        </w:tc>
        <w:tc>
          <w:tcPr>
            <w:tcW w:w="22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6"/>
              <w:jc w:val="right"/>
              <w:rPr>
                <w:rFonts w:ascii="Times New Roman" w:hAnsi="Times New Roman" w:cs="Times New Roman" w:eastAsia="Times New Roman" w:hint="default"/>
                <w:sz w:val="18"/>
                <w:szCs w:val="18"/>
              </w:rPr>
            </w:pPr>
            <w:r>
              <w:rPr>
                <w:rFonts w:ascii="Times New Roman"/>
                <w:sz w:val="18"/>
              </w:rPr>
              <w:t>600,000.00</w:t>
            </w:r>
          </w:p>
        </w:tc>
      </w:tr>
      <w:tr>
        <w:trPr>
          <w:trHeight w:val="508" w:hRule="exact"/>
        </w:trPr>
        <w:tc>
          <w:tcPr>
            <w:tcW w:w="40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284" w:type="dxa"/>
            <w:tcBorders>
              <w:top w:val="single" w:sz="12" w:space="0" w:color="000000"/>
              <w:left w:val="single" w:sz="6" w:space="0" w:color="000000"/>
              <w:bottom w:val="single" w:sz="12" w:space="0" w:color="000000"/>
              <w:right w:val="single" w:sz="6" w:space="0" w:color="000000"/>
            </w:tcBorders>
          </w:tcPr>
          <w:p>
            <w:pPr/>
          </w:p>
        </w:tc>
        <w:tc>
          <w:tcPr>
            <w:tcW w:w="22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6"/>
              <w:jc w:val="right"/>
              <w:rPr>
                <w:rFonts w:ascii="Times New Roman" w:hAnsi="Times New Roman" w:cs="Times New Roman" w:eastAsia="Times New Roman" w:hint="default"/>
                <w:sz w:val="18"/>
                <w:szCs w:val="18"/>
              </w:rPr>
            </w:pPr>
            <w:r>
              <w:rPr>
                <w:rFonts w:ascii="Times New Roman"/>
                <w:sz w:val="18"/>
              </w:rPr>
              <w:t>600,000.00</w:t>
            </w:r>
          </w:p>
        </w:tc>
      </w:tr>
      <w:tr>
        <w:trPr>
          <w:trHeight w:val="508" w:hRule="exact"/>
        </w:trPr>
        <w:tc>
          <w:tcPr>
            <w:tcW w:w="40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减：减值准备</w:t>
            </w:r>
          </w:p>
        </w:tc>
        <w:tc>
          <w:tcPr>
            <w:tcW w:w="2284" w:type="dxa"/>
            <w:tcBorders>
              <w:top w:val="single" w:sz="12" w:space="0" w:color="000000"/>
              <w:left w:val="single" w:sz="6" w:space="0" w:color="000000"/>
              <w:bottom w:val="single" w:sz="12" w:space="0" w:color="000000"/>
              <w:right w:val="single" w:sz="6" w:space="0" w:color="000000"/>
            </w:tcBorders>
          </w:tcPr>
          <w:p>
            <w:pPr/>
          </w:p>
        </w:tc>
        <w:tc>
          <w:tcPr>
            <w:tcW w:w="2285" w:type="dxa"/>
            <w:tcBorders>
              <w:top w:val="single" w:sz="12" w:space="0" w:color="000000"/>
              <w:left w:val="single" w:sz="6" w:space="0" w:color="000000"/>
              <w:bottom w:val="single" w:sz="12" w:space="0" w:color="000000"/>
              <w:right w:val="nil" w:sz="6" w:space="0" w:color="auto"/>
            </w:tcBorders>
          </w:tcPr>
          <w:p>
            <w:pPr/>
          </w:p>
        </w:tc>
      </w:tr>
      <w:tr>
        <w:trPr>
          <w:trHeight w:val="509" w:hRule="exact"/>
        </w:trPr>
        <w:tc>
          <w:tcPr>
            <w:tcW w:w="40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284" w:type="dxa"/>
            <w:tcBorders>
              <w:top w:val="single" w:sz="12" w:space="0" w:color="000000"/>
              <w:left w:val="single" w:sz="6" w:space="0" w:color="000000"/>
              <w:bottom w:val="single" w:sz="12" w:space="0" w:color="000000"/>
              <w:right w:val="single" w:sz="6" w:space="0" w:color="000000"/>
            </w:tcBorders>
          </w:tcPr>
          <w:p>
            <w:pPr/>
          </w:p>
        </w:tc>
        <w:tc>
          <w:tcPr>
            <w:tcW w:w="22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8"/>
              <w:jc w:val="right"/>
              <w:rPr>
                <w:rFonts w:ascii="Times New Roman" w:hAnsi="Times New Roman" w:cs="Times New Roman" w:eastAsia="Times New Roman" w:hint="default"/>
                <w:sz w:val="18"/>
                <w:szCs w:val="18"/>
              </w:rPr>
            </w:pPr>
            <w:r>
              <w:rPr>
                <w:rFonts w:ascii="Times New Roman"/>
                <w:sz w:val="18"/>
              </w:rPr>
              <w:t>600,000.00</w:t>
            </w:r>
          </w:p>
        </w:tc>
      </w:tr>
    </w:tbl>
    <w:p>
      <w:pPr>
        <w:spacing w:line="240" w:lineRule="auto" w:before="4"/>
        <w:rPr>
          <w:rFonts w:ascii="宋体" w:hAnsi="宋体" w:cs="宋体" w:eastAsia="宋体" w:hint="default"/>
          <w:sz w:val="11"/>
          <w:szCs w:val="11"/>
        </w:rPr>
      </w:pPr>
    </w:p>
    <w:p>
      <w:pPr>
        <w:pStyle w:val="BodyText"/>
        <w:spacing w:line="240" w:lineRule="auto" w:before="35"/>
        <w:ind w:left="574" w:right="0"/>
        <w:jc w:val="left"/>
      </w:pPr>
      <w:r>
        <w:rPr/>
        <w:t>详细解释见附注十五、</w:t>
      </w:r>
      <w:r>
        <w:rPr>
          <w:rFonts w:ascii="Times New Roman" w:hAnsi="Times New Roman" w:cs="Times New Roman" w:eastAsia="Times New Roman" w:hint="default"/>
        </w:rPr>
        <w:t>3</w:t>
      </w:r>
      <w:r>
        <w:rPr/>
        <w:t>中所述。</w:t>
      </w:r>
    </w:p>
    <w:p>
      <w:pPr>
        <w:spacing w:line="240" w:lineRule="auto" w:before="0"/>
        <w:rPr>
          <w:rFonts w:ascii="宋体" w:hAnsi="宋体" w:cs="宋体" w:eastAsia="宋体" w:hint="default"/>
          <w:sz w:val="22"/>
          <w:szCs w:val="22"/>
        </w:rPr>
      </w:pPr>
    </w:p>
    <w:p>
      <w:pPr>
        <w:pStyle w:val="Heading4"/>
        <w:spacing w:line="240" w:lineRule="auto" w:before="189"/>
        <w:ind w:right="0"/>
        <w:jc w:val="left"/>
        <w:rPr>
          <w:b w:val="0"/>
          <w:bCs w:val="0"/>
        </w:rPr>
      </w:pPr>
      <w:bookmarkStart w:name="10、固定资产" w:id="227"/>
      <w:bookmarkEnd w:id="227"/>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固定资产情况" w:id="228"/>
      <w:bookmarkEnd w:id="22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109"/>
        <w:gridCol w:w="1207"/>
        <w:gridCol w:w="1197"/>
        <w:gridCol w:w="1196"/>
        <w:gridCol w:w="1195"/>
        <w:gridCol w:w="1286"/>
        <w:gridCol w:w="1367"/>
      </w:tblGrid>
      <w:tr>
        <w:trPr>
          <w:trHeight w:val="558"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58"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381,908,031.72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300,077,863.97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21,211,546.25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16,358,784.61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719,556,226.55</w:t>
            </w:r>
          </w:p>
        </w:tc>
      </w:tr>
      <w:tr>
        <w:trPr>
          <w:trHeight w:val="558"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381,908,031.72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300,077,863.97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21,211,546.25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16,358,784.61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719,556,226.55</w:t>
            </w:r>
          </w:p>
        </w:tc>
      </w:tr>
      <w:tr>
        <w:trPr>
          <w:trHeight w:val="558"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130,898,951.70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20,942,736.34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2,237,617.17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4,166,720.63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158,246,025.84</w:t>
            </w:r>
          </w:p>
        </w:tc>
      </w:tr>
      <w:tr>
        <w:trPr>
          <w:trHeight w:val="558"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4,872,005.35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867,535.40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141,401.56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5,880,942.31</w:t>
            </w:r>
          </w:p>
        </w:tc>
      </w:tr>
      <w:tr>
        <w:trPr>
          <w:trHeight w:val="558"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512,806,983.42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316,148,594.96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22,581,628.02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20,384,103.68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871,921,310.08</w:t>
            </w:r>
          </w:p>
        </w:tc>
      </w:tr>
      <w:tr>
        <w:trPr>
          <w:trHeight w:val="558"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51,780,434.03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76,374,929.81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9,151,978.28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6,922,514.98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144,229,857.10</w:t>
            </w:r>
          </w:p>
        </w:tc>
      </w:tr>
      <w:tr>
        <w:trPr>
          <w:trHeight w:val="558"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51,780,434.03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76,374,929.81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9,151,978.28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6,922,514.98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144,229,857.10</w:t>
            </w:r>
          </w:p>
        </w:tc>
      </w:tr>
      <w:tr>
        <w:trPr>
          <w:trHeight w:val="558"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28,631,432.62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16,909,929.14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4,243,711.02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4,261,550.58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54,046,623.36</w:t>
            </w:r>
          </w:p>
        </w:tc>
      </w:tr>
      <w:tr>
        <w:trPr>
          <w:trHeight w:val="558"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4,608,497.39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744,887.05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134,331.48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5,487,715.92</w:t>
            </w:r>
          </w:p>
        </w:tc>
      </w:tr>
      <w:tr>
        <w:trPr>
          <w:trHeight w:val="558"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80,411,866.65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88,676,361.56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12,650,802.25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11,049,734.08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192,788,764.54</w:t>
            </w:r>
          </w:p>
        </w:tc>
      </w:tr>
      <w:tr>
        <w:trPr>
          <w:trHeight w:val="558"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432,395,116.77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227,472,233.40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9,930,825.77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9,334,369.60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679,132,545.54</w:t>
            </w:r>
          </w:p>
        </w:tc>
      </w:tr>
      <w:tr>
        <w:trPr>
          <w:trHeight w:val="558"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432,395,116.77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227,472,233.40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9,930,825.77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9,334,369.60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679,132,545.54</w:t>
            </w:r>
          </w:p>
        </w:tc>
      </w:tr>
      <w:tr>
        <w:trPr>
          <w:trHeight w:val="558"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330,127,597.69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223,702,934.16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12,059,567.97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9,436,269.63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575,326,369.45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2）未办妥产权证书的固定资产情况" w:id="229"/>
      <w:bookmarkEnd w:id="229"/>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line="240" w:lineRule="auto" w:before="7"/>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4"/>
          <w:szCs w:val="24"/>
        </w:rPr>
      </w:pPr>
    </w:p>
    <w:p>
      <w:pPr>
        <w:pStyle w:val="BodyText"/>
        <w:spacing w:line="386" w:lineRule="auto"/>
        <w:ind w:right="1304" w:firstLine="420"/>
        <w:jc w:val="left"/>
      </w:pPr>
      <w:r>
        <w:rPr>
          <w:spacing w:val="-2"/>
        </w:rPr>
        <w:t>本期折旧额为</w:t>
      </w:r>
      <w:r>
        <w:rPr>
          <w:rFonts w:ascii="Times New Roman" w:hAnsi="Times New Roman" w:cs="Times New Roman" w:eastAsia="Times New Roman" w:hint="default"/>
          <w:spacing w:val="-2"/>
        </w:rPr>
        <w:t>5,404.66</w:t>
      </w:r>
      <w:r>
        <w:rPr>
          <w:spacing w:val="-2"/>
        </w:rPr>
        <w:t>万元，本期由在建工程转入固定资产的金额为</w:t>
      </w:r>
      <w:r>
        <w:rPr>
          <w:rFonts w:ascii="Times New Roman" w:hAnsi="Times New Roman" w:cs="Times New Roman" w:eastAsia="Times New Roman" w:hint="default"/>
          <w:spacing w:val="-2"/>
        </w:rPr>
        <w:t>13,617.23</w:t>
      </w:r>
      <w:r>
        <w:rPr>
          <w:spacing w:val="-2"/>
        </w:rPr>
        <w:t>万元。期末用于抵押或</w:t>
      </w:r>
      <w:r>
        <w:rPr/>
        <w:t> 担保的固定资产原值为</w:t>
      </w:r>
      <w:r>
        <w:rPr>
          <w:rFonts w:ascii="Times New Roman" w:hAnsi="Times New Roman" w:cs="Times New Roman" w:eastAsia="Times New Roman" w:hint="default"/>
        </w:rPr>
        <w:t>31,388.82</w:t>
      </w:r>
      <w:r>
        <w:rPr/>
        <w:t>万元，净值为</w:t>
      </w:r>
      <w:r>
        <w:rPr>
          <w:rFonts w:ascii="Times New Roman" w:hAnsi="Times New Roman" w:cs="Times New Roman" w:eastAsia="Times New Roman" w:hint="default"/>
        </w:rPr>
        <w:t>27,204.56</w:t>
      </w:r>
      <w:r>
        <w:rPr/>
        <w:t>万元。</w:t>
      </w:r>
    </w:p>
    <w:p>
      <w:pPr>
        <w:pStyle w:val="BodyText"/>
        <w:spacing w:line="408" w:lineRule="auto" w:before="35"/>
        <w:ind w:left="573" w:right="3613"/>
        <w:jc w:val="left"/>
      </w:pPr>
      <w:r>
        <w:rPr/>
        <w:t>期末无暂时闲置的固定资产。 固定资产期末余额中无经营租出、融资租赁租入、持有待售的固定资产。</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11、在建工程" w:id="230"/>
      <w:bookmarkEnd w:id="230"/>
      <w:r>
        <w:rPr>
          <w:b w:val="0"/>
          <w:bCs w:val="0"/>
        </w:rPr>
      </w:r>
      <w:r>
        <w:rPr>
          <w:rFonts w:ascii="Times New Roman" w:hAnsi="Times New Roman" w:cs="Times New Roman" w:eastAsia="Times New Roman" w:hint="default"/>
        </w:rPr>
        <w:t>11</w:t>
      </w:r>
      <w:r>
        <w:rPr/>
        <w:t>、在建工程</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在建工程情况" w:id="231"/>
      <w:bookmarkEnd w:id="231"/>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13"/>
          <w:szCs w:val="13"/>
        </w:rPr>
      </w:pPr>
    </w:p>
    <w:p>
      <w:pPr>
        <w:spacing w:line="6825" w:lineRule="exact"/>
        <w:ind w:left="149" w:right="0" w:firstLine="0"/>
        <w:rPr>
          <w:rFonts w:ascii="宋体" w:hAnsi="宋体" w:cs="宋体" w:eastAsia="宋体" w:hint="default"/>
          <w:sz w:val="20"/>
          <w:szCs w:val="20"/>
        </w:rPr>
      </w:pPr>
      <w:r>
        <w:rPr>
          <w:rFonts w:ascii="宋体" w:hAnsi="宋体" w:cs="宋体" w:eastAsia="宋体" w:hint="default"/>
          <w:position w:val="-136"/>
          <w:sz w:val="20"/>
          <w:szCs w:val="20"/>
        </w:rPr>
        <w:pict>
          <v:group style="width:479.1pt;height:341.3pt;mso-position-horizontal-relative:char;mso-position-vertical-relative:line" coordorigin="0,0" coordsize="9582,6826">
            <v:group style="position:absolute;left:10;top:16;width:1359;height:279" coordorigin="10,16" coordsize="1359,279">
              <v:shape style="position:absolute;left:10;top:16;width:1359;height:279" coordorigin="10,16" coordsize="1359,279" path="m10,294l1368,294,1368,16,10,16,10,294xe" filled="true" fillcolor="#d2d2d2" stroked="false">
                <v:path arrowok="t"/>
                <v:fill type="solid"/>
              </v:shape>
            </v:group>
            <v:group style="position:absolute;left:21;top:294;width:2;height:549" coordorigin="21,294" coordsize="2,549">
              <v:shape style="position:absolute;left:21;top:294;width:2;height:549" coordorigin="21,294" coordsize="0,549" path="m21,294l21,843e" filled="false" stroked="true" strokeweight="1.140pt" strokecolor="#d2d2d2">
                <v:path arrowok="t"/>
              </v:shape>
            </v:group>
            <v:group style="position:absolute;left:1357;top:294;width:2;height:549" coordorigin="1357,294" coordsize="2,549">
              <v:shape style="position:absolute;left:1357;top:294;width:2;height:549" coordorigin="1357,294" coordsize="0,549" path="m1357,294l1357,843e" filled="false" stroked="true" strokeweight="1.140pt" strokecolor="#d2d2d2">
                <v:path arrowok="t"/>
              </v:shape>
            </v:group>
            <v:group style="position:absolute;left:10;top:843;width:1359;height:279" coordorigin="10,843" coordsize="1359,279">
              <v:shape style="position:absolute;left:10;top:843;width:1359;height:279" coordorigin="10,843" coordsize="1359,279" path="m10,1121l1368,1121,1368,843,10,843,10,1121xe" filled="true" fillcolor="#d2d2d2" stroked="false">
                <v:path arrowok="t"/>
                <v:fill type="solid"/>
              </v:shape>
            </v:group>
            <v:group style="position:absolute;left:32;top:294;width:1314;height:549" coordorigin="32,294" coordsize="1314,549">
              <v:shape style="position:absolute;left:32;top:294;width:1314;height:549" coordorigin="32,294" coordsize="1314,549" path="m32,843l1346,843,1346,294,32,294,32,843xe" filled="true" fillcolor="#d2d2d2" stroked="false">
                <v:path arrowok="t"/>
                <v:fill type="solid"/>
              </v:shape>
            </v:group>
            <v:group style="position:absolute;left:1389;top:16;width:2;height:548" coordorigin="1389,16" coordsize="2,548">
              <v:shape style="position:absolute;left:1389;top:16;width:2;height:548" coordorigin="1389,16" coordsize="0,548" path="m1389,16l1389,563e" filled="false" stroked="true" strokeweight="1.140pt" strokecolor="#d2d2d2">
                <v:path arrowok="t"/>
              </v:shape>
            </v:group>
            <v:group style="position:absolute;left:5459;top:16;width:2;height:548" coordorigin="5459,16" coordsize="2,548">
              <v:shape style="position:absolute;left:5459;top:16;width:2;height:548" coordorigin="5459,16" coordsize="0,548" path="m5459,16l5459,563e" filled="false" stroked="true" strokeweight="1.140pt" strokecolor="#d2d2d2">
                <v:path arrowok="t"/>
              </v:shape>
            </v:group>
            <v:group style="position:absolute;left:1401;top:16;width:4047;height:548" coordorigin="1401,16" coordsize="4047,548">
              <v:shape style="position:absolute;left:1401;top:16;width:4047;height:548" coordorigin="1401,16" coordsize="4047,548" path="m1401,563l5448,563,5448,16,1401,16,1401,563xe" filled="true" fillcolor="#d2d2d2" stroked="false">
                <v:path arrowok="t"/>
                <v:fill type="solid"/>
              </v:shape>
            </v:group>
            <v:group style="position:absolute;left:5492;top:16;width:2;height:548" coordorigin="5492,16" coordsize="2,548">
              <v:shape style="position:absolute;left:5492;top:16;width:2;height:548" coordorigin="5492,16" coordsize="0,548" path="m5492,16l5492,563e" filled="false" stroked="true" strokeweight="1.2pt" strokecolor="#d2d2d2">
                <v:path arrowok="t"/>
              </v:shape>
            </v:group>
            <v:group style="position:absolute;left:9560;top:16;width:2;height:548" coordorigin="9560,16" coordsize="2,548">
              <v:shape style="position:absolute;left:9560;top:16;width:2;height:548" coordorigin="9560,16" coordsize="0,548" path="m9560,16l9560,563e" filled="false" stroked="true" strokeweight="1.2pt" strokecolor="#d2d2d2">
                <v:path arrowok="t"/>
              </v:shape>
            </v:group>
            <v:group style="position:absolute;left:5504;top:16;width:4045;height:548" coordorigin="5504,16" coordsize="4045,548">
              <v:shape style="position:absolute;left:5504;top:16;width:4045;height:548" coordorigin="5504,16" coordsize="4045,548" path="m5504,563l9548,563,9548,16,5504,16,5504,563xe" filled="true" fillcolor="#d2d2d2" stroked="false">
                <v:path arrowok="t"/>
                <v:fill type="solid"/>
              </v:shape>
            </v:group>
            <v:group style="position:absolute;left:10;top:10;width:1359;height:2" coordorigin="10,10" coordsize="1359,2">
              <v:shape style="position:absolute;left:10;top:10;width:1359;height:2" coordorigin="10,10" coordsize="1359,0" path="m10,10l1368,10e" filled="false" stroked="true" strokeweight=".48pt" strokecolor="#000000">
                <v:path arrowok="t"/>
              </v:shape>
            </v:group>
            <v:group style="position:absolute;left:1378;top:10;width:4093;height:2" coordorigin="1378,10" coordsize="4093,2">
              <v:shape style="position:absolute;left:1378;top:10;width:4093;height:2" coordorigin="1378,10" coordsize="4093,0" path="m1378,10l5470,10e" filled="false" stroked="true" strokeweight=".48pt" strokecolor="#000000">
                <v:path arrowok="t"/>
              </v:shape>
            </v:group>
            <v:group style="position:absolute;left:5480;top:10;width:4093;height:2" coordorigin="5480,10" coordsize="4093,2">
              <v:shape style="position:absolute;left:5480;top:10;width:4093;height:2" coordorigin="5480,10" coordsize="4093,0" path="m5480,10l9572,10e" filled="false" stroked="true" strokeweight=".48pt" strokecolor="#000000">
                <v:path arrowok="t"/>
              </v:shape>
            </v:group>
            <v:group style="position:absolute;left:1389;top:574;width:2;height:548" coordorigin="1389,574" coordsize="2,548">
              <v:shape style="position:absolute;left:1389;top:574;width:2;height:548" coordorigin="1389,574" coordsize="0,548" path="m1389,574l1389,1121e" filled="false" stroked="true" strokeweight="1.140pt" strokecolor="#d2d2d2">
                <v:path arrowok="t"/>
              </v:shape>
            </v:group>
            <v:group style="position:absolute;left:2725;top:574;width:2;height:548" coordorigin="2725,574" coordsize="2,548">
              <v:shape style="position:absolute;left:2725;top:574;width:2;height:548" coordorigin="2725,574" coordsize="0,548" path="m2725,574l2725,1121e" filled="false" stroked="true" strokeweight="1.140pt" strokecolor="#d2d2d2">
                <v:path arrowok="t"/>
              </v:shape>
            </v:group>
            <v:group style="position:absolute;left:1401;top:574;width:1313;height:548" coordorigin="1401,574" coordsize="1313,548">
              <v:shape style="position:absolute;left:1401;top:574;width:1313;height:548" coordorigin="1401,574" coordsize="1313,548" path="m1401,1121l2714,1121,2714,574,1401,574,1401,1121xe" filled="true" fillcolor="#d2d2d2" stroked="false">
                <v:path arrowok="t"/>
                <v:fill type="solid"/>
              </v:shape>
            </v:group>
            <v:group style="position:absolute;left:2757;top:574;width:2;height:548" coordorigin="2757,574" coordsize="2,548">
              <v:shape style="position:absolute;left:2757;top:574;width:2;height:548" coordorigin="2757,574" coordsize="0,548" path="m2757,574l2757,1121e" filled="false" stroked="true" strokeweight="1.140pt" strokecolor="#d2d2d2">
                <v:path arrowok="t"/>
              </v:shape>
            </v:group>
            <v:group style="position:absolute;left:4092;top:574;width:2;height:548" coordorigin="4092,574" coordsize="2,548">
              <v:shape style="position:absolute;left:4092;top:574;width:2;height:548" coordorigin="4092,574" coordsize="0,548" path="m4092,574l4092,1121e" filled="false" stroked="true" strokeweight="1.140pt" strokecolor="#d2d2d2">
                <v:path arrowok="t"/>
              </v:shape>
            </v:group>
            <v:group style="position:absolute;left:2769;top:574;width:1312;height:548" coordorigin="2769,574" coordsize="1312,548">
              <v:shape style="position:absolute;left:2769;top:574;width:1312;height:548" coordorigin="2769,574" coordsize="1312,548" path="m2769,1121l4081,1121,4081,574,2769,574,2769,1121xe" filled="true" fillcolor="#d2d2d2" stroked="false">
                <v:path arrowok="t"/>
                <v:fill type="solid"/>
              </v:shape>
            </v:group>
            <v:group style="position:absolute;left:4125;top:574;width:2;height:548" coordorigin="4125,574" coordsize="2,548">
              <v:shape style="position:absolute;left:4125;top:574;width:2;height:548" coordorigin="4125,574" coordsize="0,548" path="m4125,574l4125,1121e" filled="false" stroked="true" strokeweight="1.140pt" strokecolor="#d2d2d2">
                <v:path arrowok="t"/>
              </v:shape>
            </v:group>
            <v:group style="position:absolute;left:5459;top:574;width:2;height:548" coordorigin="5459,574" coordsize="2,548">
              <v:shape style="position:absolute;left:5459;top:574;width:2;height:548" coordorigin="5459,574" coordsize="0,548" path="m5459,574l5459,1121e" filled="false" stroked="true" strokeweight="1.140pt" strokecolor="#d2d2d2">
                <v:path arrowok="t"/>
              </v:shape>
            </v:group>
            <v:group style="position:absolute;left:4136;top:574;width:1312;height:548" coordorigin="4136,574" coordsize="1312,548">
              <v:shape style="position:absolute;left:4136;top:574;width:1312;height:548" coordorigin="4136,574" coordsize="1312,548" path="m4136,1121l5448,1121,5448,574,4136,574,4136,1121xe" filled="true" fillcolor="#d2d2d2" stroked="false">
                <v:path arrowok="t"/>
                <v:fill type="solid"/>
              </v:shape>
            </v:group>
            <v:group style="position:absolute;left:5492;top:574;width:2;height:548" coordorigin="5492,574" coordsize="2,548">
              <v:shape style="position:absolute;left:5492;top:574;width:2;height:548" coordorigin="5492,574" coordsize="0,548" path="m5492,574l5492,1121e" filled="false" stroked="true" strokeweight="1.2pt" strokecolor="#d2d2d2">
                <v:path arrowok="t"/>
              </v:shape>
            </v:group>
            <v:group style="position:absolute;left:6826;top:574;width:2;height:548" coordorigin="6826,574" coordsize="2,548">
              <v:shape style="position:absolute;left:6826;top:574;width:2;height:548" coordorigin="6826,574" coordsize="0,548" path="m6826,574l6826,1121e" filled="false" stroked="true" strokeweight="1.140pt" strokecolor="#d2d2d2">
                <v:path arrowok="t"/>
              </v:shape>
            </v:group>
            <v:group style="position:absolute;left:5504;top:574;width:1311;height:548" coordorigin="5504,574" coordsize="1311,548">
              <v:shape style="position:absolute;left:5504;top:574;width:1311;height:548" coordorigin="5504,574" coordsize="1311,548" path="m5504,1121l6814,1121,6814,574,5504,574,5504,1121xe" filled="true" fillcolor="#d2d2d2" stroked="false">
                <v:path arrowok="t"/>
                <v:fill type="solid"/>
              </v:shape>
            </v:group>
            <v:group style="position:absolute;left:6859;top:574;width:2;height:548" coordorigin="6859,574" coordsize="2,548">
              <v:shape style="position:absolute;left:6859;top:574;width:2;height:548" coordorigin="6859,574" coordsize="0,548" path="m6859,574l6859,1121e" filled="false" stroked="true" strokeweight="1.140pt" strokecolor="#d2d2d2">
                <v:path arrowok="t"/>
              </v:shape>
            </v:group>
            <v:group style="position:absolute;left:8194;top:574;width:2;height:548" coordorigin="8194,574" coordsize="2,548">
              <v:shape style="position:absolute;left:8194;top:574;width:2;height:548" coordorigin="8194,574" coordsize="0,548" path="m8194,574l8194,1121e" filled="false" stroked="true" strokeweight="1.2pt" strokecolor="#d2d2d2">
                <v:path arrowok="t"/>
              </v:shape>
            </v:group>
            <v:group style="position:absolute;left:6871;top:574;width:1311;height:548" coordorigin="6871,574" coordsize="1311,548">
              <v:shape style="position:absolute;left:6871;top:574;width:1311;height:548" coordorigin="6871,574" coordsize="1311,548" path="m6871,1121l8182,1121,8182,574,6871,574,6871,1121xe" filled="true" fillcolor="#d2d2d2" stroked="false">
                <v:path arrowok="t"/>
                <v:fill type="solid"/>
              </v:shape>
            </v:group>
            <v:group style="position:absolute;left:8227;top:574;width:2;height:548" coordorigin="8227,574" coordsize="2,548">
              <v:shape style="position:absolute;left:8227;top:574;width:2;height:548" coordorigin="8227,574" coordsize="0,548" path="m8227,574l8227,1121e" filled="false" stroked="true" strokeweight="1.140pt" strokecolor="#d2d2d2">
                <v:path arrowok="t"/>
              </v:shape>
            </v:group>
            <v:group style="position:absolute;left:9560;top:574;width:2;height:548" coordorigin="9560,574" coordsize="2,548">
              <v:shape style="position:absolute;left:9560;top:574;width:2;height:548" coordorigin="9560,574" coordsize="0,548" path="m9560,574l9560,1121e" filled="false" stroked="true" strokeweight="1.2pt" strokecolor="#d2d2d2">
                <v:path arrowok="t"/>
              </v:shape>
            </v:group>
            <v:group style="position:absolute;left:8238;top:574;width:1311;height:548" coordorigin="8238,574" coordsize="1311,548">
              <v:shape style="position:absolute;left:8238;top:574;width:1311;height:548" coordorigin="8238,574" coordsize="1311,548" path="m8238,1121l9548,1121,9548,574,8238,574,8238,1121xe" filled="true" fillcolor="#d2d2d2" stroked="false">
                <v:path arrowok="t"/>
                <v:fill type="solid"/>
              </v:shape>
            </v:group>
            <v:group style="position:absolute;left:1378;top:568;width:1359;height:2" coordorigin="1378,568" coordsize="1359,2">
              <v:shape style="position:absolute;left:1378;top:568;width:1359;height:2" coordorigin="1378,568" coordsize="1359,0" path="m1378,568l2736,568e" filled="false" stroked="true" strokeweight=".48pt" strokecolor="#000000">
                <v:path arrowok="t"/>
              </v:shape>
            </v:group>
            <v:group style="position:absolute;left:2746;top:568;width:1358;height:2" coordorigin="2746,568" coordsize="1358,2">
              <v:shape style="position:absolute;left:2746;top:568;width:1358;height:2" coordorigin="2746,568" coordsize="1358,0" path="m2746,568l4104,568e" filled="false" stroked="true" strokeweight=".48pt" strokecolor="#000000">
                <v:path arrowok="t"/>
              </v:shape>
            </v:group>
            <v:group style="position:absolute;left:4113;top:568;width:1358;height:2" coordorigin="4113,568" coordsize="1358,2">
              <v:shape style="position:absolute;left:4113;top:568;width:1358;height:2" coordorigin="4113,568" coordsize="1358,0" path="m4113,568l5470,568e" filled="false" stroked="true" strokeweight=".48pt" strokecolor="#000000">
                <v:path arrowok="t"/>
              </v:shape>
            </v:group>
            <v:group style="position:absolute;left:5480;top:568;width:1359;height:2" coordorigin="5480,568" coordsize="1359,2">
              <v:shape style="position:absolute;left:5480;top:568;width:1359;height:2" coordorigin="5480,568" coordsize="1359,0" path="m5480,568l6838,568e" filled="false" stroked="true" strokeweight=".48pt" strokecolor="#000000">
                <v:path arrowok="t"/>
              </v:shape>
            </v:group>
            <v:group style="position:absolute;left:6848;top:568;width:1358;height:2" coordorigin="6848,568" coordsize="1358,2">
              <v:shape style="position:absolute;left:6848;top:568;width:1358;height:2" coordorigin="6848,568" coordsize="1358,0" path="m6848,568l8206,568e" filled="false" stroked="true" strokeweight=".48pt" strokecolor="#000000">
                <v:path arrowok="t"/>
              </v:shape>
            </v:group>
            <v:group style="position:absolute;left:8215;top:568;width:1358;height:2" coordorigin="8215,568" coordsize="1358,2">
              <v:shape style="position:absolute;left:8215;top:568;width:1358;height:2" coordorigin="8215,568" coordsize="1358,0" path="m8215,568l9572,568e" filled="false" stroked="true" strokeweight=".48pt" strokecolor="#000000">
                <v:path arrowok="t"/>
              </v:shape>
            </v:group>
            <v:group style="position:absolute;left:10;top:1126;width:1359;height:2" coordorigin="10,1126" coordsize="1359,2">
              <v:shape style="position:absolute;left:10;top:1126;width:1359;height:2" coordorigin="10,1126" coordsize="1359,0" path="m10,1126l1368,1126e" filled="false" stroked="true" strokeweight=".48pt" strokecolor="#000000">
                <v:path arrowok="t"/>
              </v:shape>
            </v:group>
            <v:group style="position:absolute;left:1378;top:1126;width:1359;height:2" coordorigin="1378,1126" coordsize="1359,2">
              <v:shape style="position:absolute;left:1378;top:1126;width:1359;height:2" coordorigin="1378,1126" coordsize="1359,0" path="m1378,1126l2736,1126e" filled="false" stroked="true" strokeweight=".48pt" strokecolor="#000000">
                <v:path arrowok="t"/>
              </v:shape>
            </v:group>
            <v:group style="position:absolute;left:2746;top:1126;width:1358;height:2" coordorigin="2746,1126" coordsize="1358,2">
              <v:shape style="position:absolute;left:2746;top:1126;width:1358;height:2" coordorigin="2746,1126" coordsize="1358,0" path="m2746,1126l4104,1126e" filled="false" stroked="true" strokeweight=".48pt" strokecolor="#000000">
                <v:path arrowok="t"/>
              </v:shape>
            </v:group>
            <v:group style="position:absolute;left:4113;top:1126;width:1358;height:2" coordorigin="4113,1126" coordsize="1358,2">
              <v:shape style="position:absolute;left:4113;top:1126;width:1358;height:2" coordorigin="4113,1126" coordsize="1358,0" path="m4113,1126l5470,1126e" filled="false" stroked="true" strokeweight=".48pt" strokecolor="#000000">
                <v:path arrowok="t"/>
              </v:shape>
            </v:group>
            <v:group style="position:absolute;left:5480;top:1126;width:1359;height:2" coordorigin="5480,1126" coordsize="1359,2">
              <v:shape style="position:absolute;left:5480;top:1126;width:1359;height:2" coordorigin="5480,1126" coordsize="1359,0" path="m5480,1126l6838,1126e" filled="false" stroked="true" strokeweight=".48pt" strokecolor="#000000">
                <v:path arrowok="t"/>
              </v:shape>
            </v:group>
            <v:group style="position:absolute;left:6848;top:1126;width:1358;height:2" coordorigin="6848,1126" coordsize="1358,2">
              <v:shape style="position:absolute;left:6848;top:1126;width:1358;height:2" coordorigin="6848,1126" coordsize="1358,0" path="m6848,1126l8206,1126e" filled="false" stroked="true" strokeweight=".48pt" strokecolor="#000000">
                <v:path arrowok="t"/>
              </v:shape>
            </v:group>
            <v:group style="position:absolute;left:8215;top:1126;width:1358;height:2" coordorigin="8215,1126" coordsize="1358,2">
              <v:shape style="position:absolute;left:8215;top:1126;width:1358;height:2" coordorigin="8215,1126" coordsize="1358,0" path="m8215,1126l9572,1126e" filled="false" stroked="true" strokeweight=".48pt" strokecolor="#000000">
                <v:path arrowok="t"/>
              </v:shape>
            </v:group>
            <v:group style="position:absolute;left:1389;top:1924;width:2;height:548" coordorigin="1389,1924" coordsize="2,548">
              <v:shape style="position:absolute;left:1389;top:1924;width:2;height:548" coordorigin="1389,1924" coordsize="0,548" path="m1389,1924l1389,2471e" filled="false" stroked="true" strokeweight="1.140pt" strokecolor="#ffffff">
                <v:path arrowok="t"/>
              </v:shape>
            </v:group>
            <v:group style="position:absolute;left:1378;top:2471;width:1359;height:234" coordorigin="1378,2471" coordsize="1359,234">
              <v:shape style="position:absolute;left:1378;top:2471;width:1359;height:234" coordorigin="1378,2471" coordsize="1359,234" path="m1378,2705l2736,2705,2736,2471,1378,2471,1378,2705xe" filled="true" fillcolor="#ffffff" stroked="false">
                <v:path arrowok="t"/>
                <v:fill type="solid"/>
              </v:shape>
            </v:group>
            <v:group style="position:absolute;left:1401;top:1924;width:1313;height:548" coordorigin="1401,1924" coordsize="1313,548">
              <v:shape style="position:absolute;left:1401;top:1924;width:1313;height:548" coordorigin="1401,1924" coordsize="1313,548" path="m1401,2471l2714,2471,2714,1924,1401,1924,1401,2471xe" filled="true" fillcolor="#ffffff" stroked="false">
                <v:path arrowok="t"/>
                <v:fill type="solid"/>
              </v:shape>
            </v:group>
            <v:group style="position:absolute;left:10;top:2710;width:1359;height:2" coordorigin="10,2710" coordsize="1359,2">
              <v:shape style="position:absolute;left:10;top:2710;width:1359;height:2" coordorigin="10,2710" coordsize="1359,0" path="m10,2710l1368,2710e" filled="false" stroked="true" strokeweight=".48pt" strokecolor="#000000">
                <v:path arrowok="t"/>
              </v:shape>
            </v:group>
            <v:group style="position:absolute;left:1378;top:2710;width:1359;height:2" coordorigin="1378,2710" coordsize="1359,2">
              <v:shape style="position:absolute;left:1378;top:2710;width:1359;height:2" coordorigin="1378,2710" coordsize="1359,0" path="m1378,2710l2736,2710e" filled="false" stroked="true" strokeweight=".48pt" strokecolor="#000000">
                <v:path arrowok="t"/>
              </v:shape>
            </v:group>
            <v:group style="position:absolute;left:2746;top:2710;width:1358;height:2" coordorigin="2746,2710" coordsize="1358,2">
              <v:shape style="position:absolute;left:2746;top:2710;width:1358;height:2" coordorigin="2746,2710" coordsize="1358,0" path="m2746,2710l4104,2710e" filled="false" stroked="true" strokeweight=".48pt" strokecolor="#000000">
                <v:path arrowok="t"/>
              </v:shape>
            </v:group>
            <v:group style="position:absolute;left:4113;top:2710;width:1358;height:2" coordorigin="4113,2710" coordsize="1358,2">
              <v:shape style="position:absolute;left:4113;top:2710;width:1358;height:2" coordorigin="4113,2710" coordsize="1358,0" path="m4113,2710l5470,2710e" filled="false" stroked="true" strokeweight=".48pt" strokecolor="#000000">
                <v:path arrowok="t"/>
              </v:shape>
            </v:group>
            <v:group style="position:absolute;left:5480;top:2710;width:1359;height:2" coordorigin="5480,2710" coordsize="1359,2">
              <v:shape style="position:absolute;left:5480;top:2710;width:1359;height:2" coordorigin="5480,2710" coordsize="1359,0" path="m5480,2710l6838,2710e" filled="false" stroked="true" strokeweight=".48pt" strokecolor="#000000">
                <v:path arrowok="t"/>
              </v:shape>
            </v:group>
            <v:group style="position:absolute;left:6848;top:2710;width:1358;height:2" coordorigin="6848,2710" coordsize="1358,2">
              <v:shape style="position:absolute;left:6848;top:2710;width:1358;height:2" coordorigin="6848,2710" coordsize="1358,0" path="m6848,2710l8206,2710e" filled="false" stroked="true" strokeweight=".48pt" strokecolor="#000000">
                <v:path arrowok="t"/>
              </v:shape>
            </v:group>
            <v:group style="position:absolute;left:8215;top:2710;width:1358;height:2" coordorigin="8215,2710" coordsize="1358,2">
              <v:shape style="position:absolute;left:8215;top:2710;width:1358;height:2" coordorigin="8215,2710" coordsize="1358,0" path="m8215,2710l9572,2710e" filled="false" stroked="true" strokeweight=".48pt" strokecolor="#000000">
                <v:path arrowok="t"/>
              </v:shape>
            </v:group>
            <v:group style="position:absolute;left:10;top:1684;width:1359;height:2" coordorigin="10,1684" coordsize="1359,2">
              <v:shape style="position:absolute;left:10;top:1684;width:1359;height:2" coordorigin="10,1684" coordsize="1359,0" path="m10,1684l1368,1684e" filled="false" stroked="true" strokeweight=".48pt" strokecolor="#000000">
                <v:path arrowok="t"/>
              </v:shape>
            </v:group>
            <v:group style="position:absolute;left:1378;top:1684;width:1359;height:2" coordorigin="1378,1684" coordsize="1359,2">
              <v:shape style="position:absolute;left:1378;top:1684;width:1359;height:2" coordorigin="1378,1684" coordsize="1359,0" path="m1378,1684l2736,1684e" filled="false" stroked="true" strokeweight=".48pt" strokecolor="#000000">
                <v:path arrowok="t"/>
              </v:shape>
            </v:group>
            <v:group style="position:absolute;left:2746;top:1684;width:1358;height:2" coordorigin="2746,1684" coordsize="1358,2">
              <v:shape style="position:absolute;left:2746;top:1684;width:1358;height:2" coordorigin="2746,1684" coordsize="1358,0" path="m2746,1684l4104,1684e" filled="false" stroked="true" strokeweight=".48pt" strokecolor="#000000">
                <v:path arrowok="t"/>
              </v:shape>
            </v:group>
            <v:group style="position:absolute;left:4113;top:1684;width:1358;height:2" coordorigin="4113,1684" coordsize="1358,2">
              <v:shape style="position:absolute;left:4113;top:1684;width:1358;height:2" coordorigin="4113,1684" coordsize="1358,0" path="m4113,1684l5470,1684e" filled="false" stroked="true" strokeweight=".48pt" strokecolor="#000000">
                <v:path arrowok="t"/>
              </v:shape>
            </v:group>
            <v:group style="position:absolute;left:5480;top:1684;width:1359;height:2" coordorigin="5480,1684" coordsize="1359,2">
              <v:shape style="position:absolute;left:5480;top:1684;width:1359;height:2" coordorigin="5480,1684" coordsize="1359,0" path="m5480,1684l6838,1684e" filled="false" stroked="true" strokeweight=".48pt" strokecolor="#000000">
                <v:path arrowok="t"/>
              </v:shape>
            </v:group>
            <v:group style="position:absolute;left:6848;top:1684;width:1358;height:2" coordorigin="6848,1684" coordsize="1358,2">
              <v:shape style="position:absolute;left:6848;top:1684;width:1358;height:2" coordorigin="6848,1684" coordsize="1358,0" path="m6848,1684l8206,1684e" filled="false" stroked="true" strokeweight=".48pt" strokecolor="#000000">
                <v:path arrowok="t"/>
              </v:shape>
            </v:group>
            <v:group style="position:absolute;left:8215;top:1684;width:1358;height:2" coordorigin="8215,1684" coordsize="1358,2">
              <v:shape style="position:absolute;left:8215;top:1684;width:1358;height:2" coordorigin="8215,1684" coordsize="1358,0" path="m8215,1684l9572,1684e" filled="false" stroked="true" strokeweight=".48pt" strokecolor="#000000">
                <v:path arrowok="t"/>
              </v:shape>
            </v:group>
            <v:group style="position:absolute;left:1389;top:2950;width:2;height:548" coordorigin="1389,2950" coordsize="2,548">
              <v:shape style="position:absolute;left:1389;top:2950;width:2;height:548" coordorigin="1389,2950" coordsize="0,548" path="m1389,2950l1389,3497e" filled="false" stroked="true" strokeweight="1.140pt" strokecolor="#ffffff">
                <v:path arrowok="t"/>
              </v:shape>
            </v:group>
            <v:group style="position:absolute;left:1378;top:3497;width:1359;height:234" coordorigin="1378,3497" coordsize="1359,234">
              <v:shape style="position:absolute;left:1378;top:3497;width:1359;height:234" coordorigin="1378,3497" coordsize="1359,234" path="m1378,3731l2736,3731,2736,3497,1378,3497,1378,3731xe" filled="true" fillcolor="#ffffff" stroked="false">
                <v:path arrowok="t"/>
                <v:fill type="solid"/>
              </v:shape>
            </v:group>
            <v:group style="position:absolute;left:1401;top:2950;width:1313;height:548" coordorigin="1401,2950" coordsize="1313,548">
              <v:shape style="position:absolute;left:1401;top:2950;width:1313;height:548" coordorigin="1401,2950" coordsize="1313,548" path="m1401,3497l2714,3497,2714,2950,1401,2950,1401,3497xe" filled="true" fillcolor="#ffffff" stroked="false">
                <v:path arrowok="t"/>
                <v:fill type="solid"/>
              </v:shape>
            </v:group>
            <v:group style="position:absolute;left:10;top:3736;width:1359;height:2" coordorigin="10,3736" coordsize="1359,2">
              <v:shape style="position:absolute;left:10;top:3736;width:1359;height:2" coordorigin="10,3736" coordsize="1359,0" path="m10,3736l1368,3736e" filled="false" stroked="true" strokeweight=".48pt" strokecolor="#000000">
                <v:path arrowok="t"/>
              </v:shape>
            </v:group>
            <v:group style="position:absolute;left:1378;top:3736;width:1359;height:2" coordorigin="1378,3736" coordsize="1359,2">
              <v:shape style="position:absolute;left:1378;top:3736;width:1359;height:2" coordorigin="1378,3736" coordsize="1359,0" path="m1378,3736l2736,3736e" filled="false" stroked="true" strokeweight=".48pt" strokecolor="#000000">
                <v:path arrowok="t"/>
              </v:shape>
            </v:group>
            <v:group style="position:absolute;left:2746;top:3736;width:1358;height:2" coordorigin="2746,3736" coordsize="1358,2">
              <v:shape style="position:absolute;left:2746;top:3736;width:1358;height:2" coordorigin="2746,3736" coordsize="1358,0" path="m2746,3736l4104,3736e" filled="false" stroked="true" strokeweight=".48pt" strokecolor="#000000">
                <v:path arrowok="t"/>
              </v:shape>
            </v:group>
            <v:group style="position:absolute;left:4113;top:3736;width:1358;height:2" coordorigin="4113,3736" coordsize="1358,2">
              <v:shape style="position:absolute;left:4113;top:3736;width:1358;height:2" coordorigin="4113,3736" coordsize="1358,0" path="m4113,3736l5470,3736e" filled="false" stroked="true" strokeweight=".48pt" strokecolor="#000000">
                <v:path arrowok="t"/>
              </v:shape>
            </v:group>
            <v:group style="position:absolute;left:5480;top:3736;width:1359;height:2" coordorigin="5480,3736" coordsize="1359,2">
              <v:shape style="position:absolute;left:5480;top:3736;width:1359;height:2" coordorigin="5480,3736" coordsize="1359,0" path="m5480,3736l6838,3736e" filled="false" stroked="true" strokeweight=".48pt" strokecolor="#000000">
                <v:path arrowok="t"/>
              </v:shape>
            </v:group>
            <v:group style="position:absolute;left:6848;top:3736;width:1358;height:2" coordorigin="6848,3736" coordsize="1358,2">
              <v:shape style="position:absolute;left:6848;top:3736;width:1358;height:2" coordorigin="6848,3736" coordsize="1358,0" path="m6848,3736l8206,3736e" filled="false" stroked="true" strokeweight=".48pt" strokecolor="#000000">
                <v:path arrowok="t"/>
              </v:shape>
            </v:group>
            <v:group style="position:absolute;left:8215;top:3736;width:1358;height:2" coordorigin="8215,3736" coordsize="1358,2">
              <v:shape style="position:absolute;left:8215;top:3736;width:1358;height:2" coordorigin="8215,3736" coordsize="1358,0" path="m8215,3736l9572,3736e" filled="false" stroked="true" strokeweight=".48pt" strokecolor="#000000">
                <v:path arrowok="t"/>
              </v:shape>
            </v:group>
            <v:group style="position:absolute;left:1389;top:3976;width:2;height:548" coordorigin="1389,3976" coordsize="2,548">
              <v:shape style="position:absolute;left:1389;top:3976;width:2;height:548" coordorigin="1389,3976" coordsize="0,548" path="m1389,3976l1389,4523e" filled="false" stroked="true" strokeweight="1.140pt" strokecolor="#ffffff">
                <v:path arrowok="t"/>
              </v:shape>
            </v:group>
            <v:group style="position:absolute;left:1378;top:4523;width:1359;height:234" coordorigin="1378,4523" coordsize="1359,234">
              <v:shape style="position:absolute;left:1378;top:4523;width:1359;height:234" coordorigin="1378,4523" coordsize="1359,234" path="m1378,4757l2736,4757,2736,4523,1378,4523,1378,4757xe" filled="true" fillcolor="#ffffff" stroked="false">
                <v:path arrowok="t"/>
                <v:fill type="solid"/>
              </v:shape>
            </v:group>
            <v:group style="position:absolute;left:1401;top:3976;width:1313;height:548" coordorigin="1401,3976" coordsize="1313,548">
              <v:shape style="position:absolute;left:1401;top:3976;width:1313;height:548" coordorigin="1401,3976" coordsize="1313,548" path="m1401,4523l2714,4523,2714,3976,1401,3976,1401,4523xe" filled="true" fillcolor="#ffffff" stroked="false">
                <v:path arrowok="t"/>
                <v:fill type="solid"/>
              </v:shape>
            </v:group>
            <v:group style="position:absolute;left:10;top:4762;width:1359;height:2" coordorigin="10,4762" coordsize="1359,2">
              <v:shape style="position:absolute;left:10;top:4762;width:1359;height:2" coordorigin="10,4762" coordsize="1359,0" path="m10,4762l1368,4762e" filled="false" stroked="true" strokeweight=".48pt" strokecolor="#000000">
                <v:path arrowok="t"/>
              </v:shape>
            </v:group>
            <v:group style="position:absolute;left:1378;top:4762;width:1359;height:2" coordorigin="1378,4762" coordsize="1359,2">
              <v:shape style="position:absolute;left:1378;top:4762;width:1359;height:2" coordorigin="1378,4762" coordsize="1359,0" path="m1378,4762l2736,4762e" filled="false" stroked="true" strokeweight=".48pt" strokecolor="#000000">
                <v:path arrowok="t"/>
              </v:shape>
            </v:group>
            <v:group style="position:absolute;left:2746;top:4762;width:1358;height:2" coordorigin="2746,4762" coordsize="1358,2">
              <v:shape style="position:absolute;left:2746;top:4762;width:1358;height:2" coordorigin="2746,4762" coordsize="1358,0" path="m2746,4762l4104,4762e" filled="false" stroked="true" strokeweight=".48pt" strokecolor="#000000">
                <v:path arrowok="t"/>
              </v:shape>
            </v:group>
            <v:group style="position:absolute;left:4113;top:4762;width:1358;height:2" coordorigin="4113,4762" coordsize="1358,2">
              <v:shape style="position:absolute;left:4113;top:4762;width:1358;height:2" coordorigin="4113,4762" coordsize="1358,0" path="m4113,4762l5470,4762e" filled="false" stroked="true" strokeweight=".48pt" strokecolor="#000000">
                <v:path arrowok="t"/>
              </v:shape>
            </v:group>
            <v:group style="position:absolute;left:5480;top:4762;width:1359;height:2" coordorigin="5480,4762" coordsize="1359,2">
              <v:shape style="position:absolute;left:5480;top:4762;width:1359;height:2" coordorigin="5480,4762" coordsize="1359,0" path="m5480,4762l6838,4762e" filled="false" stroked="true" strokeweight=".48pt" strokecolor="#000000">
                <v:path arrowok="t"/>
              </v:shape>
            </v:group>
            <v:group style="position:absolute;left:6848;top:4762;width:1358;height:2" coordorigin="6848,4762" coordsize="1358,2">
              <v:shape style="position:absolute;left:6848;top:4762;width:1358;height:2" coordorigin="6848,4762" coordsize="1358,0" path="m6848,4762l8206,4762e" filled="false" stroked="true" strokeweight=".48pt" strokecolor="#000000">
                <v:path arrowok="t"/>
              </v:shape>
            </v:group>
            <v:group style="position:absolute;left:8215;top:4762;width:1358;height:2" coordorigin="8215,4762" coordsize="1358,2">
              <v:shape style="position:absolute;left:8215;top:4762;width:1358;height:2" coordorigin="8215,4762" coordsize="1358,0" path="m8215,4762l9572,4762e" filled="false" stroked="true" strokeweight=".48pt" strokecolor="#000000">
                <v:path arrowok="t"/>
              </v:shape>
            </v:group>
            <v:group style="position:absolute;left:1389;top:5002;width:2;height:548" coordorigin="1389,5002" coordsize="2,548">
              <v:shape style="position:absolute;left:1389;top:5002;width:2;height:548" coordorigin="1389,5002" coordsize="0,548" path="m1389,5002l1389,5549e" filled="false" stroked="true" strokeweight="1.140pt" strokecolor="#ffffff">
                <v:path arrowok="t"/>
              </v:shape>
            </v:group>
            <v:group style="position:absolute;left:1378;top:5549;width:1359;height:234" coordorigin="1378,5549" coordsize="1359,234">
              <v:shape style="position:absolute;left:1378;top:5549;width:1359;height:234" coordorigin="1378,5549" coordsize="1359,234" path="m1378,5783l2736,5783,2736,5549,1378,5549,1378,5783xe" filled="true" fillcolor="#ffffff" stroked="false">
                <v:path arrowok="t"/>
                <v:fill type="solid"/>
              </v:shape>
            </v:group>
            <v:group style="position:absolute;left:1401;top:5002;width:1313;height:548" coordorigin="1401,5002" coordsize="1313,548">
              <v:shape style="position:absolute;left:1401;top:5002;width:1313;height:548" coordorigin="1401,5002" coordsize="1313,548" path="m1401,5549l2714,5549,2714,5002,1401,5002,1401,5549xe" filled="true" fillcolor="#ffffff" stroked="false">
                <v:path arrowok="t"/>
                <v:fill type="solid"/>
              </v:shape>
            </v:group>
            <v:group style="position:absolute;left:10;top:5788;width:1359;height:2" coordorigin="10,5788" coordsize="1359,2">
              <v:shape style="position:absolute;left:10;top:5788;width:1359;height:2" coordorigin="10,5788" coordsize="1359,0" path="m10,5788l1368,5788e" filled="false" stroked="true" strokeweight=".48pt" strokecolor="#000000">
                <v:path arrowok="t"/>
              </v:shape>
            </v:group>
            <v:group style="position:absolute;left:1378;top:5788;width:1359;height:2" coordorigin="1378,5788" coordsize="1359,2">
              <v:shape style="position:absolute;left:1378;top:5788;width:1359;height:2" coordorigin="1378,5788" coordsize="1359,0" path="m1378,5788l2736,5788e" filled="false" stroked="true" strokeweight=".48pt" strokecolor="#000000">
                <v:path arrowok="t"/>
              </v:shape>
            </v:group>
            <v:group style="position:absolute;left:2746;top:5788;width:1358;height:2" coordorigin="2746,5788" coordsize="1358,2">
              <v:shape style="position:absolute;left:2746;top:5788;width:1358;height:2" coordorigin="2746,5788" coordsize="1358,0" path="m2746,5788l4104,5788e" filled="false" stroked="true" strokeweight=".48pt" strokecolor="#000000">
                <v:path arrowok="t"/>
              </v:shape>
            </v:group>
            <v:group style="position:absolute;left:4113;top:5788;width:1358;height:2" coordorigin="4113,5788" coordsize="1358,2">
              <v:shape style="position:absolute;left:4113;top:5788;width:1358;height:2" coordorigin="4113,5788" coordsize="1358,0" path="m4113,5788l5470,5788e" filled="false" stroked="true" strokeweight=".48pt" strokecolor="#000000">
                <v:path arrowok="t"/>
              </v:shape>
            </v:group>
            <v:group style="position:absolute;left:5480;top:5788;width:1359;height:2" coordorigin="5480,5788" coordsize="1359,2">
              <v:shape style="position:absolute;left:5480;top:5788;width:1359;height:2" coordorigin="5480,5788" coordsize="1359,0" path="m5480,5788l6838,5788e" filled="false" stroked="true" strokeweight=".48pt" strokecolor="#000000">
                <v:path arrowok="t"/>
              </v:shape>
            </v:group>
            <v:group style="position:absolute;left:6848;top:5788;width:1358;height:2" coordorigin="6848,5788" coordsize="1358,2">
              <v:shape style="position:absolute;left:6848;top:5788;width:1358;height:2" coordorigin="6848,5788" coordsize="1358,0" path="m6848,5788l8206,5788e" filled="false" stroked="true" strokeweight=".48pt" strokecolor="#000000">
                <v:path arrowok="t"/>
              </v:shape>
            </v:group>
            <v:group style="position:absolute;left:8215;top:5788;width:1358;height:2" coordorigin="8215,5788" coordsize="1358,2">
              <v:shape style="position:absolute;left:8215;top:5788;width:1358;height:2" coordorigin="8215,5788" coordsize="1358,0" path="m8215,5788l9572,5788e" filled="false" stroked="true" strokeweight=".48pt" strokecolor="#000000">
                <v:path arrowok="t"/>
              </v:shape>
            </v:group>
            <v:group style="position:absolute;left:5;top:5;width:2;height:6816" coordorigin="5,5" coordsize="2,6816">
              <v:shape style="position:absolute;left:5;top:5;width:2;height:6816" coordorigin="5,5" coordsize="0,6816" path="m5,5l5,6820e" filled="false" stroked="true" strokeweight=".48pt" strokecolor="#000000">
                <v:path arrowok="t"/>
              </v:shape>
            </v:group>
            <v:group style="position:absolute;left:10;top:6816;width:1359;height:2" coordorigin="10,6816" coordsize="1359,2">
              <v:shape style="position:absolute;left:10;top:6816;width:1359;height:2" coordorigin="10,6816" coordsize="1359,0" path="m10,6816l1368,6816e" filled="false" stroked="true" strokeweight=".48pt" strokecolor="#000000">
                <v:path arrowok="t"/>
              </v:shape>
            </v:group>
            <v:group style="position:absolute;left:1373;top:5;width:2;height:6816" coordorigin="1373,5" coordsize="2,6816">
              <v:shape style="position:absolute;left:1373;top:5;width:2;height:6816" coordorigin="1373,5" coordsize="0,6816" path="m1373,5l1373,6820e" filled="false" stroked="true" strokeweight=".48pt" strokecolor="#000000">
                <v:path arrowok="t"/>
              </v:shape>
            </v:group>
            <v:group style="position:absolute;left:1378;top:6816;width:1359;height:2" coordorigin="1378,6816" coordsize="1359,2">
              <v:shape style="position:absolute;left:1378;top:6816;width:1359;height:2" coordorigin="1378,6816" coordsize="1359,0" path="m1378,6816l2736,6816e" filled="false" stroked="true" strokeweight=".48pt" strokecolor="#000000">
                <v:path arrowok="t"/>
              </v:shape>
            </v:group>
            <v:group style="position:absolute;left:2741;top:563;width:2;height:6258" coordorigin="2741,563" coordsize="2,6258">
              <v:shape style="position:absolute;left:2741;top:563;width:2;height:6258" coordorigin="2741,563" coordsize="0,6258" path="m2741,563l2741,6820e" filled="false" stroked="true" strokeweight=".48pt" strokecolor="#000000">
                <v:path arrowok="t"/>
              </v:shape>
            </v:group>
            <v:group style="position:absolute;left:2746;top:6816;width:1358;height:2" coordorigin="2746,6816" coordsize="1358,2">
              <v:shape style="position:absolute;left:2746;top:6816;width:1358;height:2" coordorigin="2746,6816" coordsize="1358,0" path="m2746,6816l4104,6816e" filled="false" stroked="true" strokeweight=".48pt" strokecolor="#000000">
                <v:path arrowok="t"/>
              </v:shape>
            </v:group>
            <v:group style="position:absolute;left:4108;top:563;width:2;height:6258" coordorigin="4108,563" coordsize="2,6258">
              <v:shape style="position:absolute;left:4108;top:563;width:2;height:6258" coordorigin="4108,563" coordsize="0,6258" path="m4108,563l4108,6820e" filled="false" stroked="true" strokeweight=".48pt" strokecolor="#000000">
                <v:path arrowok="t"/>
              </v:shape>
            </v:group>
            <v:group style="position:absolute;left:4113;top:6816;width:1358;height:2" coordorigin="4113,6816" coordsize="1358,2">
              <v:shape style="position:absolute;left:4113;top:6816;width:1358;height:2" coordorigin="4113,6816" coordsize="1358,0" path="m4113,6816l5470,6816e" filled="false" stroked="true" strokeweight=".48pt" strokecolor="#000000">
                <v:path arrowok="t"/>
              </v:shape>
            </v:group>
            <v:group style="position:absolute;left:5475;top:5;width:2;height:6816" coordorigin="5475,5" coordsize="2,6816">
              <v:shape style="position:absolute;left:5475;top:5;width:2;height:6816" coordorigin="5475,5" coordsize="0,6816" path="m5475,5l5475,6820e" filled="false" stroked="true" strokeweight=".48pt" strokecolor="#000000">
                <v:path arrowok="t"/>
              </v:shape>
            </v:group>
            <v:group style="position:absolute;left:5480;top:6816;width:1359;height:2" coordorigin="5480,6816" coordsize="1359,2">
              <v:shape style="position:absolute;left:5480;top:6816;width:1359;height:2" coordorigin="5480,6816" coordsize="1359,0" path="m5480,6816l6838,6816e" filled="false" stroked="true" strokeweight=".48pt" strokecolor="#000000">
                <v:path arrowok="t"/>
              </v:shape>
            </v:group>
            <v:group style="position:absolute;left:6843;top:563;width:2;height:6258" coordorigin="6843,563" coordsize="2,6258">
              <v:shape style="position:absolute;left:6843;top:563;width:2;height:6258" coordorigin="6843,563" coordsize="0,6258" path="m6843,563l6843,6820e" filled="false" stroked="true" strokeweight=".48pt" strokecolor="#000000">
                <v:path arrowok="t"/>
              </v:shape>
            </v:group>
            <v:group style="position:absolute;left:6848;top:6816;width:1358;height:2" coordorigin="6848,6816" coordsize="1358,2">
              <v:shape style="position:absolute;left:6848;top:6816;width:1358;height:2" coordorigin="6848,6816" coordsize="1358,0" path="m6848,6816l8206,6816e" filled="false" stroked="true" strokeweight=".48pt" strokecolor="#000000">
                <v:path arrowok="t"/>
              </v:shape>
            </v:group>
            <v:group style="position:absolute;left:8210;top:563;width:2;height:6258" coordorigin="8210,563" coordsize="2,6258">
              <v:shape style="position:absolute;left:8210;top:563;width:2;height:6258" coordorigin="8210,563" coordsize="0,6258" path="m8210,563l8210,6820e" filled="false" stroked="true" strokeweight=".48pt" strokecolor="#000000">
                <v:path arrowok="t"/>
              </v:shape>
            </v:group>
            <v:group style="position:absolute;left:8215;top:6816;width:1358;height:2" coordorigin="8215,6816" coordsize="1358,2">
              <v:shape style="position:absolute;left:8215;top:6816;width:1358;height:2" coordorigin="8215,6816" coordsize="1358,0" path="m8215,6816l9572,6816e" filled="false" stroked="true" strokeweight=".48pt" strokecolor="#000000">
                <v:path arrowok="t"/>
              </v:shape>
            </v:group>
            <v:group style="position:absolute;left:9577;top:5;width:2;height:6816" coordorigin="9577,5" coordsize="2,6816">
              <v:shape style="position:absolute;left:9577;top:5;width:2;height:6816" coordorigin="9577,5" coordsize="0,6816" path="m9577,5l9577,6820e" filled="false" stroked="true" strokeweight=".48pt" strokecolor="#000000">
                <v:path arrowok="t"/>
              </v:shape>
              <v:shape style="position:absolute;left:508;top:47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1373;top:10;width:4102;height:559" type="#_x0000_t202" filled="false" stroked="false">
                <v:textbox inset="0,0,0,0">
                  <w:txbxContent>
                    <w:p>
                      <w:pPr>
                        <w:spacing w:before="135"/>
                        <w:ind w:left="0" w:right="0" w:firstLine="0"/>
                        <w:jc w:val="center"/>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5475;top:10;width:4102;height:559" type="#_x0000_t202" filled="false" stroked="false">
                <v:textbox inset="0,0,0,0">
                  <w:txbxContent>
                    <w:p>
                      <w:pPr>
                        <w:spacing w:before="135"/>
                        <w:ind w:left="0" w:right="0" w:firstLine="0"/>
                        <w:jc w:val="center"/>
                        <w:rPr>
                          <w:rFonts w:ascii="宋体" w:hAnsi="宋体" w:cs="宋体" w:eastAsia="宋体" w:hint="default"/>
                          <w:sz w:val="18"/>
                          <w:szCs w:val="18"/>
                        </w:rPr>
                      </w:pPr>
                      <w:r>
                        <w:rPr>
                          <w:rFonts w:ascii="宋体" w:hAnsi="宋体" w:cs="宋体" w:eastAsia="宋体" w:hint="default"/>
                          <w:sz w:val="18"/>
                          <w:szCs w:val="18"/>
                        </w:rPr>
                        <w:t>期初余额</w:t>
                      </w:r>
                    </w:p>
                  </w:txbxContent>
                </v:textbox>
                <w10:wrap type="none"/>
              </v:shape>
              <v:shape style="position:absolute;left:1373;top:569;width:1368;height:558" type="#_x0000_t202" filled="false" stroked="false">
                <v:textbox inset="0,0,0,0">
                  <w:txbxContent>
                    <w:p>
                      <w:pPr>
                        <w:spacing w:before="134"/>
                        <w:ind w:left="322"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2741;top:569;width:1368;height:558" type="#_x0000_t202" filled="false" stroked="false">
                <v:textbox inset="0,0,0,0">
                  <w:txbxContent>
                    <w:p>
                      <w:pPr>
                        <w:spacing w:before="134"/>
                        <w:ind w:left="322" w:right="0" w:firstLine="0"/>
                        <w:jc w:val="left"/>
                        <w:rPr>
                          <w:rFonts w:ascii="宋体" w:hAnsi="宋体" w:cs="宋体" w:eastAsia="宋体" w:hint="default"/>
                          <w:sz w:val="18"/>
                          <w:szCs w:val="18"/>
                        </w:rPr>
                      </w:pPr>
                      <w:r>
                        <w:rPr>
                          <w:rFonts w:ascii="宋体" w:hAnsi="宋体" w:cs="宋体" w:eastAsia="宋体" w:hint="default"/>
                          <w:sz w:val="18"/>
                          <w:szCs w:val="18"/>
                        </w:rPr>
                        <w:t>减值准备</w:t>
                      </w:r>
                    </w:p>
                  </w:txbxContent>
                </v:textbox>
                <w10:wrap type="none"/>
              </v:shape>
              <v:shape style="position:absolute;left:4108;top:569;width:1367;height:558" type="#_x0000_t202" filled="false" stroked="false">
                <v:textbox inset="0,0,0,0">
                  <w:txbxContent>
                    <w:p>
                      <w:pPr>
                        <w:spacing w:before="134"/>
                        <w:ind w:left="322" w:right="0" w:firstLine="0"/>
                        <w:jc w:val="left"/>
                        <w:rPr>
                          <w:rFonts w:ascii="宋体" w:hAnsi="宋体" w:cs="宋体" w:eastAsia="宋体" w:hint="default"/>
                          <w:sz w:val="18"/>
                          <w:szCs w:val="18"/>
                        </w:rPr>
                      </w:pPr>
                      <w:r>
                        <w:rPr>
                          <w:rFonts w:ascii="宋体" w:hAnsi="宋体" w:cs="宋体" w:eastAsia="宋体" w:hint="default"/>
                          <w:sz w:val="18"/>
                          <w:szCs w:val="18"/>
                        </w:rPr>
                        <w:t>账面价值</w:t>
                      </w:r>
                    </w:p>
                  </w:txbxContent>
                </v:textbox>
                <w10:wrap type="none"/>
              </v:shape>
              <v:shape style="position:absolute;left:5475;top:569;width:1368;height:558" type="#_x0000_t202" filled="false" stroked="false">
                <v:textbox inset="0,0,0,0">
                  <w:txbxContent>
                    <w:p>
                      <w:pPr>
                        <w:spacing w:before="134"/>
                        <w:ind w:left="323"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6843;top:569;width:1368;height:558" type="#_x0000_t202" filled="false" stroked="false">
                <v:textbox inset="0,0,0,0">
                  <w:txbxContent>
                    <w:p>
                      <w:pPr>
                        <w:spacing w:before="134"/>
                        <w:ind w:left="323" w:right="0" w:firstLine="0"/>
                        <w:jc w:val="left"/>
                        <w:rPr>
                          <w:rFonts w:ascii="宋体" w:hAnsi="宋体" w:cs="宋体" w:eastAsia="宋体" w:hint="default"/>
                          <w:sz w:val="18"/>
                          <w:szCs w:val="18"/>
                        </w:rPr>
                      </w:pPr>
                      <w:r>
                        <w:rPr>
                          <w:rFonts w:ascii="宋体" w:hAnsi="宋体" w:cs="宋体" w:eastAsia="宋体" w:hint="default"/>
                          <w:sz w:val="18"/>
                          <w:szCs w:val="18"/>
                        </w:rPr>
                        <w:t>减值准备</w:t>
                      </w:r>
                    </w:p>
                  </w:txbxContent>
                </v:textbox>
                <w10:wrap type="none"/>
              </v:shape>
              <v:shape style="position:absolute;left:8210;top:569;width:1367;height:558" type="#_x0000_t202" filled="false" stroked="false">
                <v:textbox inset="0,0,0,0">
                  <w:txbxContent>
                    <w:p>
                      <w:pPr>
                        <w:spacing w:before="134"/>
                        <w:ind w:left="322" w:right="0" w:firstLine="0"/>
                        <w:jc w:val="left"/>
                        <w:rPr>
                          <w:rFonts w:ascii="宋体" w:hAnsi="宋体" w:cs="宋体" w:eastAsia="宋体" w:hint="default"/>
                          <w:sz w:val="18"/>
                          <w:szCs w:val="18"/>
                        </w:rPr>
                      </w:pPr>
                      <w:r>
                        <w:rPr>
                          <w:rFonts w:ascii="宋体" w:hAnsi="宋体" w:cs="宋体" w:eastAsia="宋体" w:hint="default"/>
                          <w:sz w:val="18"/>
                          <w:szCs w:val="18"/>
                        </w:rPr>
                        <w:t>账面价值</w:t>
                      </w:r>
                    </w:p>
                  </w:txbxContent>
                </v:textbox>
                <w10:wrap type="none"/>
              </v:shape>
              <v:shape style="position:absolute;left:5;top:1126;width:1369;height:558" type="#_x0000_t202" filled="false" stroked="false">
                <v:textbox inset="0,0,0,0">
                  <w:txbxContent>
                    <w:p>
                      <w:pPr>
                        <w:spacing w:before="135"/>
                        <w:ind w:left="27" w:right="0" w:firstLine="0"/>
                        <w:jc w:val="left"/>
                        <w:rPr>
                          <w:rFonts w:ascii="宋体" w:hAnsi="宋体" w:cs="宋体" w:eastAsia="宋体" w:hint="default"/>
                          <w:sz w:val="18"/>
                          <w:szCs w:val="18"/>
                        </w:rPr>
                      </w:pPr>
                      <w:r>
                        <w:rPr>
                          <w:rFonts w:ascii="宋体" w:hAnsi="宋体" w:cs="宋体" w:eastAsia="宋体" w:hint="default"/>
                          <w:sz w:val="18"/>
                          <w:szCs w:val="18"/>
                        </w:rPr>
                        <w:t>柳河新厂区建设</w:t>
                      </w:r>
                    </w:p>
                  </w:txbxContent>
                </v:textbox>
                <w10:wrap type="none"/>
              </v:shape>
              <v:shape style="position:absolute;left:1373;top:1126;width:1368;height:558" type="#_x0000_t202" filled="false" stroked="false">
                <v:textbox inset="0,0,0,0">
                  <w:txbxContent>
                    <w:p>
                      <w:pPr>
                        <w:spacing w:line="240" w:lineRule="auto" w:before="5"/>
                        <w:rPr>
                          <w:rFonts w:ascii="宋体" w:hAnsi="宋体" w:cs="宋体" w:eastAsia="宋体" w:hint="default"/>
                          <w:sz w:val="13"/>
                          <w:szCs w:val="13"/>
                        </w:rPr>
                      </w:pPr>
                    </w:p>
                    <w:p>
                      <w:pPr>
                        <w:spacing w:before="0"/>
                        <w:ind w:left="304" w:right="0" w:firstLine="0"/>
                        <w:jc w:val="left"/>
                        <w:rPr>
                          <w:rFonts w:ascii="Times New Roman" w:hAnsi="Times New Roman" w:cs="Times New Roman" w:eastAsia="Times New Roman" w:hint="default"/>
                          <w:sz w:val="18"/>
                          <w:szCs w:val="18"/>
                        </w:rPr>
                      </w:pPr>
                      <w:r>
                        <w:rPr>
                          <w:rFonts w:ascii="Times New Roman"/>
                          <w:sz w:val="18"/>
                        </w:rPr>
                        <w:t>15,459,635.51</w:t>
                      </w:r>
                    </w:p>
                  </w:txbxContent>
                </v:textbox>
                <w10:wrap type="none"/>
              </v:shape>
              <v:shape style="position:absolute;left:4108;top:1126;width:1367;height:558" type="#_x0000_t202" filled="false" stroked="false">
                <v:textbox inset="0,0,0,0">
                  <w:txbxContent>
                    <w:p>
                      <w:pPr>
                        <w:spacing w:line="240" w:lineRule="auto" w:before="5"/>
                        <w:rPr>
                          <w:rFonts w:ascii="宋体" w:hAnsi="宋体" w:cs="宋体" w:eastAsia="宋体" w:hint="default"/>
                          <w:sz w:val="13"/>
                          <w:szCs w:val="13"/>
                        </w:rPr>
                      </w:pPr>
                    </w:p>
                    <w:p>
                      <w:pPr>
                        <w:spacing w:before="0"/>
                        <w:ind w:left="304" w:right="0" w:firstLine="0"/>
                        <w:jc w:val="left"/>
                        <w:rPr>
                          <w:rFonts w:ascii="Times New Roman" w:hAnsi="Times New Roman" w:cs="Times New Roman" w:eastAsia="Times New Roman" w:hint="default"/>
                          <w:sz w:val="18"/>
                          <w:szCs w:val="18"/>
                        </w:rPr>
                      </w:pPr>
                      <w:r>
                        <w:rPr>
                          <w:rFonts w:ascii="Times New Roman"/>
                          <w:sz w:val="18"/>
                        </w:rPr>
                        <w:t>15,459,635.51</w:t>
                      </w:r>
                    </w:p>
                  </w:txbxContent>
                </v:textbox>
                <w10:wrap type="none"/>
              </v:shape>
              <v:shape style="position:absolute;left:5;top:1684;width:1369;height:1026" type="#_x0000_t202" filled="false" stroked="false">
                <v:textbox inset="0,0,0,0">
                  <w:txbxContent>
                    <w:p>
                      <w:pPr>
                        <w:spacing w:before="135"/>
                        <w:ind w:left="27" w:right="0" w:firstLine="0"/>
                        <w:jc w:val="left"/>
                        <w:rPr>
                          <w:rFonts w:ascii="宋体" w:hAnsi="宋体" w:cs="宋体" w:eastAsia="宋体" w:hint="default"/>
                          <w:sz w:val="18"/>
                          <w:szCs w:val="18"/>
                        </w:rPr>
                      </w:pPr>
                      <w:r>
                        <w:rPr>
                          <w:rFonts w:ascii="宋体" w:hAnsi="宋体" w:cs="宋体" w:eastAsia="宋体" w:hint="default"/>
                          <w:sz w:val="18"/>
                          <w:szCs w:val="18"/>
                        </w:rPr>
                        <w:t>人参产品系列化</w:t>
                      </w:r>
                    </w:p>
                    <w:p>
                      <w:pPr>
                        <w:spacing w:line="240" w:lineRule="auto" w:before="10"/>
                        <w:rPr>
                          <w:rFonts w:ascii="宋体" w:hAnsi="宋体" w:cs="宋体" w:eastAsia="宋体" w:hint="default"/>
                          <w:sz w:val="17"/>
                          <w:szCs w:val="17"/>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pacing w:val="-6"/>
                          <w:sz w:val="18"/>
                          <w:szCs w:val="18"/>
                        </w:rPr>
                        <w:t>项目（延吉厂区</w:t>
                      </w:r>
                    </w:p>
                  </w:txbxContent>
                </v:textbox>
                <w10:wrap type="none"/>
              </v:shape>
              <v:shape style="position:absolute;left:4108;top:1684;width:1367;height:102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394" w:right="0" w:firstLine="0"/>
                        <w:jc w:val="left"/>
                        <w:rPr>
                          <w:rFonts w:ascii="Times New Roman" w:hAnsi="Times New Roman" w:cs="Times New Roman" w:eastAsia="Times New Roman" w:hint="default"/>
                          <w:sz w:val="18"/>
                          <w:szCs w:val="18"/>
                        </w:rPr>
                      </w:pPr>
                      <w:r>
                        <w:rPr>
                          <w:rFonts w:ascii="Times New Roman"/>
                          <w:sz w:val="18"/>
                        </w:rPr>
                        <w:t>6,628,377.54</w:t>
                      </w:r>
                    </w:p>
                  </w:txbxContent>
                </v:textbox>
                <w10:wrap type="none"/>
              </v:shape>
              <v:shape style="position:absolute;left:5475;top:1684;width:1368;height:102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395" w:right="0" w:firstLine="0"/>
                        <w:jc w:val="left"/>
                        <w:rPr>
                          <w:rFonts w:ascii="Times New Roman" w:hAnsi="Times New Roman" w:cs="Times New Roman" w:eastAsia="Times New Roman" w:hint="default"/>
                          <w:sz w:val="18"/>
                          <w:szCs w:val="18"/>
                        </w:rPr>
                      </w:pPr>
                      <w:r>
                        <w:rPr>
                          <w:rFonts w:ascii="Times New Roman"/>
                          <w:sz w:val="18"/>
                        </w:rPr>
                        <w:t>1,869,587.00</w:t>
                      </w:r>
                    </w:p>
                  </w:txbxContent>
                </v:textbox>
                <w10:wrap type="none"/>
              </v:shape>
              <v:shape style="position:absolute;left:8210;top:1684;width:1367;height:102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394" w:right="0" w:firstLine="0"/>
                        <w:jc w:val="left"/>
                        <w:rPr>
                          <w:rFonts w:ascii="Times New Roman" w:hAnsi="Times New Roman" w:cs="Times New Roman" w:eastAsia="Times New Roman" w:hint="default"/>
                          <w:sz w:val="18"/>
                          <w:szCs w:val="18"/>
                        </w:rPr>
                      </w:pPr>
                      <w:r>
                        <w:rPr>
                          <w:rFonts w:ascii="Times New Roman"/>
                          <w:sz w:val="18"/>
                        </w:rPr>
                        <w:t>1,869,587.00</w:t>
                      </w:r>
                    </w:p>
                  </w:txbxContent>
                </v:textbox>
                <w10:wrap type="none"/>
              </v:shape>
              <v:shape style="position:absolute;left:5;top:2710;width:1369;height:1026" type="#_x0000_t202" filled="false" stroked="false">
                <v:textbox inset="0,0,0,0">
                  <w:txbxContent>
                    <w:p>
                      <w:pPr>
                        <w:spacing w:before="135"/>
                        <w:ind w:left="27" w:right="0" w:firstLine="0"/>
                        <w:jc w:val="left"/>
                        <w:rPr>
                          <w:rFonts w:ascii="宋体" w:hAnsi="宋体" w:cs="宋体" w:eastAsia="宋体" w:hint="default"/>
                          <w:sz w:val="18"/>
                          <w:szCs w:val="18"/>
                        </w:rPr>
                      </w:pPr>
                      <w:r>
                        <w:rPr>
                          <w:rFonts w:ascii="宋体" w:hAnsi="宋体" w:cs="宋体" w:eastAsia="宋体" w:hint="default"/>
                          <w:sz w:val="18"/>
                          <w:szCs w:val="18"/>
                        </w:rPr>
                        <w:t>人参产品系列化</w:t>
                      </w:r>
                    </w:p>
                    <w:p>
                      <w:pPr>
                        <w:spacing w:line="240" w:lineRule="auto" w:before="10"/>
                        <w:rPr>
                          <w:rFonts w:ascii="宋体" w:hAnsi="宋体" w:cs="宋体" w:eastAsia="宋体" w:hint="default"/>
                          <w:sz w:val="17"/>
                          <w:szCs w:val="17"/>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pacing w:val="-6"/>
                          <w:sz w:val="18"/>
                          <w:szCs w:val="18"/>
                        </w:rPr>
                        <w:t>项目（敦化厂区</w:t>
                      </w:r>
                    </w:p>
                  </w:txbxContent>
                </v:textbox>
                <w10:wrap type="none"/>
              </v:shape>
              <v:shape style="position:absolute;left:4108;top:2710;width:1367;height:102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304" w:right="0" w:firstLine="0"/>
                        <w:jc w:val="left"/>
                        <w:rPr>
                          <w:rFonts w:ascii="Times New Roman" w:hAnsi="Times New Roman" w:cs="Times New Roman" w:eastAsia="Times New Roman" w:hint="default"/>
                          <w:sz w:val="18"/>
                          <w:szCs w:val="18"/>
                        </w:rPr>
                      </w:pPr>
                      <w:r>
                        <w:rPr>
                          <w:rFonts w:ascii="Times New Roman"/>
                          <w:sz w:val="18"/>
                        </w:rPr>
                        <w:t>40,575,747.50</w:t>
                      </w:r>
                    </w:p>
                  </w:txbxContent>
                </v:textbox>
                <w10:wrap type="none"/>
              </v:shape>
              <v:shape style="position:absolute;left:5475;top:2710;width:1368;height:102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215" w:right="0" w:firstLine="0"/>
                        <w:jc w:val="left"/>
                        <w:rPr>
                          <w:rFonts w:ascii="Times New Roman" w:hAnsi="Times New Roman" w:cs="Times New Roman" w:eastAsia="Times New Roman" w:hint="default"/>
                          <w:sz w:val="18"/>
                          <w:szCs w:val="18"/>
                        </w:rPr>
                      </w:pPr>
                      <w:r>
                        <w:rPr>
                          <w:rFonts w:ascii="Times New Roman"/>
                          <w:sz w:val="18"/>
                        </w:rPr>
                        <w:t>173,318,418.75</w:t>
                      </w:r>
                    </w:p>
                  </w:txbxContent>
                </v:textbox>
                <w10:wrap type="none"/>
              </v:shape>
              <v:shape style="position:absolute;left:8210;top:2710;width:1367;height:102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214" w:right="0" w:firstLine="0"/>
                        <w:jc w:val="left"/>
                        <w:rPr>
                          <w:rFonts w:ascii="Times New Roman" w:hAnsi="Times New Roman" w:cs="Times New Roman" w:eastAsia="Times New Roman" w:hint="default"/>
                          <w:sz w:val="18"/>
                          <w:szCs w:val="18"/>
                        </w:rPr>
                      </w:pPr>
                      <w:r>
                        <w:rPr>
                          <w:rFonts w:ascii="Times New Roman"/>
                          <w:sz w:val="18"/>
                        </w:rPr>
                        <w:t>173,318,418.75</w:t>
                      </w:r>
                    </w:p>
                  </w:txbxContent>
                </v:textbox>
                <w10:wrap type="none"/>
              </v:shape>
              <v:shape style="position:absolute;left:5;top:3736;width:1369;height:1026" type="#_x0000_t202" filled="false" stroked="false">
                <v:textbox inset="0,0,0,0">
                  <w:txbxContent>
                    <w:p>
                      <w:pPr>
                        <w:spacing w:before="135"/>
                        <w:ind w:left="27" w:right="0" w:firstLine="0"/>
                        <w:jc w:val="left"/>
                        <w:rPr>
                          <w:rFonts w:ascii="宋体" w:hAnsi="宋体" w:cs="宋体" w:eastAsia="宋体" w:hint="default"/>
                          <w:sz w:val="18"/>
                          <w:szCs w:val="18"/>
                        </w:rPr>
                      </w:pPr>
                      <w:r>
                        <w:rPr>
                          <w:rFonts w:ascii="宋体" w:hAnsi="宋体" w:cs="宋体" w:eastAsia="宋体" w:hint="default"/>
                          <w:sz w:val="18"/>
                          <w:szCs w:val="18"/>
                        </w:rPr>
                        <w:t>人参产品系列化</w:t>
                      </w:r>
                    </w:p>
                    <w:p>
                      <w:pPr>
                        <w:spacing w:line="240" w:lineRule="auto" w:before="10"/>
                        <w:rPr>
                          <w:rFonts w:ascii="宋体" w:hAnsi="宋体" w:cs="宋体" w:eastAsia="宋体" w:hint="default"/>
                          <w:sz w:val="17"/>
                          <w:szCs w:val="17"/>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pacing w:val="-6"/>
                          <w:sz w:val="18"/>
                          <w:szCs w:val="18"/>
                        </w:rPr>
                        <w:t>项目（磐石厂区</w:t>
                      </w:r>
                    </w:p>
                  </w:txbxContent>
                </v:textbox>
                <w10:wrap type="none"/>
              </v:shape>
              <v:shape style="position:absolute;left:4108;top:3736;width:1367;height:102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394" w:right="0" w:firstLine="0"/>
                        <w:jc w:val="left"/>
                        <w:rPr>
                          <w:rFonts w:ascii="Times New Roman" w:hAnsi="Times New Roman" w:cs="Times New Roman" w:eastAsia="Times New Roman" w:hint="default"/>
                          <w:sz w:val="18"/>
                          <w:szCs w:val="18"/>
                        </w:rPr>
                      </w:pPr>
                      <w:r>
                        <w:rPr>
                          <w:rFonts w:ascii="Times New Roman"/>
                          <w:sz w:val="18"/>
                        </w:rPr>
                        <w:t>9,234,853.68</w:t>
                      </w:r>
                    </w:p>
                  </w:txbxContent>
                </v:textbox>
                <w10:wrap type="none"/>
              </v:shape>
              <v:shape style="position:absolute;left:5475;top:3736;width:1368;height:102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395" w:right="0" w:firstLine="0"/>
                        <w:jc w:val="left"/>
                        <w:rPr>
                          <w:rFonts w:ascii="Times New Roman" w:hAnsi="Times New Roman" w:cs="Times New Roman" w:eastAsia="Times New Roman" w:hint="default"/>
                          <w:sz w:val="18"/>
                          <w:szCs w:val="18"/>
                        </w:rPr>
                      </w:pPr>
                      <w:r>
                        <w:rPr>
                          <w:rFonts w:ascii="Times New Roman"/>
                          <w:sz w:val="18"/>
                        </w:rPr>
                        <w:t>9,179,088.68</w:t>
                      </w:r>
                    </w:p>
                  </w:txbxContent>
                </v:textbox>
                <w10:wrap type="none"/>
              </v:shape>
              <v:shape style="position:absolute;left:8210;top:3736;width:1367;height:102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394" w:right="0" w:firstLine="0"/>
                        <w:jc w:val="left"/>
                        <w:rPr>
                          <w:rFonts w:ascii="Times New Roman" w:hAnsi="Times New Roman" w:cs="Times New Roman" w:eastAsia="Times New Roman" w:hint="default"/>
                          <w:sz w:val="18"/>
                          <w:szCs w:val="18"/>
                        </w:rPr>
                      </w:pPr>
                      <w:r>
                        <w:rPr>
                          <w:rFonts w:ascii="Times New Roman"/>
                          <w:sz w:val="18"/>
                        </w:rPr>
                        <w:t>9,179,088.68</w:t>
                      </w:r>
                    </w:p>
                  </w:txbxContent>
                </v:textbox>
                <w10:wrap type="none"/>
              </v:shape>
              <v:shape style="position:absolute;left:5;top:4762;width:1369;height:1026" type="#_x0000_t202" filled="false" stroked="false">
                <v:textbox inset="0,0,0,0">
                  <w:txbxContent>
                    <w:p>
                      <w:pPr>
                        <w:spacing w:before="135"/>
                        <w:ind w:left="27" w:right="0" w:firstLine="0"/>
                        <w:jc w:val="left"/>
                        <w:rPr>
                          <w:rFonts w:ascii="宋体" w:hAnsi="宋体" w:cs="宋体" w:eastAsia="宋体" w:hint="default"/>
                          <w:sz w:val="18"/>
                          <w:szCs w:val="18"/>
                        </w:rPr>
                      </w:pPr>
                      <w:r>
                        <w:rPr>
                          <w:rFonts w:ascii="宋体" w:hAnsi="宋体" w:cs="宋体" w:eastAsia="宋体" w:hint="default"/>
                          <w:sz w:val="18"/>
                          <w:szCs w:val="18"/>
                        </w:rPr>
                        <w:t>人参产品系列化</w:t>
                      </w:r>
                    </w:p>
                    <w:p>
                      <w:pPr>
                        <w:spacing w:line="240" w:lineRule="auto" w:before="10"/>
                        <w:rPr>
                          <w:rFonts w:ascii="宋体" w:hAnsi="宋体" w:cs="宋体" w:eastAsia="宋体" w:hint="default"/>
                          <w:sz w:val="17"/>
                          <w:szCs w:val="17"/>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pacing w:val="-6"/>
                          <w:sz w:val="18"/>
                          <w:szCs w:val="18"/>
                        </w:rPr>
                        <w:t>项目（通化厂区</w:t>
                      </w:r>
                    </w:p>
                  </w:txbxContent>
                </v:textbox>
                <w10:wrap type="none"/>
              </v:shape>
              <v:shape style="position:absolute;left:4108;top:4762;width:1367;height:102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214" w:right="0" w:firstLine="0"/>
                        <w:jc w:val="left"/>
                        <w:rPr>
                          <w:rFonts w:ascii="Times New Roman" w:hAnsi="Times New Roman" w:cs="Times New Roman" w:eastAsia="Times New Roman" w:hint="default"/>
                          <w:sz w:val="18"/>
                          <w:szCs w:val="18"/>
                        </w:rPr>
                      </w:pPr>
                      <w:r>
                        <w:rPr>
                          <w:rFonts w:ascii="Times New Roman"/>
                          <w:sz w:val="18"/>
                        </w:rPr>
                        <w:t>140,317,447.29</w:t>
                      </w:r>
                    </w:p>
                  </w:txbxContent>
                </v:textbox>
                <w10:wrap type="none"/>
              </v:shape>
              <v:shape style="position:absolute;left:5475;top:4762;width:1368;height:102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221" w:right="0" w:firstLine="0"/>
                        <w:jc w:val="left"/>
                        <w:rPr>
                          <w:rFonts w:ascii="Times New Roman" w:hAnsi="Times New Roman" w:cs="Times New Roman" w:eastAsia="Times New Roman" w:hint="default"/>
                          <w:sz w:val="18"/>
                          <w:szCs w:val="18"/>
                        </w:rPr>
                      </w:pPr>
                      <w:r>
                        <w:rPr>
                          <w:rFonts w:ascii="Times New Roman"/>
                          <w:sz w:val="18"/>
                        </w:rPr>
                        <w:t>117,909,570.31</w:t>
                      </w:r>
                    </w:p>
                  </w:txbxContent>
                </v:textbox>
                <w10:wrap type="none"/>
              </v:shape>
              <v:shape style="position:absolute;left:8210;top:4762;width:1367;height:102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220" w:right="0" w:firstLine="0"/>
                        <w:jc w:val="left"/>
                        <w:rPr>
                          <w:rFonts w:ascii="Times New Roman" w:hAnsi="Times New Roman" w:cs="Times New Roman" w:eastAsia="Times New Roman" w:hint="default"/>
                          <w:sz w:val="18"/>
                          <w:szCs w:val="18"/>
                        </w:rPr>
                      </w:pPr>
                      <w:r>
                        <w:rPr>
                          <w:rFonts w:ascii="Times New Roman"/>
                          <w:sz w:val="18"/>
                        </w:rPr>
                        <w:t>117,909,570.31</w:t>
                      </w:r>
                    </w:p>
                  </w:txbxContent>
                </v:textbox>
                <w10:wrap type="none"/>
              </v:shape>
              <v:shape style="position:absolute;left:5;top:5788;width:1369;height:1028" type="#_x0000_t202" filled="false" stroked="false">
                <v:textbox inset="0,0,0,0">
                  <w:txbxContent>
                    <w:p>
                      <w:pPr>
                        <w:spacing w:before="135"/>
                        <w:ind w:left="27" w:right="0" w:firstLine="0"/>
                        <w:jc w:val="left"/>
                        <w:rPr>
                          <w:rFonts w:ascii="宋体" w:hAnsi="宋体" w:cs="宋体" w:eastAsia="宋体" w:hint="default"/>
                          <w:sz w:val="18"/>
                          <w:szCs w:val="18"/>
                        </w:rPr>
                      </w:pPr>
                      <w:r>
                        <w:rPr>
                          <w:rFonts w:ascii="宋体" w:hAnsi="宋体" w:cs="宋体" w:eastAsia="宋体" w:hint="default"/>
                          <w:sz w:val="18"/>
                          <w:szCs w:val="18"/>
                        </w:rPr>
                        <w:t>人参种苗培育工</w:t>
                      </w:r>
                    </w:p>
                    <w:p>
                      <w:pPr>
                        <w:spacing w:line="240" w:lineRule="auto" w:before="10"/>
                        <w:rPr>
                          <w:rFonts w:ascii="宋体" w:hAnsi="宋体" w:cs="宋体" w:eastAsia="宋体" w:hint="default"/>
                          <w:sz w:val="17"/>
                          <w:szCs w:val="17"/>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程</w:t>
                      </w:r>
                    </w:p>
                  </w:txbxContent>
                </v:textbox>
                <w10:wrap type="none"/>
              </v:shape>
              <v:shape style="position:absolute;left:5475;top:5788;width:1368;height:10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spacing w:before="0"/>
                        <w:ind w:left="395" w:right="0" w:firstLine="0"/>
                        <w:jc w:val="left"/>
                        <w:rPr>
                          <w:rFonts w:ascii="Times New Roman" w:hAnsi="Times New Roman" w:cs="Times New Roman" w:eastAsia="Times New Roman" w:hint="default"/>
                          <w:sz w:val="18"/>
                          <w:szCs w:val="18"/>
                        </w:rPr>
                      </w:pPr>
                      <w:r>
                        <w:rPr>
                          <w:rFonts w:ascii="Times New Roman"/>
                          <w:sz w:val="18"/>
                        </w:rPr>
                        <w:t>2,270,025.65</w:t>
                      </w:r>
                    </w:p>
                  </w:txbxContent>
                </v:textbox>
                <w10:wrap type="none"/>
              </v:shape>
              <v:shape style="position:absolute;left:8210;top:5788;width:1367;height:10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spacing w:before="0"/>
                        <w:ind w:left="394" w:right="0" w:firstLine="0"/>
                        <w:jc w:val="left"/>
                        <w:rPr>
                          <w:rFonts w:ascii="Times New Roman" w:hAnsi="Times New Roman" w:cs="Times New Roman" w:eastAsia="Times New Roman" w:hint="default"/>
                          <w:sz w:val="18"/>
                          <w:szCs w:val="18"/>
                        </w:rPr>
                      </w:pPr>
                      <w:r>
                        <w:rPr>
                          <w:rFonts w:ascii="Times New Roman"/>
                          <w:sz w:val="18"/>
                        </w:rPr>
                        <w:t>2,270,025.65</w:t>
                      </w:r>
                    </w:p>
                  </w:txbxContent>
                </v:textbox>
                <w10:wrap type="none"/>
              </v:shape>
              <v:shape style="position:absolute;left:1768;top:2116;width:94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6,628,377.54</w:t>
                      </w:r>
                    </w:p>
                  </w:txbxContent>
                </v:textbox>
                <w10:wrap type="none"/>
              </v:shape>
              <v:shape style="position:absolute;left:1254;top:234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1678;top:3142;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40,575,747.50</w:t>
                      </w:r>
                    </w:p>
                  </w:txbxContent>
                </v:textbox>
                <w10:wrap type="none"/>
              </v:shape>
              <v:shape style="position:absolute;left:1254;top:3369;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1768;top:4168;width:94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9,234,853.68</w:t>
                      </w:r>
                    </w:p>
                  </w:txbxContent>
                </v:textbox>
                <w10:wrap type="none"/>
              </v:shape>
              <v:shape style="position:absolute;left:1254;top:439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1588;top:5194;width:112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140,317,447.29</w:t>
                      </w:r>
                    </w:p>
                  </w:txbxContent>
                </v:textbox>
                <w10:wrap type="none"/>
              </v:shape>
              <v:shape style="position:absolute;left:1254;top:542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136"/>
          <w:sz w:val="20"/>
          <w:szCs w:val="20"/>
        </w:rPr>
      </w:r>
    </w:p>
    <w:p>
      <w:pPr>
        <w:spacing w:after="0" w:line="6825"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55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212,216,061.52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212,216,061.52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304,546,690.39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304,546,690.39</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2）重要在建工程项目本期变动情况" w:id="232"/>
      <w:bookmarkEnd w:id="232"/>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9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6"/>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6"/>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6"/>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6"/>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243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29"/>
              <w:ind w:left="22" w:right="159"/>
              <w:jc w:val="both"/>
              <w:rPr>
                <w:rFonts w:ascii="宋体" w:hAnsi="宋体" w:cs="宋体" w:eastAsia="宋体" w:hint="default"/>
                <w:sz w:val="18"/>
                <w:szCs w:val="18"/>
              </w:rPr>
            </w:pPr>
            <w:r>
              <w:rPr>
                <w:rFonts w:ascii="宋体" w:hAnsi="宋体" w:cs="宋体" w:eastAsia="宋体" w:hint="default"/>
                <w:sz w:val="18"/>
                <w:szCs w:val="18"/>
              </w:rPr>
              <w:t>人参产 品系列 化项目</w:t>
            </w:r>
          </w:p>
          <w:p>
            <w:pPr>
              <w:pStyle w:val="TableParagraph"/>
              <w:spacing w:line="477" w:lineRule="auto" w:before="56"/>
              <w:ind w:left="22" w:right="159"/>
              <w:jc w:val="both"/>
              <w:rPr>
                <w:rFonts w:ascii="宋体" w:hAnsi="宋体" w:cs="宋体" w:eastAsia="宋体" w:hint="default"/>
                <w:sz w:val="18"/>
                <w:szCs w:val="18"/>
              </w:rPr>
            </w:pPr>
            <w:r>
              <w:rPr>
                <w:rFonts w:ascii="宋体" w:hAnsi="宋体" w:cs="宋体" w:eastAsia="宋体" w:hint="default"/>
                <w:sz w:val="18"/>
                <w:szCs w:val="18"/>
              </w:rPr>
              <w:t>（延吉 厂区）</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1,869,58</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7.00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4,763,03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8.40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4,247.86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6,628,37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7.54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4"/>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243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59"/>
              <w:jc w:val="both"/>
              <w:rPr>
                <w:rFonts w:ascii="宋体" w:hAnsi="宋体" w:cs="宋体" w:eastAsia="宋体" w:hint="default"/>
                <w:sz w:val="18"/>
                <w:szCs w:val="18"/>
              </w:rPr>
            </w:pPr>
            <w:r>
              <w:rPr>
                <w:rFonts w:ascii="宋体" w:hAnsi="宋体" w:cs="宋体" w:eastAsia="宋体" w:hint="default"/>
                <w:sz w:val="18"/>
                <w:szCs w:val="18"/>
              </w:rPr>
              <w:t>人参产 品系列 化项目</w:t>
            </w:r>
          </w:p>
          <w:p>
            <w:pPr>
              <w:pStyle w:val="TableParagraph"/>
              <w:spacing w:line="477" w:lineRule="auto" w:before="54"/>
              <w:ind w:left="22" w:right="159"/>
              <w:jc w:val="both"/>
              <w:rPr>
                <w:rFonts w:ascii="宋体" w:hAnsi="宋体" w:cs="宋体" w:eastAsia="宋体" w:hint="default"/>
                <w:sz w:val="18"/>
                <w:szCs w:val="18"/>
              </w:rPr>
            </w:pPr>
            <w:r>
              <w:rPr>
                <w:rFonts w:ascii="宋体" w:hAnsi="宋体" w:cs="宋体" w:eastAsia="宋体" w:hint="default"/>
                <w:sz w:val="18"/>
                <w:szCs w:val="18"/>
              </w:rPr>
              <w:t>（敦化 厂区）</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173,318,</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418.75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3,206,08</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135,948,</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751.32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40,575,7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47.50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5"/>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243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29"/>
              <w:ind w:left="22" w:right="159"/>
              <w:jc w:val="both"/>
              <w:rPr>
                <w:rFonts w:ascii="宋体" w:hAnsi="宋体" w:cs="宋体" w:eastAsia="宋体" w:hint="default"/>
                <w:sz w:val="18"/>
                <w:szCs w:val="18"/>
              </w:rPr>
            </w:pPr>
            <w:r>
              <w:rPr>
                <w:rFonts w:ascii="宋体" w:hAnsi="宋体" w:cs="宋体" w:eastAsia="宋体" w:hint="default"/>
                <w:sz w:val="18"/>
                <w:szCs w:val="18"/>
              </w:rPr>
              <w:t>人参产 品系列 化项目</w:t>
            </w:r>
          </w:p>
          <w:p>
            <w:pPr>
              <w:pStyle w:val="TableParagraph"/>
              <w:spacing w:line="477" w:lineRule="auto" w:before="56"/>
              <w:ind w:left="22" w:right="159"/>
              <w:jc w:val="both"/>
              <w:rPr>
                <w:rFonts w:ascii="宋体" w:hAnsi="宋体" w:cs="宋体" w:eastAsia="宋体" w:hint="default"/>
                <w:sz w:val="18"/>
                <w:szCs w:val="18"/>
              </w:rPr>
            </w:pPr>
            <w:r>
              <w:rPr>
                <w:rFonts w:ascii="宋体" w:hAnsi="宋体" w:cs="宋体" w:eastAsia="宋体" w:hint="default"/>
                <w:sz w:val="18"/>
                <w:szCs w:val="18"/>
              </w:rPr>
              <w:t>（磐石 厂区）</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9,179,08</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8.68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275,091.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219,326.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9,234,85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3.68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4"/>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243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59"/>
              <w:jc w:val="both"/>
              <w:rPr>
                <w:rFonts w:ascii="宋体" w:hAnsi="宋体" w:cs="宋体" w:eastAsia="宋体" w:hint="default"/>
                <w:sz w:val="18"/>
                <w:szCs w:val="18"/>
              </w:rPr>
            </w:pPr>
            <w:r>
              <w:rPr>
                <w:rFonts w:ascii="宋体" w:hAnsi="宋体" w:cs="宋体" w:eastAsia="宋体" w:hint="default"/>
                <w:sz w:val="18"/>
                <w:szCs w:val="18"/>
              </w:rPr>
              <w:t>人参产 品系列 化项目</w:t>
            </w:r>
          </w:p>
          <w:p>
            <w:pPr>
              <w:pStyle w:val="TableParagraph"/>
              <w:spacing w:line="477" w:lineRule="auto" w:before="54"/>
              <w:ind w:left="22" w:right="159"/>
              <w:jc w:val="both"/>
              <w:rPr>
                <w:rFonts w:ascii="宋体" w:hAnsi="宋体" w:cs="宋体" w:eastAsia="宋体" w:hint="default"/>
                <w:sz w:val="18"/>
                <w:szCs w:val="18"/>
              </w:rPr>
            </w:pPr>
            <w:r>
              <w:rPr>
                <w:rFonts w:ascii="宋体" w:hAnsi="宋体" w:cs="宋体" w:eastAsia="宋体" w:hint="default"/>
                <w:sz w:val="18"/>
                <w:szCs w:val="18"/>
              </w:rPr>
              <w:t>（通化 厂区）</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117,909,</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570.31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22,407,8</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76.98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140,317,</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447.29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4"/>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bl>
    <w:p>
      <w:pPr>
        <w:spacing w:after="0" w:line="47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49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59"/>
              <w:jc w:val="both"/>
              <w:rPr>
                <w:rFonts w:ascii="宋体" w:hAnsi="宋体" w:cs="宋体" w:eastAsia="宋体" w:hint="default"/>
                <w:sz w:val="18"/>
                <w:szCs w:val="18"/>
              </w:rPr>
            </w:pPr>
            <w:r>
              <w:rPr>
                <w:rFonts w:ascii="宋体" w:hAnsi="宋体" w:cs="宋体" w:eastAsia="宋体" w:hint="default"/>
                <w:sz w:val="18"/>
                <w:szCs w:val="18"/>
              </w:rPr>
              <w:t>柳河新 厂区建 设</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15,459,6</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35.51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15,459,6</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35.51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302,276,</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664.74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46,111,7</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21.96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136,172,</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325.18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212,216,</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061.52</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3）本期计提在建工程减值准备情况" w:id="233"/>
      <w:bookmarkEnd w:id="233"/>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55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8"/>
          <w:szCs w:val="18"/>
        </w:rPr>
      </w:pPr>
    </w:p>
    <w:p>
      <w:pPr>
        <w:pStyle w:val="BodyText"/>
        <w:spacing w:line="240" w:lineRule="auto"/>
        <w:ind w:right="0"/>
        <w:jc w:val="left"/>
      </w:pPr>
      <w:r>
        <w:rPr/>
        <w:t>期末在建工程中无用于担保、抵押或所有权受限情况。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4"/>
        <w:spacing w:line="240" w:lineRule="auto"/>
        <w:ind w:left="154" w:right="0"/>
        <w:jc w:val="left"/>
        <w:rPr>
          <w:b w:val="0"/>
          <w:bCs w:val="0"/>
        </w:rPr>
      </w:pPr>
      <w:bookmarkStart w:name="12、无形资产" w:id="234"/>
      <w:bookmarkEnd w:id="234"/>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90"/>
        <w:ind w:left="154" w:right="0"/>
        <w:jc w:val="left"/>
        <w:rPr>
          <w:b w:val="0"/>
          <w:bCs w:val="0"/>
        </w:rPr>
      </w:pPr>
      <w:bookmarkStart w:name="（1）无形资产情况" w:id="235"/>
      <w:bookmarkEnd w:id="23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558"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58"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164,679,505.08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29,200,172.07</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6,355,188.00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200,234,865.15</w:t>
            </w:r>
          </w:p>
        </w:tc>
      </w:tr>
      <w:tr>
        <w:trPr>
          <w:trHeight w:val="558"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164,679,505.08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29,200,172.07</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6,355,188.00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200,234,865.15</w:t>
            </w:r>
          </w:p>
        </w:tc>
      </w:tr>
      <w:tr>
        <w:trPr>
          <w:trHeight w:val="558"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330,000.00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162,733.34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492,733.34</w:t>
            </w:r>
          </w:p>
        </w:tc>
      </w:tr>
      <w:tr>
        <w:trPr>
          <w:trHeight w:val="558"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164,679,505.08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29,530,172.07</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6,517,921.34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200,727,598.49</w:t>
            </w:r>
          </w:p>
        </w:tc>
      </w:tr>
      <w:tr>
        <w:trPr>
          <w:trHeight w:val="558"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11,984,174.49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17,261,360.95</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751,806.25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29,997,341.69</w:t>
            </w:r>
          </w:p>
        </w:tc>
      </w:tr>
      <w:tr>
        <w:trPr>
          <w:trHeight w:val="558"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11,984,174.49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17,261,360.95</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751,806.25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29,997,341.69</w:t>
            </w:r>
          </w:p>
        </w:tc>
      </w:tr>
      <w:tr>
        <w:trPr>
          <w:trHeight w:val="558"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3,303,594.92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2,280,700.67</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164,578.51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5,748,874.10</w:t>
            </w:r>
          </w:p>
        </w:tc>
      </w:tr>
      <w:tr>
        <w:trPr>
          <w:trHeight w:val="558"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15,287,769.41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19,542,061.62</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916,384.76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35,746,215.79</w:t>
            </w:r>
          </w:p>
        </w:tc>
      </w:tr>
      <w:tr>
        <w:trPr>
          <w:trHeight w:val="558"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149,391,735.67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9,988,110.45</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5,601,536.58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164,981,382.70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558"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149,391,735.67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9,988,110.45</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5,601,536.58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164,981,382.70</w:t>
            </w:r>
          </w:p>
        </w:tc>
      </w:tr>
      <w:tr>
        <w:trPr>
          <w:trHeight w:val="558"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152,695,330.59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11,938,811.12</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5,603,381.75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170,237,523.46</w:t>
            </w:r>
          </w:p>
        </w:tc>
      </w:tr>
    </w:tbl>
    <w:p>
      <w:pPr>
        <w:spacing w:line="240" w:lineRule="auto" w:before="7"/>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2）未办妥产权证书的土地使用权情况" w:id="236"/>
      <w:bookmarkEnd w:id="236"/>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24"/>
          <w:szCs w:val="24"/>
        </w:rPr>
      </w:pPr>
    </w:p>
    <w:p>
      <w:pPr>
        <w:pStyle w:val="BodyText"/>
        <w:spacing w:line="240" w:lineRule="auto"/>
        <w:ind w:left="574" w:right="0"/>
        <w:jc w:val="left"/>
      </w:pPr>
      <w:r>
        <w:rPr/>
        <w:t>（</w:t>
      </w:r>
      <w:r>
        <w:rPr>
          <w:rFonts w:ascii="Times New Roman" w:hAnsi="Times New Roman" w:cs="Times New Roman" w:eastAsia="Times New Roman" w:hint="default"/>
        </w:rPr>
        <w:t>1</w:t>
      </w:r>
      <w:r>
        <w:rPr/>
        <w:t>）本期无形资产摊销金额为</w:t>
      </w:r>
      <w:r>
        <w:rPr>
          <w:rFonts w:ascii="Times New Roman" w:hAnsi="Times New Roman" w:cs="Times New Roman" w:eastAsia="Times New Roman" w:hint="default"/>
        </w:rPr>
        <w:t>574.89</w:t>
      </w:r>
      <w:r>
        <w:rPr/>
        <w:t>万元。</w:t>
      </w:r>
    </w:p>
    <w:p>
      <w:pPr>
        <w:pStyle w:val="BodyText"/>
        <w:spacing w:line="240" w:lineRule="auto" w:before="177"/>
        <w:ind w:left="573" w:right="0"/>
        <w:jc w:val="left"/>
      </w:pPr>
      <w:r>
        <w:rPr/>
        <w:t>（</w:t>
      </w:r>
      <w:r>
        <w:rPr>
          <w:rFonts w:ascii="Times New Roman" w:hAnsi="Times New Roman" w:cs="Times New Roman" w:eastAsia="Times New Roman" w:hint="default"/>
        </w:rPr>
        <w:t>2</w:t>
      </w:r>
      <w:r>
        <w:rPr/>
        <w:t>）期末用于抵押的无形资产账面余额为</w:t>
      </w:r>
      <w:r>
        <w:rPr>
          <w:rFonts w:ascii="Times New Roman" w:hAnsi="Times New Roman" w:cs="Times New Roman" w:eastAsia="Times New Roman" w:hint="default"/>
        </w:rPr>
        <w:t>12,182.94</w:t>
      </w:r>
      <w:r>
        <w:rPr/>
        <w:t>万元。</w:t>
      </w:r>
    </w:p>
    <w:p>
      <w:pPr>
        <w:pStyle w:val="BodyText"/>
        <w:spacing w:line="386" w:lineRule="auto" w:before="177"/>
        <w:ind w:right="0" w:firstLine="420"/>
        <w:jc w:val="left"/>
      </w:pPr>
      <w:r>
        <w:rPr>
          <w:spacing w:val="-3"/>
        </w:rPr>
        <w:t>（</w:t>
      </w:r>
      <w:r>
        <w:rPr>
          <w:rFonts w:ascii="Times New Roman" w:hAnsi="Times New Roman" w:cs="Times New Roman" w:eastAsia="Times New Roman" w:hint="default"/>
          <w:spacing w:val="-3"/>
        </w:rPr>
        <w:t>3</w:t>
      </w:r>
      <w:r>
        <w:rPr>
          <w:spacing w:val="-3"/>
        </w:rPr>
        <w:t>）本公司所拥有的专有技术全部为外购或与外部研究机构合作研发取得，无通过公司内部开发取</w:t>
      </w:r>
      <w:r>
        <w:rPr/>
        <w:t> 得的专有技术。</w:t>
      </w:r>
    </w:p>
    <w:p>
      <w:pPr>
        <w:spacing w:line="240" w:lineRule="auto" w:before="12"/>
        <w:rPr>
          <w:rFonts w:ascii="宋体" w:hAnsi="宋体" w:cs="宋体" w:eastAsia="宋体" w:hint="default"/>
          <w:sz w:val="27"/>
          <w:szCs w:val="27"/>
        </w:rPr>
      </w:pPr>
    </w:p>
    <w:p>
      <w:pPr>
        <w:pStyle w:val="Heading4"/>
        <w:spacing w:line="240" w:lineRule="auto"/>
        <w:ind w:right="0"/>
        <w:jc w:val="left"/>
        <w:rPr>
          <w:b w:val="0"/>
          <w:bCs w:val="0"/>
        </w:rPr>
      </w:pPr>
      <w:bookmarkStart w:name="13、开发支出" w:id="237"/>
      <w:bookmarkEnd w:id="237"/>
      <w:r>
        <w:rPr>
          <w:b w:val="0"/>
          <w:bCs w:val="0"/>
        </w:rPr>
      </w:r>
      <w:r>
        <w:rPr>
          <w:rFonts w:ascii="Times New Roman" w:hAnsi="Times New Roman" w:cs="Times New Roman" w:eastAsia="Times New Roman" w:hint="default"/>
        </w:rPr>
        <w:t>13</w:t>
      </w:r>
      <w:r>
        <w:rPr/>
        <w:t>、开发支出</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558"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6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3"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502" w:right="50"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81"/>
              <w:jc w:val="left"/>
              <w:rPr>
                <w:rFonts w:ascii="宋体" w:hAnsi="宋体" w:cs="宋体" w:eastAsia="宋体" w:hint="default"/>
                <w:sz w:val="18"/>
                <w:szCs w:val="18"/>
              </w:rPr>
            </w:pPr>
            <w:r>
              <w:rPr>
                <w:rFonts w:ascii="宋体" w:hAnsi="宋体" w:cs="宋体" w:eastAsia="宋体" w:hint="default"/>
                <w:sz w:val="18"/>
                <w:szCs w:val="18"/>
              </w:rPr>
              <w:t>人参基因组研 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81"/>
              <w:jc w:val="left"/>
              <w:rPr>
                <w:rFonts w:ascii="宋体" w:hAnsi="宋体" w:cs="宋体" w:eastAsia="宋体" w:hint="default"/>
                <w:sz w:val="18"/>
                <w:szCs w:val="18"/>
              </w:rPr>
            </w:pPr>
            <w:r>
              <w:rPr>
                <w:rFonts w:ascii="宋体" w:hAnsi="宋体" w:cs="宋体" w:eastAsia="宋体" w:hint="default"/>
                <w:sz w:val="18"/>
                <w:szCs w:val="18"/>
              </w:rPr>
              <w:t>基因测序仪开 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3,110,522.85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3,110,522.85</w:t>
            </w:r>
          </w:p>
        </w:tc>
      </w:tr>
      <w:tr>
        <w:trPr>
          <w:trHeight w:val="55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3,110,522.85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16,110,522.85</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14、商誉" w:id="238"/>
      <w:bookmarkEnd w:id="238"/>
      <w:r>
        <w:rPr>
          <w:b w:val="0"/>
          <w:bCs w:val="0"/>
        </w:rPr>
      </w:r>
      <w:r>
        <w:rPr>
          <w:rFonts w:ascii="Times New Roman" w:hAnsi="Times New Roman" w:cs="Times New Roman" w:eastAsia="Times New Roman" w:hint="default"/>
        </w:rPr>
        <w:t>14</w:t>
      </w:r>
      <w:r>
        <w:rPr/>
        <w:t>、商誉</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商誉账面原值" w:id="239"/>
      <w:bookmarkEnd w:id="239"/>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558"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0"/>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935"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30"/>
              <w:ind w:left="22" w:right="72"/>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3,823,945.58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3,823,945.58</w:t>
            </w:r>
          </w:p>
        </w:tc>
      </w:tr>
      <w:tr>
        <w:trPr>
          <w:trHeight w:val="559"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3,823,945.58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3,823,945.58</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15、长期待摊费用" w:id="240"/>
      <w:bookmarkEnd w:id="240"/>
      <w:r>
        <w:rPr>
          <w:b w:val="0"/>
          <w:bCs w:val="0"/>
        </w:rPr>
      </w:r>
      <w:r>
        <w:rPr>
          <w:rFonts w:ascii="Times New Roman" w:hAnsi="Times New Roman" w:cs="Times New Roman" w:eastAsia="Times New Roman" w:hint="default"/>
        </w:rPr>
        <w:t>15</w:t>
      </w:r>
      <w:r>
        <w:rPr/>
        <w:t>、长期待摊费用</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55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19"/>
              <w:jc w:val="left"/>
              <w:rPr>
                <w:rFonts w:ascii="宋体" w:hAnsi="宋体" w:cs="宋体" w:eastAsia="宋体" w:hint="default"/>
                <w:sz w:val="18"/>
                <w:szCs w:val="18"/>
              </w:rPr>
            </w:pPr>
            <w:r>
              <w:rPr>
                <w:rFonts w:ascii="宋体" w:hAnsi="宋体" w:cs="宋体" w:eastAsia="宋体" w:hint="default"/>
                <w:sz w:val="18"/>
                <w:szCs w:val="18"/>
              </w:rPr>
              <w:t>租入固定资产改良 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825,493.43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825,493.43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825,493.43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825,493.43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16、递延所得税资产/递延所得税负债" w:id="241"/>
      <w:bookmarkEnd w:id="241"/>
      <w:r>
        <w:rPr>
          <w:b w:val="0"/>
          <w:bCs w:val="0"/>
        </w:rPr>
      </w: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right="0"/>
        <w:jc w:val="left"/>
        <w:rPr>
          <w:b w:val="0"/>
          <w:bCs w:val="0"/>
        </w:rPr>
      </w:pPr>
      <w:bookmarkStart w:name="（1）未经抵销的递延所得税资产" w:id="242"/>
      <w:bookmarkEnd w:id="24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558"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558"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应收款项坏账准备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55" w:right="0"/>
              <w:jc w:val="left"/>
              <w:rPr>
                <w:rFonts w:ascii="Times New Roman" w:hAnsi="Times New Roman" w:cs="Times New Roman" w:eastAsia="Times New Roman" w:hint="default"/>
                <w:sz w:val="18"/>
                <w:szCs w:val="18"/>
              </w:rPr>
            </w:pPr>
            <w:r>
              <w:rPr>
                <w:rFonts w:ascii="Times New Roman"/>
                <w:sz w:val="18"/>
              </w:rPr>
              <w:t>40,735,299.11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7,126,678.56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28,687,546.63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5,001,077.63</w:t>
            </w:r>
          </w:p>
        </w:tc>
      </w:tr>
      <w:tr>
        <w:trPr>
          <w:trHeight w:val="558"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 w:right="0"/>
              <w:jc w:val="left"/>
              <w:rPr>
                <w:rFonts w:ascii="宋体" w:hAnsi="宋体" w:cs="宋体" w:eastAsia="宋体" w:hint="default"/>
                <w:sz w:val="18"/>
                <w:szCs w:val="18"/>
              </w:rPr>
            </w:pPr>
            <w:r>
              <w:rPr>
                <w:rFonts w:ascii="宋体" w:hAnsi="宋体" w:cs="宋体" w:eastAsia="宋体" w:hint="default"/>
                <w:sz w:val="18"/>
                <w:szCs w:val="18"/>
              </w:rPr>
              <w:t>未实现销售情况确认递</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553,961.99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138,490.50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518"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延所得税资产</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55" w:right="0"/>
              <w:jc w:val="left"/>
              <w:rPr>
                <w:rFonts w:ascii="Times New Roman" w:hAnsi="Times New Roman" w:cs="Times New Roman" w:eastAsia="Times New Roman" w:hint="default"/>
                <w:sz w:val="18"/>
                <w:szCs w:val="18"/>
              </w:rPr>
            </w:pPr>
            <w:r>
              <w:rPr>
                <w:rFonts w:ascii="Times New Roman"/>
                <w:sz w:val="18"/>
              </w:rPr>
              <w:t>40,735,299.11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7,126,678.56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29,241,508.62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5,139,568.13</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2）未经抵销的递延所得税负债" w:id="243"/>
      <w:bookmarkEnd w:id="24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558"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7"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558"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3,935,555.55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590,333.34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4,160,444.44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624,066.67</w:t>
            </w:r>
          </w:p>
        </w:tc>
      </w:tr>
      <w:tr>
        <w:trPr>
          <w:trHeight w:val="55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3,935,555.55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590,333.34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4,160,444.44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624,066.67</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3）以抵销后净额列示的递延所得税资产或负债" w:id="244"/>
      <w:bookmarkEnd w:id="24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39"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9"/>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9"/>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9"/>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9"/>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549"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239"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55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7,126,678.56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5,139,568.13</w:t>
            </w:r>
          </w:p>
        </w:tc>
      </w:tr>
      <w:tr>
        <w:trPr>
          <w:trHeight w:val="55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590,333.34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624,066.67</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4）未确认递延所得税资产明细" w:id="245"/>
      <w:bookmarkEnd w:id="24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8,431,567.57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181,785.04</w:t>
            </w:r>
          </w:p>
        </w:tc>
      </w:tr>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8,431,567.57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181,785.04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17、短期借款" w:id="246"/>
      <w:bookmarkEnd w:id="246"/>
      <w:r>
        <w:rPr>
          <w:b w:val="0"/>
          <w:bCs w:val="0"/>
        </w:rPr>
      </w:r>
      <w:r>
        <w:rPr>
          <w:rFonts w:ascii="Times New Roman" w:hAnsi="Times New Roman" w:cs="Times New Roman" w:eastAsia="Times New Roman" w:hint="default"/>
        </w:rPr>
        <w:t>17</w:t>
      </w:r>
      <w:r>
        <w:rPr/>
        <w:t>、短期借款</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短期借款分类" w:id="247"/>
      <w:bookmarkEnd w:id="247"/>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948,000,000.00</w:t>
            </w:r>
          </w:p>
        </w:tc>
      </w:tr>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185,000,000.00</w:t>
            </w:r>
          </w:p>
        </w:tc>
      </w:tr>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55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1,355,000,000.00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1,148,000,000.00</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2"/>
        <w:rPr>
          <w:rFonts w:ascii="宋体" w:hAnsi="宋体" w:cs="宋体" w:eastAsia="宋体" w:hint="default"/>
          <w:sz w:val="24"/>
          <w:szCs w:val="24"/>
        </w:rPr>
      </w:pPr>
    </w:p>
    <w:p>
      <w:pPr>
        <w:pStyle w:val="BodyText"/>
        <w:spacing w:line="386" w:lineRule="auto"/>
        <w:ind w:right="1132" w:firstLine="411"/>
        <w:jc w:val="both"/>
      </w:pPr>
      <w:r>
        <w:rPr>
          <w:spacing w:val="-2"/>
        </w:rPr>
        <w:t>（</w:t>
      </w:r>
      <w:r>
        <w:rPr>
          <w:rFonts w:ascii="Times New Roman" w:hAnsi="Times New Roman" w:cs="Times New Roman" w:eastAsia="Times New Roman" w:hint="default"/>
          <w:spacing w:val="-2"/>
        </w:rPr>
        <w:t>1</w:t>
      </w:r>
      <w:r>
        <w:rPr>
          <w:spacing w:val="-2"/>
        </w:rPr>
        <w:t>）上述质押借款</w:t>
      </w:r>
      <w:r>
        <w:rPr>
          <w:rFonts w:ascii="Times New Roman" w:hAnsi="Times New Roman" w:cs="Times New Roman" w:eastAsia="Times New Roman" w:hint="default"/>
          <w:spacing w:val="-2"/>
        </w:rPr>
        <w:t>88,500</w:t>
      </w:r>
      <w:r>
        <w:rPr>
          <w:spacing w:val="-2"/>
        </w:rPr>
        <w:t>万元由本公司第一大股东敦化市康平投资有限责任公司、仲维光以持有本公</w:t>
      </w:r>
      <w:r>
        <w:rPr/>
        <w:t> 司的股权</w:t>
      </w:r>
      <w:r>
        <w:rPr>
          <w:rFonts w:ascii="Times New Roman" w:hAnsi="Times New Roman" w:cs="Times New Roman" w:eastAsia="Times New Roman" w:hint="default"/>
        </w:rPr>
        <w:t>11,448</w:t>
      </w:r>
      <w:r>
        <w:rPr/>
        <w:t>万股、</w:t>
      </w:r>
      <w:r>
        <w:rPr>
          <w:rFonts w:ascii="Times New Roman" w:hAnsi="Times New Roman" w:cs="Times New Roman" w:eastAsia="Times New Roman" w:hint="default"/>
        </w:rPr>
        <w:t>3,000</w:t>
      </w:r>
      <w:r>
        <w:rPr/>
        <w:t>万股以及本公司存货人参（干品）</w:t>
      </w:r>
      <w:r>
        <w:rPr>
          <w:rFonts w:ascii="Times New Roman" w:hAnsi="Times New Roman" w:cs="Times New Roman" w:eastAsia="Times New Roman" w:hint="default"/>
        </w:rPr>
        <w:t>989</w:t>
      </w:r>
      <w:r>
        <w:rPr/>
        <w:t>吨提供质押；另外以本公司持有长春农</w:t>
      </w:r>
      <w:r>
        <w:rPr>
          <w:spacing w:val="-33"/>
        </w:rPr>
        <w:t> </w:t>
      </w:r>
      <w:r>
        <w:rPr>
          <w:spacing w:val="-33"/>
        </w:rPr>
      </w:r>
      <w:r>
        <w:rPr/>
        <w:t>村商业银行股份有限公司的股权</w:t>
      </w:r>
      <w:r>
        <w:rPr>
          <w:rFonts w:ascii="Times New Roman" w:hAnsi="Times New Roman" w:cs="Times New Roman" w:eastAsia="Times New Roman" w:hint="default"/>
        </w:rPr>
        <w:t>4,900</w:t>
      </w:r>
      <w:r>
        <w:rPr/>
        <w:t>万股进行质押。</w:t>
      </w:r>
    </w:p>
    <w:p>
      <w:pPr>
        <w:pStyle w:val="BodyText"/>
        <w:spacing w:line="386" w:lineRule="auto" w:before="36"/>
        <w:ind w:right="1132" w:firstLine="411"/>
        <w:jc w:val="both"/>
      </w:pPr>
      <w:r>
        <w:rPr>
          <w:spacing w:val="-2"/>
        </w:rPr>
        <w:t>（</w:t>
      </w:r>
      <w:r>
        <w:rPr>
          <w:rFonts w:ascii="Times New Roman" w:hAnsi="Times New Roman" w:cs="Times New Roman" w:eastAsia="Times New Roman" w:hint="default"/>
          <w:spacing w:val="-2"/>
        </w:rPr>
        <w:t>2</w:t>
      </w:r>
      <w:r>
        <w:rPr>
          <w:spacing w:val="-2"/>
        </w:rPr>
        <w:t>）上述抵押借款</w:t>
      </w:r>
      <w:r>
        <w:rPr>
          <w:rFonts w:ascii="Times New Roman" w:hAnsi="Times New Roman" w:cs="Times New Roman" w:eastAsia="Times New Roman" w:hint="default"/>
          <w:spacing w:val="-2"/>
        </w:rPr>
        <w:t>41,000</w:t>
      </w:r>
      <w:r>
        <w:rPr>
          <w:spacing w:val="-2"/>
        </w:rPr>
        <w:t>万元由本公司及子公司吉林紫鑫红石种养殖有限公司、吉林紫鑫般若药业有</w:t>
      </w:r>
      <w:r>
        <w:rPr/>
        <w:t> 限公司、吉林草还丹药业有限公司、吉林紫鑫初元药业有限公司以房屋产权及土地使用权提供抵押。</w:t>
      </w:r>
    </w:p>
    <w:p>
      <w:pPr>
        <w:pStyle w:val="BodyText"/>
        <w:spacing w:line="240" w:lineRule="auto" w:before="65"/>
        <w:ind w:left="565" w:right="0"/>
        <w:jc w:val="left"/>
      </w:pPr>
      <w:r>
        <w:rPr/>
        <w:t>（</w:t>
      </w:r>
      <w:r>
        <w:rPr>
          <w:rFonts w:ascii="Times New Roman" w:hAnsi="Times New Roman" w:cs="Times New Roman" w:eastAsia="Times New Roman" w:hint="default"/>
        </w:rPr>
        <w:t>3</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日止，上述短期借款中无逾期的借款。</w:t>
      </w:r>
    </w:p>
    <w:p>
      <w:pPr>
        <w:spacing w:line="240" w:lineRule="auto" w:before="0"/>
        <w:rPr>
          <w:rFonts w:ascii="宋体" w:hAnsi="宋体" w:cs="宋体" w:eastAsia="宋体" w:hint="default"/>
          <w:sz w:val="22"/>
          <w:szCs w:val="22"/>
        </w:rPr>
      </w:pPr>
    </w:p>
    <w:p>
      <w:pPr>
        <w:pStyle w:val="Heading4"/>
        <w:spacing w:line="240" w:lineRule="auto" w:before="189"/>
        <w:ind w:left="154" w:right="0"/>
        <w:jc w:val="left"/>
        <w:rPr>
          <w:b w:val="0"/>
          <w:bCs w:val="0"/>
        </w:rPr>
      </w:pPr>
      <w:bookmarkStart w:name="18、应付账款" w:id="248"/>
      <w:bookmarkEnd w:id="248"/>
      <w:r>
        <w:rPr>
          <w:b w:val="0"/>
          <w:bCs w:val="0"/>
        </w:rPr>
      </w:r>
      <w:r>
        <w:rPr>
          <w:rFonts w:ascii="Times New Roman" w:hAnsi="Times New Roman" w:cs="Times New Roman" w:eastAsia="Times New Roman" w:hint="default"/>
        </w:rPr>
        <w:t>18</w:t>
      </w:r>
      <w:r>
        <w:rPr/>
        <w:t>、应付账款</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应付账款列示" w:id="249"/>
      <w:bookmarkEnd w:id="24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557"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50,088,081.00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53,604,734.44</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26,622,960.80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12,185,940.73</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5,449,236.00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5,618,362.52</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4,983,182.50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6,379,520.13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87,143,460.30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77,788,557.82</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2）账龄超过1年的重要应付账款" w:id="250"/>
      <w:bookmarkEnd w:id="25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24"/>
          <w:szCs w:val="24"/>
        </w:rPr>
      </w:pPr>
    </w:p>
    <w:p>
      <w:pPr>
        <w:pStyle w:val="BodyText"/>
        <w:spacing w:line="408" w:lineRule="auto"/>
        <w:ind w:left="658" w:right="0"/>
        <w:jc w:val="left"/>
      </w:pPr>
      <w:r>
        <w:rPr/>
        <w:t>应付账款期末余额中无账龄超过一年的大额应付款项。 期末余额中无持有本公司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以上表决权股份的股东单位或关联方单位的款项；无应付其他关</w:t>
      </w:r>
    </w:p>
    <w:p>
      <w:pPr>
        <w:pStyle w:val="BodyText"/>
        <w:spacing w:line="240" w:lineRule="auto" w:before="14"/>
        <w:ind w:right="0"/>
        <w:jc w:val="left"/>
      </w:pPr>
      <w:r>
        <w:rPr/>
        <w:t>联方的款项。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4"/>
        <w:spacing w:line="240" w:lineRule="auto"/>
        <w:ind w:right="0"/>
        <w:jc w:val="left"/>
        <w:rPr>
          <w:b w:val="0"/>
          <w:bCs w:val="0"/>
        </w:rPr>
      </w:pPr>
      <w:bookmarkStart w:name="19、预收款项" w:id="251"/>
      <w:bookmarkEnd w:id="251"/>
      <w:r>
        <w:rPr>
          <w:b w:val="0"/>
          <w:bCs w:val="0"/>
        </w:rPr>
      </w:r>
      <w:r>
        <w:rPr>
          <w:rFonts w:ascii="Times New Roman" w:hAnsi="Times New Roman" w:cs="Times New Roman" w:eastAsia="Times New Roman" w:hint="default"/>
        </w:rPr>
        <w:t>19</w:t>
      </w:r>
      <w:r>
        <w:rPr/>
        <w:t>、预收款项</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预收款项列示" w:id="252"/>
      <w:bookmarkEnd w:id="25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1,700,352.74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800,641.90</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1,700,352.74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800,641.90</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2）期末建造合同形成的已结算未完工项目情况" w:id="253"/>
      <w:bookmarkEnd w:id="253"/>
      <w:r>
        <w:rPr>
          <w:b w:val="0"/>
          <w:bCs w:val="0"/>
        </w:rPr>
      </w:r>
      <w:r>
        <w:rPr/>
        <w:t>（</w:t>
      </w:r>
      <w:r>
        <w:rPr>
          <w:rFonts w:ascii="Times New Roman" w:hAnsi="Times New Roman" w:cs="Times New Roman" w:eastAsia="Times New Roman" w:hint="default"/>
        </w:rPr>
        <w:t>2</w:t>
      </w:r>
      <w:r>
        <w:rPr/>
        <w:t>）期末建造合同形成的已结算未完工项目情况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558"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line="240" w:lineRule="auto" w:before="7"/>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4"/>
          <w:szCs w:val="24"/>
        </w:rPr>
      </w:pPr>
    </w:p>
    <w:p>
      <w:pPr>
        <w:pStyle w:val="BodyText"/>
        <w:spacing w:line="240" w:lineRule="auto"/>
        <w:ind w:left="574" w:right="0"/>
        <w:jc w:val="left"/>
      </w:pPr>
      <w:r>
        <w:rPr/>
        <w:t>（</w:t>
      </w:r>
      <w:r>
        <w:rPr>
          <w:rFonts w:ascii="Times New Roman" w:hAnsi="Times New Roman" w:cs="Times New Roman" w:eastAsia="Times New Roman" w:hint="default"/>
        </w:rPr>
        <w:t>1</w:t>
      </w:r>
      <w:r>
        <w:rPr/>
        <w:t>）预收款项期末余额中无账龄超过一年的大额预收款项。</w:t>
      </w:r>
    </w:p>
    <w:p>
      <w:pPr>
        <w:pStyle w:val="BodyText"/>
        <w:spacing w:line="386" w:lineRule="auto" w:before="177"/>
        <w:ind w:right="1128" w:firstLine="420"/>
        <w:jc w:val="left"/>
      </w:pPr>
      <w:r>
        <w:rPr/>
        <w:t>（</w:t>
      </w:r>
      <w:r>
        <w:rPr>
          <w:rFonts w:ascii="Times New Roman" w:hAnsi="Times New Roman" w:cs="Times New Roman" w:eastAsia="Times New Roman" w:hint="default"/>
        </w:rPr>
        <w:t>2</w:t>
      </w:r>
      <w:r>
        <w:rPr/>
        <w:t>）期末余额中无持有本公司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以上表决权股份的股东单位或关联方单位的款项；无预收其 他关联方的款项。</w:t>
      </w:r>
    </w:p>
    <w:p>
      <w:pPr>
        <w:spacing w:after="0" w:line="38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20、应付职工薪酬" w:id="254"/>
      <w:bookmarkEnd w:id="254"/>
      <w:r>
        <w:rPr>
          <w:b w:val="0"/>
          <w:bCs w:val="0"/>
        </w:rPr>
      </w:r>
      <w:r>
        <w:rPr>
          <w:rFonts w:ascii="Times New Roman" w:hAnsi="Times New Roman" w:cs="Times New Roman" w:eastAsia="Times New Roman" w:hint="default"/>
        </w:rPr>
        <w:t>20</w:t>
      </w:r>
      <w:r>
        <w:rPr/>
        <w:t>、应付职工薪酬</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应付职工薪酬列示" w:id="255"/>
      <w:bookmarkEnd w:id="255"/>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308,397.03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51,529,342.05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51,548,790.61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288,948.47</w:t>
            </w:r>
          </w:p>
        </w:tc>
      </w:tr>
      <w:tr>
        <w:trPr>
          <w:trHeight w:val="102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30"/>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4,243,257.77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4,204,106.37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39,151.40</w:t>
            </w:r>
          </w:p>
        </w:tc>
      </w:tr>
      <w:tr>
        <w:trPr>
          <w:trHeight w:val="55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308,397.03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55,772,599.82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55,752,896.98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328,099.87</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2）短期薪酬列示" w:id="256"/>
      <w:bookmarkEnd w:id="256"/>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44,223,958.18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44,219,672.00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4,286.18</w:t>
            </w: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2,164,125.42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2,164,125.42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2,886,645.52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2,879,351.70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7,293.82</w:t>
            </w: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2,650,902.64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2,644,533.44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6,369.20</w:t>
            </w: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123,872.63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123,485.17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387.46</w:t>
            </w: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111,870.25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111,333.09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537.16</w:t>
            </w: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1,371,821.70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1,371,821.70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308,397.03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882,791.23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913,819.79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277,368.47</w:t>
            </w: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308,397.03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51,529,342.05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51,548,790.61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288,948.47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3）设定提存计划列示" w:id="257"/>
      <w:bookmarkEnd w:id="257"/>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3,805,224.10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3,769,226.10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35,998.00</w:t>
            </w: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438,033.67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434,880.27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3,153.40</w:t>
            </w:r>
          </w:p>
        </w:tc>
      </w:tr>
      <w:tr>
        <w:trPr>
          <w:trHeight w:val="55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4,243,257.77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4,204,106.37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39,151.40</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4"/>
          <w:szCs w:val="24"/>
        </w:rPr>
      </w:pPr>
    </w:p>
    <w:p>
      <w:pPr>
        <w:pStyle w:val="BodyText"/>
        <w:spacing w:line="240" w:lineRule="auto"/>
        <w:ind w:left="565" w:right="0"/>
        <w:jc w:val="left"/>
      </w:pPr>
      <w:r>
        <w:rPr/>
        <w:t>本报告期内不存在欠缴性质的款项。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4"/>
        <w:spacing w:line="240" w:lineRule="auto"/>
        <w:ind w:right="0"/>
        <w:jc w:val="left"/>
        <w:rPr>
          <w:b w:val="0"/>
          <w:bCs w:val="0"/>
        </w:rPr>
      </w:pPr>
      <w:bookmarkStart w:name="21、应交税费" w:id="258"/>
      <w:bookmarkEnd w:id="258"/>
      <w:r>
        <w:rPr>
          <w:b w:val="0"/>
          <w:bCs w:val="0"/>
        </w:rPr>
      </w:r>
      <w:r>
        <w:rPr>
          <w:rFonts w:ascii="Times New Roman" w:hAnsi="Times New Roman" w:cs="Times New Roman" w:eastAsia="Times New Roman" w:hint="default"/>
        </w:rPr>
        <w:t>21</w:t>
      </w:r>
      <w:r>
        <w:rPr/>
        <w:t>、应交税费</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4,252,066.49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3,258,345.05</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198,236.49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-1,489,306.43</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81,392.09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74,873.75</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212,984.57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166,756.94</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174,098.47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154,029.18</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275,449.32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156,244.62</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32,320.98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32,320.98</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208,052.97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162,917.25</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5,434,601.38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2,516,181.34</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22、其他应付款" w:id="259"/>
      <w:bookmarkEnd w:id="259"/>
      <w:r>
        <w:rPr>
          <w:b w:val="0"/>
          <w:bCs w:val="0"/>
        </w:rPr>
      </w:r>
      <w:r>
        <w:rPr>
          <w:rFonts w:ascii="Times New Roman" w:hAnsi="Times New Roman" w:cs="Times New Roman" w:eastAsia="Times New Roman" w:hint="default"/>
        </w:rPr>
        <w:t>22</w:t>
      </w:r>
      <w:r>
        <w:rPr/>
        <w:t>、其他应付款</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按款项性质列示其他应付款" w:id="260"/>
      <w:bookmarkEnd w:id="260"/>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557"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12,751,940.04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431,713.23</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139,680.54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211,619.72</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127,047.72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166,160.80</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107,691.80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13,126,360.10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809,493.75</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2）账龄超过1年的重要其他应付款" w:id="261"/>
      <w:bookmarkEnd w:id="26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24"/>
          <w:szCs w:val="24"/>
        </w:rPr>
      </w:pPr>
    </w:p>
    <w:p>
      <w:pPr>
        <w:pStyle w:val="BodyText"/>
        <w:spacing w:line="240" w:lineRule="auto"/>
        <w:ind w:left="574" w:right="0"/>
        <w:jc w:val="left"/>
      </w:pPr>
      <w:r>
        <w:rPr/>
        <w:t>（</w:t>
      </w:r>
      <w:r>
        <w:rPr>
          <w:rFonts w:ascii="Times New Roman" w:hAnsi="Times New Roman" w:cs="Times New Roman" w:eastAsia="Times New Roman" w:hint="default"/>
        </w:rPr>
        <w:t>1</w:t>
      </w:r>
      <w:r>
        <w:rPr/>
        <w:t>）其他应付款期末余额中无账龄超过一年的大额预收款项。</w:t>
      </w:r>
    </w:p>
    <w:p>
      <w:pPr>
        <w:pStyle w:val="BodyText"/>
        <w:spacing w:line="386" w:lineRule="auto" w:before="177"/>
        <w:ind w:right="1128" w:firstLine="420"/>
        <w:jc w:val="left"/>
      </w:pPr>
      <w:r>
        <w:rPr/>
        <w:t>（</w:t>
      </w:r>
      <w:r>
        <w:rPr>
          <w:rFonts w:ascii="Times New Roman" w:hAnsi="Times New Roman" w:cs="Times New Roman" w:eastAsia="Times New Roman" w:hint="default"/>
        </w:rPr>
        <w:t>2</w:t>
      </w:r>
      <w:r>
        <w:rPr/>
        <w:t>）期末余额中无持有本公司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以上表决权股份的股东单位或关联方单位的款项；无应付其 他关联方的款项。</w:t>
      </w:r>
    </w:p>
    <w:p>
      <w:pPr>
        <w:spacing w:line="240" w:lineRule="auto" w:before="12"/>
        <w:rPr>
          <w:rFonts w:ascii="宋体" w:hAnsi="宋体" w:cs="宋体" w:eastAsia="宋体" w:hint="default"/>
          <w:sz w:val="27"/>
          <w:szCs w:val="27"/>
        </w:rPr>
      </w:pPr>
    </w:p>
    <w:p>
      <w:pPr>
        <w:pStyle w:val="Heading4"/>
        <w:spacing w:line="240" w:lineRule="auto"/>
        <w:ind w:right="0"/>
        <w:jc w:val="left"/>
        <w:rPr>
          <w:b w:val="0"/>
          <w:bCs w:val="0"/>
        </w:rPr>
      </w:pPr>
      <w:bookmarkStart w:name="23、一年内到期的非流动负债" w:id="262"/>
      <w:bookmarkEnd w:id="262"/>
      <w:r>
        <w:rPr>
          <w:b w:val="0"/>
          <w:bCs w:val="0"/>
        </w:rPr>
      </w:r>
      <w:r>
        <w:rPr>
          <w:rFonts w:ascii="Times New Roman" w:hAnsi="Times New Roman" w:cs="Times New Roman" w:eastAsia="Times New Roman" w:hint="default"/>
        </w:rPr>
        <w:t>23</w:t>
      </w:r>
      <w:r>
        <w:rPr/>
        <w:t>、一年内到期的非流动负债</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24、长期借款" w:id="263"/>
      <w:bookmarkEnd w:id="263"/>
      <w:r>
        <w:rPr>
          <w:b w:val="0"/>
          <w:bCs w:val="0"/>
        </w:rPr>
      </w:r>
      <w:r>
        <w:rPr>
          <w:rFonts w:ascii="Times New Roman" w:hAnsi="Times New Roman" w:cs="Times New Roman" w:eastAsia="Times New Roman" w:hint="default"/>
        </w:rPr>
        <w:t>24</w:t>
      </w:r>
      <w:r>
        <w:rPr/>
        <w:t>、长期借款</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长期借款分类" w:id="264"/>
      <w:bookmarkEnd w:id="264"/>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350,000,000.00</w:t>
            </w:r>
          </w:p>
        </w:tc>
      </w:tr>
      <w:tr>
        <w:trPr>
          <w:trHeight w:val="55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550,000,000.00</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line="240" w:lineRule="auto" w:before="12"/>
        <w:rPr>
          <w:rFonts w:ascii="宋体" w:hAnsi="宋体" w:cs="宋体" w:eastAsia="宋体" w:hint="default"/>
          <w:sz w:val="24"/>
          <w:szCs w:val="24"/>
        </w:rPr>
      </w:pPr>
    </w:p>
    <w:p>
      <w:pPr>
        <w:pStyle w:val="BodyText"/>
        <w:spacing w:line="386" w:lineRule="auto"/>
        <w:ind w:right="1132" w:firstLine="411"/>
        <w:jc w:val="both"/>
      </w:pPr>
      <w:r>
        <w:rPr/>
        <w:t>（</w:t>
      </w:r>
      <w:r>
        <w:rPr>
          <w:rFonts w:ascii="Times New Roman" w:hAnsi="Times New Roman" w:cs="Times New Roman" w:eastAsia="Times New Roman" w:hint="default"/>
        </w:rPr>
        <w:t>1</w:t>
      </w:r>
      <w:r>
        <w:rPr/>
        <w:t>）子公司吉林红石种养殖有限公司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日与吉林银行通化柳河支行签订的吉林银行通化柳 </w:t>
      </w:r>
      <w:r>
        <w:rPr>
          <w:spacing w:val="-2"/>
        </w:rPr>
        <w:t>河支行</w:t>
      </w:r>
      <w:r>
        <w:rPr>
          <w:rFonts w:ascii="Times New Roman" w:hAnsi="Times New Roman" w:cs="Times New Roman" w:eastAsia="Times New Roman" w:hint="default"/>
          <w:spacing w:val="-2"/>
        </w:rPr>
        <w:t>2013</w:t>
      </w:r>
      <w:r>
        <w:rPr>
          <w:spacing w:val="-2"/>
        </w:rPr>
        <w:t>年流借字第</w:t>
      </w:r>
      <w:r>
        <w:rPr>
          <w:rFonts w:ascii="Times New Roman" w:hAnsi="Times New Roman" w:cs="Times New Roman" w:eastAsia="Times New Roman" w:hint="default"/>
          <w:spacing w:val="-2"/>
        </w:rPr>
        <w:t>0402</w:t>
      </w:r>
      <w:r>
        <w:rPr>
          <w:spacing w:val="-2"/>
        </w:rPr>
        <w:t>号借款合同，利用本公司信用进行保证借款</w:t>
      </w:r>
      <w:r>
        <w:rPr>
          <w:rFonts w:ascii="Times New Roman" w:hAnsi="Times New Roman" w:cs="Times New Roman" w:eastAsia="Times New Roman" w:hint="default"/>
          <w:spacing w:val="-2"/>
        </w:rPr>
        <w:t>20,000</w:t>
      </w:r>
      <w:r>
        <w:rPr>
          <w:spacing w:val="-2"/>
        </w:rPr>
        <w:t>万元，借款期限为</w:t>
      </w:r>
      <w:r>
        <w:rPr>
          <w:rFonts w:ascii="Times New Roman" w:hAnsi="Times New Roman" w:cs="Times New Roman" w:eastAsia="Times New Roman" w:hint="default"/>
          <w:spacing w:val="-2"/>
        </w:rPr>
        <w:t>3</w:t>
      </w:r>
      <w:r>
        <w:rPr>
          <w:spacing w:val="-2"/>
        </w:rPr>
        <w:t>年。本期</w:t>
      </w:r>
      <w:r>
        <w:rPr>
          <w:spacing w:val="-75"/>
        </w:rPr>
        <w:t> </w:t>
      </w:r>
      <w:r>
        <w:rPr>
          <w:spacing w:val="-75"/>
        </w:rPr>
      </w:r>
      <w:r>
        <w:rPr/>
        <w:t>归还</w:t>
      </w:r>
      <w:r>
        <w:rPr>
          <w:rFonts w:ascii="Times New Roman" w:hAnsi="Times New Roman" w:cs="Times New Roman" w:eastAsia="Times New Roman" w:hint="default"/>
        </w:rPr>
        <w:t>50</w:t>
      </w:r>
      <w:r>
        <w:rPr/>
        <w:t>万元。</w:t>
      </w:r>
    </w:p>
    <w:p>
      <w:pPr>
        <w:pStyle w:val="BodyText"/>
        <w:spacing w:line="240" w:lineRule="auto" w:before="35"/>
        <w:ind w:left="565" w:right="0"/>
        <w:jc w:val="left"/>
      </w:pPr>
      <w:r>
        <w:rPr/>
        <w:t>（</w:t>
      </w:r>
      <w:r>
        <w:rPr>
          <w:rFonts w:ascii="Times New Roman" w:hAnsi="Times New Roman" w:cs="Times New Roman" w:eastAsia="Times New Roman" w:hint="default"/>
        </w:rPr>
        <w:t>2</w:t>
      </w:r>
      <w:r>
        <w:rPr/>
        <w:t>）资产负债表日后无偿还的借款。</w:t>
      </w:r>
    </w:p>
    <w:p>
      <w:pPr>
        <w:pStyle w:val="BodyText"/>
        <w:spacing w:line="240" w:lineRule="auto" w:before="177"/>
        <w:ind w:left="565" w:right="0"/>
        <w:jc w:val="left"/>
      </w:pPr>
      <w:r>
        <w:rPr/>
        <w:t>（</w:t>
      </w:r>
      <w:r>
        <w:rPr>
          <w:rFonts w:ascii="Times New Roman" w:hAnsi="Times New Roman" w:cs="Times New Roman" w:eastAsia="Times New Roman" w:hint="default"/>
        </w:rPr>
        <w:t>3</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日止，上述长期借款中无逾期的借款。</w:t>
      </w:r>
    </w:p>
    <w:p>
      <w:pPr>
        <w:spacing w:line="240" w:lineRule="auto" w:before="8"/>
        <w:rPr>
          <w:rFonts w:ascii="宋体" w:hAnsi="宋体" w:cs="宋体" w:eastAsia="宋体" w:hint="default"/>
          <w:sz w:val="18"/>
          <w:szCs w:val="18"/>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其他说明，包括利率区间：</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left="154" w:right="0"/>
        <w:jc w:val="left"/>
        <w:rPr>
          <w:b w:val="0"/>
          <w:bCs w:val="0"/>
        </w:rPr>
      </w:pPr>
      <w:bookmarkStart w:name="25、专项应付款" w:id="265"/>
      <w:bookmarkEnd w:id="265"/>
      <w:r>
        <w:rPr>
          <w:b w:val="0"/>
          <w:bCs w:val="0"/>
        </w:rPr>
      </w:r>
      <w:r>
        <w:rPr>
          <w:rFonts w:ascii="Times New Roman" w:hAnsi="Times New Roman" w:cs="Times New Roman" w:eastAsia="Times New Roman" w:hint="default"/>
        </w:rPr>
        <w:t>25</w:t>
      </w:r>
      <w:r>
        <w:rPr/>
        <w:t>、专项应付款</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55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19"/>
              <w:jc w:val="left"/>
              <w:rPr>
                <w:rFonts w:ascii="宋体" w:hAnsi="宋体" w:cs="宋体" w:eastAsia="宋体" w:hint="default"/>
                <w:sz w:val="18"/>
                <w:szCs w:val="18"/>
              </w:rPr>
            </w:pPr>
            <w:r>
              <w:rPr>
                <w:rFonts w:ascii="宋体" w:hAnsi="宋体" w:cs="宋体" w:eastAsia="宋体" w:hint="default"/>
                <w:sz w:val="18"/>
                <w:szCs w:val="18"/>
              </w:rPr>
              <w:t>调整改造项目转贷 资金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24"/>
          <w:szCs w:val="24"/>
        </w:rPr>
      </w:pPr>
    </w:p>
    <w:p>
      <w:pPr>
        <w:pStyle w:val="BodyText"/>
        <w:spacing w:line="386" w:lineRule="auto"/>
        <w:ind w:left="154" w:right="1132" w:firstLine="420"/>
        <w:jc w:val="both"/>
      </w:pPr>
      <w:r>
        <w:rPr/>
        <w:t>根据通化市财政局文件通市财建</w:t>
      </w:r>
      <w:r>
        <w:rPr>
          <w:rFonts w:ascii="Times New Roman" w:hAnsi="Times New Roman" w:cs="Times New Roman" w:eastAsia="Times New Roman" w:hint="default"/>
        </w:rPr>
        <w:t>[2004]61</w:t>
      </w:r>
      <w:r>
        <w:rPr/>
        <w:t>号《关于下达</w:t>
      </w:r>
      <w:r>
        <w:rPr>
          <w:rFonts w:ascii="Times New Roman" w:hAnsi="Times New Roman" w:cs="Times New Roman" w:eastAsia="Times New Roman" w:hint="default"/>
        </w:rPr>
        <w:t>2004</w:t>
      </w:r>
      <w:r>
        <w:rPr/>
        <w:t>年东北老工业基地调整改造国债转贷支出 计划的通知》，</w:t>
      </w:r>
      <w:r>
        <w:rPr>
          <w:rFonts w:ascii="Times New Roman" w:hAnsi="Times New Roman" w:cs="Times New Roman" w:eastAsia="Times New Roman" w:hint="default"/>
        </w:rPr>
        <w:t>2005</w:t>
      </w:r>
      <w:r>
        <w:rPr/>
        <w:t>年柳河县财政局拨入本公司</w:t>
      </w:r>
      <w:r>
        <w:rPr>
          <w:rFonts w:ascii="Times New Roman" w:hAnsi="Times New Roman" w:cs="Times New Roman" w:eastAsia="Times New Roman" w:hint="default"/>
        </w:rPr>
        <w:t>160</w:t>
      </w:r>
      <w:r>
        <w:rPr/>
        <w:t>万元中央国债地方转贷资金，专项用于东北地区等老</w:t>
      </w:r>
      <w:r>
        <w:rPr>
          <w:spacing w:val="-32"/>
        </w:rPr>
        <w:t> </w:t>
      </w:r>
      <w:r>
        <w:rPr>
          <w:spacing w:val="-32"/>
        </w:rPr>
      </w:r>
      <w:r>
        <w:rPr/>
        <w:t>工业基地调整改造项目建设，本期偿还上述转贷资金</w:t>
      </w:r>
      <w:r>
        <w:rPr>
          <w:rFonts w:ascii="Times New Roman" w:hAnsi="Times New Roman" w:cs="Times New Roman" w:eastAsia="Times New Roman" w:hint="default"/>
        </w:rPr>
        <w:t>14</w:t>
      </w:r>
      <w:r>
        <w:rPr/>
        <w:t>万元。</w:t>
      </w:r>
    </w:p>
    <w:p>
      <w:pPr>
        <w:spacing w:after="0" w:line="38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26、递延收益" w:id="266"/>
      <w:bookmarkEnd w:id="266"/>
      <w:r>
        <w:rPr>
          <w:b w:val="0"/>
          <w:bCs w:val="0"/>
        </w:rPr>
      </w:r>
      <w:r>
        <w:rPr>
          <w:rFonts w:ascii="Times New Roman" w:hAnsi="Times New Roman" w:cs="Times New Roman" w:eastAsia="Times New Roman" w:hint="default"/>
        </w:rPr>
        <w:t>26</w:t>
      </w:r>
      <w:r>
        <w:rPr/>
        <w:t>、递延收益</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55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55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50,370,797.94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2,447,372.70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53,223,425.24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委托合作款</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5"/>
              <w:jc w:val="center"/>
              <w:rPr>
                <w:rFonts w:ascii="宋体" w:hAnsi="宋体" w:cs="宋体" w:eastAsia="宋体" w:hint="default"/>
                <w:sz w:val="18"/>
                <w:szCs w:val="18"/>
              </w:rPr>
            </w:pPr>
            <w:r>
              <w:rPr>
                <w:rFonts w:ascii="宋体" w:hAnsi="宋体" w:cs="宋体" w:eastAsia="宋体" w:hint="default"/>
                <w:sz w:val="18"/>
                <w:szCs w:val="18"/>
              </w:rPr>
              <w:t>合作单位无偿投入</w:t>
            </w:r>
          </w:p>
        </w:tc>
      </w:tr>
      <w:tr>
        <w:trPr>
          <w:trHeight w:val="55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50,370,797.94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2,447,372.70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53,423,425.24</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line="240" w:lineRule="auto" w:before="5"/>
        <w:rPr>
          <w:rFonts w:ascii="宋体" w:hAnsi="宋体" w:cs="宋体" w:eastAsia="宋体" w:hint="default"/>
          <w:sz w:val="17"/>
          <w:szCs w:val="17"/>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55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、基地设施建设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26,086,499.98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1,054,000.08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25,032,499.90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3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63" w:lineRule="auto" w:before="129"/>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 益心丸等微丸、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万更年宁等 水丸和水蜜丸等 大小蜜丸能力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6,317,499.98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665,000.04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5,652,499.94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9"/>
              <w:ind w:left="22" w:right="2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、口服液制剂车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GMP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改造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4,802,400.00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208,800.00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4,593,600.00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49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63" w:lineRule="auto" w:before="129"/>
              <w:ind w:left="22" w:right="23"/>
              <w:jc w:val="both"/>
              <w:rPr>
                <w:rFonts w:ascii="宋体" w:hAnsi="宋体" w:cs="宋体" w:eastAsia="宋体" w:hint="default"/>
                <w:sz w:val="18"/>
                <w:szCs w:val="18"/>
              </w:rPr>
            </w:pPr>
            <w:r>
              <w:rPr>
                <w:rFonts w:ascii="Times New Roman" w:hAnsi="Times New Roman" w:cs="Times New Roman" w:eastAsia="Times New Roman" w:hint="default"/>
                <w:spacing w:val="-10"/>
                <w:sz w:val="18"/>
                <w:szCs w:val="18"/>
              </w:rPr>
              <w:t>4</w:t>
            </w:r>
            <w:r>
              <w:rPr>
                <w:rFonts w:ascii="宋体" w:hAnsi="宋体" w:cs="宋体" w:eastAsia="宋体" w:hint="default"/>
                <w:spacing w:val="-10"/>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万瓶 人参酵素饮料产 业化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4,911,179.99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355,280.04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4,555,899.95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、基地设施建设</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（通化禺拙）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4,906,218.00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4,906,218.00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9"/>
              <w:ind w:left="22" w:right="2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、环境保护专项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治理资金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18"/>
                <w:szCs w:val="18"/>
              </w:rPr>
            </w:pPr>
            <w:r>
              <w:rPr>
                <w:rFonts w:ascii="Times New Roman" w:hAnsi="Times New Roman" w:cs="Times New Roman" w:eastAsia="Times New Roman" w:hint="default"/>
                <w:spacing w:val="-6"/>
                <w:sz w:val="18"/>
                <w:szCs w:val="18"/>
              </w:rPr>
              <w:t>7</w:t>
            </w:r>
            <w:r>
              <w:rPr>
                <w:rFonts w:ascii="宋体" w:hAnsi="宋体" w:cs="宋体" w:eastAsia="宋体" w:hint="default"/>
                <w:spacing w:val="-6"/>
                <w:sz w:val="18"/>
                <w:szCs w:val="18"/>
              </w:rPr>
              <w:t>、技术改造专项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791,999.99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759,999.95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51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68" w:lineRule="auto" w:before="129"/>
              <w:ind w:left="22" w:right="22"/>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8</w:t>
            </w:r>
            <w:r>
              <w:rPr>
                <w:rFonts w:ascii="宋体" w:hAnsi="宋体" w:cs="宋体" w:eastAsia="宋体" w:hint="default"/>
                <w:spacing w:val="-6"/>
                <w:sz w:val="18"/>
                <w:szCs w:val="18"/>
              </w:rPr>
              <w:t>、人参果蔬发酵</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饮料、人参果蔬 发酵咀嚼片项目 专项资金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63" w:lineRule="auto" w:before="129"/>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、化学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类新 药米格列奈钙的 临床研究项目</w:t>
            </w:r>
          </w:p>
          <w:p>
            <w:pPr>
              <w:pStyle w:val="TableParagraph"/>
              <w:spacing w:line="240" w:lineRule="auto" w:before="66"/>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68" w:lineRule="auto" w:before="129"/>
              <w:ind w:left="22"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、紫鑫般若药 业有限公司污水 深度处理与中水 回用工程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、医药产业发 展专项资金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9"/>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、药物组合及 其设备研究项目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49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63" w:lineRule="auto" w:before="129"/>
              <w:ind w:left="22"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、生物核酸综 合检测分析系统 开发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9"/>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、产业转型升 级项目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49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9"/>
              <w:ind w:left="22" w:right="178"/>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、人参加工 </w:t>
            </w:r>
            <w:r>
              <w:rPr>
                <w:rFonts w:ascii="Times New Roman" w:hAnsi="Times New Roman" w:cs="Times New Roman" w:eastAsia="Times New Roman" w:hint="default"/>
                <w:sz w:val="18"/>
                <w:szCs w:val="18"/>
              </w:rPr>
              <w:t>GMP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项目建设 奖金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62,292.50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937,707.50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50,370,797.94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2,447,372.70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53,223,425.24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27、股本" w:id="267"/>
      <w:bookmarkEnd w:id="267"/>
      <w:r>
        <w:rPr>
          <w:b w:val="0"/>
          <w:bCs w:val="0"/>
        </w:rPr>
      </w:r>
      <w:r>
        <w:rPr>
          <w:rFonts w:ascii="Times New Roman" w:hAnsi="Times New Roman" w:cs="Times New Roman" w:eastAsia="Times New Roman" w:hint="default"/>
        </w:rPr>
        <w:t>27</w:t>
      </w:r>
      <w:r>
        <w:rPr/>
        <w:t>、股本</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84"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74"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74"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83"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59"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512,991,382.00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512,991,382.00</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28、资本公积" w:id="268"/>
      <w:bookmarkEnd w:id="268"/>
      <w:r>
        <w:rPr>
          <w:b w:val="0"/>
          <w:bCs w:val="0"/>
        </w:rPr>
      </w:r>
      <w:r>
        <w:rPr>
          <w:rFonts w:ascii="Times New Roman" w:hAnsi="Times New Roman" w:cs="Times New Roman" w:eastAsia="Times New Roman" w:hint="default"/>
        </w:rPr>
        <w:t>28</w:t>
      </w:r>
      <w:r>
        <w:rPr/>
        <w:t>、资本公积</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719,482,283.90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719,482,283.90</w:t>
            </w:r>
          </w:p>
        </w:tc>
      </w:tr>
      <w:tr>
        <w:trPr>
          <w:trHeight w:val="55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719,482,283.90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719,482,283.90</w:t>
            </w:r>
          </w:p>
        </w:tc>
      </w:tr>
    </w:tbl>
    <w:p>
      <w:pPr>
        <w:spacing w:line="240" w:lineRule="auto" w:before="7"/>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4"/>
        <w:spacing w:line="240" w:lineRule="auto"/>
        <w:ind w:left="154" w:right="0"/>
        <w:jc w:val="left"/>
        <w:rPr>
          <w:b w:val="0"/>
          <w:bCs w:val="0"/>
        </w:rPr>
      </w:pPr>
      <w:bookmarkStart w:name="29、其他综合收益" w:id="269"/>
      <w:bookmarkEnd w:id="269"/>
      <w:r>
        <w:rPr>
          <w:b w:val="0"/>
          <w:bCs w:val="0"/>
        </w:rPr>
      </w:r>
      <w:r>
        <w:rPr>
          <w:rFonts w:ascii="Times New Roman" w:hAnsi="Times New Roman" w:cs="Times New Roman" w:eastAsia="Times New Roman" w:hint="default"/>
        </w:rPr>
        <w:t>29</w:t>
      </w:r>
      <w:r>
        <w:rPr/>
        <w:t>、其他综合收益</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1"/>
        <w:gridCol w:w="935"/>
        <w:gridCol w:w="936"/>
        <w:gridCol w:w="935"/>
        <w:gridCol w:w="797"/>
      </w:tblGrid>
      <w:tr>
        <w:trPr>
          <w:trHeight w:val="559"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94"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0"/>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1"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0"/>
              <w:ind w:left="29"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0"/>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526"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477" w:lineRule="auto" w:before="152"/>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477" w:lineRule="auto" w:before="152"/>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6"/>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12" w:hRule="exact"/>
        </w:trPr>
        <w:tc>
          <w:tcPr>
            <w:tcW w:w="2811"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239"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22"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4,435,933.33</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-33,733.32</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33,733.32</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4,469,666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w:t>
            </w:r>
          </w:p>
        </w:tc>
      </w:tr>
      <w:tr>
        <w:trPr>
          <w:trHeight w:val="1026"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4,435,933.33</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-33,733.32</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33,733.32</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4,469,666</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w:t>
            </w:r>
          </w:p>
        </w:tc>
      </w:tr>
      <w:tr>
        <w:trPr>
          <w:trHeight w:val="1027"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4,435,933.33</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-33,733.32</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33,733.32</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4,469,666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30、盈余公积" w:id="270"/>
      <w:bookmarkEnd w:id="270"/>
      <w:r>
        <w:rPr>
          <w:b w:val="0"/>
          <w:bCs w:val="0"/>
        </w:rPr>
      </w:r>
      <w:r>
        <w:rPr>
          <w:rFonts w:ascii="Times New Roman" w:hAnsi="Times New Roman" w:cs="Times New Roman" w:eastAsia="Times New Roman" w:hint="default"/>
        </w:rPr>
        <w:t>30</w:t>
      </w:r>
      <w:r>
        <w:rPr/>
        <w:t>、盈余公积</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68,963,686.07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1,425,583.16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70,389,269.23</w:t>
            </w:r>
          </w:p>
        </w:tc>
      </w:tr>
      <w:tr>
        <w:trPr>
          <w:trHeight w:val="55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68,963,686.07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1,425,583.16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70,389,269.23</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4"/>
        <w:spacing w:line="240" w:lineRule="auto"/>
        <w:ind w:left="154" w:right="0"/>
        <w:jc w:val="left"/>
        <w:rPr>
          <w:b w:val="0"/>
          <w:bCs w:val="0"/>
        </w:rPr>
      </w:pPr>
      <w:bookmarkStart w:name="31、未分配利润" w:id="271"/>
      <w:bookmarkEnd w:id="271"/>
      <w:r>
        <w:rPr>
          <w:b w:val="0"/>
          <w:bCs w:val="0"/>
        </w:rPr>
      </w:r>
      <w:r>
        <w:rPr>
          <w:rFonts w:ascii="Times New Roman" w:hAnsi="Times New Roman" w:cs="Times New Roman" w:eastAsia="Times New Roman" w:hint="default"/>
        </w:rPr>
        <w:t>31</w:t>
      </w:r>
      <w:r>
        <w:rPr/>
        <w:t>、未分配利润</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558"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558"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640,074,582.30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602,894,877.13</w:t>
            </w:r>
          </w:p>
        </w:tc>
      </w:tr>
      <w:tr>
        <w:trPr>
          <w:trHeight w:val="558"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640,074,582.30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602,894,877.13</w:t>
            </w:r>
          </w:p>
        </w:tc>
      </w:tr>
      <w:tr>
        <w:trPr>
          <w:trHeight w:val="558"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47,193,156.40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50,480,288.62</w:t>
            </w:r>
          </w:p>
        </w:tc>
      </w:tr>
      <w:tr>
        <w:trPr>
          <w:trHeight w:val="558"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1,425,583.16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13,300,583.45</w:t>
            </w:r>
          </w:p>
        </w:tc>
      </w:tr>
      <w:tr>
        <w:trPr>
          <w:trHeight w:val="559"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685,842,155.54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640,074,582.30</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line="240" w:lineRule="auto" w:before="10"/>
        <w:rPr>
          <w:rFonts w:ascii="宋体" w:hAnsi="宋体" w:cs="宋体" w:eastAsia="宋体" w:hint="default"/>
          <w:sz w:val="20"/>
          <w:szCs w:val="20"/>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line="240" w:lineRule="auto" w:before="11"/>
        <w:rPr>
          <w:rFonts w:ascii="宋体" w:hAnsi="宋体" w:cs="宋体" w:eastAsia="宋体" w:hint="default"/>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line="240" w:lineRule="auto" w:before="10"/>
        <w:rPr>
          <w:rFonts w:ascii="宋体" w:hAnsi="宋体" w:cs="宋体" w:eastAsia="宋体" w:hint="default"/>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line="240" w:lineRule="auto" w:before="10"/>
        <w:rPr>
          <w:rFonts w:ascii="宋体" w:hAnsi="宋体" w:cs="宋体" w:eastAsia="宋体" w:hint="default"/>
          <w:sz w:val="19"/>
          <w:szCs w:val="19"/>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line="240" w:lineRule="auto" w:before="11"/>
        <w:rPr>
          <w:rFonts w:ascii="宋体" w:hAnsi="宋体" w:cs="宋体" w:eastAsia="宋体" w:hint="default"/>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bookmarkStart w:name="32、营业收入和营业成本" w:id="272"/>
      <w:bookmarkEnd w:id="272"/>
      <w:r>
        <w:rPr>
          <w:b w:val="0"/>
          <w:bCs w:val="0"/>
        </w:rPr>
      </w:r>
      <w:r>
        <w:rPr>
          <w:rFonts w:ascii="Times New Roman" w:hAnsi="Times New Roman" w:cs="Times New Roman" w:eastAsia="Times New Roman" w:hint="default"/>
        </w:rPr>
        <w:t>32</w:t>
      </w:r>
      <w:r>
        <w:rPr/>
        <w:t>、营业收入和营业成本</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84"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69"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78"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84"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55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774,006,886.55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346,437,986.51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474,666,795.22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146,832,291.96</w:t>
            </w:r>
          </w:p>
        </w:tc>
      </w:tr>
      <w:tr>
        <w:trPr>
          <w:trHeight w:val="55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1,707,747.30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1,473,104.62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775,714,633.85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347,911,091.13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474,666,795.22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146,832,291.96</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33、营业税金及附加" w:id="273"/>
      <w:bookmarkEnd w:id="273"/>
      <w:r>
        <w:rPr>
          <w:b w:val="0"/>
          <w:bCs w:val="0"/>
        </w:rPr>
      </w:r>
      <w:r>
        <w:rPr>
          <w:rFonts w:ascii="Times New Roman" w:hAnsi="Times New Roman" w:cs="Times New Roman" w:eastAsia="Times New Roman" w:hint="default"/>
        </w:rPr>
        <w:t>33</w:t>
      </w:r>
      <w:r>
        <w:rPr/>
        <w:t>、营业税金及附加</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2,846,674.21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2,185,352.33</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1,711,726.19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1,293,596.21</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1,110,949.33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862,397.48</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5,669,349.73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4,341,346.02</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34、销售费用" w:id="274"/>
      <w:bookmarkEnd w:id="274"/>
      <w:r>
        <w:rPr>
          <w:b w:val="0"/>
          <w:bCs w:val="0"/>
        </w:rPr>
      </w:r>
      <w:r>
        <w:rPr>
          <w:rFonts w:ascii="Times New Roman" w:hAnsi="Times New Roman" w:cs="Times New Roman" w:eastAsia="Times New Roman" w:hint="default"/>
        </w:rPr>
        <w:t>34</w:t>
      </w:r>
      <w:r>
        <w:rPr/>
        <w:t>、销售费用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55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27,449,659.08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24,284,990.70</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31,014,218.81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22,924,700.40</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10,785,850.99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9,324,695.02</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邮电费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1,936,494.43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1,359,925.67</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30,483,192.95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22,167,287.18</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16,187,607.17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6,070,059.03</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3,964,276.51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2,955,978.32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55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033" w:right="0"/>
              <w:jc w:val="left"/>
              <w:rPr>
                <w:rFonts w:ascii="Times New Roman" w:hAnsi="Times New Roman" w:cs="Times New Roman" w:eastAsia="Times New Roman" w:hint="default"/>
                <w:sz w:val="18"/>
                <w:szCs w:val="18"/>
              </w:rPr>
            </w:pPr>
            <w:r>
              <w:rPr>
                <w:rFonts w:ascii="Times New Roman"/>
                <w:sz w:val="18"/>
              </w:rPr>
              <w:t>121,821,299.94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89,087,636.32</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35、管理费用" w:id="275"/>
      <w:bookmarkEnd w:id="275"/>
      <w:r>
        <w:rPr>
          <w:b w:val="0"/>
          <w:bCs w:val="0"/>
        </w:rPr>
      </w:r>
      <w:r>
        <w:rPr>
          <w:rFonts w:ascii="Times New Roman" w:hAnsi="Times New Roman" w:cs="Times New Roman" w:eastAsia="Times New Roman" w:hint="default"/>
        </w:rPr>
        <w:t>35</w:t>
      </w:r>
      <w:r>
        <w:rPr/>
        <w:t>、管理费用</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55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19,019,722.77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14,137,221.18</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2,759,260.20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1,944,894.75</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15,078,690.52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12,284,303.79</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3,397,801.59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4,667,281.54</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3,563,296.35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3,128,376.25</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6,879,424.89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5,008,404.34</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研究与开发费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22,983,168.29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18,357,899.32</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31,195,031.54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23,455,643.61</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劳动保险费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6,488,577.19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4,166,295.06</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3,238,903.94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1,288,729.10</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3,738,424.71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3,257,157.97</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17,555,121.64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12,060,615.14</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135,897,423.63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103,756,822.05</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36、财务费用" w:id="276"/>
      <w:bookmarkEnd w:id="276"/>
      <w:r>
        <w:rPr>
          <w:b w:val="0"/>
          <w:bCs w:val="0"/>
        </w:rPr>
      </w:r>
      <w:r>
        <w:rPr>
          <w:rFonts w:ascii="Times New Roman" w:hAnsi="Times New Roman" w:cs="Times New Roman" w:eastAsia="Times New Roman" w:hint="default"/>
        </w:rPr>
        <w:t>36</w:t>
      </w:r>
      <w:r>
        <w:rPr/>
        <w:t>、财务费用</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55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033" w:right="0"/>
              <w:jc w:val="left"/>
              <w:rPr>
                <w:rFonts w:ascii="Times New Roman" w:hAnsi="Times New Roman" w:cs="Times New Roman" w:eastAsia="Times New Roman" w:hint="default"/>
                <w:sz w:val="18"/>
                <w:szCs w:val="18"/>
              </w:rPr>
            </w:pPr>
            <w:r>
              <w:rPr>
                <w:rFonts w:ascii="Times New Roman"/>
                <w:sz w:val="18"/>
              </w:rPr>
              <w:t>135,894,231.69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91,108,891.52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363,244.64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833,955.43</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601,880.86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189,329.24</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904,908.51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137,037,776.42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90,464,265.33</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37、资产减值损失" w:id="277"/>
      <w:bookmarkEnd w:id="277"/>
      <w:r>
        <w:rPr>
          <w:b w:val="0"/>
          <w:bCs w:val="0"/>
        </w:rPr>
      </w:r>
      <w:r>
        <w:rPr>
          <w:rFonts w:ascii="Times New Roman" w:hAnsi="Times New Roman" w:cs="Times New Roman" w:eastAsia="Times New Roman" w:hint="default"/>
        </w:rPr>
        <w:t>37</w:t>
      </w:r>
      <w:r>
        <w:rPr/>
        <w:t>、资产减值损失</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20,297,535.01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8,316,791.33</w:t>
            </w:r>
          </w:p>
        </w:tc>
      </w:tr>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20,297,535.01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8,316,791.33</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38、投资收益" w:id="278"/>
      <w:bookmarkEnd w:id="278"/>
      <w:r>
        <w:rPr>
          <w:b w:val="0"/>
          <w:bCs w:val="0"/>
        </w:rPr>
      </w:r>
      <w:r>
        <w:rPr>
          <w:rFonts w:ascii="Times New Roman" w:hAnsi="Times New Roman" w:cs="Times New Roman" w:eastAsia="Times New Roman" w:hint="default"/>
        </w:rPr>
        <w:t>38</w:t>
      </w:r>
      <w:r>
        <w:rPr/>
        <w:t>、投资收益</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558"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-600,000.00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170,100.00</w:t>
            </w:r>
          </w:p>
        </w:tc>
      </w:tr>
      <w:tr>
        <w:trPr>
          <w:trHeight w:val="558"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9,800,000.00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9,800,000.00</w:t>
            </w:r>
          </w:p>
        </w:tc>
      </w:tr>
      <w:tr>
        <w:trPr>
          <w:trHeight w:val="558"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9,200,000.00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9,970,100.00</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8"/>
          <w:szCs w:val="18"/>
        </w:rPr>
      </w:pPr>
    </w:p>
    <w:p>
      <w:pPr>
        <w:pStyle w:val="BodyText"/>
        <w:spacing w:line="398" w:lineRule="auto"/>
        <w:ind w:right="1303"/>
        <w:jc w:val="left"/>
      </w:pPr>
      <w:r>
        <w:rPr/>
        <w:t>成本法核算的长期股权投资收益详见审计报告附注</w:t>
      </w:r>
      <w:r>
        <w:rPr>
          <w:rFonts w:ascii="Times New Roman" w:hAnsi="Times New Roman" w:cs="Times New Roman" w:eastAsia="Times New Roman" w:hint="default"/>
        </w:rPr>
        <w:t>8</w:t>
      </w:r>
      <w:r>
        <w:rPr/>
        <w:t>（</w:t>
      </w:r>
      <w:r>
        <w:rPr>
          <w:rFonts w:ascii="Times New Roman" w:hAnsi="Times New Roman" w:cs="Times New Roman" w:eastAsia="Times New Roman" w:hint="default"/>
        </w:rPr>
        <w:t>3</w:t>
      </w:r>
      <w:r>
        <w:rPr/>
        <w:t>）中说明。 处置长期股权投资产生的投资收益是由于公司追加投资吉林环境能源交易所有限公司形成控制合并过程 中将原有投资成本按照公允价值进行调整所形成。</w:t>
      </w:r>
    </w:p>
    <w:p>
      <w:pPr>
        <w:spacing w:after="0" w:line="39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39、营业外收入" w:id="279"/>
      <w:bookmarkEnd w:id="279"/>
      <w:r>
        <w:rPr>
          <w:b w:val="0"/>
          <w:bCs w:val="0"/>
        </w:rPr>
      </w:r>
      <w:r>
        <w:rPr>
          <w:rFonts w:ascii="Times New Roman" w:hAnsi="Times New Roman" w:cs="Times New Roman" w:eastAsia="Times New Roman" w:hint="default"/>
        </w:rPr>
        <w:t>39</w:t>
      </w:r>
      <w:r>
        <w:rPr/>
        <w:t>、营业外收入</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240"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0"/>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547"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239"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558"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111,760.30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31,241,012.38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16,008,192.42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26,169.27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75,293.16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31,267,181.65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16,195,245.88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line="240" w:lineRule="auto" w:before="5"/>
        <w:rPr>
          <w:rFonts w:ascii="宋体" w:hAnsi="宋体" w:cs="宋体" w:eastAsia="宋体" w:hint="default"/>
          <w:sz w:val="17"/>
          <w:szCs w:val="17"/>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558"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财政局拨付企业扶持资金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24,040,277.00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吉林省人才开发专项补助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吉林省科技厅专项补贴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重点产业发展引导资金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省名牌奖励资金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基地设施建设配套资金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1,054,000.08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263,500.02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人参加工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GMP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项目建设奖金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62,292.50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9"/>
              <w:ind w:left="22"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万瓶人参酵素饮料产业化 项目厂区设施</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258,800.04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9"/>
              <w:ind w:left="22"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万瓶人参酵素饮料产业化 项目房屋建筑物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96,480.00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64,700.01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9"/>
              <w:ind w:left="22" w:right="23"/>
              <w:jc w:val="left"/>
              <w:rPr>
                <w:rFonts w:ascii="宋体" w:hAnsi="宋体" w:cs="宋体" w:eastAsia="宋体" w:hint="default"/>
                <w:sz w:val="18"/>
                <w:szCs w:val="18"/>
              </w:rPr>
            </w:pPr>
            <w:r>
              <w:rPr>
                <w:rFonts w:ascii="宋体" w:hAnsi="宋体" w:cs="宋体" w:eastAsia="宋体" w:hint="default"/>
                <w:sz w:val="18"/>
                <w:szCs w:val="18"/>
              </w:rPr>
              <w:t>年加工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吨人参系列化制品 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32,000.04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 w:right="0"/>
              <w:jc w:val="left"/>
              <w:rPr>
                <w:rFonts w:ascii="宋体" w:hAnsi="宋体" w:cs="宋体" w:eastAsia="宋体" w:hint="default"/>
                <w:sz w:val="18"/>
                <w:szCs w:val="18"/>
              </w:rPr>
            </w:pPr>
            <w:r>
              <w:rPr>
                <w:rFonts w:ascii="宋体" w:hAnsi="宋体" w:cs="宋体" w:eastAsia="宋体" w:hint="default"/>
                <w:sz w:val="18"/>
                <w:szCs w:val="18"/>
              </w:rPr>
              <w:t>延边科学技术局关于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51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度科技发展计划项目经费</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149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463" w:lineRule="auto" w:before="129"/>
              <w:ind w:left="22" w:right="150"/>
              <w:jc w:val="both"/>
              <w:rPr>
                <w:rFonts w:ascii="宋体" w:hAnsi="宋体" w:cs="宋体" w:eastAsia="宋体" w:hint="default"/>
                <w:sz w:val="18"/>
                <w:szCs w:val="18"/>
              </w:rPr>
            </w:pPr>
            <w:r>
              <w:rPr>
                <w:rFonts w:ascii="宋体" w:hAnsi="宋体" w:cs="宋体" w:eastAsia="宋体" w:hint="default"/>
                <w:sz w:val="18"/>
                <w:szCs w:val="18"/>
              </w:rPr>
              <w:t>延吉市经济局关于兑现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年度全市突出发展民营经济 实施办法专项补助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95"/>
              <w:jc w:val="left"/>
              <w:rPr>
                <w:rFonts w:ascii="宋体" w:hAnsi="宋体" w:cs="宋体" w:eastAsia="宋体" w:hint="default"/>
                <w:sz w:val="18"/>
                <w:szCs w:val="18"/>
              </w:rPr>
            </w:pPr>
            <w:r>
              <w:rPr>
                <w:rFonts w:ascii="宋体" w:hAnsi="宋体" w:cs="宋体" w:eastAsia="宋体" w:hint="default"/>
                <w:sz w:val="18"/>
                <w:szCs w:val="18"/>
              </w:rPr>
              <w:t>敦化市人力资源和社会保障 局拨付实习补助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54,160.32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618,800.00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省级重点产业发展引导资金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9"/>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年吉林省科技创新专项 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口服液制剂技改扶持资金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49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463" w:lineRule="auto" w:before="129"/>
              <w:ind w:left="22" w:right="23"/>
              <w:jc w:val="left"/>
              <w:rPr>
                <w:rFonts w:ascii="宋体" w:hAnsi="宋体" w:cs="宋体" w:eastAsia="宋体" w:hint="default"/>
                <w:sz w:val="18"/>
                <w:szCs w:val="18"/>
              </w:rPr>
            </w:pPr>
            <w:r>
              <w:rPr>
                <w:rFonts w:ascii="宋体" w:hAnsi="宋体" w:cs="宋体" w:eastAsia="宋体" w:hint="default"/>
                <w:sz w:val="18"/>
                <w:szCs w:val="18"/>
              </w:rPr>
              <w:t>延边朝鲜族自治州财政局文 </w:t>
            </w:r>
            <w:r>
              <w:rPr>
                <w:rFonts w:ascii="宋体" w:hAnsi="宋体" w:cs="宋体" w:eastAsia="宋体" w:hint="default"/>
                <w:spacing w:val="-13"/>
                <w:sz w:val="18"/>
                <w:szCs w:val="18"/>
              </w:rPr>
              <w:t>件、延州财建【</w:t>
            </w:r>
            <w:r>
              <w:rPr>
                <w:rFonts w:ascii="Times New Roman" w:hAnsi="Times New Roman" w:cs="Times New Roman" w:eastAsia="Times New Roman" w:hint="default"/>
                <w:spacing w:val="-13"/>
                <w:sz w:val="18"/>
                <w:szCs w:val="18"/>
              </w:rPr>
              <w:t>2014</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64</w:t>
            </w:r>
            <w:r>
              <w:rPr>
                <w:rFonts w:ascii="Times New Roman" w:hAnsi="Times New Roman" w:cs="Times New Roman" w:eastAsia="Times New Roman" w:hint="default"/>
                <w:spacing w:val="5"/>
                <w:sz w:val="18"/>
                <w:szCs w:val="18"/>
              </w:rPr>
              <w:t> </w:t>
            </w:r>
            <w:r>
              <w:rPr>
                <w:rFonts w:ascii="宋体" w:hAnsi="宋体" w:cs="宋体" w:eastAsia="宋体" w:hint="default"/>
                <w:spacing w:val="-20"/>
                <w:sz w:val="18"/>
                <w:szCs w:val="18"/>
              </w:rPr>
              <w:t>号（产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业转型升级项目）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专项补助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专项补助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财政局拨付企业扶持资金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财政局拨付企业扶持资金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1,648,402.36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人参产业化系列项目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665,000.04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332,500.02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专项补助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财政局拨付企业扶持资金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8,298,000.00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农业产业化补助资金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468" w:lineRule="auto" w:before="129"/>
              <w:ind w:left="22" w:right="23"/>
              <w:jc w:val="left"/>
              <w:rPr>
                <w:rFonts w:ascii="宋体" w:hAnsi="宋体" w:cs="宋体" w:eastAsia="宋体" w:hint="default"/>
                <w:sz w:val="18"/>
                <w:szCs w:val="18"/>
              </w:rPr>
            </w:pPr>
            <w:r>
              <w:rPr>
                <w:rFonts w:ascii="宋体" w:hAnsi="宋体" w:cs="宋体" w:eastAsia="宋体" w:hint="default"/>
                <w:sz w:val="18"/>
                <w:szCs w:val="18"/>
              </w:rPr>
              <w:t>吉林省现代中药及生物制药 基地建设办公室拨付重大专 </w:t>
            </w:r>
            <w:r>
              <w:rPr>
                <w:rFonts w:ascii="宋体" w:hAnsi="宋体" w:cs="宋体" w:eastAsia="宋体" w:hint="default"/>
                <w:spacing w:val="-6"/>
                <w:sz w:val="18"/>
                <w:szCs w:val="18"/>
              </w:rPr>
              <w:t>项</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创制药物孵化（吉林）基地</w:t>
            </w:r>
            <w:r>
              <w:rPr>
                <w:rFonts w:ascii="宋体" w:hAnsi="宋体" w:cs="宋体" w:eastAsia="宋体" w:hint="default"/>
                <w:sz w:val="18"/>
                <w:szCs w:val="18"/>
              </w:rPr>
              <w:t> 建设</w:t>
            </w:r>
            <w:r>
              <w:rPr>
                <w:rFonts w:ascii="Times New Roman" w:hAnsi="Times New Roman" w:cs="Times New Roman" w:eastAsia="Times New Roman" w:hint="default"/>
                <w:sz w:val="18"/>
                <w:szCs w:val="18"/>
              </w:rPr>
              <w:t>"</w:t>
            </w:r>
            <w:r>
              <w:rPr>
                <w:rFonts w:ascii="宋体" w:hAnsi="宋体" w:cs="宋体" w:eastAsia="宋体" w:hint="default"/>
                <w:sz w:val="18"/>
                <w:szCs w:val="18"/>
              </w:rPr>
              <w:t>项目科技经费</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95"/>
              <w:jc w:val="left"/>
              <w:rPr>
                <w:rFonts w:ascii="宋体" w:hAnsi="宋体" w:cs="宋体" w:eastAsia="宋体" w:hint="default"/>
                <w:sz w:val="18"/>
                <w:szCs w:val="18"/>
              </w:rPr>
            </w:pPr>
            <w:r>
              <w:rPr>
                <w:rFonts w:ascii="宋体" w:hAnsi="宋体" w:cs="宋体" w:eastAsia="宋体" w:hint="default"/>
                <w:sz w:val="18"/>
                <w:szCs w:val="18"/>
              </w:rPr>
              <w:t>吉林省科学技术厅划拨专利 补贴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95"/>
              <w:jc w:val="left"/>
              <w:rPr>
                <w:rFonts w:ascii="宋体" w:hAnsi="宋体" w:cs="宋体" w:eastAsia="宋体" w:hint="default"/>
                <w:sz w:val="18"/>
                <w:szCs w:val="18"/>
              </w:rPr>
            </w:pPr>
            <w:r>
              <w:rPr>
                <w:rFonts w:ascii="宋体" w:hAnsi="宋体" w:cs="宋体" w:eastAsia="宋体" w:hint="default"/>
                <w:sz w:val="18"/>
                <w:szCs w:val="18"/>
              </w:rPr>
              <w:t>吉林省工商行政管理局划拨 著名商标奖励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9"/>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年科技型中小企业技术 创新基金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9"/>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年吉林省地方特色产业 中小企业发展资金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95"/>
              <w:jc w:val="left"/>
              <w:rPr>
                <w:rFonts w:ascii="宋体" w:hAnsi="宋体" w:cs="宋体" w:eastAsia="宋体" w:hint="default"/>
                <w:sz w:val="18"/>
                <w:szCs w:val="18"/>
              </w:rPr>
            </w:pPr>
            <w:r>
              <w:rPr>
                <w:rFonts w:ascii="宋体" w:hAnsi="宋体" w:cs="宋体" w:eastAsia="宋体" w:hint="default"/>
                <w:sz w:val="18"/>
                <w:szCs w:val="18"/>
              </w:rPr>
              <w:t>吉林省敦化经济开发实业总 公司拨付建设资金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997,520.00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敦化市财政局划拨转型资金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95"/>
              <w:jc w:val="left"/>
              <w:rPr>
                <w:rFonts w:ascii="宋体" w:hAnsi="宋体" w:cs="宋体" w:eastAsia="宋体" w:hint="default"/>
                <w:sz w:val="18"/>
                <w:szCs w:val="18"/>
              </w:rPr>
            </w:pPr>
            <w:r>
              <w:rPr>
                <w:rFonts w:ascii="宋体" w:hAnsi="宋体" w:cs="宋体" w:eastAsia="宋体" w:hint="default"/>
                <w:sz w:val="18"/>
                <w:szCs w:val="18"/>
              </w:rPr>
              <w:t>收到敦化市人力资源和社会 保证局见习补助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181,052.36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95"/>
              <w:jc w:val="left"/>
              <w:rPr>
                <w:rFonts w:ascii="宋体" w:hAnsi="宋体" w:cs="宋体" w:eastAsia="宋体" w:hint="default"/>
                <w:sz w:val="18"/>
                <w:szCs w:val="18"/>
              </w:rPr>
            </w:pPr>
            <w:r>
              <w:rPr>
                <w:rFonts w:ascii="宋体" w:hAnsi="宋体" w:cs="宋体" w:eastAsia="宋体" w:hint="default"/>
                <w:sz w:val="18"/>
                <w:szCs w:val="18"/>
              </w:rPr>
              <w:t>通化市东昌区财政局划拨企 业技改资金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327" w:right="0"/>
              <w:jc w:val="left"/>
              <w:rPr>
                <w:rFonts w:ascii="Times New Roman" w:hAnsi="Times New Roman" w:cs="Times New Roman" w:eastAsia="Times New Roman" w:hint="default"/>
                <w:sz w:val="18"/>
                <w:szCs w:val="18"/>
              </w:rPr>
            </w:pPr>
            <w:r>
              <w:rPr>
                <w:rFonts w:ascii="Times New Roman"/>
                <w:sz w:val="18"/>
              </w:rPr>
              <w:t>31,241,012.38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16,008,192.42</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Times New Roman" w:hAnsi="Times New Roman" w:cs="Times New Roman" w:eastAsia="Times New Roman" w:hint="default"/>
          <w:sz w:val="7"/>
          <w:szCs w:val="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40、营业外支出" w:id="280"/>
      <w:bookmarkEnd w:id="280"/>
      <w:r>
        <w:rPr>
          <w:b w:val="0"/>
          <w:bCs w:val="0"/>
        </w:rPr>
      </w:r>
      <w:r>
        <w:rPr>
          <w:rFonts w:ascii="Times New Roman" w:hAnsi="Times New Roman" w:cs="Times New Roman" w:eastAsia="Times New Roman" w:hint="default"/>
        </w:rPr>
        <w:t>40</w:t>
      </w:r>
      <w:r>
        <w:rPr/>
        <w:t>、营业外支出</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239" w:hRule="exact"/>
        </w:trPr>
        <w:tc>
          <w:tcPr>
            <w:tcW w:w="2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9"/>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548" w:hRule="exact"/>
        </w:trPr>
        <w:tc>
          <w:tcPr>
            <w:tcW w:w="23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7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239" w:hRule="exact"/>
        </w:trPr>
        <w:tc>
          <w:tcPr>
            <w:tcW w:w="2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558"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327,136.96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36,611.37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327,136.96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36,611.37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330,000.00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55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1,131,887.45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3,548,105.96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1,469,024.41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3,914,717.33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41、所得税费用" w:id="281"/>
      <w:bookmarkEnd w:id="281"/>
      <w:r>
        <w:rPr>
          <w:b w:val="0"/>
          <w:bCs w:val="0"/>
        </w:rPr>
      </w:r>
      <w:r>
        <w:rPr>
          <w:rFonts w:ascii="Times New Roman" w:hAnsi="Times New Roman" w:cs="Times New Roman" w:eastAsia="Times New Roman" w:hint="default"/>
        </w:rPr>
        <w:t>41</w:t>
      </w:r>
      <w:r>
        <w:rPr/>
        <w:t>、所得税费用</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所得税费用表" w:id="282"/>
      <w:bookmarkEnd w:id="282"/>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1,119,562.56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5,230,857.54</w:t>
            </w:r>
          </w:p>
        </w:tc>
      </w:tr>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-1,989,610.44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-1,577,608.60</w:t>
            </w:r>
          </w:p>
        </w:tc>
      </w:tr>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-870,047.88</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3,653,248.94</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2）会计利润与所得税费用调整过程" w:id="283"/>
      <w:bookmarkEnd w:id="283"/>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558"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558"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46,078,315.23</w:t>
            </w:r>
          </w:p>
        </w:tc>
      </w:tr>
      <w:tr>
        <w:trPr>
          <w:trHeight w:val="558"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6,911,747.28</w:t>
            </w:r>
          </w:p>
        </w:tc>
      </w:tr>
      <w:tr>
        <w:trPr>
          <w:trHeight w:val="558"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25,157.66</w:t>
            </w:r>
          </w:p>
        </w:tc>
      </w:tr>
      <w:tr>
        <w:trPr>
          <w:trHeight w:val="558"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-9,354,638.76</w:t>
            </w:r>
          </w:p>
        </w:tc>
      </w:tr>
      <w:tr>
        <w:trPr>
          <w:trHeight w:val="558"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3,537,296.38</w:t>
            </w:r>
          </w:p>
        </w:tc>
      </w:tr>
      <w:tr>
        <w:trPr>
          <w:trHeight w:val="1026"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-1,989,610.44</w:t>
            </w:r>
          </w:p>
        </w:tc>
      </w:tr>
      <w:tr>
        <w:trPr>
          <w:trHeight w:val="558"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-870,047.88</w:t>
            </w:r>
            <w:r>
              <w:rPr>
                <w:rFonts w:ascii="Times New Roman"/>
                <w:sz w:val="18"/>
              </w:rPr>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633" w:lineRule="auto" w:before="174"/>
        <w:ind w:left="154" w:right="8855" w:firstLine="0"/>
        <w:jc w:val="left"/>
        <w:rPr>
          <w:rFonts w:ascii="宋体" w:hAnsi="宋体" w:cs="宋体" w:eastAsia="宋体" w:hint="default"/>
          <w:sz w:val="21"/>
          <w:szCs w:val="21"/>
        </w:rPr>
      </w:pPr>
      <w:bookmarkStart w:name="42、其他综合收益" w:id="284"/>
      <w:bookmarkEnd w:id="284"/>
      <w:r>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21"/>
          <w:szCs w:val="21"/>
        </w:rPr>
        <w:t>详见附注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29</w:t>
      </w:r>
      <w:r>
        <w:rPr>
          <w:rFonts w:ascii="宋体" w:hAnsi="宋体" w:cs="宋体" w:eastAsia="宋体" w:hint="default"/>
          <w:sz w:val="21"/>
          <w:szCs w:val="21"/>
        </w:rPr>
        <w:t>。 </w:t>
      </w:r>
      <w:bookmarkStart w:name="43、现金流量表项目" w:id="285"/>
      <w:bookmarkEnd w:id="285"/>
      <w:r>
        <w:rPr>
          <w:rFonts w:ascii="宋体" w:hAnsi="宋体" w:cs="宋体" w:eastAsia="宋体" w:hint="default"/>
          <w:sz w:val="21"/>
          <w:szCs w:val="21"/>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96"/>
        <w:ind w:right="0"/>
        <w:jc w:val="left"/>
        <w:rPr>
          <w:b w:val="0"/>
          <w:bCs w:val="0"/>
        </w:rPr>
      </w:pPr>
      <w:bookmarkStart w:name="（1）收到的其他与经营活动有关的现金" w:id="286"/>
      <w:bookmarkEnd w:id="28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557"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33,319,039.68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15,113,833.12</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363,244.64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833,955.43</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42,252.51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33,724,536.83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16,047,788.55</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4"/>
        <w:spacing w:line="240" w:lineRule="auto"/>
        <w:ind w:left="154" w:right="0"/>
        <w:jc w:val="left"/>
        <w:rPr>
          <w:b w:val="0"/>
          <w:bCs w:val="0"/>
        </w:rPr>
      </w:pPr>
      <w:bookmarkStart w:name="（2）支付的其他与经营活动有关的现金" w:id="287"/>
      <w:bookmarkEnd w:id="28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557"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其他各项销售费用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81,290,093.07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68,188,818.04</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其他各项管理费用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44,997,883.62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43,681,068.76</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23,889,139.87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56,183,871.39</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1,506,789.37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188,049.04</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151,683,905.93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168,241,807.23</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4"/>
        <w:spacing w:line="240" w:lineRule="auto"/>
        <w:ind w:left="154" w:right="0"/>
        <w:jc w:val="left"/>
        <w:rPr>
          <w:b w:val="0"/>
          <w:bCs w:val="0"/>
        </w:rPr>
      </w:pPr>
      <w:bookmarkStart w:name="（3）收到的其他与筹资活动有关的现金" w:id="288"/>
      <w:bookmarkEnd w:id="288"/>
      <w:r>
        <w:rPr>
          <w:b w:val="0"/>
          <w:bCs w:val="0"/>
        </w:rPr>
      </w: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624.549988pt;width:151.25pt;height:28.6pt;mso-position-horizontal-relative:page;mso-position-vertical-relative:page;z-index:-914464" coordorigin="4467,12491" coordsize="3025,572">
            <v:group style="position:absolute;left:4478;top:12502;width:2;height:549" coordorigin="4478,12502" coordsize="2,549">
              <v:shape style="position:absolute;left:4478;top:12502;width:2;height:549" coordorigin="4478,12502" coordsize="0,549" path="m4478,12502l4478,13051e" filled="false" stroked="true" strokeweight="1.140pt" strokecolor="#ffffff">
                <v:path arrowok="t"/>
              </v:shape>
            </v:group>
            <v:group style="position:absolute;left:4490;top:12502;width:3002;height:549" coordorigin="4490,12502" coordsize="3002,549">
              <v:shape style="position:absolute;left:4490;top:12502;width:3002;height:549" coordorigin="4490,12502" coordsize="3002,549" path="m4490,13051l7491,13051,7491,12502,4490,12502,4490,13051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2,155,000.00</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2,155,000.00</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left="154" w:right="0"/>
        <w:jc w:val="left"/>
        <w:rPr>
          <w:b w:val="0"/>
          <w:bCs w:val="0"/>
        </w:rPr>
      </w:pPr>
      <w:bookmarkStart w:name="44、现金流量表补充资料" w:id="289"/>
      <w:bookmarkEnd w:id="289"/>
      <w:r>
        <w:rPr>
          <w:b w:val="0"/>
          <w:bCs w:val="0"/>
        </w:rPr>
      </w:r>
      <w:r>
        <w:rPr>
          <w:rFonts w:ascii="Times New Roman" w:hAnsi="Times New Roman" w:cs="Times New Roman" w:eastAsia="Times New Roman" w:hint="default"/>
        </w:rPr>
        <w:t>44</w:t>
      </w:r>
      <w:r>
        <w:rPr/>
        <w:t>、现金流量表补充资料</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right="0"/>
        <w:jc w:val="left"/>
        <w:rPr>
          <w:b w:val="0"/>
          <w:bCs w:val="0"/>
        </w:rPr>
      </w:pPr>
      <w:bookmarkStart w:name="（1）现金流量表补充资料" w:id="290"/>
      <w:bookmarkEnd w:id="290"/>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46,948,363.11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50,465,021.82</w:t>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20,297,535.01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8,316,791.33</w:t>
            </w:r>
          </w:p>
        </w:tc>
      </w:tr>
      <w:tr>
        <w:trPr>
          <w:trHeight w:val="102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53,739,184.23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35,423,606.07</w:t>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5,746,354.10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5,572,873.22</w:t>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825,493.43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707,517.97</w:t>
            </w:r>
          </w:p>
        </w:tc>
      </w:tr>
      <w:tr>
        <w:trPr>
          <w:trHeight w:val="102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327,136.96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-75,148.93</w:t>
            </w:r>
            <w:r>
              <w:rPr>
                <w:rFonts w:ascii="Times New Roman"/>
                <w:sz w:val="18"/>
              </w:rPr>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135,894,231.69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91,108,891.52</w:t>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-9,970,100.00</w:t>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025" w:val="left" w:leader="none"/>
              </w:tabs>
              <w:spacing w:line="240" w:lineRule="auto" w:before="129"/>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-1,987,110.43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-1,577,608.60</w:t>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-136,949,782.90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-409,950,350.28</w:t>
            </w:r>
          </w:p>
        </w:tc>
      </w:tr>
      <w:tr>
        <w:trPr>
          <w:trHeight w:val="102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-124,531,434.64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-319,663,659.30</w:t>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9"/>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13,509,602.55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78,256,018.67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51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4,619,573.11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-471,386,146.51</w:t>
            </w:r>
          </w:p>
        </w:tc>
      </w:tr>
      <w:tr>
        <w:trPr>
          <w:trHeight w:val="239"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451" w:lineRule="auto" w:before="129"/>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549"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239"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134,102,455.21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111,615,632.78</w:t>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111,615,632.78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175,327,428.74</w:t>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22,486,822.43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-63,711,795.96</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2）现金和现金等价物的构成" w:id="291"/>
      <w:bookmarkEnd w:id="291"/>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134,102,455.21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111,615,632.78</w:t>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20,521.70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74,500.46</w:t>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134,081,933.51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111,541,132.32</w:t>
            </w:r>
          </w:p>
        </w:tc>
      </w:tr>
      <w:tr>
        <w:trPr>
          <w:trHeight w:val="55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134,102,455.21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111,615,632.78</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45、所有者权益变动表项目注释" w:id="292"/>
      <w:bookmarkEnd w:id="292"/>
      <w:r>
        <w:rPr>
          <w:b w:val="0"/>
          <w:bCs w:val="0"/>
        </w:rPr>
      </w:r>
      <w:r>
        <w:rPr>
          <w:rFonts w:ascii="Times New Roman" w:hAnsi="Times New Roman" w:cs="Times New Roman" w:eastAsia="Times New Roman" w:hint="default"/>
        </w:rPr>
        <w:t>45</w:t>
      </w:r>
      <w:r>
        <w:rPr/>
        <w:t>、所有者权益变动表项目注释</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487" w:lineRule="auto" w:before="0"/>
        <w:ind w:left="154" w:right="5372"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所有者权益对上年期末余额无调整。</w:t>
      </w:r>
    </w:p>
    <w:p>
      <w:pPr>
        <w:spacing w:after="0" w:line="48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2"/>
        <w:spacing w:line="240" w:lineRule="auto" w:before="26"/>
        <w:ind w:right="0"/>
        <w:jc w:val="left"/>
        <w:rPr>
          <w:b w:val="0"/>
          <w:bCs w:val="0"/>
        </w:rPr>
      </w:pPr>
      <w:bookmarkStart w:name="八、合并范围的变更" w:id="293"/>
      <w:bookmarkEnd w:id="293"/>
      <w:r>
        <w:rPr>
          <w:b w:val="0"/>
          <w:bCs w:val="0"/>
        </w:rPr>
      </w:r>
      <w:r>
        <w:rPr/>
        <w:t>八、合并范围的变更</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left"/>
        <w:rPr>
          <w:b w:val="0"/>
          <w:bCs w:val="0"/>
        </w:rPr>
      </w:pPr>
      <w:bookmarkStart w:name="1、非同一控制下企业合并" w:id="294"/>
      <w:bookmarkEnd w:id="294"/>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90"/>
        <w:ind w:right="0"/>
        <w:jc w:val="left"/>
        <w:rPr>
          <w:b w:val="0"/>
          <w:bCs w:val="0"/>
        </w:rPr>
      </w:pPr>
      <w:bookmarkStart w:name="（1）本期发生的非同一控制下企业合并" w:id="295"/>
      <w:bookmarkEnd w:id="295"/>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49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49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30"/>
              <w:ind w:left="22" w:right="129"/>
              <w:jc w:val="both"/>
              <w:rPr>
                <w:rFonts w:ascii="宋体" w:hAnsi="宋体" w:cs="宋体" w:eastAsia="宋体" w:hint="default"/>
                <w:sz w:val="18"/>
                <w:szCs w:val="18"/>
              </w:rPr>
            </w:pPr>
            <w:r>
              <w:rPr>
                <w:rFonts w:ascii="宋体" w:hAnsi="宋体" w:cs="宋体" w:eastAsia="宋体" w:hint="default"/>
                <w:sz w:val="18"/>
                <w:szCs w:val="18"/>
              </w:rPr>
              <w:t>吉林环境能 源交易所有 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83.00%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现金购买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9"/>
              <w:ind w:left="22" w:right="22"/>
              <w:jc w:val="left"/>
              <w:rPr>
                <w:rFonts w:ascii="宋体" w:hAnsi="宋体" w:cs="宋体" w:eastAsia="宋体" w:hint="default"/>
                <w:sz w:val="18"/>
                <w:szCs w:val="18"/>
              </w:rPr>
            </w:pPr>
            <w:r>
              <w:rPr>
                <w:rFonts w:ascii="宋体" w:hAnsi="宋体" w:cs="宋体" w:eastAsia="宋体" w:hint="default"/>
                <w:sz w:val="18"/>
                <w:szCs w:val="18"/>
              </w:rPr>
              <w:t>完成合同签 </w:t>
            </w:r>
            <w:r>
              <w:rPr>
                <w:rFonts w:ascii="宋体" w:hAnsi="宋体" w:cs="宋体" w:eastAsia="宋体" w:hint="default"/>
                <w:spacing w:val="-13"/>
                <w:sz w:val="18"/>
                <w:szCs w:val="18"/>
              </w:rPr>
              <w:t>订，产权交割</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-1,355,891.86</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2）合并成本及商誉" w:id="296"/>
      <w:bookmarkEnd w:id="296"/>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0"/>
        <w:rPr>
          <w:rFonts w:ascii="宋体" w:hAnsi="宋体" w:cs="宋体" w:eastAsia="宋体" w:hint="default"/>
          <w:b/>
          <w:bCs/>
          <w:sz w:val="22"/>
          <w:szCs w:val="22"/>
        </w:rPr>
      </w:pPr>
    </w:p>
    <w:p>
      <w:pPr>
        <w:pStyle w:val="BodyText"/>
        <w:spacing w:line="391" w:lineRule="auto" w:before="190"/>
        <w:ind w:right="1129" w:firstLine="411"/>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日经公司第五届董事会第一次会议审议通过，本公司以</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元对价受让吉林省新能源投 资有限公司持有的吉林环境能源交易所有限公司（以下简称</w:t>
      </w:r>
      <w:r>
        <w:rPr>
          <w:rFonts w:ascii="Times New Roman" w:hAnsi="Times New Roman" w:cs="Times New Roman" w:eastAsia="Times New Roman" w:hint="default"/>
        </w:rPr>
        <w:t>“</w:t>
      </w:r>
      <w:r>
        <w:rPr/>
        <w:t>能源交易所公司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28%</w:t>
      </w:r>
      <w:r>
        <w:rPr/>
        <w:t>的股权，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spacing w:val="-73"/>
        </w:rPr>
        <w:t> </w:t>
      </w:r>
      <w:r>
        <w:rPr>
          <w:rFonts w:ascii="Times New Roman" w:hAnsi="Times New Roman" w:cs="Times New Roman" w:eastAsia="Times New Roman" w:hint="default"/>
        </w:rPr>
        <w:t>20</w:t>
      </w:r>
      <w:r>
        <w:rPr/>
        <w:t>日公司第五届董事会第九次会议审议通过，同意公司以</w:t>
      </w:r>
      <w:r>
        <w:rPr>
          <w:rFonts w:ascii="Times New Roman" w:hAnsi="Times New Roman" w:cs="Times New Roman" w:eastAsia="Times New Roman" w:hint="default"/>
        </w:rPr>
        <w:t>0</w:t>
      </w:r>
      <w:r>
        <w:rPr/>
        <w:t>元对价受让吉林长春产权交易中心持有的能源</w:t>
      </w:r>
      <w:r>
        <w:rPr>
          <w:spacing w:val="-30"/>
        </w:rPr>
        <w:t> </w:t>
      </w:r>
      <w:r>
        <w:rPr>
          <w:spacing w:val="-30"/>
        </w:rPr>
      </w:r>
      <w:r>
        <w:rPr/>
        <w:t>交易所公司</w:t>
      </w:r>
      <w:r>
        <w:rPr>
          <w:rFonts w:ascii="Times New Roman" w:hAnsi="Times New Roman" w:cs="Times New Roman" w:eastAsia="Times New Roman" w:hint="default"/>
        </w:rPr>
        <w:t>28%</w:t>
      </w:r>
      <w:r>
        <w:rPr/>
        <w:t>的股权、吉林省瑞特环境科技股份有限公司持有的能源交易所公司</w:t>
      </w:r>
      <w:r>
        <w:rPr>
          <w:rFonts w:ascii="Times New Roman" w:hAnsi="Times New Roman" w:cs="Times New Roman" w:eastAsia="Times New Roman" w:hint="default"/>
        </w:rPr>
        <w:t>12%</w:t>
      </w:r>
      <w:r>
        <w:rPr/>
        <w:t>的股权；以上所转</w:t>
      </w:r>
      <w:r>
        <w:rPr>
          <w:spacing w:val="-60"/>
        </w:rPr>
        <w:t> </w:t>
      </w:r>
      <w:r>
        <w:rPr>
          <w:spacing w:val="-60"/>
        </w:rPr>
      </w:r>
      <w:r>
        <w:rPr>
          <w:spacing w:val="-1"/>
        </w:rPr>
        <w:t>让股权是三家公司认缴注册资本尚未出资部分金额。本次股权转让后，公司合计持有能源交易所公司注册</w:t>
      </w:r>
      <w:r>
        <w:rPr>
          <w:spacing w:val="-81"/>
        </w:rPr>
        <w:t> </w:t>
      </w:r>
      <w:r>
        <w:rPr>
          <w:spacing w:val="-81"/>
        </w:rPr>
      </w:r>
      <w:r>
        <w:rPr>
          <w:spacing w:val="-1"/>
        </w:rPr>
        <w:t>资本</w:t>
      </w:r>
      <w:r>
        <w:rPr>
          <w:rFonts w:ascii="Times New Roman" w:hAnsi="Times New Roman" w:cs="Times New Roman" w:eastAsia="Times New Roman" w:hint="default"/>
          <w:spacing w:val="-1"/>
        </w:rPr>
        <w:t>83%</w:t>
      </w:r>
      <w:r>
        <w:rPr>
          <w:spacing w:val="-1"/>
        </w:rPr>
        <w:t>的股权，本公司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7</w:t>
      </w:r>
      <w:r>
        <w:rPr>
          <w:spacing w:val="-1"/>
        </w:rPr>
        <w:t>日支付了对吉林环境能源交易所有限公司的股权受让及增资款</w:t>
      </w:r>
      <w:r>
        <w:rPr>
          <w:rFonts w:ascii="Times New Roman" w:hAnsi="Times New Roman" w:cs="Times New Roman" w:eastAsia="Times New Roman" w:hint="default"/>
          <w:spacing w:val="-1"/>
        </w:rPr>
        <w:t>1,600</w:t>
      </w:r>
      <w:r>
        <w:rPr>
          <w:spacing w:val="-1"/>
        </w:rPr>
        <w:t>万</w:t>
      </w:r>
      <w:r>
        <w:rPr>
          <w:spacing w:val="-97"/>
        </w:rPr>
        <w:t> </w:t>
      </w:r>
      <w:r>
        <w:rPr/>
        <w:t>元</w:t>
      </w:r>
      <w:r>
        <w:rPr>
          <w:spacing w:val="-55"/>
        </w:rPr>
        <w:t> </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日能源交易所公司取得工商行政管理局变更后的营业执照</w:t>
      </w:r>
      <w:r>
        <w:rPr>
          <w:spacing w:val="-54"/>
        </w:rPr>
        <w:t> </w:t>
      </w:r>
      <w:r>
        <w:rPr/>
        <w:t>。</w:t>
      </w:r>
    </w:p>
    <w:p>
      <w:pPr>
        <w:pStyle w:val="BodyText"/>
        <w:spacing w:line="408" w:lineRule="auto" w:before="71"/>
        <w:ind w:right="1131" w:firstLine="421"/>
        <w:jc w:val="both"/>
      </w:pPr>
      <w:r>
        <w:rPr>
          <w:spacing w:val="-1"/>
        </w:rPr>
        <w:t>根据非同一控制下企业合并中对成本的调整，按照合并时的确认公允价值，本公司将原有投资成本进</w:t>
      </w:r>
      <w:r>
        <w:rPr/>
        <w:t> 行了处置还原为</w:t>
      </w:r>
      <w:r>
        <w:rPr>
          <w:spacing w:val="-64"/>
        </w:rPr>
        <w:t> </w:t>
      </w:r>
      <w:r>
        <w:rPr>
          <w:rFonts w:ascii="宋体" w:hAnsi="宋体" w:cs="宋体" w:eastAsia="宋体" w:hint="default"/>
        </w:rPr>
        <w:t>0</w:t>
      </w:r>
      <w:r>
        <w:rPr>
          <w:rFonts w:ascii="宋体" w:hAnsi="宋体" w:cs="宋体" w:eastAsia="宋体" w:hint="default"/>
          <w:spacing w:val="-64"/>
        </w:rPr>
        <w:t> </w:t>
      </w:r>
      <w:r>
        <w:rPr/>
        <w:t>价值，同时按照吉林环境能源交易所有限公司期末净资产中本公司应享有的份额与支付</w:t>
      </w:r>
    </w:p>
    <w:p>
      <w:pPr>
        <w:pStyle w:val="BodyText"/>
        <w:spacing w:line="240" w:lineRule="auto" w:before="47"/>
        <w:ind w:right="0"/>
        <w:jc w:val="left"/>
      </w:pPr>
      <w:r>
        <w:rPr/>
        <w:t>对价之间的差异确认了商誉，商誉价值为</w:t>
      </w:r>
      <w:r>
        <w:rPr>
          <w:spacing w:val="-52"/>
        </w:rPr>
        <w:t> </w:t>
      </w:r>
      <w:r>
        <w:rPr>
          <w:rFonts w:ascii="宋体" w:hAnsi="宋体" w:cs="宋体" w:eastAsia="宋体" w:hint="default"/>
        </w:rPr>
        <w:t>3,823,945.58</w:t>
      </w:r>
      <w:r>
        <w:rPr>
          <w:rFonts w:ascii="宋体" w:hAnsi="宋体" w:cs="宋体" w:eastAsia="宋体" w:hint="default"/>
          <w:spacing w:val="-53"/>
        </w:rPr>
        <w:t> </w:t>
      </w:r>
      <w:r>
        <w:rPr/>
        <w:t>元。</w:t>
      </w:r>
    </w:p>
    <w:p>
      <w:pPr>
        <w:spacing w:line="240" w:lineRule="auto" w:before="11"/>
        <w:rPr>
          <w:rFonts w:ascii="宋体" w:hAnsi="宋体" w:cs="宋体" w:eastAsia="宋体" w:hint="default"/>
          <w:sz w:val="19"/>
          <w:szCs w:val="19"/>
        </w:rPr>
      </w:pPr>
    </w:p>
    <w:p>
      <w:pPr>
        <w:spacing w:line="518" w:lineRule="auto" w:before="0"/>
        <w:ind w:left="153" w:right="6073"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6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2"/>
        <w:spacing w:line="240" w:lineRule="auto" w:before="26"/>
        <w:ind w:right="0"/>
        <w:jc w:val="left"/>
        <w:rPr>
          <w:b w:val="0"/>
          <w:bCs w:val="0"/>
        </w:rPr>
      </w:pPr>
      <w:bookmarkStart w:name="九、在其他主体中的权益" w:id="297"/>
      <w:bookmarkEnd w:id="297"/>
      <w:r>
        <w:rPr>
          <w:b w:val="0"/>
          <w:bCs w:val="0"/>
        </w:rPr>
      </w:r>
      <w:r>
        <w:rPr/>
        <w:t>九、在其他主体中的权益</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left"/>
        <w:rPr>
          <w:b w:val="0"/>
          <w:bCs w:val="0"/>
        </w:rPr>
      </w:pPr>
      <w:bookmarkStart w:name="1、在子公司中的权益" w:id="298"/>
      <w:bookmarkEnd w:id="298"/>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90"/>
        <w:ind w:right="0"/>
        <w:jc w:val="left"/>
        <w:rPr>
          <w:b w:val="0"/>
          <w:bCs w:val="0"/>
        </w:rPr>
      </w:pPr>
      <w:bookmarkStart w:name="（1）企业集团的构成" w:id="299"/>
      <w:bookmarkEnd w:id="299"/>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558"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558"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7"/>
              <w:jc w:val="left"/>
              <w:rPr>
                <w:rFonts w:ascii="宋体" w:hAnsi="宋体" w:cs="宋体" w:eastAsia="宋体" w:hint="default"/>
                <w:sz w:val="18"/>
                <w:szCs w:val="18"/>
              </w:rPr>
            </w:pPr>
            <w:r>
              <w:rPr>
                <w:rFonts w:ascii="宋体" w:hAnsi="宋体" w:cs="宋体" w:eastAsia="宋体" w:hint="default"/>
                <w:sz w:val="18"/>
                <w:szCs w:val="18"/>
              </w:rPr>
              <w:t>吉林草还丹药业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敦化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敦化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药品生产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7"/>
              <w:jc w:val="left"/>
              <w:rPr>
                <w:rFonts w:ascii="宋体" w:hAnsi="宋体" w:cs="宋体" w:eastAsia="宋体" w:hint="default"/>
                <w:sz w:val="18"/>
                <w:szCs w:val="18"/>
              </w:rPr>
            </w:pPr>
            <w:r>
              <w:rPr>
                <w:rFonts w:ascii="宋体" w:hAnsi="宋体" w:cs="宋体" w:eastAsia="宋体" w:hint="default"/>
                <w:sz w:val="18"/>
                <w:szCs w:val="18"/>
              </w:rPr>
              <w:t>吉林紫鑫敦化医 药药材有限公司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敦化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敦化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药品销售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7"/>
              <w:jc w:val="left"/>
              <w:rPr>
                <w:rFonts w:ascii="宋体" w:hAnsi="宋体" w:cs="宋体" w:eastAsia="宋体" w:hint="default"/>
                <w:sz w:val="18"/>
                <w:szCs w:val="18"/>
              </w:rPr>
            </w:pPr>
            <w:r>
              <w:rPr>
                <w:rFonts w:ascii="宋体" w:hAnsi="宋体" w:cs="宋体" w:eastAsia="宋体" w:hint="default"/>
                <w:sz w:val="18"/>
                <w:szCs w:val="18"/>
              </w:rPr>
              <w:t>吉林紫鑫初元药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延吉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延吉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药品生产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7"/>
              <w:jc w:val="left"/>
              <w:rPr>
                <w:rFonts w:ascii="宋体" w:hAnsi="宋体" w:cs="宋体" w:eastAsia="宋体" w:hint="default"/>
                <w:sz w:val="18"/>
                <w:szCs w:val="18"/>
              </w:rPr>
            </w:pPr>
            <w:r>
              <w:rPr>
                <w:rFonts w:ascii="宋体" w:hAnsi="宋体" w:cs="宋体" w:eastAsia="宋体" w:hint="default"/>
                <w:sz w:val="18"/>
                <w:szCs w:val="18"/>
              </w:rPr>
              <w:t>吉林紫鑫般若药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磐石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磐石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药品生产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7"/>
              <w:jc w:val="left"/>
              <w:rPr>
                <w:rFonts w:ascii="宋体" w:hAnsi="宋体" w:cs="宋体" w:eastAsia="宋体" w:hint="default"/>
                <w:sz w:val="18"/>
                <w:szCs w:val="18"/>
              </w:rPr>
            </w:pPr>
            <w:r>
              <w:rPr>
                <w:rFonts w:ascii="宋体" w:hAnsi="宋体" w:cs="宋体" w:eastAsia="宋体" w:hint="default"/>
                <w:sz w:val="18"/>
                <w:szCs w:val="18"/>
              </w:rPr>
              <w:t>吉林紫鑫禺拙药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通化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通化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药品生产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7"/>
              <w:jc w:val="left"/>
              <w:rPr>
                <w:rFonts w:ascii="宋体" w:hAnsi="宋体" w:cs="宋体" w:eastAsia="宋体" w:hint="default"/>
                <w:sz w:val="18"/>
                <w:szCs w:val="18"/>
              </w:rPr>
            </w:pPr>
            <w:r>
              <w:rPr>
                <w:rFonts w:ascii="宋体" w:hAnsi="宋体" w:cs="宋体" w:eastAsia="宋体" w:hint="default"/>
                <w:sz w:val="18"/>
                <w:szCs w:val="18"/>
              </w:rPr>
              <w:t>吉林紫鑫红石种 养殖有限公司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柳河县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柳河县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中药材种植销售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7"/>
              <w:jc w:val="left"/>
              <w:rPr>
                <w:rFonts w:ascii="宋体" w:hAnsi="宋体" w:cs="宋体" w:eastAsia="宋体" w:hint="default"/>
                <w:sz w:val="18"/>
                <w:szCs w:val="18"/>
              </w:rPr>
            </w:pPr>
            <w:r>
              <w:rPr>
                <w:rFonts w:ascii="宋体" w:hAnsi="宋体" w:cs="宋体" w:eastAsia="宋体" w:hint="default"/>
                <w:sz w:val="18"/>
                <w:szCs w:val="18"/>
              </w:rPr>
              <w:t>吉林紫鑫人参销 售有限公司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人参销售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7"/>
              <w:jc w:val="left"/>
              <w:rPr>
                <w:rFonts w:ascii="宋体" w:hAnsi="宋体" w:cs="宋体" w:eastAsia="宋体" w:hint="default"/>
                <w:sz w:val="18"/>
                <w:szCs w:val="18"/>
              </w:rPr>
            </w:pPr>
            <w:r>
              <w:rPr>
                <w:rFonts w:ascii="宋体" w:hAnsi="宋体" w:cs="宋体" w:eastAsia="宋体" w:hint="default"/>
                <w:sz w:val="18"/>
                <w:szCs w:val="18"/>
              </w:rPr>
              <w:t>吉林紫鑫人参研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2"/>
              <w:jc w:val="left"/>
              <w:rPr>
                <w:rFonts w:ascii="宋体" w:hAnsi="宋体" w:cs="宋体" w:eastAsia="宋体" w:hint="default"/>
                <w:sz w:val="18"/>
                <w:szCs w:val="18"/>
              </w:rPr>
            </w:pPr>
            <w:r>
              <w:rPr>
                <w:rFonts w:ascii="宋体" w:hAnsi="宋体" w:cs="宋体" w:eastAsia="宋体" w:hint="default"/>
                <w:sz w:val="18"/>
                <w:szCs w:val="18"/>
              </w:rPr>
              <w:t>人参产品研发及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7"/>
              <w:jc w:val="left"/>
              <w:rPr>
                <w:rFonts w:ascii="宋体" w:hAnsi="宋体" w:cs="宋体" w:eastAsia="宋体" w:hint="default"/>
                <w:sz w:val="18"/>
                <w:szCs w:val="18"/>
              </w:rPr>
            </w:pPr>
            <w:r>
              <w:rPr>
                <w:rFonts w:ascii="宋体" w:hAnsi="宋体" w:cs="宋体" w:eastAsia="宋体" w:hint="default"/>
                <w:sz w:val="18"/>
                <w:szCs w:val="18"/>
              </w:rPr>
              <w:t>吉林紫鑫药物研 究有限公司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2"/>
              <w:jc w:val="left"/>
              <w:rPr>
                <w:rFonts w:ascii="宋体" w:hAnsi="宋体" w:cs="宋体" w:eastAsia="宋体" w:hint="default"/>
                <w:sz w:val="18"/>
                <w:szCs w:val="18"/>
              </w:rPr>
            </w:pPr>
            <w:r>
              <w:rPr>
                <w:rFonts w:ascii="宋体" w:hAnsi="宋体" w:cs="宋体" w:eastAsia="宋体" w:hint="default"/>
                <w:sz w:val="18"/>
                <w:szCs w:val="18"/>
              </w:rPr>
              <w:t>药品研发及技术 转让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7"/>
              <w:jc w:val="left"/>
              <w:rPr>
                <w:rFonts w:ascii="宋体" w:hAnsi="宋体" w:cs="宋体" w:eastAsia="宋体" w:hint="default"/>
                <w:sz w:val="18"/>
                <w:szCs w:val="18"/>
              </w:rPr>
            </w:pPr>
            <w:r>
              <w:rPr>
                <w:rFonts w:ascii="宋体" w:hAnsi="宋体" w:cs="宋体" w:eastAsia="宋体" w:hint="default"/>
                <w:sz w:val="18"/>
                <w:szCs w:val="18"/>
              </w:rPr>
              <w:t>吉林中科紫鑫科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49"/>
              <w:ind w:left="22" w:right="72"/>
              <w:jc w:val="left"/>
              <w:rPr>
                <w:rFonts w:ascii="宋体" w:hAnsi="宋体" w:cs="宋体" w:eastAsia="宋体" w:hint="default"/>
                <w:sz w:val="18"/>
                <w:szCs w:val="18"/>
              </w:rPr>
            </w:pPr>
            <w:r>
              <w:rPr>
                <w:rFonts w:ascii="宋体" w:hAnsi="宋体" w:cs="宋体" w:eastAsia="宋体" w:hint="default"/>
                <w:sz w:val="18"/>
                <w:szCs w:val="18"/>
              </w:rPr>
              <w:t>研发、设备生产 及销售，专利权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518"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的转让</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49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477" w:lineRule="auto" w:before="128"/>
              <w:ind w:left="22" w:right="77"/>
              <w:jc w:val="left"/>
              <w:rPr>
                <w:rFonts w:ascii="宋体" w:hAnsi="宋体" w:cs="宋体" w:eastAsia="宋体" w:hint="default"/>
                <w:sz w:val="18"/>
                <w:szCs w:val="18"/>
              </w:rPr>
            </w:pPr>
            <w:r>
              <w:rPr>
                <w:rFonts w:ascii="宋体" w:hAnsi="宋体" w:cs="宋体" w:eastAsia="宋体" w:hint="default"/>
                <w:sz w:val="18"/>
                <w:szCs w:val="18"/>
              </w:rPr>
              <w:t>吉林环境能源交 易所有限公司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2"/>
              <w:jc w:val="both"/>
              <w:rPr>
                <w:rFonts w:ascii="宋体" w:hAnsi="宋体" w:cs="宋体" w:eastAsia="宋体" w:hint="default"/>
                <w:sz w:val="18"/>
                <w:szCs w:val="18"/>
              </w:rPr>
            </w:pPr>
            <w:r>
              <w:rPr>
                <w:rFonts w:ascii="宋体" w:hAnsi="宋体" w:cs="宋体" w:eastAsia="宋体" w:hint="default"/>
                <w:sz w:val="18"/>
                <w:szCs w:val="18"/>
              </w:rPr>
              <w:t>从事节能减排、 环境保护等反面 的相关交易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83.00%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477" w:lineRule="auto" w:before="128"/>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line="240" w:lineRule="auto" w:before="6"/>
        <w:rPr>
          <w:rFonts w:ascii="宋体" w:hAnsi="宋体" w:cs="宋体" w:eastAsia="宋体" w:hint="default"/>
          <w:b/>
          <w:bCs/>
          <w:sz w:val="6"/>
          <w:szCs w:val="6"/>
        </w:rPr>
      </w:pPr>
    </w:p>
    <w:p>
      <w:pPr>
        <w:spacing w:line="518" w:lineRule="auto" w:before="44"/>
        <w:ind w:left="153" w:right="2833"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518" w:lineRule="auto" w:before="63"/>
        <w:ind w:left="15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9"/>
        <w:rPr>
          <w:rFonts w:ascii="宋体" w:hAnsi="宋体" w:cs="宋体" w:eastAsia="宋体" w:hint="default"/>
          <w:sz w:val="22"/>
          <w:szCs w:val="22"/>
        </w:rPr>
      </w:pPr>
    </w:p>
    <w:p>
      <w:pPr>
        <w:pStyle w:val="Heading4"/>
        <w:spacing w:line="240" w:lineRule="auto"/>
        <w:ind w:left="154" w:right="0"/>
        <w:jc w:val="left"/>
        <w:rPr>
          <w:b w:val="0"/>
          <w:bCs w:val="0"/>
        </w:rPr>
      </w:pPr>
      <w:bookmarkStart w:name="（2）重要的非全资子公司" w:id="300"/>
      <w:bookmarkEnd w:id="300"/>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1077"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54"/>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54"/>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1026"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82"/>
              <w:jc w:val="left"/>
              <w:rPr>
                <w:rFonts w:ascii="宋体" w:hAnsi="宋体" w:cs="宋体" w:eastAsia="宋体" w:hint="default"/>
                <w:sz w:val="18"/>
                <w:szCs w:val="18"/>
              </w:rPr>
            </w:pPr>
            <w:r>
              <w:rPr>
                <w:rFonts w:ascii="宋体" w:hAnsi="宋体" w:cs="宋体" w:eastAsia="宋体" w:hint="default"/>
                <w:sz w:val="18"/>
                <w:szCs w:val="18"/>
              </w:rPr>
              <w:t>吉林环境能源交易所有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2,489,498.38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2,236,095.74</w:t>
            </w:r>
          </w:p>
        </w:tc>
      </w:tr>
    </w:tbl>
    <w:p>
      <w:pPr>
        <w:spacing w:line="240" w:lineRule="auto" w:before="6"/>
        <w:rPr>
          <w:rFonts w:ascii="宋体" w:hAnsi="宋体" w:cs="宋体" w:eastAsia="宋体" w:hint="default"/>
          <w:sz w:val="6"/>
          <w:szCs w:val="6"/>
        </w:rPr>
      </w:pPr>
    </w:p>
    <w:p>
      <w:pPr>
        <w:spacing w:line="518" w:lineRule="auto" w:before="44"/>
        <w:ind w:left="15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2"/>
        <w:rPr>
          <w:rFonts w:ascii="宋体" w:hAnsi="宋体" w:cs="宋体" w:eastAsia="宋体" w:hint="default"/>
          <w:sz w:val="20"/>
          <w:szCs w:val="20"/>
        </w:rPr>
      </w:pPr>
    </w:p>
    <w:p>
      <w:pPr>
        <w:pStyle w:val="Heading2"/>
        <w:spacing w:line="240" w:lineRule="auto"/>
        <w:ind w:left="154" w:right="0"/>
        <w:jc w:val="left"/>
        <w:rPr>
          <w:b w:val="0"/>
          <w:bCs w:val="0"/>
        </w:rPr>
      </w:pPr>
      <w:bookmarkStart w:name="十、与金融工具相关的风险" w:id="301"/>
      <w:bookmarkEnd w:id="301"/>
      <w:r>
        <w:rPr>
          <w:b w:val="0"/>
          <w:bCs w:val="0"/>
        </w:rPr>
      </w:r>
      <w:r>
        <w:rPr/>
        <w:t>十、与金融工具相关的风险</w:t>
      </w:r>
      <w:r>
        <w:rPr>
          <w:b w:val="0"/>
          <w:bCs w:val="0"/>
        </w:rPr>
      </w:r>
    </w:p>
    <w:p>
      <w:pPr>
        <w:spacing w:line="240" w:lineRule="auto" w:before="0"/>
        <w:rPr>
          <w:rFonts w:ascii="宋体" w:hAnsi="宋体" w:cs="宋体" w:eastAsia="宋体" w:hint="default"/>
          <w:b/>
          <w:bCs/>
          <w:sz w:val="24"/>
          <w:szCs w:val="24"/>
        </w:rPr>
      </w:pPr>
    </w:p>
    <w:p>
      <w:pPr>
        <w:pStyle w:val="BodyText"/>
        <w:spacing w:line="408" w:lineRule="auto" w:before="163"/>
        <w:ind w:left="154" w:right="1131" w:firstLine="420"/>
        <w:jc w:val="both"/>
      </w:pPr>
      <w:r>
        <w:rPr>
          <w:spacing w:val="-1"/>
        </w:rPr>
        <w:t>本公司在经营过程中面临各种金融风险，如信用风险、市场风险和流动性风险等。公司董事会全面负</w:t>
      </w:r>
      <w:r>
        <w:rPr/>
        <w:t> </w:t>
      </w:r>
      <w:r>
        <w:rPr>
          <w:spacing w:val="-1"/>
        </w:rPr>
        <w:t>责风险管理目标和政策的确定，并对风险管理目标和政策承担最终责任，但是董事会已授权本公司总经理</w:t>
      </w:r>
      <w:r>
        <w:rPr>
          <w:spacing w:val="-81"/>
        </w:rPr>
        <w:t> </w:t>
      </w:r>
      <w:r>
        <w:rPr>
          <w:spacing w:val="-81"/>
        </w:rPr>
      </w:r>
      <w:r>
        <w:rPr>
          <w:spacing w:val="-1"/>
        </w:rPr>
        <w:t>办公室设计和实施能确保风险管理目标和政策得以有效执行的程序。董事会通过总经理办公室递交的报告</w:t>
      </w:r>
      <w:r>
        <w:rPr>
          <w:spacing w:val="-81"/>
        </w:rPr>
        <w:t> </w:t>
      </w:r>
      <w:r>
        <w:rPr>
          <w:spacing w:val="-81"/>
        </w:rPr>
      </w:r>
      <w:r>
        <w:rPr>
          <w:spacing w:val="-1"/>
        </w:rPr>
        <w:t>来审查已执行程序的有效性以及风险管理目标和政策的合理性。本公司的内部审计师也会审计风险管理的</w:t>
      </w:r>
      <w:r>
        <w:rPr>
          <w:spacing w:val="-81"/>
        </w:rPr>
        <w:t> </w:t>
      </w:r>
      <w:r>
        <w:rPr>
          <w:spacing w:val="-81"/>
        </w:rPr>
      </w:r>
      <w:r>
        <w:rPr>
          <w:spacing w:val="-1"/>
        </w:rPr>
        <w:t>政策和程序，并且将有关发现汇报给审计委员会。本公司风险管理的总体目标是在不过度影响公司竞争力</w:t>
      </w:r>
      <w:r>
        <w:rPr>
          <w:spacing w:val="-81"/>
        </w:rPr>
        <w:t> </w:t>
      </w:r>
      <w:r>
        <w:rPr>
          <w:spacing w:val="-81"/>
        </w:rPr>
      </w:r>
      <w:r>
        <w:rPr/>
        <w:t>和应变力的情况下，制定尽可能降低风险的风险管理政策。</w:t>
      </w:r>
    </w:p>
    <w:p>
      <w:pPr>
        <w:pStyle w:val="BodyText"/>
        <w:spacing w:line="240" w:lineRule="auto" w:before="46"/>
        <w:ind w:left="574" w:right="0"/>
        <w:jc w:val="left"/>
      </w:pPr>
      <w:r>
        <w:rPr/>
        <w:t>（一）信用风险</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0"/>
        <w:jc w:val="both"/>
      </w:pPr>
      <w:r>
        <w:rPr>
          <w:spacing w:val="-1"/>
        </w:rPr>
        <w:t>信用风险是指金融工具的一方不履行义务，造成另一方发生财务损失的风险。本公司主要面临赊销导</w:t>
      </w:r>
      <w:r>
        <w:rPr/>
        <w:t> </w:t>
      </w:r>
      <w:r>
        <w:rPr>
          <w:spacing w:val="-1"/>
        </w:rPr>
        <w:t>致的客户信用风险。在签订新合同之前，本公司会对新客户的信用风险进行评估，包括外部信用评级和在</w:t>
      </w:r>
      <w:r>
        <w:rPr>
          <w:spacing w:val="-83"/>
        </w:rPr>
        <w:t> </w:t>
      </w:r>
      <w:r>
        <w:rPr>
          <w:spacing w:val="-83"/>
        </w:rPr>
      </w:r>
      <w:r>
        <w:rPr>
          <w:spacing w:val="-1"/>
        </w:rPr>
        <w:t>某些情况下的银行资信证明（当此信息可获取时）。公司对每一客户均设置了赊销限额，该限额为无需获</w:t>
      </w:r>
      <w:r>
        <w:rPr>
          <w:spacing w:val="-86"/>
        </w:rPr>
        <w:t> </w:t>
      </w:r>
      <w:r>
        <w:rPr>
          <w:spacing w:val="-86"/>
        </w:rPr>
      </w:r>
      <w:r>
        <w:rPr/>
        <w:t>得额外批准的最大额度。</w:t>
      </w:r>
    </w:p>
    <w:p>
      <w:pPr>
        <w:pStyle w:val="BodyText"/>
        <w:spacing w:line="400" w:lineRule="auto" w:before="46"/>
        <w:ind w:right="1117" w:firstLine="420"/>
        <w:jc w:val="left"/>
      </w:pPr>
      <w:r>
        <w:rPr/>
        <w:t>公司通过对已有客户信用评级的季度监控以及应收账款账龄分析的月度审核来确保公司的整体信用 风险在可控的范围内。在监控客户的信用风险时，按照客户的信用特征对其分组。被评为</w:t>
      </w:r>
      <w:r>
        <w:rPr>
          <w:rFonts w:ascii="Times New Roman" w:hAnsi="Times New Roman" w:cs="Times New Roman" w:eastAsia="Times New Roman" w:hint="default"/>
        </w:rPr>
        <w:t>“</w:t>
      </w:r>
      <w:r>
        <w:rPr/>
        <w:t>高风险</w:t>
      </w:r>
      <w:r>
        <w:rPr>
          <w:rFonts w:ascii="Times New Roman" w:hAnsi="Times New Roman" w:cs="Times New Roman" w:eastAsia="Times New Roman" w:hint="default"/>
        </w:rPr>
        <w:t>”</w:t>
      </w:r>
      <w:r>
        <w:rPr/>
        <w:t>级别的 </w:t>
      </w:r>
      <w:r>
        <w:rPr>
          <w:spacing w:val="-1"/>
        </w:rPr>
        <w:t>客户会放在受限制客户名单里，并且只有在额外批准的前提下，公司才可在未来期间内对其赊销，否则必</w:t>
      </w:r>
      <w:r>
        <w:rPr>
          <w:spacing w:val="-83"/>
        </w:rPr>
        <w:t> </w:t>
      </w:r>
      <w:r>
        <w:rPr>
          <w:spacing w:val="-83"/>
        </w:rPr>
      </w:r>
      <w:r>
        <w:rPr/>
        <w:t>须要求其提前支付相应款项。</w:t>
      </w:r>
    </w:p>
    <w:p>
      <w:pPr>
        <w:pStyle w:val="BodyText"/>
        <w:spacing w:line="408" w:lineRule="auto" w:before="52"/>
        <w:ind w:left="573" w:right="1093"/>
        <w:jc w:val="left"/>
      </w:pPr>
      <w:r>
        <w:rPr/>
        <w:t>（二）市场风险 金融工具的市场风险，是指金融工具的公允价值或未来现金流量因市场价格变动而发生波动的风险，</w:t>
      </w:r>
    </w:p>
    <w:p>
      <w:pPr>
        <w:pStyle w:val="BodyText"/>
        <w:spacing w:line="240" w:lineRule="auto" w:before="46"/>
        <w:ind w:right="0"/>
        <w:jc w:val="both"/>
      </w:pPr>
      <w:r>
        <w:rPr/>
        <w:t>包括汇率风险、利率风险和其他价格风险。</w:t>
      </w:r>
    </w:p>
    <w:p>
      <w:pPr>
        <w:spacing w:line="240" w:lineRule="auto" w:before="10"/>
        <w:rPr>
          <w:rFonts w:ascii="宋体" w:hAnsi="宋体" w:cs="宋体" w:eastAsia="宋体" w:hint="default"/>
          <w:sz w:val="14"/>
          <w:szCs w:val="14"/>
        </w:rPr>
      </w:pPr>
    </w:p>
    <w:p>
      <w:pPr>
        <w:pStyle w:val="BodyText"/>
        <w:spacing w:line="408" w:lineRule="auto"/>
        <w:ind w:left="573" w:right="0"/>
        <w:jc w:val="left"/>
      </w:pPr>
      <w:r>
        <w:rPr/>
        <w:t>（三）流动性风险 </w:t>
      </w:r>
      <w:r>
        <w:rPr>
          <w:spacing w:val="-1"/>
        </w:rPr>
        <w:t>流动风险，是指企业在履行以交付现金或其他金融资产的方式结算的义务时发生资金短缺的风险。本</w:t>
      </w:r>
    </w:p>
    <w:p>
      <w:pPr>
        <w:pStyle w:val="BodyText"/>
        <w:spacing w:line="398" w:lineRule="auto" w:before="46"/>
        <w:ind w:right="1131"/>
        <w:jc w:val="both"/>
      </w:pPr>
      <w:r>
        <w:rPr>
          <w:spacing w:val="-1"/>
        </w:rPr>
        <w:t>公司的政策是确保拥有充足的现金以偿还到期债务。流动性风险由本公司的财务部门集中控制。财务部门</w:t>
      </w:r>
      <w:r>
        <w:rPr>
          <w:spacing w:val="-81"/>
        </w:rPr>
        <w:t> </w:t>
      </w:r>
      <w:r>
        <w:rPr>
          <w:spacing w:val="-81"/>
        </w:rPr>
      </w:r>
      <w:r>
        <w:rPr>
          <w:spacing w:val="-1"/>
        </w:rPr>
        <w:t>通过监控现金余额、可随时变现的有价证券以及对未来</w:t>
      </w:r>
      <w:r>
        <w:rPr>
          <w:rFonts w:ascii="Times New Roman" w:hAnsi="Times New Roman" w:cs="Times New Roman" w:eastAsia="Times New Roman" w:hint="default"/>
          <w:spacing w:val="-1"/>
        </w:rPr>
        <w:t>12</w:t>
      </w:r>
      <w:r>
        <w:rPr>
          <w:spacing w:val="-1"/>
        </w:rPr>
        <w:t>个月现金流量的滚动预测，确保公司在所有合理</w:t>
      </w:r>
      <w:r>
        <w:rPr>
          <w:spacing w:val="-81"/>
        </w:rPr>
        <w:t> </w:t>
      </w:r>
      <w:r>
        <w:rPr>
          <w:spacing w:val="-81"/>
        </w:rPr>
      </w:r>
      <w:r>
        <w:rPr/>
        <w:t>预测的情况下拥有充足的资金偿还债务。</w:t>
      </w:r>
    </w:p>
    <w:p>
      <w:pPr>
        <w:spacing w:line="240" w:lineRule="auto" w:before="4"/>
        <w:rPr>
          <w:rFonts w:ascii="宋体" w:hAnsi="宋体" w:cs="宋体" w:eastAsia="宋体" w:hint="default"/>
          <w:sz w:val="25"/>
          <w:szCs w:val="25"/>
        </w:rPr>
      </w:pPr>
    </w:p>
    <w:p>
      <w:pPr>
        <w:pStyle w:val="Heading2"/>
        <w:spacing w:line="240" w:lineRule="auto"/>
        <w:ind w:right="0"/>
        <w:jc w:val="both"/>
        <w:rPr>
          <w:b w:val="0"/>
          <w:bCs w:val="0"/>
        </w:rPr>
      </w:pPr>
      <w:bookmarkStart w:name="十一、关联方及关联交易" w:id="302"/>
      <w:bookmarkEnd w:id="302"/>
      <w:r>
        <w:rPr>
          <w:b w:val="0"/>
          <w:bCs w:val="0"/>
        </w:rPr>
      </w:r>
      <w:r>
        <w:rPr/>
        <w:t>十一、关联方及关联交易</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both"/>
        <w:rPr>
          <w:b w:val="0"/>
          <w:bCs w:val="0"/>
        </w:rPr>
      </w:pPr>
      <w:bookmarkStart w:name="1、本企业的母公司情况" w:id="303"/>
      <w:bookmarkEnd w:id="303"/>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1026"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20"/>
              <w:jc w:val="left"/>
              <w:rPr>
                <w:rFonts w:ascii="宋体" w:hAnsi="宋体" w:cs="宋体" w:eastAsia="宋体" w:hint="default"/>
                <w:sz w:val="18"/>
                <w:szCs w:val="18"/>
              </w:rPr>
            </w:pPr>
            <w:r>
              <w:rPr>
                <w:rFonts w:ascii="宋体" w:hAnsi="宋体" w:cs="宋体" w:eastAsia="宋体" w:hint="default"/>
                <w:sz w:val="18"/>
                <w:szCs w:val="18"/>
              </w:rPr>
              <w:t>敦化市康平投资有 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敦化市胜利南大街</w:t>
            </w: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49.02%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49.02%</w:t>
            </w:r>
          </w:p>
        </w:tc>
      </w:tr>
    </w:tbl>
    <w:p>
      <w:pPr>
        <w:spacing w:line="240" w:lineRule="auto" w:before="6"/>
        <w:rPr>
          <w:rFonts w:ascii="宋体" w:hAnsi="宋体" w:cs="宋体" w:eastAsia="宋体" w:hint="default"/>
          <w:b/>
          <w:bCs/>
          <w:sz w:val="6"/>
          <w:szCs w:val="6"/>
        </w:rPr>
      </w:pPr>
    </w:p>
    <w:p>
      <w:pPr>
        <w:spacing w:line="518" w:lineRule="auto" w:before="44"/>
        <w:ind w:left="154" w:right="7692"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本企业最终控制方是郭春生及其家族。 其他说明：</w:t>
      </w:r>
    </w:p>
    <w:p>
      <w:pPr>
        <w:spacing w:after="0" w:line="51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2、本企业的子公司情况" w:id="304"/>
      <w:bookmarkEnd w:id="304"/>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本企业子公司的情况详见附注在其他主体中的权益。</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3、其他关联方情况" w:id="305"/>
      <w:bookmarkEnd w:id="305"/>
      <w:r>
        <w:rPr>
          <w:b w:val="0"/>
          <w:bCs w:val="0"/>
        </w:rPr>
      </w:r>
      <w:r>
        <w:rPr>
          <w:rFonts w:ascii="Times New Roman" w:hAnsi="Times New Roman" w:cs="Times New Roman" w:eastAsia="Times New Roman" w:hint="default"/>
        </w:rPr>
        <w:t>3</w:t>
      </w:r>
      <w:r>
        <w:rPr/>
        <w:t>、其他关联方情况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55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55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长春农村商业银行股份有限公司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其他股权投资</w:t>
            </w:r>
          </w:p>
        </w:tc>
      </w:tr>
      <w:tr>
        <w:trPr>
          <w:trHeight w:val="55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敦化市华韵工贸有限责任公司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55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仲维光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持股超过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的自然人股东</w:t>
            </w:r>
          </w:p>
        </w:tc>
      </w:tr>
    </w:tbl>
    <w:p>
      <w:pPr>
        <w:spacing w:line="240" w:lineRule="auto" w:before="6"/>
        <w:rPr>
          <w:rFonts w:ascii="宋体" w:hAnsi="宋体" w:cs="宋体" w:eastAsia="宋体" w:hint="default"/>
          <w:b/>
          <w:bCs/>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4、关联交易情况" w:id="306"/>
      <w:bookmarkEnd w:id="306"/>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购销商品、提供和接受劳务的关联交易" w:id="307"/>
      <w:bookmarkEnd w:id="307"/>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line="240" w:lineRule="auto" w:before="5"/>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559"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line="240" w:lineRule="auto" w:before="5"/>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558"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敦化市华韵工贸有限责任公司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销售野山参</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01" w:right="0"/>
              <w:jc w:val="left"/>
              <w:rPr>
                <w:rFonts w:ascii="Times New Roman" w:hAnsi="Times New Roman" w:cs="Times New Roman" w:eastAsia="Times New Roman" w:hint="default"/>
                <w:sz w:val="18"/>
                <w:szCs w:val="18"/>
              </w:rPr>
            </w:pPr>
            <w:r>
              <w:rPr>
                <w:rFonts w:ascii="Times New Roman"/>
                <w:sz w:val="18"/>
              </w:rPr>
              <w:t>138,229,023.38</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3"/>
        <w:rPr>
          <w:rFonts w:ascii="宋体" w:hAnsi="宋体" w:cs="宋体" w:eastAsia="宋体" w:hint="default"/>
          <w:sz w:val="24"/>
          <w:szCs w:val="24"/>
        </w:rPr>
      </w:pPr>
    </w:p>
    <w:p>
      <w:pPr>
        <w:pStyle w:val="BodyText"/>
        <w:spacing w:line="240" w:lineRule="auto"/>
        <w:ind w:left="574" w:right="0"/>
        <w:jc w:val="left"/>
      </w:pPr>
      <w:r>
        <w:rPr/>
        <w:t>存在控制关系且已纳入本公司合并报表范围的子公司，其相互间交易及母子公司交易已作抵销。</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4"/>
        <w:spacing w:line="240" w:lineRule="auto"/>
        <w:ind w:right="0"/>
        <w:jc w:val="left"/>
        <w:rPr>
          <w:b w:val="0"/>
          <w:bCs w:val="0"/>
        </w:rPr>
      </w:pPr>
      <w:bookmarkStart w:name="（2）关联担保情况" w:id="308"/>
      <w:bookmarkEnd w:id="308"/>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line="240" w:lineRule="auto" w:before="12"/>
        <w:rPr>
          <w:rFonts w:ascii="宋体" w:hAnsi="宋体" w:cs="宋体" w:eastAsia="宋体" w:hint="default"/>
          <w:sz w:val="20"/>
          <w:szCs w:val="20"/>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558"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line="240" w:lineRule="auto" w:before="7"/>
        <w:rPr>
          <w:rFonts w:ascii="宋体" w:hAnsi="宋体" w:cs="宋体" w:eastAsia="宋体" w:hint="default"/>
          <w:sz w:val="17"/>
          <w:szCs w:val="17"/>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557"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30"/>
              <w:ind w:left="22" w:right="78"/>
              <w:jc w:val="left"/>
              <w:rPr>
                <w:rFonts w:ascii="宋体" w:hAnsi="宋体" w:cs="宋体" w:eastAsia="宋体" w:hint="default"/>
                <w:sz w:val="18"/>
                <w:szCs w:val="18"/>
              </w:rPr>
            </w:pPr>
            <w:r>
              <w:rPr>
                <w:rFonts w:ascii="宋体" w:hAnsi="宋体" w:cs="宋体" w:eastAsia="宋体" w:hint="default"/>
                <w:sz w:val="18"/>
                <w:szCs w:val="18"/>
              </w:rPr>
              <w:t>敦化市康平投资有限公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30"/>
              <w:ind w:left="22" w:right="78"/>
              <w:jc w:val="left"/>
              <w:rPr>
                <w:rFonts w:ascii="宋体" w:hAnsi="宋体" w:cs="宋体" w:eastAsia="宋体" w:hint="default"/>
                <w:sz w:val="18"/>
                <w:szCs w:val="18"/>
              </w:rPr>
            </w:pPr>
            <w:r>
              <w:rPr>
                <w:rFonts w:ascii="宋体" w:hAnsi="宋体" w:cs="宋体" w:eastAsia="宋体" w:hint="default"/>
                <w:sz w:val="18"/>
                <w:szCs w:val="18"/>
              </w:rPr>
              <w:t>敦化市康平投资有限公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敦化市康平投资有限公</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仲维光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tabs>
                <w:tab w:pos="472" w:val="left" w:leader="none"/>
              </w:tabs>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635,000,000.00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0"/>
        <w:rPr>
          <w:rFonts w:ascii="宋体" w:hAnsi="宋体" w:cs="宋体" w:eastAsia="宋体" w:hint="default"/>
          <w:sz w:val="18"/>
          <w:szCs w:val="18"/>
        </w:rPr>
      </w:pPr>
    </w:p>
    <w:p>
      <w:pPr>
        <w:pStyle w:val="BodyText"/>
        <w:spacing w:line="386" w:lineRule="auto"/>
        <w:ind w:right="0" w:firstLine="420"/>
        <w:jc w:val="left"/>
      </w:pPr>
      <w:r>
        <w:rPr/>
        <w:t>敦化康平投资有限责任公司以其持有本公司股权</w:t>
      </w:r>
      <w:r>
        <w:rPr>
          <w:rFonts w:ascii="Times New Roman" w:hAnsi="Times New Roman" w:cs="Times New Roman" w:eastAsia="Times New Roman" w:hint="default"/>
        </w:rPr>
        <w:t>11,448</w:t>
      </w:r>
      <w:r>
        <w:rPr/>
        <w:t>万股以及仲维光以其持有本公司股权</w:t>
      </w:r>
      <w:r>
        <w:rPr>
          <w:rFonts w:ascii="Times New Roman" w:hAnsi="Times New Roman" w:cs="Times New Roman" w:eastAsia="Times New Roman" w:hint="default"/>
        </w:rPr>
        <w:t>3,000</w:t>
      </w:r>
      <w:r>
        <w:rPr/>
        <w:t>万 股为公司质押取得贷款</w:t>
      </w:r>
      <w:r>
        <w:rPr>
          <w:rFonts w:ascii="Times New Roman" w:hAnsi="Times New Roman" w:cs="Times New Roman" w:eastAsia="Times New Roman" w:hint="default"/>
        </w:rPr>
        <w:t>63,500</w:t>
      </w:r>
      <w:r>
        <w:rPr/>
        <w:t>万元，具体明细如上表</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3）关键管理人员报酬" w:id="309"/>
      <w:bookmarkEnd w:id="309"/>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55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1,621,168.00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1,842,000.00</w:t>
            </w:r>
          </w:p>
        </w:tc>
      </w:tr>
    </w:tbl>
    <w:p>
      <w:pPr>
        <w:spacing w:line="240" w:lineRule="auto" w:before="1"/>
        <w:rPr>
          <w:rFonts w:ascii="宋体" w:hAnsi="宋体" w:cs="宋体" w:eastAsia="宋体" w:hint="default"/>
          <w:sz w:val="25"/>
          <w:szCs w:val="25"/>
        </w:rPr>
      </w:pPr>
    </w:p>
    <w:p>
      <w:pPr>
        <w:spacing w:line="643" w:lineRule="auto" w:before="35"/>
        <w:ind w:left="153" w:right="5503" w:firstLine="0"/>
        <w:jc w:val="left"/>
        <w:rPr>
          <w:rFonts w:ascii="宋体" w:hAnsi="宋体" w:cs="宋体" w:eastAsia="宋体" w:hint="default"/>
          <w:sz w:val="24"/>
          <w:szCs w:val="24"/>
        </w:rPr>
      </w:pPr>
      <w:bookmarkStart w:name="（4）其他关联交易" w:id="310"/>
      <w:bookmarkEnd w:id="3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）其他关联交易</w:t>
      </w:r>
      <w:r>
        <w:rPr>
          <w:rFonts w:ascii="宋体" w:hAnsi="宋体" w:cs="宋体" w:eastAsia="宋体" w:hint="default"/>
          <w:b/>
          <w:bCs/>
          <w:w w:val="99"/>
          <w:sz w:val="21"/>
          <w:szCs w:val="21"/>
        </w:rPr>
        <w:t> </w:t>
      </w:r>
      <w:r>
        <w:rPr>
          <w:rFonts w:ascii="宋体" w:hAnsi="宋体" w:cs="宋体" w:eastAsia="宋体" w:hint="default"/>
          <w:sz w:val="21"/>
          <w:szCs w:val="21"/>
        </w:rPr>
        <w:t>除上述关联交易外，本公司本期不存在其他关联方交易。 </w:t>
      </w:r>
      <w:bookmarkStart w:name="十二、承诺及或有事项" w:id="311"/>
      <w:bookmarkEnd w:id="311"/>
      <w:r>
        <w:rPr>
          <w:rFonts w:ascii="宋体" w:hAnsi="宋体" w:cs="宋体" w:eastAsia="宋体" w:hint="default"/>
          <w:sz w:val="21"/>
          <w:szCs w:val="21"/>
        </w:rPr>
      </w:r>
      <w:r>
        <w:rPr>
          <w:rFonts w:ascii="宋体" w:hAnsi="宋体" w:cs="宋体" w:eastAsia="宋体" w:hint="default"/>
          <w:b/>
          <w:bCs/>
          <w:sz w:val="24"/>
          <w:szCs w:val="24"/>
        </w:rPr>
        <w:t>十二、承诺及或有事项</w:t>
      </w:r>
      <w:r>
        <w:rPr>
          <w:rFonts w:ascii="宋体" w:hAnsi="宋体" w:cs="宋体" w:eastAsia="宋体" w:hint="default"/>
          <w:sz w:val="24"/>
          <w:szCs w:val="24"/>
        </w:rPr>
      </w:r>
    </w:p>
    <w:p>
      <w:pPr>
        <w:pStyle w:val="Heading4"/>
        <w:spacing w:line="240" w:lineRule="auto" w:before="74"/>
        <w:ind w:right="0"/>
        <w:jc w:val="left"/>
        <w:rPr>
          <w:b w:val="0"/>
          <w:bCs w:val="0"/>
        </w:rPr>
      </w:pPr>
      <w:bookmarkStart w:name="1、重要承诺事项" w:id="312"/>
      <w:bookmarkEnd w:id="312"/>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565" w:right="0"/>
        <w:jc w:val="left"/>
      </w:pPr>
      <w:r>
        <w:rPr/>
        <w:t>截至本财务报表签发日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w:t>
      </w:r>
      <w:r>
        <w:rPr/>
        <w:t>，本公司无影响对本财务报表阅读和理解的重大承诺事项。</w:t>
      </w:r>
    </w:p>
    <w:p>
      <w:pPr>
        <w:spacing w:line="240" w:lineRule="auto" w:before="0"/>
        <w:rPr>
          <w:rFonts w:ascii="宋体" w:hAnsi="宋体" w:cs="宋体" w:eastAsia="宋体" w:hint="default"/>
          <w:sz w:val="22"/>
          <w:szCs w:val="22"/>
        </w:rPr>
      </w:pPr>
    </w:p>
    <w:p>
      <w:pPr>
        <w:pStyle w:val="Heading4"/>
        <w:spacing w:line="240" w:lineRule="auto" w:before="189"/>
        <w:ind w:right="0"/>
        <w:jc w:val="left"/>
        <w:rPr>
          <w:b w:val="0"/>
          <w:bCs w:val="0"/>
        </w:rPr>
      </w:pPr>
      <w:bookmarkStart w:name="2、或有事项" w:id="313"/>
      <w:bookmarkEnd w:id="313"/>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0"/>
        <w:rPr>
          <w:rFonts w:ascii="宋体" w:hAnsi="宋体" w:cs="宋体" w:eastAsia="宋体" w:hint="default"/>
          <w:b/>
          <w:bCs/>
          <w:sz w:val="22"/>
          <w:szCs w:val="22"/>
        </w:rPr>
      </w:pPr>
    </w:p>
    <w:p>
      <w:pPr>
        <w:pStyle w:val="Heading4"/>
        <w:spacing w:line="633" w:lineRule="auto" w:before="190"/>
        <w:ind w:left="565" w:right="7064" w:hanging="412"/>
        <w:jc w:val="left"/>
        <w:rPr>
          <w:rFonts w:ascii="宋体" w:hAnsi="宋体" w:cs="宋体" w:eastAsia="宋体" w:hint="default"/>
          <w:b w:val="0"/>
          <w:bCs w:val="0"/>
        </w:rPr>
      </w:pPr>
      <w:bookmarkStart w:name="（1）资产负债表日存在的重要或有事项" w:id="314"/>
      <w:bookmarkEnd w:id="314"/>
      <w:r>
        <w:rPr>
          <w:b w:val="0"/>
          <w:bCs w:val="0"/>
        </w:rPr>
      </w:r>
      <w:r>
        <w:rPr/>
        <w:t>（</w:t>
      </w:r>
      <w:r>
        <w:rPr>
          <w:rFonts w:ascii="Times New Roman" w:hAnsi="Times New Roman" w:cs="Times New Roman" w:eastAsia="Times New Roman" w:hint="default"/>
        </w:rPr>
        <w:t>1</w:t>
      </w:r>
      <w:r>
        <w:rPr/>
        <w:t>）资产负债表日存在的重要或有事项</w:t>
      </w:r>
      <w:r>
        <w:rPr>
          <w:w w:val="99"/>
        </w:rPr>
        <w:t> </w:t>
      </w:r>
      <w:r>
        <w:rPr>
          <w:rFonts w:ascii="宋体" w:hAnsi="宋体" w:cs="宋体" w:eastAsia="宋体" w:hint="default"/>
          <w:b w:val="0"/>
          <w:bCs w:val="0"/>
        </w:rPr>
        <w:t>无</w:t>
      </w:r>
    </w:p>
    <w:p>
      <w:pPr>
        <w:pStyle w:val="Heading4"/>
        <w:spacing w:line="240" w:lineRule="auto" w:before="148"/>
        <w:ind w:right="0"/>
        <w:jc w:val="left"/>
        <w:rPr>
          <w:b w:val="0"/>
          <w:bCs w:val="0"/>
        </w:rPr>
      </w:pPr>
      <w:bookmarkStart w:name="（2）公司没有需要披露的重要或有事项，也应予以说明" w:id="315"/>
      <w:bookmarkEnd w:id="315"/>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3、其他" w:id="316"/>
      <w:bookmarkEnd w:id="316"/>
      <w:r>
        <w:rPr>
          <w:b w:val="0"/>
          <w:bCs w:val="0"/>
        </w:rPr>
      </w:r>
      <w:r>
        <w:rPr>
          <w:rFonts w:ascii="Times New Roman" w:hAnsi="Times New Roman" w:cs="Times New Roman" w:eastAsia="Times New Roman" w:hint="default"/>
        </w:rPr>
        <w:t>3</w:t>
      </w:r>
      <w:r>
        <w:rPr/>
        <w:t>、其他</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66"/>
        <w:ind w:right="1110" w:firstLine="480"/>
        <w:jc w:val="both"/>
      </w:pPr>
      <w:r>
        <w:rPr>
          <w:sz w:val="24"/>
          <w:szCs w:val="24"/>
        </w:rPr>
        <w:t>本</w:t>
      </w: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日接到吉林省长春市中级人民法院传票，涉及原告共计</w:t>
      </w:r>
      <w:r>
        <w:rPr>
          <w:rFonts w:ascii="Times New Roman" w:hAnsi="Times New Roman" w:cs="Times New Roman" w:eastAsia="Times New Roman" w:hint="default"/>
        </w:rPr>
        <w:t>25</w:t>
      </w:r>
      <w:r>
        <w:rPr/>
        <w:t>人，以证券虚假陈述 责任纠纷为由，分别向吉林省长春市中级人民法院提起诉讼，要求本公司就前述事项承担民事赔偿责任。 </w:t>
      </w:r>
      <w:r>
        <w:rPr>
          <w:spacing w:val="-2"/>
        </w:rPr>
        <w:t>上述</w:t>
      </w:r>
      <w:r>
        <w:rPr>
          <w:rFonts w:ascii="Times New Roman" w:hAnsi="Times New Roman" w:cs="Times New Roman" w:eastAsia="Times New Roman" w:hint="default"/>
          <w:spacing w:val="-2"/>
        </w:rPr>
        <w:t>25</w:t>
      </w:r>
      <w:r>
        <w:rPr>
          <w:spacing w:val="-2"/>
        </w:rPr>
        <w:t>件案件索赔金额为</w:t>
      </w:r>
      <w:r>
        <w:rPr>
          <w:rFonts w:ascii="Times New Roman" w:hAnsi="Times New Roman" w:cs="Times New Roman" w:eastAsia="Times New Roman" w:hint="default"/>
          <w:spacing w:val="-2"/>
        </w:rPr>
        <w:t>1,827,554.35</w:t>
      </w:r>
      <w:r>
        <w:rPr>
          <w:spacing w:val="-2"/>
        </w:rPr>
        <w:t>元人民币。目前，上述案件已进入诉讼程序，但未开始审理，本公司</w:t>
      </w:r>
      <w:r>
        <w:rPr>
          <w:spacing w:val="-78"/>
        </w:rPr>
        <w:t> </w:t>
      </w:r>
      <w:r>
        <w:rPr>
          <w:spacing w:val="-78"/>
        </w:rPr>
      </w:r>
      <w:r>
        <w:rPr>
          <w:spacing w:val="-1"/>
        </w:rPr>
        <w:t>将积极参加诉讼。因案件未开始审理，涉案人数及金额存在不确定因素，且涉案金额数目较小，对公司生</w:t>
      </w:r>
    </w:p>
    <w:p>
      <w:pPr>
        <w:pStyle w:val="BodyText"/>
        <w:spacing w:line="408" w:lineRule="auto" w:before="65"/>
        <w:ind w:left="574" w:right="0" w:hanging="420"/>
        <w:jc w:val="left"/>
      </w:pPr>
      <w:r>
        <w:rPr/>
        <w:t>产经营、本期利润或期后利润不构成重大影响。 截至本财务报表签发日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w:t>
      </w:r>
      <w:r>
        <w:rPr/>
        <w:t>，除上述事项外，本公司无其他影响对本财务报表阅读和理</w:t>
      </w:r>
    </w:p>
    <w:p>
      <w:pPr>
        <w:spacing w:line="626" w:lineRule="auto" w:before="14"/>
        <w:ind w:left="154" w:right="7861" w:firstLine="0"/>
        <w:jc w:val="left"/>
        <w:rPr>
          <w:rFonts w:ascii="宋体" w:hAnsi="宋体" w:cs="宋体" w:eastAsia="宋体" w:hint="default"/>
          <w:sz w:val="21"/>
          <w:szCs w:val="21"/>
        </w:rPr>
      </w:pPr>
      <w:r>
        <w:rPr>
          <w:rFonts w:ascii="宋体" w:hAnsi="宋体" w:cs="宋体" w:eastAsia="宋体" w:hint="default"/>
          <w:sz w:val="21"/>
          <w:szCs w:val="21"/>
        </w:rPr>
        <w:t>解的重大或有事项。 </w:t>
      </w:r>
      <w:bookmarkStart w:name="十三、资产负债表日后事项" w:id="317"/>
      <w:bookmarkEnd w:id="317"/>
      <w:r>
        <w:rPr>
          <w:rFonts w:ascii="宋体" w:hAnsi="宋体" w:cs="宋体" w:eastAsia="宋体" w:hint="default"/>
          <w:sz w:val="21"/>
          <w:szCs w:val="21"/>
        </w:rPr>
      </w:r>
      <w:r>
        <w:rPr>
          <w:rFonts w:ascii="宋体" w:hAnsi="宋体" w:cs="宋体" w:eastAsia="宋体" w:hint="default"/>
          <w:b/>
          <w:bCs/>
          <w:sz w:val="24"/>
          <w:szCs w:val="24"/>
        </w:rPr>
        <w:t>十三、资产负债表日后事项</w:t>
      </w:r>
      <w:r>
        <w:rPr>
          <w:rFonts w:ascii="宋体" w:hAnsi="宋体" w:cs="宋体" w:eastAsia="宋体" w:hint="default"/>
          <w:b/>
          <w:bCs/>
          <w:w w:val="99"/>
          <w:sz w:val="24"/>
          <w:szCs w:val="24"/>
        </w:rPr>
        <w:t> </w:t>
      </w:r>
      <w:bookmarkStart w:name="1、利润分配情况" w:id="318"/>
      <w:bookmarkEnd w:id="31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before="12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558"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19,493,672.52</w:t>
            </w:r>
          </w:p>
        </w:tc>
      </w:tr>
      <w:tr>
        <w:trPr>
          <w:trHeight w:val="559"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19,493,672.52</w:t>
            </w:r>
          </w:p>
        </w:tc>
      </w:tr>
    </w:tbl>
    <w:p>
      <w:pPr>
        <w:spacing w:line="240" w:lineRule="auto" w:before="1"/>
        <w:rPr>
          <w:rFonts w:ascii="宋体" w:hAnsi="宋体" w:cs="宋体" w:eastAsia="宋体" w:hint="default"/>
          <w:sz w:val="25"/>
          <w:szCs w:val="25"/>
        </w:rPr>
      </w:pPr>
    </w:p>
    <w:p>
      <w:pPr>
        <w:spacing w:line="633" w:lineRule="auto" w:before="35"/>
        <w:ind w:left="574" w:right="1227" w:hanging="420"/>
        <w:jc w:val="left"/>
        <w:rPr>
          <w:rFonts w:ascii="宋体" w:hAnsi="宋体" w:cs="宋体" w:eastAsia="宋体" w:hint="default"/>
          <w:sz w:val="21"/>
          <w:szCs w:val="21"/>
        </w:rPr>
      </w:pPr>
      <w:bookmarkStart w:name="2、其他资产负债表日后事项说明" w:id="319"/>
      <w:bookmarkEnd w:id="31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r>
        <w:rPr>
          <w:rFonts w:ascii="宋体" w:hAnsi="宋体" w:cs="宋体" w:eastAsia="宋体" w:hint="default"/>
          <w:sz w:val="21"/>
          <w:szCs w:val="21"/>
        </w:rPr>
        <w:t>本公司</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年度利润分配预案为：拟以本公司</w:t>
      </w:r>
      <w:r>
        <w:rPr>
          <w:rFonts w:ascii="Times New Roman" w:hAnsi="Times New Roman" w:cs="Times New Roman" w:eastAsia="Times New Roman" w:hint="default"/>
          <w:sz w:val="21"/>
          <w:szCs w:val="21"/>
        </w:rPr>
        <w:t>2014</w:t>
      </w:r>
      <w:r>
        <w:rPr>
          <w:rFonts w:ascii="宋体" w:hAnsi="宋体" w:cs="宋体" w:eastAsia="宋体" w:hint="default"/>
          <w:sz w:val="21"/>
          <w:szCs w:val="21"/>
        </w:rPr>
        <w:t>年末的总股本</w:t>
      </w:r>
      <w:r>
        <w:rPr>
          <w:rFonts w:ascii="Times New Roman" w:hAnsi="Times New Roman" w:cs="Times New Roman" w:eastAsia="Times New Roman" w:hint="default"/>
          <w:sz w:val="21"/>
          <w:szCs w:val="21"/>
        </w:rPr>
        <w:t>512,991,382</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股为基数</w:t>
      </w:r>
      <w:r>
        <w:rPr>
          <w:rFonts w:ascii="Times New Roman" w:hAnsi="Times New Roman" w:cs="Times New Roman" w:eastAsia="Times New Roman" w:hint="default"/>
          <w:sz w:val="21"/>
          <w:szCs w:val="21"/>
        </w:rPr>
        <w:t>,</w:t>
      </w:r>
      <w:r>
        <w:rPr>
          <w:rFonts w:ascii="宋体" w:hAnsi="宋体" w:cs="宋体" w:eastAsia="宋体" w:hint="default"/>
          <w:sz w:val="21"/>
          <w:szCs w:val="21"/>
        </w:rPr>
        <w:t>以未分配利润</w:t>
      </w:r>
    </w:p>
    <w:p>
      <w:pPr>
        <w:spacing w:after="0" w:line="633"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0"/>
        <w:jc w:val="left"/>
      </w:pPr>
      <w:r>
        <w:rPr>
          <w:spacing w:val="-5"/>
        </w:rPr>
        <w:t>向全体股东每</w:t>
      </w:r>
      <w:r>
        <w:rPr>
          <w:rFonts w:ascii="Times New Roman" w:hAnsi="Times New Roman" w:cs="Times New Roman" w:eastAsia="Times New Roman" w:hint="default"/>
          <w:spacing w:val="-5"/>
        </w:rPr>
        <w:t>10</w:t>
      </w:r>
      <w:r>
        <w:rPr>
          <w:spacing w:val="-5"/>
        </w:rPr>
        <w:t>股派现金红利</w:t>
      </w:r>
      <w:r>
        <w:rPr>
          <w:rFonts w:ascii="Times New Roman" w:hAnsi="Times New Roman" w:cs="Times New Roman" w:eastAsia="Times New Roman" w:hint="default"/>
          <w:spacing w:val="-5"/>
        </w:rPr>
        <w:t>0.38</w:t>
      </w:r>
      <w:r>
        <w:rPr>
          <w:spacing w:val="-5"/>
        </w:rPr>
        <w:t>元（含税），共分配利润</w:t>
      </w:r>
      <w:r>
        <w:rPr>
          <w:rFonts w:ascii="Times New Roman" w:hAnsi="Times New Roman" w:cs="Times New Roman" w:eastAsia="Times New Roman" w:hint="default"/>
          <w:spacing w:val="-5"/>
        </w:rPr>
        <w:t>19,493,672.52</w:t>
      </w:r>
      <w:r>
        <w:rPr>
          <w:spacing w:val="-5"/>
        </w:rPr>
        <w:t>元，尚余未分配利润</w:t>
      </w:r>
      <w:r>
        <w:rPr>
          <w:rFonts w:ascii="Times New Roman" w:hAnsi="Times New Roman" w:cs="Times New Roman" w:eastAsia="Times New Roman" w:hint="default"/>
          <w:spacing w:val="-5"/>
        </w:rPr>
        <w:t>400,287,342.19</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元留待以后年度分配，本公司本年度不进行送股和资本公积金转增股本。</w:t>
      </w:r>
    </w:p>
    <w:p>
      <w:pPr>
        <w:pStyle w:val="BodyText"/>
        <w:spacing w:line="386" w:lineRule="auto" w:before="65"/>
        <w:ind w:right="0" w:firstLine="420"/>
        <w:jc w:val="left"/>
      </w:pPr>
      <w:r>
        <w:rPr/>
        <w:t>截至本财务报表签发日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w:t>
      </w:r>
      <w:r>
        <w:rPr/>
        <w:t>，本公司除上述事项外，无其他影响对本财务报表阅读和理</w:t>
      </w:r>
      <w:r>
        <w:rPr>
          <w:spacing w:val="1"/>
        </w:rPr>
        <w:t> </w:t>
      </w:r>
      <w:r>
        <w:rPr/>
        <w:t>解的资产负债表日后事项。</w:t>
      </w:r>
    </w:p>
    <w:p>
      <w:pPr>
        <w:spacing w:line="240" w:lineRule="auto" w:before="2"/>
        <w:rPr>
          <w:rFonts w:ascii="宋体" w:hAnsi="宋体" w:cs="宋体" w:eastAsia="宋体" w:hint="default"/>
          <w:sz w:val="26"/>
          <w:szCs w:val="26"/>
        </w:rPr>
      </w:pPr>
    </w:p>
    <w:p>
      <w:pPr>
        <w:pStyle w:val="Heading2"/>
        <w:spacing w:line="240" w:lineRule="auto"/>
        <w:ind w:right="0"/>
        <w:jc w:val="both"/>
        <w:rPr>
          <w:b w:val="0"/>
          <w:bCs w:val="0"/>
        </w:rPr>
      </w:pPr>
      <w:bookmarkStart w:name="十四、其他重要事项" w:id="320"/>
      <w:bookmarkEnd w:id="320"/>
      <w:r>
        <w:rPr>
          <w:b w:val="0"/>
          <w:bCs w:val="0"/>
        </w:rPr>
      </w:r>
      <w:r>
        <w:rPr/>
        <w:t>十四、其他重要事项</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both"/>
        <w:rPr>
          <w:b w:val="0"/>
          <w:bCs w:val="0"/>
        </w:rPr>
      </w:pPr>
      <w:bookmarkStart w:name="1、其他对投资者决策有影响的重要交易和事项" w:id="321"/>
      <w:bookmarkEnd w:id="321"/>
      <w:r>
        <w:rPr>
          <w:b w:val="0"/>
          <w:bCs w:val="0"/>
        </w:rPr>
      </w:r>
      <w:r>
        <w:rPr>
          <w:rFonts w:ascii="Times New Roman" w:hAnsi="Times New Roman" w:cs="Times New Roman" w:eastAsia="Times New Roman" w:hint="default"/>
        </w:rPr>
        <w:t>1</w:t>
      </w:r>
      <w:r>
        <w:rPr/>
        <w:t>、其他对投资者决策有影响的重要交易和事项</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left="666" w:right="0"/>
        <w:jc w:val="left"/>
      </w:pPr>
      <w:r>
        <w:rPr>
          <w:rFonts w:ascii="Times New Roman" w:hAnsi="Times New Roman" w:cs="Times New Roman" w:eastAsia="Times New Roman" w:hint="default"/>
        </w:rPr>
        <w:t>1</w:t>
      </w:r>
      <w:r>
        <w:rPr/>
        <w:t>、野山参交易事项说明 公司考虑到野山参货品稀有而名贵，单位价值较高，短时间内难以形成对外销售实现资金回款，同</w:t>
      </w:r>
    </w:p>
    <w:p>
      <w:pPr>
        <w:pStyle w:val="BodyText"/>
        <w:spacing w:line="391" w:lineRule="auto" w:before="65"/>
        <w:ind w:right="1129"/>
        <w:jc w:val="both"/>
      </w:pPr>
      <w:r>
        <w:rPr>
          <w:spacing w:val="-1"/>
        </w:rPr>
        <w:t>时也难以找到令人信服的市场交易报价体系，为解决上述困难，公司第一大股东敦化市康平投资有限责任</w:t>
      </w:r>
      <w:r>
        <w:rPr>
          <w:spacing w:val="-81"/>
        </w:rPr>
        <w:t> </w:t>
      </w:r>
      <w:r>
        <w:rPr>
          <w:spacing w:val="-81"/>
        </w:rPr>
      </w:r>
      <w:r>
        <w:rPr>
          <w:spacing w:val="-3"/>
        </w:rPr>
        <w:t>公司（以下简称</w:t>
      </w:r>
      <w:r>
        <w:rPr>
          <w:rFonts w:ascii="Times New Roman" w:hAnsi="Times New Roman" w:cs="Times New Roman" w:eastAsia="Times New Roman" w:hint="default"/>
          <w:spacing w:val="-3"/>
        </w:rPr>
        <w:t>“</w:t>
      </w:r>
      <w:r>
        <w:rPr>
          <w:spacing w:val="-3"/>
        </w:rPr>
        <w:t>康平公司</w:t>
      </w:r>
      <w:r>
        <w:rPr>
          <w:rFonts w:ascii="Times New Roman" w:hAnsi="Times New Roman" w:cs="Times New Roman" w:eastAsia="Times New Roman" w:hint="default"/>
          <w:spacing w:val="-3"/>
        </w:rPr>
        <w:t>”</w:t>
      </w:r>
      <w:r>
        <w:rPr>
          <w:spacing w:val="-3"/>
        </w:rPr>
        <w:t>）同意承接公司账面存货中的野山参，本次交易于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24</w:t>
      </w:r>
      <w:r>
        <w:rPr>
          <w:spacing w:val="-3"/>
        </w:rPr>
        <w:t>日经公司第五届</w:t>
      </w:r>
      <w:r>
        <w:rPr>
          <w:spacing w:val="-62"/>
        </w:rPr>
        <w:t> </w:t>
      </w:r>
      <w:r>
        <w:rPr>
          <w:spacing w:val="-62"/>
        </w:rPr>
      </w:r>
      <w:r>
        <w:rPr>
          <w:spacing w:val="-1"/>
        </w:rPr>
        <w:t>董事会第十一次会议审议通过，并经</w:t>
      </w:r>
      <w:r>
        <w:rPr>
          <w:rFonts w:ascii="Times New Roman" w:hAnsi="Times New Roman" w:cs="Times New Roman" w:eastAsia="Times New Roman" w:hint="default"/>
          <w:spacing w:val="-1"/>
        </w:rPr>
        <w:t>2013</w:t>
      </w:r>
      <w:r>
        <w:rPr>
          <w:spacing w:val="-1"/>
        </w:rPr>
        <w:t>年年度股东大会决议审议通过。详见公司于指定媒体及巨潮资讯</w:t>
      </w:r>
      <w:r>
        <w:rPr>
          <w:spacing w:val="-80"/>
        </w:rPr>
        <w:t> </w:t>
      </w:r>
      <w:r>
        <w:rPr>
          <w:spacing w:val="-80"/>
        </w:rPr>
      </w:r>
      <w:r>
        <w:rPr>
          <w:spacing w:val="-1"/>
        </w:rPr>
        <w:t>网（</w:t>
      </w:r>
      <w:hyperlink r:id="rId11">
        <w:r>
          <w:rPr>
            <w:rFonts w:ascii="Times New Roman" w:hAnsi="Times New Roman" w:cs="Times New Roman" w:eastAsia="Times New Roman" w:hint="default"/>
            <w:spacing w:val="-1"/>
          </w:rPr>
          <w:t>www.cninfo.com.cn</w:t>
        </w:r>
      </w:hyperlink>
      <w:r>
        <w:rPr>
          <w:spacing w:val="-1"/>
        </w:rPr>
        <w:t>）披露的《第五届董事会第十一次会议决议公告》、《关联交易公告》、《</w:t>
      </w:r>
      <w:r>
        <w:rPr>
          <w:rFonts w:ascii="Times New Roman" w:hAnsi="Times New Roman" w:cs="Times New Roman" w:eastAsia="Times New Roman" w:hint="default"/>
          <w:spacing w:val="-1"/>
        </w:rPr>
        <w:t>2013</w:t>
      </w:r>
      <w:r>
        <w:rPr>
          <w:spacing w:val="-1"/>
        </w:rPr>
        <w:t>年</w:t>
      </w:r>
      <w:r>
        <w:rPr>
          <w:w w:val="99"/>
        </w:rPr>
        <w:t> </w:t>
      </w:r>
      <w:r>
        <w:rPr/>
        <w:t>年度股东大会决议公告》</w:t>
      </w:r>
    </w:p>
    <w:p>
      <w:pPr>
        <w:pStyle w:val="BodyText"/>
        <w:spacing w:line="240" w:lineRule="auto" w:before="61"/>
        <w:ind w:left="633" w:right="0"/>
        <w:jc w:val="left"/>
      </w:pPr>
      <w:r>
        <w:rPr/>
        <w:t>野山参交易双方及交易进展</w:t>
      </w:r>
    </w:p>
    <w:p>
      <w:pPr>
        <w:spacing w:line="240" w:lineRule="auto" w:before="10"/>
        <w:rPr>
          <w:rFonts w:ascii="宋体" w:hAnsi="宋体" w:cs="宋体" w:eastAsia="宋体" w:hint="default"/>
          <w:sz w:val="14"/>
          <w:szCs w:val="14"/>
        </w:rPr>
      </w:pPr>
    </w:p>
    <w:p>
      <w:pPr>
        <w:pStyle w:val="BodyText"/>
        <w:spacing w:line="408" w:lineRule="auto"/>
        <w:ind w:left="634" w:right="3996"/>
        <w:jc w:val="left"/>
      </w:pPr>
      <w:r>
        <w:rPr/>
        <w:t>供 应</w:t>
      </w:r>
      <w:r>
        <w:rPr>
          <w:spacing w:val="21"/>
        </w:rPr>
        <w:t> </w:t>
      </w:r>
      <w:r>
        <w:rPr/>
        <w:t>方：吉林紫鑫药业股份有限公司</w:t>
      </w:r>
      <w:r>
        <w:rPr/>
        <w:t> 委托采购方：敦化市康平投资有限责任公司 受托采购方：敦化市华韵工贸有限责任公司（以下简称</w:t>
      </w:r>
      <w:r>
        <w:rPr>
          <w:rFonts w:ascii="Times New Roman" w:hAnsi="Times New Roman" w:cs="Times New Roman" w:eastAsia="Times New Roman" w:hint="default"/>
        </w:rPr>
        <w:t>“</w:t>
      </w:r>
      <w:r>
        <w:rPr/>
        <w:t>华韵工贸</w:t>
      </w:r>
      <w:r>
        <w:rPr>
          <w:rFonts w:ascii="Times New Roman" w:hAnsi="Times New Roman" w:cs="Times New Roman" w:eastAsia="Times New Roman" w:hint="default"/>
        </w:rPr>
        <w:t>”</w:t>
      </w:r>
      <w:r>
        <w:rPr/>
        <w:t>）</w:t>
      </w:r>
    </w:p>
    <w:p>
      <w:pPr>
        <w:pStyle w:val="BodyText"/>
        <w:spacing w:line="393" w:lineRule="auto" w:before="14"/>
        <w:ind w:right="1129" w:firstLine="480"/>
        <w:jc w:val="both"/>
      </w:pPr>
      <w:r>
        <w:rPr/>
        <w:t>康平公司由于经营范围原因，委托其全资子公司华韵工贸与公司进行野山参交易，</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日公</w:t>
      </w:r>
      <w:r>
        <w:rPr>
          <w:spacing w:val="1"/>
        </w:rPr>
        <w:t> </w:t>
      </w:r>
      <w:r>
        <w:rPr>
          <w:spacing w:val="-1"/>
        </w:rPr>
        <w:t>司与康平公司、华韵工贸签署了交易合同；公司以野山参购入成本加上期间的持有成本，持有成本以持有</w:t>
      </w:r>
      <w:r>
        <w:rPr>
          <w:spacing w:val="-83"/>
        </w:rPr>
        <w:t> </w:t>
      </w:r>
      <w:r>
        <w:rPr>
          <w:spacing w:val="-83"/>
        </w:rPr>
      </w:r>
      <w:r>
        <w:rPr/>
        <w:t>期间同期银行</w:t>
      </w:r>
      <w:r>
        <w:rPr>
          <w:rFonts w:ascii="Times New Roman" w:hAnsi="Times New Roman" w:cs="Times New Roman" w:eastAsia="Times New Roman" w:hint="default"/>
        </w:rPr>
        <w:t>1</w:t>
      </w:r>
      <w:r>
        <w:rPr/>
        <w:t>年期贷款基准利率为基础计算作为定价依据，签署了含税总价款为</w:t>
      </w:r>
      <w:r>
        <w:rPr>
          <w:rFonts w:ascii="Times New Roman" w:hAnsi="Times New Roman" w:cs="Times New Roman" w:eastAsia="Times New Roman" w:hint="default"/>
        </w:rPr>
        <w:t>156,198,796.42</w:t>
      </w:r>
      <w:r>
        <w:rPr/>
        <w:t>元的交易</w:t>
      </w:r>
      <w:r>
        <w:rPr>
          <w:spacing w:val="-76"/>
        </w:rPr>
        <w:t> </w:t>
      </w:r>
      <w:r>
        <w:rPr/>
        <w:t>合同。</w:t>
      </w:r>
    </w:p>
    <w:p>
      <w:pPr>
        <w:pStyle w:val="BodyText"/>
        <w:spacing w:line="398" w:lineRule="auto" w:before="58"/>
        <w:ind w:left="633" w:right="1125"/>
        <w:jc w:val="left"/>
      </w:pPr>
      <w:r>
        <w:rPr/>
        <w:t>截止本说明日，公司与华韵工贸已完成了野山参交割事宜，款项全部结清。 </w:t>
      </w:r>
      <w:r>
        <w:rPr>
          <w:rFonts w:ascii="Times New Roman" w:hAnsi="Times New Roman" w:cs="Times New Roman" w:eastAsia="Times New Roman" w:hint="default"/>
        </w:rPr>
        <w:t>2</w:t>
      </w:r>
      <w:r>
        <w:rPr/>
        <w:t>、关于</w:t>
      </w:r>
      <w:r>
        <w:rPr>
          <w:rFonts w:ascii="Times New Roman" w:hAnsi="Times New Roman" w:cs="Times New Roman" w:eastAsia="Times New Roman" w:hint="default"/>
        </w:rPr>
        <w:t>2013</w:t>
      </w:r>
      <w:r>
        <w:rPr/>
        <w:t>年度审计报告保留意见所涉及事项影响已消除的说明 </w:t>
      </w:r>
      <w:r>
        <w:rPr>
          <w:spacing w:val="-2"/>
        </w:rPr>
        <w:t>中准会计师事务所（特殊普通合伙）出具了《关于吉林紫鑫药业股份有限公司</w:t>
      </w:r>
      <w:r>
        <w:rPr>
          <w:rFonts w:ascii="Times New Roman" w:hAnsi="Times New Roman" w:cs="Times New Roman" w:eastAsia="Times New Roman" w:hint="default"/>
          <w:spacing w:val="-2"/>
        </w:rPr>
        <w:t>2013</w:t>
      </w:r>
      <w:r>
        <w:rPr>
          <w:spacing w:val="-2"/>
        </w:rPr>
        <w:t>年度审计报告保留</w:t>
      </w:r>
    </w:p>
    <w:p>
      <w:pPr>
        <w:pStyle w:val="BodyText"/>
        <w:spacing w:line="393" w:lineRule="auto" w:before="24"/>
        <w:ind w:right="1128"/>
        <w:jc w:val="both"/>
      </w:pPr>
      <w:r>
        <w:rPr/>
        <w:t>意见所涉及事项影响已消除的专项说明》（中准专审字</w:t>
      </w:r>
      <w:r>
        <w:rPr>
          <w:rFonts w:ascii="Times New Roman" w:hAnsi="Times New Roman" w:cs="Times New Roman" w:eastAsia="Times New Roman" w:hint="default"/>
        </w:rPr>
        <w:t>[2014]1381</w:t>
      </w:r>
      <w:r>
        <w:rPr/>
        <w:t>号），中准会计师事务所通过检查公司</w:t>
      </w:r>
      <w:r>
        <w:rPr>
          <w:spacing w:val="-66"/>
        </w:rPr>
        <w:t> </w:t>
      </w:r>
      <w:r>
        <w:rPr>
          <w:spacing w:val="-66"/>
        </w:rPr>
      </w:r>
      <w:r>
        <w:rPr>
          <w:spacing w:val="-1"/>
        </w:rPr>
        <w:t>的相关公告、野山参购销合同、资产交接清单、银行对账单并通过查阅相关的财务资料等程序获取发表意</w:t>
      </w:r>
      <w:r>
        <w:rPr>
          <w:spacing w:val="-83"/>
        </w:rPr>
        <w:t> </w:t>
      </w:r>
      <w:r>
        <w:rPr>
          <w:spacing w:val="-83"/>
        </w:rPr>
      </w:r>
      <w:r>
        <w:rPr/>
        <w:t>见所需要的证据，通过核查认为，公司专项说明所载内容与事实相符，截止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日公司</w:t>
      </w:r>
      <w:r>
        <w:rPr>
          <w:rFonts w:ascii="Times New Roman" w:hAnsi="Times New Roman" w:cs="Times New Roman" w:eastAsia="Times New Roman" w:hint="default"/>
        </w:rPr>
        <w:t>2013</w:t>
      </w:r>
      <w:r>
        <w:rPr/>
        <w:t>年度</w:t>
      </w:r>
      <w:r>
        <w:rPr>
          <w:spacing w:val="-26"/>
        </w:rPr>
        <w:t> </w:t>
      </w:r>
      <w:r>
        <w:rPr/>
        <w:t>审计报告保留意见所涉及事项影响已消除。</w:t>
      </w:r>
    </w:p>
    <w:p>
      <w:pPr>
        <w:spacing w:after="0" w:line="393"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1132" w:firstLine="480"/>
        <w:jc w:val="both"/>
      </w:pPr>
      <w:r>
        <w:rPr/>
        <w:t>详见公司于指定媒体及巨潮资讯网（</w:t>
      </w:r>
      <w:hyperlink r:id="rId11">
        <w:r>
          <w:rPr>
            <w:rFonts w:ascii="Times New Roman" w:hAnsi="Times New Roman" w:cs="Times New Roman" w:eastAsia="Times New Roman" w:hint="default"/>
          </w:rPr>
          <w:t>www.cninfo.com.cn</w:t>
        </w:r>
      </w:hyperlink>
      <w:r>
        <w:rPr/>
        <w:t>）披露的《关于</w:t>
      </w:r>
      <w:r>
        <w:rPr>
          <w:rFonts w:ascii="Times New Roman" w:hAnsi="Times New Roman" w:cs="Times New Roman" w:eastAsia="Times New Roman" w:hint="default"/>
        </w:rPr>
        <w:t>2013</w:t>
      </w:r>
      <w:r>
        <w:rPr/>
        <w:t>年度审计报告中保留意 </w:t>
      </w:r>
      <w:r>
        <w:rPr>
          <w:spacing w:val="-2"/>
        </w:rPr>
        <w:t>见所涉事项影响消除的专项说明》</w:t>
      </w:r>
      <w:r>
        <w:rPr>
          <w:rFonts w:ascii="Times New Roman" w:hAnsi="Times New Roman" w:cs="Times New Roman" w:eastAsia="Times New Roman" w:hint="default"/>
          <w:spacing w:val="-2"/>
        </w:rPr>
        <w:t>,</w:t>
      </w:r>
      <w:r>
        <w:rPr>
          <w:spacing w:val="-2"/>
        </w:rPr>
        <w:t>《关于吉林紫鑫药业股份有限公司</w:t>
      </w:r>
      <w:r>
        <w:rPr>
          <w:rFonts w:ascii="Times New Roman" w:hAnsi="Times New Roman" w:cs="Times New Roman" w:eastAsia="Times New Roman" w:hint="default"/>
          <w:spacing w:val="-2"/>
        </w:rPr>
        <w:t>2013</w:t>
      </w:r>
      <w:r>
        <w:rPr>
          <w:spacing w:val="-2"/>
        </w:rPr>
        <w:t>年度审计报告保留意见所涉及事</w:t>
      </w:r>
      <w:r>
        <w:rPr>
          <w:spacing w:val="-83"/>
        </w:rPr>
        <w:t> </w:t>
      </w:r>
      <w:r>
        <w:rPr>
          <w:spacing w:val="-83"/>
        </w:rPr>
      </w:r>
      <w:r>
        <w:rPr/>
        <w:t>项影响已消除的专项说明》。</w:t>
      </w:r>
    </w:p>
    <w:p>
      <w:pPr>
        <w:pStyle w:val="BodyText"/>
        <w:spacing w:line="386" w:lineRule="auto" w:before="65"/>
        <w:ind w:left="634" w:right="0"/>
        <w:jc w:val="left"/>
      </w:pPr>
      <w:r>
        <w:rPr>
          <w:rFonts w:ascii="Times New Roman" w:hAnsi="Times New Roman" w:cs="Times New Roman" w:eastAsia="Times New Roman" w:hint="default"/>
        </w:rPr>
        <w:t>3</w:t>
      </w:r>
      <w:r>
        <w:rPr/>
        <w:t>、关于公司非公开发行股票事宜说明 </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21</w:t>
      </w:r>
      <w:r>
        <w:rPr>
          <w:spacing w:val="-2"/>
        </w:rPr>
        <w:t>日拟议非公开发行股票事宜，并于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21</w:t>
      </w:r>
      <w:r>
        <w:rPr>
          <w:spacing w:val="-2"/>
        </w:rPr>
        <w:t>日经向深圳证券交易所申请股票停</w:t>
      </w:r>
    </w:p>
    <w:p>
      <w:pPr>
        <w:pStyle w:val="BodyText"/>
        <w:spacing w:line="391" w:lineRule="auto" w:before="35"/>
        <w:ind w:right="1127"/>
        <w:jc w:val="both"/>
      </w:pPr>
      <w:r>
        <w:rPr>
          <w:spacing w:val="-1"/>
        </w:rPr>
        <w:t>牌；</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3</w:t>
      </w:r>
      <w:r>
        <w:rPr>
          <w:spacing w:val="-1"/>
        </w:rPr>
        <w:t>日本公司第五届董事会第十八次会议审议通过了本次非公开发行股票的相关事宜，</w:t>
      </w:r>
      <w:r>
        <w:rPr>
          <w:rFonts w:ascii="Times New Roman" w:hAnsi="Times New Roman" w:cs="Times New Roman" w:eastAsia="Times New Roman" w:hint="default"/>
          <w:spacing w:val="-1"/>
        </w:rPr>
        <w:t>2014</w:t>
      </w:r>
      <w:r>
        <w:rPr>
          <w:spacing w:val="-1"/>
        </w:rPr>
        <w:t>年</w:t>
      </w:r>
      <w:r>
        <w:rPr>
          <w:spacing w:val="-78"/>
        </w:rPr>
        <w:t> </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日公司</w:t>
      </w:r>
      <w:r>
        <w:rPr>
          <w:rFonts w:ascii="Times New Roman" w:hAnsi="Times New Roman" w:cs="Times New Roman" w:eastAsia="Times New Roman" w:hint="default"/>
        </w:rPr>
        <w:t>2014</w:t>
      </w:r>
      <w:r>
        <w:rPr/>
        <w:t>年第三次临时股东大会审议通过了本次非公开发行股票的相关事宜；本次非公开发行股</w:t>
      </w:r>
      <w:r>
        <w:rPr>
          <w:spacing w:val="-35"/>
        </w:rPr>
        <w:t> </w:t>
      </w:r>
      <w:r>
        <w:rPr>
          <w:spacing w:val="-35"/>
        </w:rPr>
      </w:r>
      <w:r>
        <w:rPr>
          <w:spacing w:val="-1"/>
        </w:rPr>
        <w:t>票对象为仲桂兰女士、上海红樱资产管理有限公司、北京富徳昊邦投资中心（有限合伙）、佛山市科技孵</w:t>
      </w:r>
      <w:r>
        <w:rPr>
          <w:spacing w:val="-83"/>
        </w:rPr>
        <w:t> </w:t>
      </w:r>
      <w:r>
        <w:rPr>
          <w:spacing w:val="-83"/>
        </w:rPr>
      </w:r>
      <w:r>
        <w:rPr>
          <w:spacing w:val="-1"/>
        </w:rPr>
        <w:t>化合伙企业（有限合伙）、郭华女士及李自英女士。本次非公开发行股票数量为</w:t>
      </w:r>
      <w:r>
        <w:rPr>
          <w:rFonts w:ascii="Times New Roman" w:hAnsi="Times New Roman" w:cs="Times New Roman" w:eastAsia="Times New Roman" w:hint="default"/>
          <w:spacing w:val="-1"/>
        </w:rPr>
        <w:t>158,730,154</w:t>
      </w:r>
      <w:r>
        <w:rPr>
          <w:spacing w:val="-1"/>
        </w:rPr>
        <w:t>股，发行价格</w:t>
      </w:r>
      <w:r>
        <w:rPr>
          <w:spacing w:val="-77"/>
        </w:rPr>
        <w:t> </w:t>
      </w:r>
      <w:r>
        <w:rPr>
          <w:spacing w:val="-77"/>
        </w:rPr>
      </w:r>
      <w:r>
        <w:rPr/>
        <w:t>为</w:t>
      </w:r>
      <w:r>
        <w:rPr>
          <w:rFonts w:ascii="Times New Roman" w:hAnsi="Times New Roman" w:cs="Times New Roman" w:eastAsia="Times New Roman" w:hint="default"/>
        </w:rPr>
        <w:t>12.60</w:t>
      </w:r>
      <w:r>
        <w:rPr/>
        <w:t>元</w:t>
      </w:r>
      <w:r>
        <w:rPr>
          <w:rFonts w:ascii="Times New Roman" w:hAnsi="Times New Roman" w:cs="Times New Roman" w:eastAsia="Times New Roman" w:hint="default"/>
        </w:rPr>
        <w:t>/</w:t>
      </w:r>
      <w:r>
        <w:rPr/>
        <w:t>股，募集资金总额预计不超过</w:t>
      </w:r>
      <w:r>
        <w:rPr>
          <w:rFonts w:ascii="Times New Roman" w:hAnsi="Times New Roman" w:cs="Times New Roman" w:eastAsia="Times New Roman" w:hint="default"/>
        </w:rPr>
        <w:t>200,000</w:t>
      </w:r>
      <w:r>
        <w:rPr/>
        <w:t>万元，募集资金在扣除发行费用后，其中</w:t>
      </w:r>
      <w:r>
        <w:rPr>
          <w:rFonts w:ascii="Times New Roman" w:hAnsi="Times New Roman" w:cs="Times New Roman" w:eastAsia="Times New Roman" w:hint="default"/>
        </w:rPr>
        <w:t>80,000</w:t>
      </w:r>
      <w:r>
        <w:rPr/>
        <w:t>万元用于</w:t>
      </w:r>
      <w:r>
        <w:rPr>
          <w:spacing w:val="-33"/>
        </w:rPr>
        <w:t> </w:t>
      </w:r>
      <w:r>
        <w:rPr/>
        <w:t>偿还银行贷款，剩余部分全部用于补充公司流动资金。</w:t>
      </w:r>
    </w:p>
    <w:p>
      <w:pPr>
        <w:pStyle w:val="BodyText"/>
        <w:spacing w:line="240" w:lineRule="auto" w:before="61"/>
        <w:ind w:left="634" w:right="0"/>
        <w:jc w:val="left"/>
        <w:rPr>
          <w:rFonts w:ascii="Times New Roman" w:hAnsi="Times New Roman" w:cs="Times New Roman" w:eastAsia="Times New Roman" w:hint="default"/>
        </w:rPr>
      </w:pPr>
      <w:r>
        <w:rPr>
          <w:spacing w:val="-4"/>
        </w:rPr>
        <w:t>详见公司于指定媒体及巨潮资讯网（</w:t>
      </w:r>
      <w:hyperlink r:id="rId11">
        <w:r>
          <w:rPr>
            <w:rFonts w:ascii="Times New Roman" w:hAnsi="Times New Roman" w:cs="Times New Roman" w:eastAsia="Times New Roman" w:hint="default"/>
            <w:spacing w:val="-4"/>
          </w:rPr>
          <w:t>www.cninfo.com.cn</w:t>
        </w:r>
      </w:hyperlink>
      <w:r>
        <w:rPr>
          <w:spacing w:val="-4"/>
        </w:rPr>
        <w:t>）披露的《第五届董事会第十八次会议公告》</w:t>
      </w:r>
      <w:r>
        <w:rPr>
          <w:rFonts w:ascii="Times New Roman" w:hAnsi="Times New Roman" w:cs="Times New Roman" w:eastAsia="Times New Roman" w:hint="default"/>
          <w:spacing w:val="-4"/>
        </w:rPr>
        <w:t>,</w:t>
      </w:r>
    </w:p>
    <w:p>
      <w:pPr>
        <w:spacing w:line="609" w:lineRule="auto" w:before="177"/>
        <w:ind w:left="153" w:right="679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2014</w:t>
      </w:r>
      <w:r>
        <w:rPr>
          <w:rFonts w:ascii="宋体" w:hAnsi="宋体" w:cs="宋体" w:eastAsia="宋体" w:hint="default"/>
          <w:sz w:val="21"/>
          <w:szCs w:val="21"/>
        </w:rPr>
        <w:t>年第三次临时股东大会公告》。 </w:t>
      </w:r>
      <w:bookmarkStart w:name="十五、母公司财务报表主要项目注释" w:id="322"/>
      <w:bookmarkEnd w:id="322"/>
      <w:r>
        <w:rPr>
          <w:rFonts w:ascii="宋体" w:hAnsi="宋体" w:cs="宋体" w:eastAsia="宋体" w:hint="default"/>
          <w:sz w:val="21"/>
          <w:szCs w:val="21"/>
        </w:rPr>
      </w:r>
      <w:r>
        <w:rPr>
          <w:rFonts w:ascii="宋体" w:hAnsi="宋体" w:cs="宋体" w:eastAsia="宋体" w:hint="default"/>
          <w:b/>
          <w:bCs/>
          <w:w w:val="95"/>
          <w:sz w:val="24"/>
          <w:szCs w:val="24"/>
        </w:rPr>
        <w:t>十五、母公司财务报表主要项目注释</w:t>
      </w:r>
      <w:r>
        <w:rPr>
          <w:rFonts w:ascii="宋体" w:hAnsi="宋体" w:cs="宋体" w:eastAsia="宋体" w:hint="default"/>
          <w:b/>
          <w:bCs/>
          <w:spacing w:val="62"/>
          <w:w w:val="95"/>
          <w:sz w:val="24"/>
          <w:szCs w:val="24"/>
        </w:rPr>
        <w:t> </w:t>
      </w:r>
      <w:bookmarkStart w:name="1、应收账款" w:id="323"/>
      <w:bookmarkEnd w:id="323"/>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119"/>
        <w:ind w:right="0"/>
        <w:jc w:val="left"/>
        <w:rPr>
          <w:b w:val="0"/>
          <w:bCs w:val="0"/>
        </w:rPr>
      </w:pPr>
      <w:bookmarkStart w:name="（1）应收账款分类披露" w:id="324"/>
      <w:bookmarkEnd w:id="32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559"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39"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19"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37"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0"/>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9"/>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71"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26"/>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26"/>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26"/>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2"/>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2"/>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2"/>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2"/>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78"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239"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494"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120,299,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00" w:right="0"/>
              <w:jc w:val="center"/>
              <w:rPr>
                <w:rFonts w:ascii="Times New Roman" w:hAnsi="Times New Roman" w:cs="Times New Roman" w:eastAsia="Times New Roman" w:hint="default"/>
                <w:sz w:val="18"/>
                <w:szCs w:val="18"/>
              </w:rPr>
            </w:pPr>
            <w:r>
              <w:rPr>
                <w:rFonts w:ascii="Times New Roman"/>
                <w:sz w:val="18"/>
              </w:rPr>
              <w:t>395.77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7,511,90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1.13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112,787,4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94.64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61,068,</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664.41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3,671,852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57,396,812.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r>
      <w:tr>
        <w:trPr>
          <w:trHeight w:val="1027"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49"/>
              <w:ind w:left="11" w:right="160"/>
              <w:jc w:val="left"/>
              <w:rPr>
                <w:rFonts w:ascii="宋体" w:hAnsi="宋体" w:cs="宋体" w:eastAsia="宋体" w:hint="default"/>
                <w:sz w:val="18"/>
                <w:szCs w:val="18"/>
              </w:rPr>
            </w:pPr>
            <w:r>
              <w:rPr>
                <w:rFonts w:ascii="宋体" w:hAnsi="宋体" w:cs="宋体" w:eastAsia="宋体" w:hint="default"/>
                <w:sz w:val="18"/>
                <w:szCs w:val="18"/>
              </w:rPr>
              <w:t>单项金额不重大但 单独计提坏账准备</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448,154,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00" w:right="0"/>
              <w:jc w:val="center"/>
              <w:rPr>
                <w:rFonts w:ascii="Times New Roman" w:hAnsi="Times New Roman" w:cs="Times New Roman" w:eastAsia="Times New Roman" w:hint="default"/>
                <w:sz w:val="18"/>
                <w:szCs w:val="18"/>
              </w:rPr>
            </w:pPr>
            <w:r>
              <w:rPr>
                <w:rFonts w:ascii="Times New Roman"/>
                <w:sz w:val="18"/>
              </w:rPr>
              <w:t>310.87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11,398,3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40.33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436,755,9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70.54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516,558</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,834.08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89.43%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7,999,714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508,559,11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9.94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51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的应收账款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568,453,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12" w:right="0"/>
              <w:jc w:val="center"/>
              <w:rPr>
                <w:rFonts w:ascii="Times New Roman" w:hAnsi="Times New Roman" w:cs="Times New Roman" w:eastAsia="Times New Roman" w:hint="default"/>
                <w:sz w:val="18"/>
                <w:szCs w:val="18"/>
              </w:rPr>
            </w:pPr>
            <w:r>
              <w:rPr>
                <w:rFonts w:ascii="Times New Roman"/>
                <w:sz w:val="18"/>
              </w:rPr>
              <w:t>706.64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18,910,2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41.46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3.32%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549,543,4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65.18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577,627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,498.49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11,671,56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6.23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565,955,93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2.26</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240" w:lineRule="auto" w:before="12"/>
        <w:rPr>
          <w:rFonts w:ascii="宋体" w:hAnsi="宋体" w:cs="宋体" w:eastAsia="宋体" w:hint="default"/>
          <w:sz w:val="20"/>
          <w:szCs w:val="20"/>
        </w:rPr>
      </w:pPr>
    </w:p>
    <w:p>
      <w:pPr>
        <w:spacing w:line="489"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8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84"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69"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78"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89"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553"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558"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256,074,161.18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10,481,368.08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4.09%</w:t>
            </w:r>
          </w:p>
        </w:tc>
      </w:tr>
      <w:tr>
        <w:trPr>
          <w:trHeight w:val="558"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275,419,315.82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2,890,284.08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w:t>
            </w:r>
          </w:p>
        </w:tc>
      </w:tr>
      <w:tr>
        <w:trPr>
          <w:trHeight w:val="558"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18,535,116.36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1,853,511.64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r>
      <w:tr>
        <w:trPr>
          <w:trHeight w:val="558"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18,424,563.28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3,684,912.66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r>
      <w:tr>
        <w:trPr>
          <w:trHeight w:val="558"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r>
      <w:tr>
        <w:trPr>
          <w:trHeight w:val="558"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568,453,706.64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18,910,241.46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3.32%</w:t>
            </w:r>
          </w:p>
        </w:tc>
      </w:tr>
    </w:tbl>
    <w:p>
      <w:pPr>
        <w:spacing w:line="240" w:lineRule="auto" w:before="6"/>
        <w:rPr>
          <w:rFonts w:ascii="宋体" w:hAnsi="宋体" w:cs="宋体" w:eastAsia="宋体" w:hint="default"/>
          <w:sz w:val="6"/>
          <w:szCs w:val="6"/>
        </w:rPr>
      </w:pPr>
    </w:p>
    <w:p>
      <w:pPr>
        <w:spacing w:line="518" w:lineRule="auto" w:before="44"/>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489" w:lineRule="auto" w:before="63"/>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bookmarkStart w:name="（2）按欠款方归集的期末余额前五吊的应收账款情况" w:id="325"/>
      <w:bookmarkEnd w:id="325"/>
      <w:r>
        <w:rPr>
          <w:b w:val="0"/>
          <w:bCs w:val="0"/>
        </w:rPr>
      </w:r>
      <w:r>
        <w:rPr/>
        <w:t>（</w:t>
      </w:r>
      <w:r>
        <w:rPr>
          <w:rFonts w:ascii="Times New Roman" w:hAnsi="Times New Roman" w:cs="Times New Roman" w:eastAsia="Times New Roman" w:hint="default"/>
        </w:rPr>
        <w:t>2</w:t>
      </w:r>
      <w:r>
        <w:rPr/>
        <w:t>）按欠款方归集的期末余额前五名的应收账款情况</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left="154" w:right="0" w:firstLine="420"/>
        <w:jc w:val="left"/>
      </w:pPr>
      <w:r>
        <w:rPr>
          <w:spacing w:val="-2"/>
        </w:rPr>
        <w:t>按欠款方集中度归集的期末余额前五名应收账款汇总金额</w:t>
      </w:r>
      <w:r>
        <w:rPr>
          <w:rFonts w:ascii="Times New Roman" w:hAnsi="Times New Roman" w:cs="Times New Roman" w:eastAsia="Times New Roman" w:hint="default"/>
          <w:spacing w:val="-2"/>
        </w:rPr>
        <w:t>416,841,514.39</w:t>
      </w:r>
      <w:r>
        <w:rPr>
          <w:spacing w:val="-2"/>
        </w:rPr>
        <w:t>元，占应收账款期末余额合计</w:t>
      </w:r>
      <w:r>
        <w:rPr/>
        <w:t> 数的比例</w:t>
      </w:r>
      <w:r>
        <w:rPr>
          <w:rFonts w:ascii="Times New Roman" w:hAnsi="Times New Roman" w:cs="Times New Roman" w:eastAsia="Times New Roman" w:hint="default"/>
        </w:rPr>
        <w:t>73.33%</w:t>
      </w:r>
      <w:r>
        <w:rPr/>
        <w:t>，相应计提的坏账准备期末余额汇总金额</w:t>
      </w:r>
      <w:r>
        <w:rPr>
          <w:rFonts w:ascii="Times New Roman" w:hAnsi="Times New Roman" w:cs="Times New Roman" w:eastAsia="Times New Roman" w:hint="default"/>
        </w:rPr>
        <w:t>4,915,790.38</w:t>
      </w:r>
      <w:r>
        <w:rPr/>
        <w:t>元。</w:t>
      </w:r>
    </w:p>
    <w:p>
      <w:pPr>
        <w:spacing w:after="0" w:line="38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3）转移应收账款且继续涉入形成的资产、负债金额" w:id="326"/>
      <w:bookmarkEnd w:id="326"/>
      <w:r>
        <w:rPr>
          <w:b w:val="0"/>
          <w:bCs w:val="0"/>
        </w:rPr>
      </w:r>
      <w:r>
        <w:rPr/>
        <w:t>（</w:t>
      </w:r>
      <w:r>
        <w:rPr>
          <w:rFonts w:ascii="Times New Roman" w:hAnsi="Times New Roman" w:cs="Times New Roman" w:eastAsia="Times New Roman" w:hint="default"/>
        </w:rPr>
        <w:t>3</w:t>
      </w:r>
      <w:r>
        <w:rPr/>
        <w:t>）转移应收账款且继续涉入形成的资产、负债金额</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8"/>
          <w:szCs w:val="18"/>
        </w:rPr>
      </w:pPr>
    </w:p>
    <w:p>
      <w:pPr>
        <w:pStyle w:val="BodyText"/>
        <w:spacing w:line="240" w:lineRule="auto"/>
        <w:ind w:left="574" w:right="0"/>
        <w:jc w:val="left"/>
      </w:pPr>
      <w:r>
        <w:rPr/>
        <w:t>（</w:t>
      </w:r>
      <w:r>
        <w:rPr>
          <w:rFonts w:ascii="Times New Roman" w:hAnsi="Times New Roman" w:cs="Times New Roman" w:eastAsia="Times New Roman" w:hint="default"/>
        </w:rPr>
        <w:t>1</w:t>
      </w:r>
      <w:r>
        <w:rPr/>
        <w:t>）应收账款期末余额中无持有本公司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以上表决权股份的股东单位的欠款。</w:t>
      </w:r>
    </w:p>
    <w:p>
      <w:pPr>
        <w:pStyle w:val="BodyText"/>
        <w:spacing w:line="240" w:lineRule="auto" w:before="177"/>
        <w:ind w:left="574" w:right="0"/>
        <w:jc w:val="left"/>
      </w:pPr>
      <w:r>
        <w:rPr/>
        <w:t>（</w:t>
      </w:r>
      <w:r>
        <w:rPr>
          <w:rFonts w:ascii="Times New Roman" w:hAnsi="Times New Roman" w:cs="Times New Roman" w:eastAsia="Times New Roman" w:hint="default"/>
        </w:rPr>
        <w:t>2</w:t>
      </w:r>
      <w:r>
        <w:rPr/>
        <w:t>）应收关联方账款情况</w:t>
      </w:r>
    </w:p>
    <w:p>
      <w:pPr>
        <w:spacing w:line="240" w:lineRule="auto" w:before="9"/>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120"/>
        <w:gridCol w:w="1380"/>
        <w:gridCol w:w="1620"/>
        <w:gridCol w:w="1506"/>
        <w:gridCol w:w="1800"/>
      </w:tblGrid>
      <w:tr>
        <w:trPr>
          <w:trHeight w:val="979" w:hRule="exact"/>
        </w:trPr>
        <w:tc>
          <w:tcPr>
            <w:tcW w:w="31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left="4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80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9"/>
              <w:ind w:right="7"/>
              <w:jc w:val="center"/>
              <w:rPr>
                <w:rFonts w:ascii="宋体" w:hAnsi="宋体" w:cs="宋体" w:eastAsia="宋体" w:hint="default"/>
                <w:sz w:val="18"/>
                <w:szCs w:val="18"/>
              </w:rPr>
            </w:pPr>
            <w:r>
              <w:rPr>
                <w:rFonts w:ascii="宋体" w:hAnsi="宋体" w:cs="宋体" w:eastAsia="宋体" w:hint="default"/>
                <w:sz w:val="18"/>
                <w:szCs w:val="18"/>
              </w:rPr>
              <w:t>占应收账款总额的比</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r>
      <w:tr>
        <w:trPr>
          <w:trHeight w:val="509" w:hRule="exact"/>
        </w:trPr>
        <w:tc>
          <w:tcPr>
            <w:tcW w:w="31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吉林紫鑫初元药业有限公司</w:t>
            </w:r>
          </w:p>
        </w:tc>
        <w:tc>
          <w:tcPr>
            <w:tcW w:w="13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239,501,029.90</w:t>
            </w:r>
          </w:p>
        </w:tc>
        <w:tc>
          <w:tcPr>
            <w:tcW w:w="15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8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z w:val="18"/>
              </w:rPr>
              <w:t>42.13%</w:t>
            </w:r>
          </w:p>
        </w:tc>
      </w:tr>
      <w:tr>
        <w:trPr>
          <w:trHeight w:val="508" w:hRule="exact"/>
        </w:trPr>
        <w:tc>
          <w:tcPr>
            <w:tcW w:w="31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吉林紫鑫敦化医药药材有限责任公司</w:t>
            </w:r>
          </w:p>
        </w:tc>
        <w:tc>
          <w:tcPr>
            <w:tcW w:w="13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81,174,428.19</w:t>
            </w:r>
          </w:p>
        </w:tc>
        <w:tc>
          <w:tcPr>
            <w:tcW w:w="15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8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z w:val="18"/>
              </w:rPr>
              <w:t>14.28%</w:t>
            </w:r>
          </w:p>
        </w:tc>
      </w:tr>
      <w:tr>
        <w:trPr>
          <w:trHeight w:val="508" w:hRule="exact"/>
        </w:trPr>
        <w:tc>
          <w:tcPr>
            <w:tcW w:w="31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380" w:type="dxa"/>
            <w:tcBorders>
              <w:top w:val="single" w:sz="12" w:space="0" w:color="000000"/>
              <w:left w:val="single" w:sz="6" w:space="0" w:color="000000"/>
              <w:bottom w:val="single" w:sz="12" w:space="0" w:color="000000"/>
              <w:right w:val="single" w:sz="6" w:space="0" w:color="000000"/>
            </w:tcBorders>
          </w:tcPr>
          <w:p>
            <w:pP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320,675,458.09</w:t>
            </w:r>
          </w:p>
        </w:tc>
        <w:tc>
          <w:tcPr>
            <w:tcW w:w="1506" w:type="dxa"/>
            <w:tcBorders>
              <w:top w:val="single" w:sz="12" w:space="0" w:color="000000"/>
              <w:left w:val="single" w:sz="6" w:space="0" w:color="000000"/>
              <w:bottom w:val="single" w:sz="12" w:space="0" w:color="000000"/>
              <w:right w:val="single" w:sz="6" w:space="0" w:color="000000"/>
            </w:tcBorders>
          </w:tcPr>
          <w:p>
            <w:pPr/>
          </w:p>
        </w:tc>
        <w:tc>
          <w:tcPr>
            <w:tcW w:w="18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z w:val="18"/>
              </w:rPr>
              <w:t>56.41%</w:t>
            </w:r>
          </w:p>
        </w:tc>
      </w:tr>
    </w:tbl>
    <w:p>
      <w:pPr>
        <w:spacing w:line="240" w:lineRule="auto" w:before="4"/>
        <w:rPr>
          <w:rFonts w:ascii="宋体" w:hAnsi="宋体" w:cs="宋体" w:eastAsia="宋体" w:hint="default"/>
          <w:sz w:val="11"/>
          <w:szCs w:val="11"/>
        </w:rPr>
      </w:pPr>
    </w:p>
    <w:p>
      <w:pPr>
        <w:pStyle w:val="BodyText"/>
        <w:spacing w:line="240" w:lineRule="auto" w:before="35"/>
        <w:ind w:left="574" w:right="0"/>
        <w:jc w:val="left"/>
      </w:pPr>
      <w:r>
        <w:rPr/>
        <w:t>（</w:t>
      </w:r>
      <w:r>
        <w:rPr>
          <w:rFonts w:ascii="Times New Roman" w:hAnsi="Times New Roman" w:cs="Times New Roman" w:eastAsia="Times New Roman" w:hint="default"/>
        </w:rPr>
        <w:t>3</w:t>
      </w:r>
      <w:r>
        <w:rPr/>
        <w:t>）本公司本期不存在因金融资产转移而终止确认的应收款项情况。</w:t>
      </w:r>
    </w:p>
    <w:p>
      <w:pPr>
        <w:pStyle w:val="BodyText"/>
        <w:spacing w:line="240" w:lineRule="auto" w:before="177"/>
        <w:ind w:left="573" w:right="0"/>
        <w:jc w:val="left"/>
      </w:pPr>
      <w:r>
        <w:rPr/>
        <w:t>（</w:t>
      </w:r>
      <w:r>
        <w:rPr>
          <w:rFonts w:ascii="Times New Roman" w:hAnsi="Times New Roman" w:cs="Times New Roman" w:eastAsia="Times New Roman" w:hint="default"/>
        </w:rPr>
        <w:t>4</w:t>
      </w:r>
      <w:r>
        <w:rPr/>
        <w:t>）本公司本期不存在未全部终止确认的被转移的应收账款情况。</w:t>
      </w:r>
    </w:p>
    <w:p>
      <w:pPr>
        <w:pStyle w:val="BodyText"/>
        <w:spacing w:line="240" w:lineRule="auto" w:before="177"/>
        <w:ind w:left="573" w:right="0"/>
        <w:jc w:val="left"/>
      </w:pPr>
      <w:r>
        <w:rPr/>
        <w:t>（</w:t>
      </w:r>
      <w:r>
        <w:rPr>
          <w:rFonts w:ascii="Times New Roman" w:hAnsi="Times New Roman" w:cs="Times New Roman" w:eastAsia="Times New Roman" w:hint="default"/>
        </w:rPr>
        <w:t>5</w:t>
      </w:r>
      <w:r>
        <w:rPr/>
        <w:t>）本公司本期不存在以应收款项为标的进行证券化的情况。</w:t>
      </w:r>
    </w:p>
    <w:p>
      <w:pPr>
        <w:pStyle w:val="BodyText"/>
        <w:spacing w:line="240" w:lineRule="auto" w:before="177"/>
        <w:ind w:left="573" w:right="0"/>
        <w:jc w:val="left"/>
      </w:pPr>
      <w:r>
        <w:rPr/>
        <w:t>（</w:t>
      </w:r>
      <w:r>
        <w:rPr>
          <w:rFonts w:ascii="Times New Roman" w:hAnsi="Times New Roman" w:cs="Times New Roman" w:eastAsia="Times New Roman" w:hint="default"/>
        </w:rPr>
        <w:t>6</w:t>
      </w:r>
      <w:r>
        <w:rPr/>
        <w:t>）本公司本期不存在核销与终止确认的应收账款。</w:t>
      </w:r>
    </w:p>
    <w:p>
      <w:pPr>
        <w:spacing w:line="240" w:lineRule="auto" w:before="0"/>
        <w:rPr>
          <w:rFonts w:ascii="宋体" w:hAnsi="宋体" w:cs="宋体" w:eastAsia="宋体" w:hint="default"/>
          <w:sz w:val="22"/>
          <w:szCs w:val="22"/>
        </w:rPr>
      </w:pPr>
    </w:p>
    <w:p>
      <w:pPr>
        <w:pStyle w:val="Heading4"/>
        <w:spacing w:line="240" w:lineRule="auto" w:before="190"/>
        <w:ind w:right="0"/>
        <w:jc w:val="left"/>
        <w:rPr>
          <w:b w:val="0"/>
          <w:bCs w:val="0"/>
        </w:rPr>
      </w:pPr>
      <w:bookmarkStart w:name="2、其他应收款" w:id="327"/>
      <w:bookmarkEnd w:id="32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right="0"/>
        <w:jc w:val="left"/>
        <w:rPr>
          <w:b w:val="0"/>
          <w:bCs w:val="0"/>
        </w:rPr>
      </w:pPr>
      <w:bookmarkStart w:name="（1）其他应收款分类披露" w:id="328"/>
      <w:bookmarkEnd w:id="32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55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4"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19"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36"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9"/>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9"/>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71"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27"/>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27"/>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27"/>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8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239"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494"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47,513,9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13" w:right="0"/>
              <w:jc w:val="left"/>
              <w:rPr>
                <w:rFonts w:ascii="Times New Roman" w:hAnsi="Times New Roman" w:cs="Times New Roman" w:eastAsia="Times New Roman" w:hint="default"/>
                <w:sz w:val="18"/>
                <w:szCs w:val="18"/>
              </w:rPr>
            </w:pPr>
            <w:r>
              <w:rPr>
                <w:rFonts w:ascii="Times New Roman"/>
                <w:sz w:val="18"/>
              </w:rPr>
              <w:t>57.10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2,900,67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1.14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44,613,28</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5.96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26,516,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622.43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5,894,997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22.23%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20,621,625.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08</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5" w:lineRule="auto" w:before="149"/>
              <w:ind w:left="11" w:right="160"/>
              <w:jc w:val="left"/>
              <w:rPr>
                <w:rFonts w:ascii="宋体" w:hAnsi="宋体" w:cs="宋体" w:eastAsia="宋体" w:hint="default"/>
                <w:sz w:val="18"/>
                <w:szCs w:val="18"/>
              </w:rPr>
            </w:pPr>
            <w:r>
              <w:rPr>
                <w:rFonts w:ascii="宋体" w:hAnsi="宋体" w:cs="宋体" w:eastAsia="宋体" w:hint="default"/>
                <w:sz w:val="18"/>
                <w:szCs w:val="18"/>
              </w:rPr>
              <w:t>单项金额不重大但 单独计提坏账准备</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551,302,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00" w:right="0"/>
              <w:jc w:val="center"/>
              <w:rPr>
                <w:rFonts w:ascii="Times New Roman" w:hAnsi="Times New Roman" w:cs="Times New Roman" w:eastAsia="Times New Roman" w:hint="default"/>
                <w:sz w:val="18"/>
                <w:szCs w:val="18"/>
              </w:rPr>
            </w:pPr>
            <w:r>
              <w:rPr>
                <w:rFonts w:ascii="Times New Roman"/>
                <w:sz w:val="18"/>
              </w:rPr>
              <w:t>794.76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1,163,42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1.02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550,139,3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73.74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334,862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,554.17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92.66%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2,588,141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332,274,41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2.51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51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的其他应收款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598,816,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12" w:right="0"/>
              <w:jc w:val="center"/>
              <w:rPr>
                <w:rFonts w:ascii="Times New Roman" w:hAnsi="Times New Roman" w:cs="Times New Roman" w:eastAsia="Times New Roman" w:hint="default"/>
                <w:sz w:val="18"/>
                <w:szCs w:val="18"/>
              </w:rPr>
            </w:pPr>
            <w:r>
              <w:rPr>
                <w:rFonts w:ascii="Times New Roman"/>
                <w:sz w:val="18"/>
              </w:rPr>
              <w:t>751.86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4,064,09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2.16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0.68%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594,752,6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59.70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361,379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,176.60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8,483,139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352,896,03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7.59</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240" w:lineRule="auto" w:before="12"/>
        <w:rPr>
          <w:rFonts w:ascii="宋体" w:hAnsi="宋体" w:cs="宋体" w:eastAsia="宋体" w:hint="default"/>
          <w:sz w:val="20"/>
          <w:szCs w:val="20"/>
        </w:rPr>
      </w:pPr>
    </w:p>
    <w:p>
      <w:pPr>
        <w:spacing w:line="489"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85"/>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84"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69"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78"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89"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553"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558"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385,782,595.64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3,835,688.35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0.99%</w:t>
            </w:r>
          </w:p>
        </w:tc>
      </w:tr>
      <w:tr>
        <w:trPr>
          <w:trHeight w:val="558"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155,301,279.21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44,054.63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r>
      <w:tr>
        <w:trPr>
          <w:trHeight w:val="558"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558"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56,825,592.89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558"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478,964.40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143,689.32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r>
      <w:tr>
        <w:trPr>
          <w:trHeight w:val="558"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78,319.72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39,159.86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r>
      <w:tr>
        <w:trPr>
          <w:trHeight w:val="558"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598,816,751.86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4,064,092.16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0.68%</w:t>
            </w:r>
          </w:p>
        </w:tc>
      </w:tr>
    </w:tbl>
    <w:p>
      <w:pPr>
        <w:spacing w:line="240" w:lineRule="auto" w:before="6"/>
        <w:rPr>
          <w:rFonts w:ascii="宋体" w:hAnsi="宋体" w:cs="宋体" w:eastAsia="宋体" w:hint="default"/>
          <w:sz w:val="6"/>
          <w:szCs w:val="6"/>
        </w:rPr>
      </w:pPr>
    </w:p>
    <w:p>
      <w:pPr>
        <w:spacing w:line="518" w:lineRule="auto" w:before="44"/>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489" w:lineRule="auto" w:before="63"/>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85"/>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bookmarkStart w:name="（2）其他应收款按款项性质分类情况" w:id="329"/>
      <w:bookmarkEnd w:id="329"/>
      <w:r>
        <w:rPr>
          <w:b w:val="0"/>
          <w:bCs w:val="0"/>
        </w:rPr>
      </w:r>
      <w:r>
        <w:rPr/>
        <w:t>（</w:t>
      </w:r>
      <w:r>
        <w:rPr>
          <w:rFonts w:ascii="Times New Roman" w:hAnsi="Times New Roman" w:cs="Times New Roman" w:eastAsia="Times New Roman" w:hint="default"/>
        </w:rPr>
        <w:t>2</w:t>
      </w:r>
      <w:r>
        <w:rPr/>
        <w:t>）其他应收款按款项性质分类情况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558"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558"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按账龄分析法</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598,816,751.86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361,379,176.60</w:t>
            </w:r>
          </w:p>
        </w:tc>
      </w:tr>
      <w:tr>
        <w:trPr>
          <w:trHeight w:val="558"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598,816,751.86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361,379,176.60</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3）按欠款方归集的期末余额前五吊的其他应收款情况" w:id="330"/>
      <w:bookmarkEnd w:id="330"/>
      <w:r>
        <w:rPr>
          <w:b w:val="0"/>
          <w:bCs w:val="0"/>
        </w:rPr>
      </w:r>
      <w:r>
        <w:rPr/>
        <w:t>（</w:t>
      </w: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102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29"/>
              <w:jc w:val="left"/>
              <w:rPr>
                <w:rFonts w:ascii="宋体" w:hAnsi="宋体" w:cs="宋体" w:eastAsia="宋体" w:hint="default"/>
                <w:sz w:val="18"/>
                <w:szCs w:val="18"/>
              </w:rPr>
            </w:pPr>
            <w:r>
              <w:rPr>
                <w:rFonts w:ascii="宋体" w:hAnsi="宋体" w:cs="宋体" w:eastAsia="宋体" w:hint="default"/>
                <w:sz w:val="18"/>
                <w:szCs w:val="18"/>
              </w:rPr>
              <w:t>吉林紫鑫红石种养殖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179,392,307.97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29.96%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29"/>
              <w:jc w:val="left"/>
              <w:rPr>
                <w:rFonts w:ascii="宋体" w:hAnsi="宋体" w:cs="宋体" w:eastAsia="宋体" w:hint="default"/>
                <w:sz w:val="18"/>
                <w:szCs w:val="18"/>
              </w:rPr>
            </w:pPr>
            <w:r>
              <w:rPr>
                <w:rFonts w:ascii="宋体" w:hAnsi="宋体" w:cs="宋体" w:eastAsia="宋体" w:hint="default"/>
                <w:sz w:val="18"/>
                <w:szCs w:val="18"/>
              </w:rPr>
              <w:t>吉林紫鑫般若药业有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144,670,225.86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三至四年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24.16%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29"/>
              <w:jc w:val="left"/>
              <w:rPr>
                <w:rFonts w:ascii="宋体" w:hAnsi="宋体" w:cs="宋体" w:eastAsia="宋体" w:hint="default"/>
                <w:sz w:val="18"/>
                <w:szCs w:val="18"/>
              </w:rPr>
            </w:pPr>
            <w:r>
              <w:rPr>
                <w:rFonts w:ascii="宋体" w:hAnsi="宋体" w:cs="宋体" w:eastAsia="宋体" w:hint="default"/>
                <w:sz w:val="18"/>
                <w:szCs w:val="18"/>
              </w:rPr>
              <w:t>吉林紫鑫初元药业有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107,862,981.49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29"/>
              <w:jc w:val="left"/>
              <w:rPr>
                <w:rFonts w:ascii="宋体" w:hAnsi="宋体" w:cs="宋体" w:eastAsia="宋体" w:hint="default"/>
                <w:sz w:val="18"/>
                <w:szCs w:val="18"/>
              </w:rPr>
            </w:pPr>
            <w:r>
              <w:rPr>
                <w:rFonts w:ascii="宋体" w:hAnsi="宋体" w:cs="宋体" w:eastAsia="宋体" w:hint="default"/>
                <w:sz w:val="18"/>
                <w:szCs w:val="18"/>
              </w:rPr>
              <w:t>吉林草还丹药业有限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67,477,163.85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29"/>
              <w:jc w:val="left"/>
              <w:rPr>
                <w:rFonts w:ascii="宋体" w:hAnsi="宋体" w:cs="宋体" w:eastAsia="宋体" w:hint="default"/>
                <w:sz w:val="18"/>
                <w:szCs w:val="18"/>
              </w:rPr>
            </w:pPr>
            <w:r>
              <w:rPr>
                <w:rFonts w:ascii="宋体" w:hAnsi="宋体" w:cs="宋体" w:eastAsia="宋体" w:hint="default"/>
                <w:sz w:val="18"/>
                <w:szCs w:val="18"/>
              </w:rPr>
              <w:t>吉林中科紫鑫科技有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519,752,679.17</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86.80%</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4）转移其他应收款且继续涉入形成的资产、负债金额" w:id="331"/>
      <w:bookmarkEnd w:id="331"/>
      <w:r>
        <w:rPr>
          <w:b w:val="0"/>
          <w:bCs w:val="0"/>
        </w:rPr>
      </w:r>
      <w:r>
        <w:rPr/>
        <w:t>（</w:t>
      </w:r>
      <w:r>
        <w:rPr>
          <w:rFonts w:ascii="Times New Roman" w:hAnsi="Times New Roman" w:cs="Times New Roman" w:eastAsia="Times New Roman" w:hint="default"/>
        </w:rPr>
        <w:t>4</w:t>
      </w:r>
      <w:r>
        <w:rPr/>
        <w:t>）转移其他应收款且继续涉入形成的资产、负债金额</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4"/>
          <w:szCs w:val="24"/>
        </w:rPr>
      </w:pPr>
    </w:p>
    <w:p>
      <w:pPr>
        <w:pStyle w:val="BodyText"/>
        <w:spacing w:line="240" w:lineRule="auto"/>
        <w:ind w:left="574" w:right="0"/>
        <w:jc w:val="left"/>
      </w:pPr>
      <w:r>
        <w:rPr/>
        <w:t>（</w:t>
      </w:r>
      <w:r>
        <w:rPr>
          <w:rFonts w:ascii="Times New Roman" w:hAnsi="Times New Roman" w:cs="Times New Roman" w:eastAsia="Times New Roman" w:hint="default"/>
        </w:rPr>
        <w:t>1</w:t>
      </w:r>
      <w:r>
        <w:rPr/>
        <w:t>）其他应收款期末余额中无持有本公司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以上表决权股份的股东单位欠款情况。</w:t>
      </w:r>
    </w:p>
    <w:p>
      <w:pPr>
        <w:pStyle w:val="BodyText"/>
        <w:spacing w:line="240" w:lineRule="auto" w:before="177"/>
        <w:ind w:left="573" w:right="0"/>
        <w:jc w:val="left"/>
      </w:pPr>
      <w:r>
        <w:rPr/>
        <w:t>（</w:t>
      </w:r>
      <w:r>
        <w:rPr>
          <w:rFonts w:ascii="Times New Roman" w:hAnsi="Times New Roman" w:cs="Times New Roman" w:eastAsia="Times New Roman" w:hint="default"/>
        </w:rPr>
        <w:t>2</w:t>
      </w:r>
      <w:r>
        <w:rPr/>
        <w:t>）应收关联方欠款情况</w:t>
      </w:r>
    </w:p>
    <w:p>
      <w:pPr>
        <w:spacing w:line="240" w:lineRule="auto" w:before="9"/>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240"/>
        <w:gridCol w:w="1440"/>
        <w:gridCol w:w="1800"/>
        <w:gridCol w:w="1535"/>
        <w:gridCol w:w="1582"/>
      </w:tblGrid>
      <w:tr>
        <w:trPr>
          <w:trHeight w:val="979" w:hRule="exact"/>
        </w:trPr>
        <w:tc>
          <w:tcPr>
            <w:tcW w:w="32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left="17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left="5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8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9"/>
              <w:ind w:right="7"/>
              <w:jc w:val="center"/>
              <w:rPr>
                <w:rFonts w:ascii="宋体" w:hAnsi="宋体" w:cs="宋体" w:eastAsia="宋体" w:hint="default"/>
                <w:sz w:val="18"/>
                <w:szCs w:val="18"/>
              </w:rPr>
            </w:pPr>
            <w:r>
              <w:rPr>
                <w:rFonts w:ascii="宋体" w:hAnsi="宋体" w:cs="宋体" w:eastAsia="宋体" w:hint="default"/>
                <w:sz w:val="18"/>
                <w:szCs w:val="18"/>
              </w:rPr>
              <w:t>占应收账款总额的</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240"/>
        <w:gridCol w:w="1440"/>
        <w:gridCol w:w="1800"/>
        <w:gridCol w:w="1535"/>
        <w:gridCol w:w="1582"/>
      </w:tblGrid>
      <w:tr>
        <w:trPr>
          <w:trHeight w:val="511" w:hRule="exact"/>
        </w:trPr>
        <w:tc>
          <w:tcPr>
            <w:tcW w:w="32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吉林紫鑫红石种养殖有限公司</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left="44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9"/>
              <w:ind w:right="2"/>
              <w:jc w:val="right"/>
              <w:rPr>
                <w:rFonts w:ascii="Times New Roman" w:hAnsi="Times New Roman" w:cs="Times New Roman" w:eastAsia="Times New Roman" w:hint="default"/>
                <w:sz w:val="18"/>
                <w:szCs w:val="18"/>
              </w:rPr>
            </w:pPr>
            <w:r>
              <w:rPr>
                <w:rFonts w:ascii="Times New Roman"/>
                <w:spacing w:val="-1"/>
                <w:sz w:val="18"/>
              </w:rPr>
              <w:t>179,392,307.97</w:t>
            </w:r>
          </w:p>
        </w:tc>
        <w:tc>
          <w:tcPr>
            <w:tcW w:w="15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58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9"/>
              <w:ind w:right="7"/>
              <w:jc w:val="right"/>
              <w:rPr>
                <w:rFonts w:ascii="Times New Roman" w:hAnsi="Times New Roman" w:cs="Times New Roman" w:eastAsia="Times New Roman" w:hint="default"/>
                <w:sz w:val="18"/>
                <w:szCs w:val="18"/>
              </w:rPr>
            </w:pPr>
            <w:r>
              <w:rPr>
                <w:rFonts w:ascii="Times New Roman"/>
                <w:sz w:val="18"/>
              </w:rPr>
              <w:t>29.96%</w:t>
            </w:r>
          </w:p>
        </w:tc>
      </w:tr>
      <w:tr>
        <w:trPr>
          <w:trHeight w:val="508" w:hRule="exact"/>
        </w:trPr>
        <w:tc>
          <w:tcPr>
            <w:tcW w:w="32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吉林紫鑫般若药业有限公司</w:t>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44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2"/>
              <w:jc w:val="right"/>
              <w:rPr>
                <w:rFonts w:ascii="Times New Roman" w:hAnsi="Times New Roman" w:cs="Times New Roman" w:eastAsia="Times New Roman" w:hint="default"/>
                <w:sz w:val="18"/>
                <w:szCs w:val="18"/>
              </w:rPr>
            </w:pPr>
            <w:r>
              <w:rPr>
                <w:rFonts w:ascii="Times New Roman"/>
                <w:spacing w:val="-1"/>
                <w:sz w:val="18"/>
              </w:rPr>
              <w:t>144,670,225.86</w:t>
            </w: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三至四年</w:t>
            </w:r>
          </w:p>
        </w:tc>
        <w:tc>
          <w:tcPr>
            <w:tcW w:w="15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z w:val="18"/>
              </w:rPr>
              <w:t>24.16%</w:t>
            </w:r>
          </w:p>
        </w:tc>
      </w:tr>
      <w:tr>
        <w:trPr>
          <w:trHeight w:val="509" w:hRule="exact"/>
        </w:trPr>
        <w:tc>
          <w:tcPr>
            <w:tcW w:w="32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吉林紫鑫初元药业有限公司</w:t>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44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2"/>
              <w:jc w:val="right"/>
              <w:rPr>
                <w:rFonts w:ascii="Times New Roman" w:hAnsi="Times New Roman" w:cs="Times New Roman" w:eastAsia="Times New Roman" w:hint="default"/>
                <w:sz w:val="18"/>
                <w:szCs w:val="18"/>
              </w:rPr>
            </w:pPr>
            <w:r>
              <w:rPr>
                <w:rFonts w:ascii="Times New Roman"/>
                <w:spacing w:val="-1"/>
                <w:sz w:val="18"/>
              </w:rPr>
              <w:t>107,862,981.49</w:t>
            </w: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一至二年</w:t>
            </w:r>
          </w:p>
        </w:tc>
        <w:tc>
          <w:tcPr>
            <w:tcW w:w="15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z w:val="18"/>
              </w:rPr>
              <w:t>18.01%</w:t>
            </w:r>
          </w:p>
        </w:tc>
      </w:tr>
      <w:tr>
        <w:trPr>
          <w:trHeight w:val="508" w:hRule="exact"/>
        </w:trPr>
        <w:tc>
          <w:tcPr>
            <w:tcW w:w="32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吉林草还丹药业有限公司</w:t>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44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67,477,163.85</w:t>
            </w: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5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z w:val="18"/>
              </w:rPr>
              <w:t>11.27%</w:t>
            </w:r>
          </w:p>
        </w:tc>
      </w:tr>
      <w:tr>
        <w:trPr>
          <w:trHeight w:val="508" w:hRule="exact"/>
        </w:trPr>
        <w:tc>
          <w:tcPr>
            <w:tcW w:w="32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吉林中科紫鑫科技有限公司</w:t>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44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20,350,000.00</w:t>
            </w: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5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z w:val="18"/>
              </w:rPr>
              <w:t>3.40%</w:t>
            </w:r>
          </w:p>
        </w:tc>
      </w:tr>
      <w:tr>
        <w:trPr>
          <w:trHeight w:val="509" w:hRule="exact"/>
        </w:trPr>
        <w:tc>
          <w:tcPr>
            <w:tcW w:w="32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吉林紫鑫敦化医药药材有限责任公司</w:t>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44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13,296,182.08</w:t>
            </w: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一至二年</w:t>
            </w:r>
          </w:p>
        </w:tc>
        <w:tc>
          <w:tcPr>
            <w:tcW w:w="15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z w:val="18"/>
              </w:rPr>
              <w:t>2.22%</w:t>
            </w:r>
          </w:p>
        </w:tc>
      </w:tr>
      <w:tr>
        <w:trPr>
          <w:trHeight w:val="508" w:hRule="exact"/>
        </w:trPr>
        <w:tc>
          <w:tcPr>
            <w:tcW w:w="32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吉林紫鑫人参研发有限公司</w:t>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44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z w:val="18"/>
              </w:rPr>
              <w:t>500,000.00</w:t>
            </w: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三至四年</w:t>
            </w:r>
          </w:p>
        </w:tc>
        <w:tc>
          <w:tcPr>
            <w:tcW w:w="15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z w:val="18"/>
              </w:rPr>
              <w:t>0.08%</w:t>
            </w:r>
          </w:p>
        </w:tc>
      </w:tr>
      <w:tr>
        <w:trPr>
          <w:trHeight w:val="508" w:hRule="exact"/>
        </w:trPr>
        <w:tc>
          <w:tcPr>
            <w:tcW w:w="32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吉林紫鑫药物研究有限公司</w:t>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44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z w:val="18"/>
              </w:rPr>
              <w:t>105,650.00</w:t>
            </w: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三至四年</w:t>
            </w:r>
          </w:p>
        </w:tc>
        <w:tc>
          <w:tcPr>
            <w:tcW w:w="15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z w:val="18"/>
              </w:rPr>
              <w:t>0.02%</w:t>
            </w:r>
          </w:p>
        </w:tc>
      </w:tr>
      <w:tr>
        <w:trPr>
          <w:trHeight w:val="509" w:hRule="exact"/>
        </w:trPr>
        <w:tc>
          <w:tcPr>
            <w:tcW w:w="32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吉林环境能源交易所有限公司</w:t>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44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z w:val="18"/>
              </w:rPr>
              <w:t>100,000.00</w:t>
            </w: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5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z w:val="18"/>
              </w:rPr>
              <w:t>0.02%</w:t>
            </w:r>
          </w:p>
        </w:tc>
      </w:tr>
      <w:tr>
        <w:trPr>
          <w:trHeight w:val="508" w:hRule="exact"/>
        </w:trPr>
        <w:tc>
          <w:tcPr>
            <w:tcW w:w="32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吉林紫鑫禺拙药业有限公司</w:t>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44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z w:val="18"/>
              </w:rPr>
              <w:t>18,634.50</w:t>
            </w: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582" w:type="dxa"/>
            <w:tcBorders>
              <w:top w:val="single" w:sz="12" w:space="0" w:color="000000"/>
              <w:left w:val="single" w:sz="6" w:space="0" w:color="000000"/>
              <w:bottom w:val="single" w:sz="12" w:space="0" w:color="000000"/>
              <w:right w:val="nil" w:sz="6" w:space="0" w:color="auto"/>
            </w:tcBorders>
          </w:tcPr>
          <w:p>
            <w:pPr/>
          </w:p>
        </w:tc>
      </w:tr>
      <w:tr>
        <w:trPr>
          <w:trHeight w:val="508" w:hRule="exact"/>
        </w:trPr>
        <w:tc>
          <w:tcPr>
            <w:tcW w:w="3240" w:type="dxa"/>
            <w:tcBorders>
              <w:top w:val="single" w:sz="12" w:space="0" w:color="000000"/>
              <w:left w:val="single" w:sz="6" w:space="0" w:color="000000"/>
              <w:bottom w:val="single" w:sz="12" w:space="0" w:color="000000"/>
              <w:right w:val="single" w:sz="6" w:space="0" w:color="000000"/>
            </w:tcBorders>
          </w:tcPr>
          <w:p>
            <w:pPr>
              <w:pStyle w:val="TableParagraph"/>
              <w:tabs>
                <w:tab w:pos="472" w:val="left" w:leader="none"/>
              </w:tabs>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40" w:type="dxa"/>
            <w:tcBorders>
              <w:top w:val="single" w:sz="12" w:space="0" w:color="000000"/>
              <w:left w:val="single" w:sz="6" w:space="0" w:color="000000"/>
              <w:bottom w:val="single" w:sz="12" w:space="0" w:color="000000"/>
              <w:right w:val="single" w:sz="6" w:space="0" w:color="000000"/>
            </w:tcBorders>
          </w:tcPr>
          <w:p>
            <w:pP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533,773,145.75</w:t>
            </w:r>
          </w:p>
        </w:tc>
        <w:tc>
          <w:tcPr>
            <w:tcW w:w="1535" w:type="dxa"/>
            <w:tcBorders>
              <w:top w:val="single" w:sz="12" w:space="0" w:color="000000"/>
              <w:left w:val="single" w:sz="6" w:space="0" w:color="000000"/>
              <w:bottom w:val="single" w:sz="12" w:space="0" w:color="000000"/>
              <w:right w:val="single" w:sz="6" w:space="0" w:color="000000"/>
            </w:tcBorders>
          </w:tcPr>
          <w:p>
            <w:pPr/>
          </w:p>
        </w:tc>
        <w:tc>
          <w:tcPr>
            <w:tcW w:w="15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z w:val="18"/>
              </w:rPr>
              <w:t>89.14%</w:t>
            </w:r>
          </w:p>
        </w:tc>
      </w:tr>
    </w:tbl>
    <w:p>
      <w:pPr>
        <w:spacing w:line="240" w:lineRule="auto" w:before="4"/>
        <w:rPr>
          <w:rFonts w:ascii="宋体" w:hAnsi="宋体" w:cs="宋体" w:eastAsia="宋体" w:hint="default"/>
          <w:sz w:val="11"/>
          <w:szCs w:val="11"/>
        </w:rPr>
      </w:pPr>
    </w:p>
    <w:p>
      <w:pPr>
        <w:pStyle w:val="BodyText"/>
        <w:spacing w:line="240" w:lineRule="auto" w:before="35"/>
        <w:ind w:left="574" w:right="0"/>
        <w:jc w:val="left"/>
      </w:pPr>
      <w:r>
        <w:rPr/>
        <w:t>（</w:t>
      </w:r>
      <w:r>
        <w:rPr>
          <w:rFonts w:ascii="Times New Roman" w:hAnsi="Times New Roman" w:cs="Times New Roman" w:eastAsia="Times New Roman" w:hint="default"/>
        </w:rPr>
        <w:t>3</w:t>
      </w:r>
      <w:r>
        <w:rPr/>
        <w:t>）本公司本期不存在因金融资产转移而终止确认的应收款项情况。</w:t>
      </w:r>
    </w:p>
    <w:p>
      <w:pPr>
        <w:pStyle w:val="BodyText"/>
        <w:spacing w:line="240" w:lineRule="auto" w:before="177"/>
        <w:ind w:left="573" w:right="0"/>
        <w:jc w:val="left"/>
      </w:pPr>
      <w:r>
        <w:rPr/>
        <w:t>（</w:t>
      </w:r>
      <w:r>
        <w:rPr>
          <w:rFonts w:ascii="Times New Roman" w:hAnsi="Times New Roman" w:cs="Times New Roman" w:eastAsia="Times New Roman" w:hint="default"/>
        </w:rPr>
        <w:t>4</w:t>
      </w:r>
      <w:r>
        <w:rPr/>
        <w:t>）本公司本期不存在未全部终止确认的被转移的应收款项情况。</w:t>
      </w:r>
    </w:p>
    <w:p>
      <w:pPr>
        <w:pStyle w:val="BodyText"/>
        <w:spacing w:line="240" w:lineRule="auto" w:before="177"/>
        <w:ind w:left="573" w:right="0"/>
        <w:jc w:val="left"/>
      </w:pPr>
      <w:r>
        <w:rPr/>
        <w:t>（</w:t>
      </w:r>
      <w:r>
        <w:rPr>
          <w:rFonts w:ascii="Times New Roman" w:hAnsi="Times New Roman" w:cs="Times New Roman" w:eastAsia="Times New Roman" w:hint="default"/>
        </w:rPr>
        <w:t>5</w:t>
      </w:r>
      <w:r>
        <w:rPr/>
        <w:t>）本公司本期不存在核销与终止确认的应收款项。</w:t>
      </w:r>
    </w:p>
    <w:p>
      <w:pPr>
        <w:spacing w:line="240" w:lineRule="auto" w:before="0"/>
        <w:rPr>
          <w:rFonts w:ascii="宋体" w:hAnsi="宋体" w:cs="宋体" w:eastAsia="宋体" w:hint="default"/>
          <w:sz w:val="22"/>
          <w:szCs w:val="22"/>
        </w:rPr>
      </w:pPr>
    </w:p>
    <w:p>
      <w:pPr>
        <w:pStyle w:val="Heading4"/>
        <w:spacing w:line="240" w:lineRule="auto" w:before="189"/>
        <w:ind w:right="0"/>
        <w:jc w:val="left"/>
        <w:rPr>
          <w:b w:val="0"/>
          <w:bCs w:val="0"/>
        </w:rPr>
      </w:pPr>
      <w:bookmarkStart w:name="3、长期股权投资" w:id="332"/>
      <w:bookmarkEnd w:id="332"/>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84"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69"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78"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84"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558"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1,173,687,641.41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1,173,687,641.41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1,158,287,641.41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1,157,687,641.41</w:t>
            </w:r>
          </w:p>
        </w:tc>
      </w:tr>
      <w:tr>
        <w:trPr>
          <w:trHeight w:val="1026"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558"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1,173,687,641.41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1,173,687,641.41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1,158,287,641.41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1,158,287,641.41</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1）对子公司投资" w:id="333"/>
      <w:bookmarkEnd w:id="333"/>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1026"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53"/>
              <w:jc w:val="left"/>
              <w:rPr>
                <w:rFonts w:ascii="宋体" w:hAnsi="宋体" w:cs="宋体" w:eastAsia="宋体" w:hint="default"/>
                <w:sz w:val="18"/>
                <w:szCs w:val="18"/>
              </w:rPr>
            </w:pPr>
            <w:r>
              <w:rPr>
                <w:rFonts w:ascii="宋体" w:hAnsi="宋体" w:cs="宋体" w:eastAsia="宋体" w:hint="default"/>
                <w:sz w:val="18"/>
                <w:szCs w:val="18"/>
              </w:rPr>
              <w:t>吉林紫鑫般若药 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159,890,000.00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159,890,000.00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53"/>
              <w:jc w:val="left"/>
              <w:rPr>
                <w:rFonts w:ascii="宋体" w:hAnsi="宋体" w:cs="宋体" w:eastAsia="宋体" w:hint="default"/>
                <w:sz w:val="18"/>
                <w:szCs w:val="18"/>
              </w:rPr>
            </w:pPr>
            <w:r>
              <w:rPr>
                <w:rFonts w:ascii="宋体" w:hAnsi="宋体" w:cs="宋体" w:eastAsia="宋体" w:hint="default"/>
                <w:sz w:val="18"/>
                <w:szCs w:val="18"/>
              </w:rPr>
              <w:t>吉林紫鑫初元药 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319,930,000.00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319,930,000.00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53"/>
              <w:jc w:val="left"/>
              <w:rPr>
                <w:rFonts w:ascii="宋体" w:hAnsi="宋体" w:cs="宋体" w:eastAsia="宋体" w:hint="default"/>
                <w:sz w:val="18"/>
                <w:szCs w:val="18"/>
              </w:rPr>
            </w:pPr>
            <w:r>
              <w:rPr>
                <w:rFonts w:ascii="宋体" w:hAnsi="宋体" w:cs="宋体" w:eastAsia="宋体" w:hint="default"/>
                <w:sz w:val="18"/>
                <w:szCs w:val="18"/>
              </w:rPr>
              <w:t>吉林草还丹药业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293,337,641.41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293,337,641.41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53"/>
              <w:jc w:val="left"/>
              <w:rPr>
                <w:rFonts w:ascii="宋体" w:hAnsi="宋体" w:cs="宋体" w:eastAsia="宋体" w:hint="default"/>
                <w:sz w:val="18"/>
                <w:szCs w:val="18"/>
              </w:rPr>
            </w:pPr>
            <w:r>
              <w:rPr>
                <w:rFonts w:ascii="宋体" w:hAnsi="宋体" w:cs="宋体" w:eastAsia="宋体" w:hint="default"/>
                <w:sz w:val="18"/>
                <w:szCs w:val="18"/>
              </w:rPr>
              <w:t>吉林紫鑫禺拙药 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299,540,000.00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299,540,000.00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53"/>
              <w:jc w:val="left"/>
              <w:rPr>
                <w:rFonts w:ascii="宋体" w:hAnsi="宋体" w:cs="宋体" w:eastAsia="宋体" w:hint="default"/>
                <w:sz w:val="18"/>
                <w:szCs w:val="18"/>
              </w:rPr>
            </w:pPr>
            <w:r>
              <w:rPr>
                <w:rFonts w:ascii="宋体" w:hAnsi="宋体" w:cs="宋体" w:eastAsia="宋体" w:hint="default"/>
                <w:sz w:val="18"/>
                <w:szCs w:val="18"/>
              </w:rPr>
              <w:t>吉林紫鑫敦化医 药药材有限公司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53"/>
              <w:jc w:val="left"/>
              <w:rPr>
                <w:rFonts w:ascii="宋体" w:hAnsi="宋体" w:cs="宋体" w:eastAsia="宋体" w:hint="default"/>
                <w:sz w:val="18"/>
                <w:szCs w:val="18"/>
              </w:rPr>
            </w:pPr>
            <w:r>
              <w:rPr>
                <w:rFonts w:ascii="宋体" w:hAnsi="宋体" w:cs="宋体" w:eastAsia="宋体" w:hint="default"/>
                <w:sz w:val="18"/>
                <w:szCs w:val="18"/>
              </w:rPr>
              <w:t>吉林紫鑫红石种 养殖有限公司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53"/>
              <w:jc w:val="left"/>
              <w:rPr>
                <w:rFonts w:ascii="宋体" w:hAnsi="宋体" w:cs="宋体" w:eastAsia="宋体" w:hint="default"/>
                <w:sz w:val="18"/>
                <w:szCs w:val="18"/>
              </w:rPr>
            </w:pPr>
            <w:r>
              <w:rPr>
                <w:rFonts w:ascii="宋体" w:hAnsi="宋体" w:cs="宋体" w:eastAsia="宋体" w:hint="default"/>
                <w:sz w:val="18"/>
                <w:szCs w:val="18"/>
              </w:rPr>
              <w:t>吉林紫鑫人参销 售有限公司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53"/>
              <w:jc w:val="left"/>
              <w:rPr>
                <w:rFonts w:ascii="宋体" w:hAnsi="宋体" w:cs="宋体" w:eastAsia="宋体" w:hint="default"/>
                <w:sz w:val="18"/>
                <w:szCs w:val="18"/>
              </w:rPr>
            </w:pPr>
            <w:r>
              <w:rPr>
                <w:rFonts w:ascii="宋体" w:hAnsi="宋体" w:cs="宋体" w:eastAsia="宋体" w:hint="default"/>
                <w:sz w:val="18"/>
                <w:szCs w:val="18"/>
              </w:rPr>
              <w:t>吉林紫鑫药物研 究有限公司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53"/>
              <w:jc w:val="left"/>
              <w:rPr>
                <w:rFonts w:ascii="宋体" w:hAnsi="宋体" w:cs="宋体" w:eastAsia="宋体" w:hint="default"/>
                <w:sz w:val="18"/>
                <w:szCs w:val="18"/>
              </w:rPr>
            </w:pPr>
            <w:r>
              <w:rPr>
                <w:rFonts w:ascii="宋体" w:hAnsi="宋体" w:cs="宋体" w:eastAsia="宋体" w:hint="default"/>
                <w:sz w:val="18"/>
                <w:szCs w:val="18"/>
              </w:rPr>
              <w:t>吉林紫鑫人参研 发有限公司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53"/>
              <w:jc w:val="left"/>
              <w:rPr>
                <w:rFonts w:ascii="宋体" w:hAnsi="宋体" w:cs="宋体" w:eastAsia="宋体" w:hint="default"/>
                <w:sz w:val="18"/>
                <w:szCs w:val="18"/>
              </w:rPr>
            </w:pPr>
            <w:r>
              <w:rPr>
                <w:rFonts w:ascii="宋体" w:hAnsi="宋体" w:cs="宋体" w:eastAsia="宋体" w:hint="default"/>
                <w:sz w:val="18"/>
                <w:szCs w:val="18"/>
              </w:rPr>
              <w:t>吉林中科紫鑫科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53"/>
              <w:jc w:val="left"/>
              <w:rPr>
                <w:rFonts w:ascii="宋体" w:hAnsi="宋体" w:cs="宋体" w:eastAsia="宋体" w:hint="default"/>
                <w:sz w:val="18"/>
                <w:szCs w:val="18"/>
              </w:rPr>
            </w:pPr>
            <w:r>
              <w:rPr>
                <w:rFonts w:ascii="宋体" w:hAnsi="宋体" w:cs="宋体" w:eastAsia="宋体" w:hint="default"/>
                <w:sz w:val="18"/>
                <w:szCs w:val="18"/>
              </w:rPr>
              <w:t>吉林环境能源交 易所有线公司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16,000,000.00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1,158,287,641.41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16,000,000.00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1,173,687,641.41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p>
      <w:pPr>
        <w:pStyle w:val="Heading4"/>
        <w:spacing w:line="240" w:lineRule="auto"/>
        <w:ind w:right="0"/>
        <w:jc w:val="left"/>
        <w:rPr>
          <w:b w:val="0"/>
          <w:bCs w:val="0"/>
        </w:rPr>
      </w:pPr>
      <w:bookmarkStart w:name="（2）其他说明" w:id="334"/>
      <w:bookmarkEnd w:id="334"/>
      <w:r>
        <w:rPr>
          <w:b w:val="0"/>
          <w:bCs w:val="0"/>
        </w:rPr>
      </w:r>
      <w:r>
        <w:rPr/>
        <w:t>（</w:t>
      </w:r>
      <w:r>
        <w:rPr>
          <w:rFonts w:ascii="Times New Roman" w:hAnsi="Times New Roman" w:cs="Times New Roman" w:eastAsia="Times New Roman" w:hint="default"/>
        </w:rPr>
        <w:t>2</w:t>
      </w:r>
      <w:r>
        <w:rPr/>
        <w:t>）其他说明</w:t>
      </w:r>
      <w:r>
        <w:rPr>
          <w:b w:val="0"/>
          <w:bCs w:val="0"/>
        </w:rPr>
      </w:r>
    </w:p>
    <w:p>
      <w:pPr>
        <w:spacing w:line="240" w:lineRule="auto" w:before="0"/>
        <w:rPr>
          <w:rFonts w:ascii="宋体" w:hAnsi="宋体" w:cs="宋体" w:eastAsia="宋体" w:hint="default"/>
          <w:b/>
          <w:bCs/>
          <w:sz w:val="22"/>
          <w:szCs w:val="22"/>
        </w:rPr>
      </w:pPr>
    </w:p>
    <w:p>
      <w:pPr>
        <w:pStyle w:val="BodyText"/>
        <w:spacing w:line="393" w:lineRule="auto" w:before="189"/>
        <w:ind w:right="1049" w:firstLine="336"/>
        <w:jc w:val="left"/>
      </w:pPr>
      <w:r>
        <w:rPr>
          <w:rFonts w:ascii="宋体" w:hAnsi="宋体" w:cs="宋体" w:eastAsia="宋体" w:hint="default"/>
        </w:rPr>
        <w:t>2013</w:t>
      </w:r>
      <w:r>
        <w:rPr>
          <w:rFonts w:ascii="宋体" w:hAnsi="宋体" w:cs="宋体" w:eastAsia="宋体" w:hint="default"/>
          <w:spacing w:val="-58"/>
        </w:rPr>
        <w:t> </w:t>
      </w:r>
      <w:r>
        <w:rPr/>
        <w:t>年</w:t>
      </w:r>
      <w:r>
        <w:rPr>
          <w:spacing w:val="-59"/>
        </w:rPr>
        <w:t> </w:t>
      </w:r>
      <w:r>
        <w:rPr>
          <w:rFonts w:ascii="宋体" w:hAnsi="宋体" w:cs="宋体" w:eastAsia="宋体" w:hint="default"/>
        </w:rPr>
        <w:t>5</w:t>
      </w:r>
      <w:r>
        <w:rPr>
          <w:rFonts w:ascii="宋体" w:hAnsi="宋体" w:cs="宋体" w:eastAsia="宋体" w:hint="default"/>
          <w:spacing w:val="-58"/>
        </w:rPr>
        <w:t> </w:t>
      </w:r>
      <w:r>
        <w:rPr/>
        <w:t>月</w:t>
      </w:r>
      <w:r>
        <w:rPr>
          <w:spacing w:val="-57"/>
        </w:rPr>
        <w:t> </w:t>
      </w:r>
      <w:r>
        <w:rPr>
          <w:rFonts w:ascii="宋体" w:hAnsi="宋体" w:cs="宋体" w:eastAsia="宋体" w:hint="default"/>
        </w:rPr>
        <w:t>28</w:t>
      </w:r>
      <w:r>
        <w:rPr>
          <w:rFonts w:ascii="宋体" w:hAnsi="宋体" w:cs="宋体" w:eastAsia="宋体" w:hint="default"/>
          <w:spacing w:val="-58"/>
        </w:rPr>
        <w:t> </w:t>
      </w:r>
      <w:r>
        <w:rPr>
          <w:spacing w:val="-3"/>
        </w:rPr>
        <w:t>日经公司第五届董事会第一次会议审议通过，本公司以</w:t>
      </w:r>
      <w:r>
        <w:rPr>
          <w:spacing w:val="-57"/>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元对价受让吉林省新能源投资 有限公司持有的吉林环境能源交易所有限公司（以下简称</w:t>
      </w:r>
      <w:r>
        <w:rPr>
          <w:rFonts w:ascii="Calibri" w:hAnsi="Calibri" w:cs="Calibri" w:eastAsia="Calibri" w:hint="default"/>
        </w:rPr>
        <w:t>“</w:t>
      </w:r>
      <w:r>
        <w:rPr/>
        <w:t>能源交易所公司</w:t>
      </w:r>
      <w:r>
        <w:rPr>
          <w:rFonts w:ascii="Calibri" w:hAnsi="Calibri" w:cs="Calibri" w:eastAsia="Calibri" w:hint="default"/>
        </w:rPr>
        <w:t>”</w:t>
      </w:r>
      <w:r>
        <w:rPr/>
        <w:t>）</w:t>
      </w:r>
      <w:r>
        <w:rPr>
          <w:rFonts w:ascii="宋体" w:hAnsi="宋体" w:cs="宋体" w:eastAsia="宋体" w:hint="default"/>
        </w:rPr>
        <w:t>28%</w:t>
      </w:r>
      <w:r>
        <w:rPr/>
        <w:t>的股权，</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20</w:t>
      </w:r>
      <w:r>
        <w:rPr>
          <w:rFonts w:ascii="宋体" w:hAnsi="宋体" w:cs="宋体" w:eastAsia="宋体" w:hint="default"/>
          <w:spacing w:val="-1"/>
        </w:rPr>
        <w:t> </w:t>
      </w:r>
      <w:r>
        <w:rPr/>
        <w:t>日公司第五届董事会第九次会议审议通过，同意公司以</w:t>
      </w:r>
      <w:r>
        <w:rPr>
          <w:rFonts w:ascii="Times New Roman" w:hAnsi="Times New Roman" w:cs="Times New Roman" w:eastAsia="Times New Roman" w:hint="default"/>
        </w:rPr>
        <w:t>0</w:t>
      </w:r>
      <w:r>
        <w:rPr/>
        <w:t>元对价受让吉林长春产权交易中心持有的能源交 易所公司</w:t>
      </w:r>
      <w:r>
        <w:rPr>
          <w:rFonts w:ascii="宋体" w:hAnsi="宋体" w:cs="宋体" w:eastAsia="宋体" w:hint="default"/>
        </w:rPr>
        <w:t>28%</w:t>
      </w:r>
      <w:r>
        <w:rPr/>
        <w:t>的股权、吉林省瑞特环境科技股份有限公司持有的能源交易所公司</w:t>
      </w:r>
      <w:r>
        <w:rPr>
          <w:rFonts w:ascii="宋体" w:hAnsi="宋体" w:cs="宋体" w:eastAsia="宋体" w:hint="default"/>
        </w:rPr>
        <w:t>12%</w:t>
      </w:r>
      <w:r>
        <w:rPr/>
        <w:t>的股权；以上所转让股 权是三家公司认缴注册资本尚未出资部分金额。本次股权转让后，公司合计持有能源交易所公司注册资本 </w:t>
      </w:r>
      <w:r>
        <w:rPr>
          <w:rFonts w:ascii="宋体" w:hAnsi="宋体" w:cs="宋体" w:eastAsia="宋体" w:hint="default"/>
        </w:rPr>
        <w:t>83%</w:t>
      </w:r>
      <w:r>
        <w:rPr/>
        <w:t>的股权，本公司</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7</w:t>
      </w:r>
      <w:r>
        <w:rPr/>
        <w:t>日支付了对吉林环境能源交易所有限公司的股权受让及增资款</w:t>
      </w:r>
      <w:r>
        <w:rPr>
          <w:rFonts w:ascii="宋体" w:hAnsi="宋体" w:cs="宋体" w:eastAsia="宋体" w:hint="default"/>
        </w:rPr>
        <w:t>1,600</w:t>
      </w:r>
      <w:r>
        <w:rPr/>
        <w:t>万元</w:t>
      </w:r>
      <w:r>
        <w:rPr>
          <w:spacing w:val="-61"/>
        </w:rPr>
        <w:t> </w:t>
      </w:r>
      <w:r>
        <w:rPr/>
        <w:t>，</w:t>
      </w:r>
    </w:p>
    <w:p>
      <w:pPr>
        <w:pStyle w:val="BodyText"/>
        <w:spacing w:line="240" w:lineRule="auto" w:before="58"/>
        <w:ind w:right="0"/>
        <w:jc w:val="left"/>
      </w:pP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10</w:t>
      </w:r>
      <w:r>
        <w:rPr/>
        <w:t>日能源交易所公司取得工商行政管理局变更后的营业执照</w:t>
      </w:r>
      <w:r>
        <w:rPr>
          <w:spacing w:val="-59"/>
        </w:rPr>
        <w:t> </w:t>
      </w: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4"/>
        <w:spacing w:line="240" w:lineRule="auto"/>
        <w:ind w:right="0"/>
        <w:jc w:val="left"/>
        <w:rPr>
          <w:b w:val="0"/>
          <w:bCs w:val="0"/>
        </w:rPr>
      </w:pPr>
      <w:bookmarkStart w:name="4、营业收入和营业成本" w:id="335"/>
      <w:bookmarkEnd w:id="33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84"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74"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74"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83"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558"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497,617,630.37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216,194,213.18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579,990,663.38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242,337,787.22</w:t>
            </w:r>
          </w:p>
        </w:tc>
      </w:tr>
      <w:tr>
        <w:trPr>
          <w:trHeight w:val="558"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210,858.35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210,858.35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920.00</w:t>
            </w:r>
          </w:p>
        </w:tc>
      </w:tr>
      <w:tr>
        <w:trPr>
          <w:trHeight w:val="559"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497,828,488.72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216,405,071.53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579,991,583.38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242,338,707.22</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4"/>
          <w:szCs w:val="24"/>
        </w:rPr>
      </w:pPr>
    </w:p>
    <w:p>
      <w:pPr>
        <w:pStyle w:val="BodyText"/>
        <w:spacing w:line="240" w:lineRule="auto"/>
        <w:ind w:left="574" w:right="0"/>
        <w:jc w:val="left"/>
      </w:pPr>
      <w:r>
        <w:rPr/>
        <w:t>（</w:t>
      </w:r>
      <w:r>
        <w:rPr>
          <w:rFonts w:ascii="Times New Roman" w:hAnsi="Times New Roman" w:cs="Times New Roman" w:eastAsia="Times New Roman" w:hint="default"/>
        </w:rPr>
        <w:t>2</w:t>
      </w:r>
      <w:r>
        <w:rPr/>
        <w:t>）按行业分类：</w:t>
      </w:r>
    </w:p>
    <w:p>
      <w:pPr>
        <w:spacing w:line="240" w:lineRule="auto" w:before="9"/>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1067"/>
        <w:gridCol w:w="1412"/>
        <w:gridCol w:w="1511"/>
        <w:gridCol w:w="1394"/>
        <w:gridCol w:w="1396"/>
        <w:gridCol w:w="1476"/>
        <w:gridCol w:w="1402"/>
      </w:tblGrid>
      <w:tr>
        <w:trPr>
          <w:trHeight w:val="511" w:hRule="exact"/>
        </w:trPr>
        <w:tc>
          <w:tcPr>
            <w:tcW w:w="1067" w:type="dxa"/>
            <w:vMerge w:val="restart"/>
            <w:tcBorders>
              <w:top w:val="single" w:sz="6" w:space="0" w:color="000000"/>
              <w:left w:val="single" w:sz="6" w:space="0" w:color="000000"/>
              <w:right w:val="single" w:sz="6" w:space="0" w:color="000000"/>
            </w:tcBorders>
          </w:tcPr>
          <w:p>
            <w:pPr>
              <w:pStyle w:val="TableParagraph"/>
              <w:spacing w:line="240" w:lineRule="auto" w:before="99"/>
              <w:ind w:left="273" w:right="0"/>
              <w:jc w:val="left"/>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spacing w:val="55"/>
                <w:sz w:val="18"/>
                <w:szCs w:val="18"/>
              </w:rPr>
              <w:t> </w:t>
            </w:r>
            <w:r>
              <w:rPr>
                <w:rFonts w:ascii="宋体" w:hAnsi="宋体" w:cs="宋体" w:eastAsia="宋体" w:hint="default"/>
                <w:sz w:val="18"/>
                <w:szCs w:val="18"/>
              </w:rPr>
              <w:t>业</w:t>
            </w:r>
          </w:p>
        </w:tc>
        <w:tc>
          <w:tcPr>
            <w:tcW w:w="4318"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74"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99"/>
              <w:ind w:right="7"/>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8" w:hRule="exact"/>
        </w:trPr>
        <w:tc>
          <w:tcPr>
            <w:tcW w:w="1067" w:type="dxa"/>
            <w:vMerge/>
            <w:tcBorders>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33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38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330" w:right="0"/>
              <w:jc w:val="left"/>
              <w:rPr>
                <w:rFonts w:ascii="宋体" w:hAnsi="宋体" w:cs="宋体" w:eastAsia="宋体" w:hint="default"/>
                <w:sz w:val="18"/>
                <w:szCs w:val="18"/>
              </w:rPr>
            </w:pPr>
            <w:r>
              <w:rPr>
                <w:rFonts w:ascii="宋体" w:hAnsi="宋体" w:cs="宋体" w:eastAsia="宋体" w:hint="default"/>
                <w:sz w:val="18"/>
                <w:szCs w:val="18"/>
              </w:rPr>
              <w:t>营业毛利</w:t>
            </w:r>
          </w:p>
        </w:tc>
        <w:tc>
          <w:tcPr>
            <w:tcW w:w="13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32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37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8"/>
              <w:ind w:left="333" w:right="0"/>
              <w:jc w:val="left"/>
              <w:rPr>
                <w:rFonts w:ascii="宋体" w:hAnsi="宋体" w:cs="宋体" w:eastAsia="宋体" w:hint="default"/>
                <w:sz w:val="18"/>
                <w:szCs w:val="18"/>
              </w:rPr>
            </w:pPr>
            <w:r>
              <w:rPr>
                <w:rFonts w:ascii="宋体" w:hAnsi="宋体" w:cs="宋体" w:eastAsia="宋体" w:hint="default"/>
                <w:sz w:val="18"/>
                <w:szCs w:val="18"/>
              </w:rPr>
              <w:t>营业毛利</w:t>
            </w:r>
          </w:p>
        </w:tc>
      </w:tr>
      <w:tr>
        <w:trPr>
          <w:trHeight w:val="509" w:hRule="exact"/>
        </w:trPr>
        <w:tc>
          <w:tcPr>
            <w:tcW w:w="10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328"/>
              <w:jc w:val="right"/>
              <w:rPr>
                <w:rFonts w:ascii="宋体" w:hAnsi="宋体" w:cs="宋体" w:eastAsia="宋体" w:hint="default"/>
                <w:sz w:val="18"/>
                <w:szCs w:val="18"/>
              </w:rPr>
            </w:pPr>
            <w:r>
              <w:rPr>
                <w:rFonts w:ascii="宋体" w:hAnsi="宋体" w:cs="宋体" w:eastAsia="宋体" w:hint="default"/>
                <w:sz w:val="18"/>
                <w:szCs w:val="18"/>
              </w:rPr>
              <w:t>医药行业</w:t>
            </w:r>
          </w:p>
        </w:tc>
        <w:tc>
          <w:tcPr>
            <w:tcW w:w="1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497,828,488.72</w:t>
            </w:r>
          </w:p>
        </w:tc>
        <w:tc>
          <w:tcPr>
            <w:tcW w:w="15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left="369" w:right="0"/>
              <w:jc w:val="left"/>
              <w:rPr>
                <w:rFonts w:ascii="Times New Roman" w:hAnsi="Times New Roman" w:cs="Times New Roman" w:eastAsia="Times New Roman" w:hint="default"/>
                <w:sz w:val="18"/>
                <w:szCs w:val="18"/>
              </w:rPr>
            </w:pPr>
            <w:r>
              <w:rPr>
                <w:rFonts w:ascii="Times New Roman"/>
                <w:sz w:val="18"/>
              </w:rPr>
              <w:t>216,405,071.53</w:t>
            </w:r>
          </w:p>
        </w:tc>
        <w:tc>
          <w:tcPr>
            <w:tcW w:w="13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281,423,417.19</w:t>
            </w:r>
          </w:p>
        </w:tc>
        <w:tc>
          <w:tcPr>
            <w:tcW w:w="13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579,991,583.38</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left="333" w:right="0"/>
              <w:jc w:val="left"/>
              <w:rPr>
                <w:rFonts w:ascii="Times New Roman" w:hAnsi="Times New Roman" w:cs="Times New Roman" w:eastAsia="Times New Roman" w:hint="default"/>
                <w:sz w:val="18"/>
                <w:szCs w:val="18"/>
              </w:rPr>
            </w:pPr>
            <w:r>
              <w:rPr>
                <w:rFonts w:ascii="Times New Roman"/>
                <w:sz w:val="18"/>
              </w:rPr>
              <w:t>242,338,707.22</w:t>
            </w:r>
          </w:p>
        </w:tc>
        <w:tc>
          <w:tcPr>
            <w:tcW w:w="1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337,652,876.16</w:t>
            </w:r>
          </w:p>
        </w:tc>
      </w:tr>
      <w:tr>
        <w:trPr>
          <w:trHeight w:val="508" w:hRule="exact"/>
        </w:trPr>
        <w:tc>
          <w:tcPr>
            <w:tcW w:w="10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271"/>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497,828,488.72</w:t>
            </w:r>
          </w:p>
        </w:tc>
        <w:tc>
          <w:tcPr>
            <w:tcW w:w="15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left="369" w:right="0"/>
              <w:jc w:val="left"/>
              <w:rPr>
                <w:rFonts w:ascii="Times New Roman" w:hAnsi="Times New Roman" w:cs="Times New Roman" w:eastAsia="Times New Roman" w:hint="default"/>
                <w:sz w:val="18"/>
                <w:szCs w:val="18"/>
              </w:rPr>
            </w:pPr>
            <w:r>
              <w:rPr>
                <w:rFonts w:ascii="Times New Roman"/>
                <w:sz w:val="18"/>
              </w:rPr>
              <w:t>216,405,071.53</w:t>
            </w:r>
          </w:p>
        </w:tc>
        <w:tc>
          <w:tcPr>
            <w:tcW w:w="13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281,423,417.19</w:t>
            </w:r>
          </w:p>
        </w:tc>
        <w:tc>
          <w:tcPr>
            <w:tcW w:w="13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579,991,583.38</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left="333" w:right="0"/>
              <w:jc w:val="left"/>
              <w:rPr>
                <w:rFonts w:ascii="Times New Roman" w:hAnsi="Times New Roman" w:cs="Times New Roman" w:eastAsia="Times New Roman" w:hint="default"/>
                <w:sz w:val="18"/>
                <w:szCs w:val="18"/>
              </w:rPr>
            </w:pPr>
            <w:r>
              <w:rPr>
                <w:rFonts w:ascii="Times New Roman"/>
                <w:sz w:val="18"/>
              </w:rPr>
              <w:t>242,338,707.22</w:t>
            </w:r>
          </w:p>
        </w:tc>
        <w:tc>
          <w:tcPr>
            <w:tcW w:w="1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337,652,876.16</w:t>
            </w:r>
          </w:p>
        </w:tc>
      </w:tr>
    </w:tbl>
    <w:p>
      <w:pPr>
        <w:spacing w:line="240" w:lineRule="auto" w:before="4"/>
        <w:rPr>
          <w:rFonts w:ascii="宋体" w:hAnsi="宋体" w:cs="宋体" w:eastAsia="宋体" w:hint="default"/>
          <w:sz w:val="11"/>
          <w:szCs w:val="11"/>
        </w:rPr>
      </w:pPr>
    </w:p>
    <w:p>
      <w:pPr>
        <w:pStyle w:val="BodyText"/>
        <w:spacing w:line="240" w:lineRule="auto" w:before="35"/>
        <w:ind w:left="574" w:right="0"/>
        <w:jc w:val="left"/>
      </w:pPr>
      <w:r>
        <w:rPr/>
        <w:t>（</w:t>
      </w:r>
      <w:r>
        <w:rPr>
          <w:rFonts w:ascii="Times New Roman" w:hAnsi="Times New Roman" w:cs="Times New Roman" w:eastAsia="Times New Roman" w:hint="default"/>
        </w:rPr>
        <w:t>3</w:t>
      </w:r>
      <w:r>
        <w:rPr/>
        <w:t>）按品种分类：</w:t>
      </w:r>
    </w:p>
    <w:p>
      <w:pPr>
        <w:spacing w:line="240" w:lineRule="auto" w:before="9"/>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1470"/>
        <w:gridCol w:w="1363"/>
        <w:gridCol w:w="1365"/>
        <w:gridCol w:w="1366"/>
        <w:gridCol w:w="1364"/>
        <w:gridCol w:w="1365"/>
        <w:gridCol w:w="1366"/>
      </w:tblGrid>
      <w:tr>
        <w:trPr>
          <w:trHeight w:val="511" w:hRule="exact"/>
        </w:trPr>
        <w:tc>
          <w:tcPr>
            <w:tcW w:w="1470" w:type="dxa"/>
            <w:vMerge w:val="restart"/>
            <w:tcBorders>
              <w:top w:val="single" w:sz="6" w:space="0" w:color="000000"/>
              <w:left w:val="single" w:sz="6" w:space="0" w:color="000000"/>
              <w:right w:val="single" w:sz="6" w:space="0" w:color="000000"/>
            </w:tcBorders>
          </w:tcPr>
          <w:p>
            <w:pPr>
              <w:pStyle w:val="TableParagraph"/>
              <w:spacing w:line="240" w:lineRule="auto" w:before="99"/>
              <w:ind w:left="475" w:right="0"/>
              <w:jc w:val="left"/>
              <w:rPr>
                <w:rFonts w:ascii="宋体" w:hAnsi="宋体" w:cs="宋体" w:eastAsia="宋体" w:hint="default"/>
                <w:sz w:val="18"/>
                <w:szCs w:val="18"/>
              </w:rPr>
            </w:pPr>
            <w:r>
              <w:rPr>
                <w:rFonts w:ascii="宋体" w:hAnsi="宋体" w:cs="宋体" w:eastAsia="宋体" w:hint="default"/>
                <w:sz w:val="18"/>
                <w:szCs w:val="18"/>
              </w:rPr>
              <w:t>品</w:t>
            </w:r>
            <w:r>
              <w:rPr>
                <w:rFonts w:ascii="宋体" w:hAnsi="宋体" w:cs="宋体" w:eastAsia="宋体" w:hint="default"/>
                <w:spacing w:val="55"/>
                <w:sz w:val="18"/>
                <w:szCs w:val="18"/>
              </w:rPr>
              <w:t> </w:t>
            </w:r>
            <w:r>
              <w:rPr>
                <w:rFonts w:ascii="宋体" w:hAnsi="宋体" w:cs="宋体" w:eastAsia="宋体" w:hint="default"/>
                <w:sz w:val="18"/>
                <w:szCs w:val="18"/>
              </w:rPr>
              <w:t>种</w:t>
            </w:r>
          </w:p>
        </w:tc>
        <w:tc>
          <w:tcPr>
            <w:tcW w:w="4094"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095"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99"/>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9" w:hRule="exact"/>
        </w:trPr>
        <w:tc>
          <w:tcPr>
            <w:tcW w:w="1470" w:type="dxa"/>
            <w:vMerge/>
            <w:tcBorders>
              <w:left w:val="single" w:sz="6" w:space="0" w:color="000000"/>
              <w:bottom w:val="single" w:sz="12" w:space="0" w:color="000000"/>
              <w:right w:val="single" w:sz="6" w:space="0" w:color="000000"/>
            </w:tcBorders>
          </w:tcPr>
          <w:p>
            <w:pPr/>
          </w:p>
        </w:tc>
        <w:tc>
          <w:tcPr>
            <w:tcW w:w="1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31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3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315" w:right="0"/>
              <w:jc w:val="left"/>
              <w:rPr>
                <w:rFonts w:ascii="宋体" w:hAnsi="宋体" w:cs="宋体" w:eastAsia="宋体" w:hint="default"/>
                <w:sz w:val="18"/>
                <w:szCs w:val="18"/>
              </w:rPr>
            </w:pPr>
            <w:r>
              <w:rPr>
                <w:rFonts w:ascii="宋体" w:hAnsi="宋体" w:cs="宋体" w:eastAsia="宋体" w:hint="default"/>
                <w:sz w:val="18"/>
                <w:szCs w:val="18"/>
              </w:rPr>
              <w:t>营业毛利</w:t>
            </w:r>
          </w:p>
        </w:tc>
        <w:tc>
          <w:tcPr>
            <w:tcW w:w="1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3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31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8"/>
              <w:ind w:left="315" w:right="0"/>
              <w:jc w:val="left"/>
              <w:rPr>
                <w:rFonts w:ascii="宋体" w:hAnsi="宋体" w:cs="宋体" w:eastAsia="宋体" w:hint="default"/>
                <w:sz w:val="18"/>
                <w:szCs w:val="18"/>
              </w:rPr>
            </w:pPr>
            <w:r>
              <w:rPr>
                <w:rFonts w:ascii="宋体" w:hAnsi="宋体" w:cs="宋体" w:eastAsia="宋体" w:hint="default"/>
                <w:sz w:val="18"/>
                <w:szCs w:val="18"/>
              </w:rPr>
              <w:t>营业毛利</w:t>
            </w:r>
          </w:p>
        </w:tc>
      </w:tr>
      <w:tr>
        <w:trPr>
          <w:trHeight w:val="508" w:hRule="exact"/>
        </w:trPr>
        <w:tc>
          <w:tcPr>
            <w:tcW w:w="14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457" w:right="0"/>
              <w:jc w:val="left"/>
              <w:rPr>
                <w:rFonts w:ascii="宋体" w:hAnsi="宋体" w:cs="宋体" w:eastAsia="宋体" w:hint="default"/>
                <w:sz w:val="18"/>
                <w:szCs w:val="18"/>
              </w:rPr>
            </w:pPr>
            <w:r>
              <w:rPr>
                <w:rFonts w:ascii="宋体" w:hAnsi="宋体" w:cs="宋体" w:eastAsia="宋体" w:hint="default"/>
                <w:sz w:val="18"/>
                <w:szCs w:val="18"/>
              </w:rPr>
              <w:t>四妙丸</w:t>
            </w:r>
          </w:p>
        </w:tc>
        <w:tc>
          <w:tcPr>
            <w:tcW w:w="1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left="311" w:right="0"/>
              <w:jc w:val="left"/>
              <w:rPr>
                <w:rFonts w:ascii="Times New Roman" w:hAnsi="Times New Roman" w:cs="Times New Roman" w:eastAsia="Times New Roman" w:hint="default"/>
                <w:sz w:val="18"/>
                <w:szCs w:val="18"/>
              </w:rPr>
            </w:pPr>
            <w:r>
              <w:rPr>
                <w:rFonts w:ascii="Times New Roman"/>
                <w:sz w:val="18"/>
              </w:rPr>
              <w:t>98,074,027.48</w:t>
            </w:r>
          </w:p>
        </w:tc>
        <w:tc>
          <w:tcPr>
            <w:tcW w:w="13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left="313" w:right="0"/>
              <w:jc w:val="left"/>
              <w:rPr>
                <w:rFonts w:ascii="Times New Roman" w:hAnsi="Times New Roman" w:cs="Times New Roman" w:eastAsia="Times New Roman" w:hint="default"/>
                <w:sz w:val="18"/>
                <w:szCs w:val="18"/>
              </w:rPr>
            </w:pPr>
            <w:r>
              <w:rPr>
                <w:rFonts w:ascii="Times New Roman"/>
                <w:sz w:val="18"/>
              </w:rPr>
              <w:t>13,765,160.49</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left="314" w:right="0"/>
              <w:jc w:val="left"/>
              <w:rPr>
                <w:rFonts w:ascii="Times New Roman" w:hAnsi="Times New Roman" w:cs="Times New Roman" w:eastAsia="Times New Roman" w:hint="default"/>
                <w:sz w:val="18"/>
                <w:szCs w:val="18"/>
              </w:rPr>
            </w:pPr>
            <w:r>
              <w:rPr>
                <w:rFonts w:ascii="Times New Roman"/>
                <w:sz w:val="18"/>
              </w:rPr>
              <w:t>84,308,866.99</w:t>
            </w:r>
          </w:p>
        </w:tc>
        <w:tc>
          <w:tcPr>
            <w:tcW w:w="1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left="313" w:right="0"/>
              <w:jc w:val="left"/>
              <w:rPr>
                <w:rFonts w:ascii="Times New Roman" w:hAnsi="Times New Roman" w:cs="Times New Roman" w:eastAsia="Times New Roman" w:hint="default"/>
                <w:sz w:val="18"/>
                <w:szCs w:val="18"/>
              </w:rPr>
            </w:pPr>
            <w:r>
              <w:rPr>
                <w:rFonts w:ascii="Times New Roman"/>
                <w:sz w:val="18"/>
              </w:rPr>
              <w:t>87,570,289.08</w:t>
            </w:r>
          </w:p>
        </w:tc>
        <w:tc>
          <w:tcPr>
            <w:tcW w:w="13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left="312" w:right="0"/>
              <w:jc w:val="left"/>
              <w:rPr>
                <w:rFonts w:ascii="Times New Roman" w:hAnsi="Times New Roman" w:cs="Times New Roman" w:eastAsia="Times New Roman" w:hint="default"/>
                <w:sz w:val="18"/>
                <w:szCs w:val="18"/>
              </w:rPr>
            </w:pPr>
            <w:r>
              <w:rPr>
                <w:rFonts w:ascii="Times New Roman"/>
                <w:sz w:val="18"/>
              </w:rPr>
              <w:t>11,271,089.01</w:t>
            </w:r>
          </w:p>
        </w:tc>
        <w:tc>
          <w:tcPr>
            <w:tcW w:w="13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left="313" w:right="0"/>
              <w:jc w:val="left"/>
              <w:rPr>
                <w:rFonts w:ascii="Times New Roman" w:hAnsi="Times New Roman" w:cs="Times New Roman" w:eastAsia="Times New Roman" w:hint="default"/>
                <w:sz w:val="18"/>
                <w:szCs w:val="18"/>
              </w:rPr>
            </w:pPr>
            <w:r>
              <w:rPr>
                <w:rFonts w:ascii="Times New Roman"/>
                <w:sz w:val="18"/>
              </w:rPr>
              <w:t>76,299,200.07</w:t>
            </w:r>
          </w:p>
        </w:tc>
      </w:tr>
    </w:tbl>
    <w:p>
      <w:pPr>
        <w:spacing w:after="0" w:line="240" w:lineRule="auto"/>
        <w:jc w:val="left"/>
        <w:rPr>
          <w:rFonts w:ascii="Times New Roman" w:hAnsi="Times New Roman" w:cs="Times New Roman" w:eastAsia="Times New Roman" w:hint="default"/>
          <w:sz w:val="18"/>
          <w:szCs w:val="18"/>
        </w:rPr>
        <w:sectPr>
          <w:footerReference w:type="default" r:id="rId20"/>
          <w:pgSz w:w="11910" w:h="16840"/>
          <w:pgMar w:footer="979" w:header="747" w:top="1060" w:bottom="1160" w:left="980" w:right="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1470"/>
        <w:gridCol w:w="1363"/>
        <w:gridCol w:w="1365"/>
        <w:gridCol w:w="1366"/>
        <w:gridCol w:w="1364"/>
        <w:gridCol w:w="1365"/>
        <w:gridCol w:w="1366"/>
      </w:tblGrid>
      <w:tr>
        <w:trPr>
          <w:trHeight w:val="511" w:hRule="exact"/>
        </w:trPr>
        <w:tc>
          <w:tcPr>
            <w:tcW w:w="14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活血通脉片</w:t>
            </w:r>
          </w:p>
        </w:tc>
        <w:tc>
          <w:tcPr>
            <w:tcW w:w="13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19,171,381.42</w:t>
            </w:r>
          </w:p>
        </w:tc>
        <w:tc>
          <w:tcPr>
            <w:tcW w:w="13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10,570,785.28</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8,600,596.14</w:t>
            </w:r>
          </w:p>
        </w:tc>
        <w:tc>
          <w:tcPr>
            <w:tcW w:w="13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20,333,476.80</w:t>
            </w:r>
          </w:p>
        </w:tc>
        <w:tc>
          <w:tcPr>
            <w:tcW w:w="13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11,291,421.67</w:t>
            </w:r>
          </w:p>
        </w:tc>
        <w:tc>
          <w:tcPr>
            <w:tcW w:w="13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9"/>
              <w:ind w:right="8"/>
              <w:jc w:val="right"/>
              <w:rPr>
                <w:rFonts w:ascii="Times New Roman" w:hAnsi="Times New Roman" w:cs="Times New Roman" w:eastAsia="Times New Roman" w:hint="default"/>
                <w:sz w:val="18"/>
                <w:szCs w:val="18"/>
              </w:rPr>
            </w:pPr>
            <w:r>
              <w:rPr>
                <w:rFonts w:ascii="Times New Roman"/>
                <w:spacing w:val="-1"/>
                <w:sz w:val="18"/>
              </w:rPr>
              <w:t>9,042,055.13</w:t>
            </w:r>
          </w:p>
        </w:tc>
      </w:tr>
      <w:tr>
        <w:trPr>
          <w:trHeight w:val="508" w:hRule="exact"/>
        </w:trPr>
        <w:tc>
          <w:tcPr>
            <w:tcW w:w="14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肾复康胶囊</w:t>
            </w:r>
          </w:p>
        </w:tc>
        <w:tc>
          <w:tcPr>
            <w:tcW w:w="1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24,458,443.89</w:t>
            </w:r>
          </w:p>
        </w:tc>
        <w:tc>
          <w:tcPr>
            <w:tcW w:w="13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4,390,366.23</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20,068,077.66</w:t>
            </w:r>
          </w:p>
        </w:tc>
        <w:tc>
          <w:tcPr>
            <w:tcW w:w="1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23,311,061.73</w:t>
            </w:r>
          </w:p>
        </w:tc>
        <w:tc>
          <w:tcPr>
            <w:tcW w:w="13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4,190,975.47</w:t>
            </w:r>
          </w:p>
        </w:tc>
        <w:tc>
          <w:tcPr>
            <w:tcW w:w="13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8"/>
              <w:jc w:val="right"/>
              <w:rPr>
                <w:rFonts w:ascii="Times New Roman" w:hAnsi="Times New Roman" w:cs="Times New Roman" w:eastAsia="Times New Roman" w:hint="default"/>
                <w:sz w:val="18"/>
                <w:szCs w:val="18"/>
              </w:rPr>
            </w:pPr>
            <w:r>
              <w:rPr>
                <w:rFonts w:ascii="Times New Roman"/>
                <w:spacing w:val="-1"/>
                <w:sz w:val="18"/>
              </w:rPr>
              <w:t>19,120,086.26</w:t>
            </w:r>
          </w:p>
        </w:tc>
      </w:tr>
      <w:tr>
        <w:trPr>
          <w:trHeight w:val="509" w:hRule="exact"/>
        </w:trPr>
        <w:tc>
          <w:tcPr>
            <w:tcW w:w="14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复方益肝灵片</w:t>
            </w:r>
          </w:p>
        </w:tc>
        <w:tc>
          <w:tcPr>
            <w:tcW w:w="1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12,823,533.75</w:t>
            </w:r>
          </w:p>
        </w:tc>
        <w:tc>
          <w:tcPr>
            <w:tcW w:w="13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2,607,532.11</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10,216,001.64</w:t>
            </w:r>
          </w:p>
        </w:tc>
        <w:tc>
          <w:tcPr>
            <w:tcW w:w="1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13,330,337.44</w:t>
            </w:r>
          </w:p>
        </w:tc>
        <w:tc>
          <w:tcPr>
            <w:tcW w:w="13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2,592,574.82</w:t>
            </w:r>
          </w:p>
        </w:tc>
        <w:tc>
          <w:tcPr>
            <w:tcW w:w="13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8"/>
              <w:jc w:val="right"/>
              <w:rPr>
                <w:rFonts w:ascii="Times New Roman" w:hAnsi="Times New Roman" w:cs="Times New Roman" w:eastAsia="Times New Roman" w:hint="default"/>
                <w:sz w:val="18"/>
                <w:szCs w:val="18"/>
              </w:rPr>
            </w:pPr>
            <w:r>
              <w:rPr>
                <w:rFonts w:ascii="Times New Roman"/>
                <w:spacing w:val="-1"/>
                <w:sz w:val="18"/>
              </w:rPr>
              <w:t>10,737,762.62</w:t>
            </w:r>
          </w:p>
        </w:tc>
      </w:tr>
      <w:tr>
        <w:trPr>
          <w:trHeight w:val="508" w:hRule="exact"/>
        </w:trPr>
        <w:tc>
          <w:tcPr>
            <w:tcW w:w="14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萆薢分清丸</w:t>
            </w:r>
          </w:p>
        </w:tc>
        <w:tc>
          <w:tcPr>
            <w:tcW w:w="1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19,652,745.65</w:t>
            </w:r>
          </w:p>
        </w:tc>
        <w:tc>
          <w:tcPr>
            <w:tcW w:w="13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2,608,106.41</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17,044,639.24</w:t>
            </w:r>
          </w:p>
        </w:tc>
        <w:tc>
          <w:tcPr>
            <w:tcW w:w="1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19,209,451.77</w:t>
            </w:r>
          </w:p>
        </w:tc>
        <w:tc>
          <w:tcPr>
            <w:tcW w:w="13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2,566,559.93</w:t>
            </w:r>
          </w:p>
        </w:tc>
        <w:tc>
          <w:tcPr>
            <w:tcW w:w="13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8"/>
              <w:jc w:val="right"/>
              <w:rPr>
                <w:rFonts w:ascii="Times New Roman" w:hAnsi="Times New Roman" w:cs="Times New Roman" w:eastAsia="Times New Roman" w:hint="default"/>
                <w:sz w:val="18"/>
                <w:szCs w:val="18"/>
              </w:rPr>
            </w:pPr>
            <w:r>
              <w:rPr>
                <w:rFonts w:ascii="Times New Roman"/>
                <w:spacing w:val="-1"/>
                <w:sz w:val="18"/>
              </w:rPr>
              <w:t>16,642,891.84</w:t>
            </w:r>
          </w:p>
        </w:tc>
      </w:tr>
      <w:tr>
        <w:trPr>
          <w:trHeight w:val="508" w:hRule="exact"/>
        </w:trPr>
        <w:tc>
          <w:tcPr>
            <w:tcW w:w="14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当归补血丸</w:t>
            </w:r>
          </w:p>
        </w:tc>
        <w:tc>
          <w:tcPr>
            <w:tcW w:w="1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12,509,037.92</w:t>
            </w:r>
          </w:p>
        </w:tc>
        <w:tc>
          <w:tcPr>
            <w:tcW w:w="13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2,374,656.52</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10,134,381.40</w:t>
            </w:r>
          </w:p>
        </w:tc>
        <w:tc>
          <w:tcPr>
            <w:tcW w:w="1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10,284,792.31</w:t>
            </w:r>
          </w:p>
        </w:tc>
        <w:tc>
          <w:tcPr>
            <w:tcW w:w="13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1,940,947.11</w:t>
            </w:r>
          </w:p>
        </w:tc>
        <w:tc>
          <w:tcPr>
            <w:tcW w:w="13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8"/>
              <w:jc w:val="right"/>
              <w:rPr>
                <w:rFonts w:ascii="Times New Roman" w:hAnsi="Times New Roman" w:cs="Times New Roman" w:eastAsia="Times New Roman" w:hint="default"/>
                <w:sz w:val="18"/>
                <w:szCs w:val="18"/>
              </w:rPr>
            </w:pPr>
            <w:r>
              <w:rPr>
                <w:rFonts w:ascii="Times New Roman"/>
                <w:spacing w:val="-1"/>
                <w:sz w:val="18"/>
              </w:rPr>
              <w:t>8,343,845.20</w:t>
            </w:r>
          </w:p>
        </w:tc>
      </w:tr>
      <w:tr>
        <w:trPr>
          <w:trHeight w:val="509" w:hRule="exact"/>
        </w:trPr>
        <w:tc>
          <w:tcPr>
            <w:tcW w:w="14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藿胆片</w:t>
            </w:r>
          </w:p>
        </w:tc>
        <w:tc>
          <w:tcPr>
            <w:tcW w:w="1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55,321,646.76</w:t>
            </w:r>
          </w:p>
        </w:tc>
        <w:tc>
          <w:tcPr>
            <w:tcW w:w="13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5,486,152.40</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49,835,494.36</w:t>
            </w:r>
          </w:p>
        </w:tc>
        <w:tc>
          <w:tcPr>
            <w:tcW w:w="1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50,076,369.22</w:t>
            </w:r>
          </w:p>
        </w:tc>
        <w:tc>
          <w:tcPr>
            <w:tcW w:w="13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5,315,280.71</w:t>
            </w:r>
          </w:p>
        </w:tc>
        <w:tc>
          <w:tcPr>
            <w:tcW w:w="13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8"/>
              <w:jc w:val="right"/>
              <w:rPr>
                <w:rFonts w:ascii="Times New Roman" w:hAnsi="Times New Roman" w:cs="Times New Roman" w:eastAsia="Times New Roman" w:hint="default"/>
                <w:sz w:val="18"/>
                <w:szCs w:val="18"/>
              </w:rPr>
            </w:pPr>
            <w:r>
              <w:rPr>
                <w:rFonts w:ascii="Times New Roman"/>
                <w:spacing w:val="-1"/>
                <w:sz w:val="18"/>
              </w:rPr>
              <w:t>44,761,088.51</w:t>
            </w:r>
          </w:p>
        </w:tc>
      </w:tr>
      <w:tr>
        <w:trPr>
          <w:trHeight w:val="508" w:hRule="exact"/>
        </w:trPr>
        <w:tc>
          <w:tcPr>
            <w:tcW w:w="14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内消瘰疬丸</w:t>
            </w:r>
          </w:p>
        </w:tc>
        <w:tc>
          <w:tcPr>
            <w:tcW w:w="1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18,171,367.26</w:t>
            </w:r>
          </w:p>
        </w:tc>
        <w:tc>
          <w:tcPr>
            <w:tcW w:w="13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5,337,362.61</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12,834,004.65</w:t>
            </w:r>
          </w:p>
        </w:tc>
        <w:tc>
          <w:tcPr>
            <w:tcW w:w="1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14,785,121.02</w:t>
            </w:r>
          </w:p>
        </w:tc>
        <w:tc>
          <w:tcPr>
            <w:tcW w:w="13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4,248,882.63</w:t>
            </w:r>
          </w:p>
        </w:tc>
        <w:tc>
          <w:tcPr>
            <w:tcW w:w="13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8"/>
              <w:jc w:val="right"/>
              <w:rPr>
                <w:rFonts w:ascii="Times New Roman" w:hAnsi="Times New Roman" w:cs="Times New Roman" w:eastAsia="Times New Roman" w:hint="default"/>
                <w:sz w:val="18"/>
                <w:szCs w:val="18"/>
              </w:rPr>
            </w:pPr>
            <w:r>
              <w:rPr>
                <w:rFonts w:ascii="Times New Roman"/>
                <w:spacing w:val="-1"/>
                <w:sz w:val="18"/>
              </w:rPr>
              <w:t>10,536,238.39</w:t>
            </w:r>
          </w:p>
        </w:tc>
      </w:tr>
      <w:tr>
        <w:trPr>
          <w:trHeight w:val="508" w:hRule="exact"/>
        </w:trPr>
        <w:tc>
          <w:tcPr>
            <w:tcW w:w="14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56,454,839.73</w:t>
            </w:r>
          </w:p>
        </w:tc>
        <w:tc>
          <w:tcPr>
            <w:tcW w:w="13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27,321,440.82</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29,133,398.91</w:t>
            </w:r>
          </w:p>
        </w:tc>
        <w:tc>
          <w:tcPr>
            <w:tcW w:w="1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49,924,480.55</w:t>
            </w:r>
          </w:p>
        </w:tc>
        <w:tc>
          <w:tcPr>
            <w:tcW w:w="13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2"/>
              <w:jc w:val="right"/>
              <w:rPr>
                <w:rFonts w:ascii="Times New Roman" w:hAnsi="Times New Roman" w:cs="Times New Roman" w:eastAsia="Times New Roman" w:hint="default"/>
                <w:sz w:val="18"/>
                <w:szCs w:val="18"/>
              </w:rPr>
            </w:pPr>
            <w:r>
              <w:rPr>
                <w:rFonts w:ascii="Times New Roman"/>
                <w:spacing w:val="-1"/>
                <w:sz w:val="18"/>
              </w:rPr>
              <w:t>23,254,825.52</w:t>
            </w:r>
          </w:p>
        </w:tc>
        <w:tc>
          <w:tcPr>
            <w:tcW w:w="13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8"/>
              <w:jc w:val="right"/>
              <w:rPr>
                <w:rFonts w:ascii="Times New Roman" w:hAnsi="Times New Roman" w:cs="Times New Roman" w:eastAsia="Times New Roman" w:hint="default"/>
                <w:sz w:val="18"/>
                <w:szCs w:val="18"/>
              </w:rPr>
            </w:pPr>
            <w:r>
              <w:rPr>
                <w:rFonts w:ascii="Times New Roman"/>
                <w:spacing w:val="-1"/>
                <w:sz w:val="18"/>
              </w:rPr>
              <w:t>26,669,655.03</w:t>
            </w:r>
          </w:p>
        </w:tc>
      </w:tr>
      <w:tr>
        <w:trPr>
          <w:trHeight w:val="509" w:hRule="exact"/>
        </w:trPr>
        <w:tc>
          <w:tcPr>
            <w:tcW w:w="14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人参系列产品</w:t>
            </w:r>
          </w:p>
        </w:tc>
        <w:tc>
          <w:tcPr>
            <w:tcW w:w="1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181,191,464.86</w:t>
            </w:r>
          </w:p>
        </w:tc>
        <w:tc>
          <w:tcPr>
            <w:tcW w:w="13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141,943,508.66</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39,247,956.20</w:t>
            </w:r>
          </w:p>
        </w:tc>
        <w:tc>
          <w:tcPr>
            <w:tcW w:w="1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291,166,203.46</w:t>
            </w:r>
          </w:p>
        </w:tc>
        <w:tc>
          <w:tcPr>
            <w:tcW w:w="13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2"/>
              <w:jc w:val="right"/>
              <w:rPr>
                <w:rFonts w:ascii="Times New Roman" w:hAnsi="Times New Roman" w:cs="Times New Roman" w:eastAsia="Times New Roman" w:hint="default"/>
                <w:sz w:val="18"/>
                <w:szCs w:val="18"/>
              </w:rPr>
            </w:pPr>
            <w:r>
              <w:rPr>
                <w:rFonts w:ascii="Times New Roman"/>
                <w:spacing w:val="-1"/>
                <w:sz w:val="18"/>
              </w:rPr>
              <w:t>175,666,150.35</w:t>
            </w:r>
          </w:p>
        </w:tc>
        <w:tc>
          <w:tcPr>
            <w:tcW w:w="13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8"/>
              <w:jc w:val="right"/>
              <w:rPr>
                <w:rFonts w:ascii="Times New Roman" w:hAnsi="Times New Roman" w:cs="Times New Roman" w:eastAsia="Times New Roman" w:hint="default"/>
                <w:sz w:val="18"/>
                <w:szCs w:val="18"/>
              </w:rPr>
            </w:pPr>
            <w:r>
              <w:rPr>
                <w:rFonts w:ascii="Times New Roman"/>
                <w:spacing w:val="-1"/>
                <w:sz w:val="18"/>
              </w:rPr>
              <w:t>115,500,053.11</w:t>
            </w:r>
          </w:p>
        </w:tc>
      </w:tr>
      <w:tr>
        <w:trPr>
          <w:trHeight w:val="508" w:hRule="exact"/>
        </w:trPr>
        <w:tc>
          <w:tcPr>
            <w:tcW w:w="14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497,828,488.72</w:t>
            </w:r>
          </w:p>
        </w:tc>
        <w:tc>
          <w:tcPr>
            <w:tcW w:w="13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216,405,071.53</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281,423,417.19</w:t>
            </w:r>
          </w:p>
        </w:tc>
        <w:tc>
          <w:tcPr>
            <w:tcW w:w="1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579,991,583.38</w:t>
            </w:r>
          </w:p>
        </w:tc>
        <w:tc>
          <w:tcPr>
            <w:tcW w:w="13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242,338,707.22</w:t>
            </w:r>
          </w:p>
        </w:tc>
        <w:tc>
          <w:tcPr>
            <w:tcW w:w="13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337,652,876.16</w:t>
            </w:r>
          </w:p>
        </w:tc>
      </w:tr>
    </w:tbl>
    <w:p>
      <w:pPr>
        <w:spacing w:line="240" w:lineRule="auto" w:before="4"/>
        <w:rPr>
          <w:rFonts w:ascii="宋体" w:hAnsi="宋体" w:cs="宋体" w:eastAsia="宋体" w:hint="default"/>
          <w:sz w:val="11"/>
          <w:szCs w:val="11"/>
        </w:rPr>
      </w:pPr>
    </w:p>
    <w:p>
      <w:pPr>
        <w:pStyle w:val="BodyText"/>
        <w:spacing w:line="240" w:lineRule="auto" w:before="35"/>
        <w:ind w:left="574" w:right="0"/>
        <w:jc w:val="left"/>
      </w:pPr>
      <w:r>
        <w:rPr/>
        <w:t>（</w:t>
      </w:r>
      <w:r>
        <w:rPr>
          <w:rFonts w:ascii="Times New Roman" w:hAnsi="Times New Roman" w:cs="Times New Roman" w:eastAsia="Times New Roman" w:hint="default"/>
        </w:rPr>
        <w:t>4</w:t>
      </w:r>
      <w:r>
        <w:rPr/>
        <w:t>）按地区分类：</w:t>
      </w:r>
    </w:p>
    <w:p>
      <w:pPr>
        <w:spacing w:line="240" w:lineRule="auto" w:before="9"/>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1336"/>
        <w:gridCol w:w="1387"/>
        <w:gridCol w:w="1388"/>
        <w:gridCol w:w="1387"/>
        <w:gridCol w:w="1386"/>
        <w:gridCol w:w="1388"/>
        <w:gridCol w:w="1387"/>
      </w:tblGrid>
      <w:tr>
        <w:trPr>
          <w:trHeight w:val="511" w:hRule="exact"/>
        </w:trPr>
        <w:tc>
          <w:tcPr>
            <w:tcW w:w="1336" w:type="dxa"/>
            <w:vMerge w:val="restart"/>
            <w:tcBorders>
              <w:top w:val="single" w:sz="6" w:space="0" w:color="000000"/>
              <w:left w:val="single" w:sz="6" w:space="0" w:color="000000"/>
              <w:right w:val="single" w:sz="6" w:space="0" w:color="000000"/>
            </w:tcBorders>
          </w:tcPr>
          <w:p>
            <w:pPr>
              <w:pStyle w:val="TableParagraph"/>
              <w:spacing w:line="240" w:lineRule="auto" w:before="99"/>
              <w:ind w:left="408" w:right="0"/>
              <w:jc w:val="left"/>
              <w:rPr>
                <w:rFonts w:ascii="宋体" w:hAnsi="宋体" w:cs="宋体" w:eastAsia="宋体" w:hint="default"/>
                <w:sz w:val="18"/>
                <w:szCs w:val="18"/>
              </w:rPr>
            </w:pPr>
            <w:r>
              <w:rPr>
                <w:rFonts w:ascii="宋体" w:hAnsi="宋体" w:cs="宋体" w:eastAsia="宋体" w:hint="default"/>
                <w:sz w:val="18"/>
                <w:szCs w:val="18"/>
              </w:rPr>
              <w:t>地</w:t>
            </w:r>
            <w:r>
              <w:rPr>
                <w:rFonts w:ascii="宋体" w:hAnsi="宋体" w:cs="宋体" w:eastAsia="宋体" w:hint="default"/>
                <w:spacing w:val="55"/>
                <w:sz w:val="18"/>
                <w:szCs w:val="18"/>
              </w:rPr>
              <w:t> </w:t>
            </w:r>
            <w:r>
              <w:rPr>
                <w:rFonts w:ascii="宋体" w:hAnsi="宋体" w:cs="宋体" w:eastAsia="宋体" w:hint="default"/>
                <w:sz w:val="18"/>
                <w:szCs w:val="18"/>
              </w:rPr>
              <w:t>区</w:t>
            </w:r>
          </w:p>
        </w:tc>
        <w:tc>
          <w:tcPr>
            <w:tcW w:w="4162"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161"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99"/>
              <w:ind w:right="7"/>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9" w:hRule="exact"/>
        </w:trPr>
        <w:tc>
          <w:tcPr>
            <w:tcW w:w="1336" w:type="dxa"/>
            <w:vMerge/>
            <w:tcBorders>
              <w:left w:val="single" w:sz="6" w:space="0" w:color="000000"/>
              <w:bottom w:val="single" w:sz="12" w:space="0" w:color="000000"/>
              <w:right w:val="single" w:sz="6" w:space="0" w:color="000000"/>
            </w:tcBorders>
          </w:tcPr>
          <w:p>
            <w:pPr/>
          </w:p>
        </w:tc>
        <w:tc>
          <w:tcPr>
            <w:tcW w:w="13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32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32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325" w:right="0"/>
              <w:jc w:val="left"/>
              <w:rPr>
                <w:rFonts w:ascii="宋体" w:hAnsi="宋体" w:cs="宋体" w:eastAsia="宋体" w:hint="default"/>
                <w:sz w:val="18"/>
                <w:szCs w:val="18"/>
              </w:rPr>
            </w:pPr>
            <w:r>
              <w:rPr>
                <w:rFonts w:ascii="宋体" w:hAnsi="宋体" w:cs="宋体" w:eastAsia="宋体" w:hint="default"/>
                <w:sz w:val="18"/>
                <w:szCs w:val="18"/>
              </w:rPr>
              <w:t>营业毛利</w:t>
            </w:r>
          </w:p>
        </w:tc>
        <w:tc>
          <w:tcPr>
            <w:tcW w:w="1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32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3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8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8"/>
              <w:ind w:left="326" w:right="0"/>
              <w:jc w:val="left"/>
              <w:rPr>
                <w:rFonts w:ascii="宋体" w:hAnsi="宋体" w:cs="宋体" w:eastAsia="宋体" w:hint="default"/>
                <w:sz w:val="18"/>
                <w:szCs w:val="18"/>
              </w:rPr>
            </w:pPr>
            <w:r>
              <w:rPr>
                <w:rFonts w:ascii="宋体" w:hAnsi="宋体" w:cs="宋体" w:eastAsia="宋体" w:hint="default"/>
                <w:sz w:val="18"/>
                <w:szCs w:val="18"/>
              </w:rPr>
              <w:t>营业毛利</w:t>
            </w:r>
          </w:p>
        </w:tc>
      </w:tr>
      <w:tr>
        <w:trPr>
          <w:trHeight w:val="508" w:hRule="exact"/>
        </w:trPr>
        <w:tc>
          <w:tcPr>
            <w:tcW w:w="1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289,285,800.64</w:t>
            </w:r>
          </w:p>
        </w:tc>
        <w:tc>
          <w:tcPr>
            <w:tcW w:w="1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154,483,689.21</w:t>
            </w:r>
          </w:p>
        </w:tc>
        <w:tc>
          <w:tcPr>
            <w:tcW w:w="13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134,802,111.43</w:t>
            </w:r>
          </w:p>
        </w:tc>
        <w:tc>
          <w:tcPr>
            <w:tcW w:w="1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435,975,917.33</w:t>
            </w:r>
          </w:p>
        </w:tc>
        <w:tc>
          <w:tcPr>
            <w:tcW w:w="1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209,086,046.40</w:t>
            </w:r>
          </w:p>
        </w:tc>
        <w:tc>
          <w:tcPr>
            <w:tcW w:w="138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226,889,870.93</w:t>
            </w:r>
          </w:p>
        </w:tc>
      </w:tr>
      <w:tr>
        <w:trPr>
          <w:trHeight w:val="508" w:hRule="exact"/>
        </w:trPr>
        <w:tc>
          <w:tcPr>
            <w:tcW w:w="1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62,561,942.53</w:t>
            </w:r>
          </w:p>
        </w:tc>
        <w:tc>
          <w:tcPr>
            <w:tcW w:w="1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26,547,387.08</w:t>
            </w:r>
          </w:p>
        </w:tc>
        <w:tc>
          <w:tcPr>
            <w:tcW w:w="13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36,014,555.45</w:t>
            </w:r>
          </w:p>
        </w:tc>
        <w:tc>
          <w:tcPr>
            <w:tcW w:w="1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20,902,232.00</w:t>
            </w:r>
          </w:p>
        </w:tc>
        <w:tc>
          <w:tcPr>
            <w:tcW w:w="1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4,826,244.60</w:t>
            </w:r>
          </w:p>
        </w:tc>
        <w:tc>
          <w:tcPr>
            <w:tcW w:w="138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16,075,987.40</w:t>
            </w:r>
          </w:p>
        </w:tc>
      </w:tr>
      <w:tr>
        <w:trPr>
          <w:trHeight w:val="509" w:hRule="exact"/>
        </w:trPr>
        <w:tc>
          <w:tcPr>
            <w:tcW w:w="1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56,909,097.51</w:t>
            </w:r>
          </w:p>
        </w:tc>
        <w:tc>
          <w:tcPr>
            <w:tcW w:w="1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13,353,954.40</w:t>
            </w:r>
          </w:p>
        </w:tc>
        <w:tc>
          <w:tcPr>
            <w:tcW w:w="13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43,555,143.11</w:t>
            </w:r>
          </w:p>
        </w:tc>
        <w:tc>
          <w:tcPr>
            <w:tcW w:w="1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41,757,506.31</w:t>
            </w:r>
          </w:p>
        </w:tc>
        <w:tc>
          <w:tcPr>
            <w:tcW w:w="1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9,641,646.86</w:t>
            </w:r>
          </w:p>
        </w:tc>
        <w:tc>
          <w:tcPr>
            <w:tcW w:w="138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32,115,859.45</w:t>
            </w:r>
          </w:p>
        </w:tc>
      </w:tr>
      <w:tr>
        <w:trPr>
          <w:trHeight w:val="508" w:hRule="exact"/>
        </w:trPr>
        <w:tc>
          <w:tcPr>
            <w:tcW w:w="1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50,111,630.95</w:t>
            </w:r>
          </w:p>
        </w:tc>
        <w:tc>
          <w:tcPr>
            <w:tcW w:w="1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12,877,912.18</w:t>
            </w:r>
          </w:p>
        </w:tc>
        <w:tc>
          <w:tcPr>
            <w:tcW w:w="13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37,233,718.77</w:t>
            </w:r>
          </w:p>
        </w:tc>
        <w:tc>
          <w:tcPr>
            <w:tcW w:w="1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45,701,343.31</w:t>
            </w:r>
          </w:p>
        </w:tc>
        <w:tc>
          <w:tcPr>
            <w:tcW w:w="1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10,552,263.58</w:t>
            </w:r>
          </w:p>
        </w:tc>
        <w:tc>
          <w:tcPr>
            <w:tcW w:w="138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35,149,079.73</w:t>
            </w:r>
          </w:p>
        </w:tc>
      </w:tr>
      <w:tr>
        <w:trPr>
          <w:trHeight w:val="508" w:hRule="exact"/>
        </w:trPr>
        <w:tc>
          <w:tcPr>
            <w:tcW w:w="1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14,112,789.33</w:t>
            </w:r>
          </w:p>
        </w:tc>
        <w:tc>
          <w:tcPr>
            <w:tcW w:w="1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3,311,624.21</w:t>
            </w:r>
          </w:p>
        </w:tc>
        <w:tc>
          <w:tcPr>
            <w:tcW w:w="13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10,801,165.12</w:t>
            </w:r>
          </w:p>
        </w:tc>
        <w:tc>
          <w:tcPr>
            <w:tcW w:w="1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13,724,071.17</w:t>
            </w:r>
          </w:p>
        </w:tc>
        <w:tc>
          <w:tcPr>
            <w:tcW w:w="1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3,168,835.01</w:t>
            </w:r>
          </w:p>
        </w:tc>
        <w:tc>
          <w:tcPr>
            <w:tcW w:w="138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10,555,236.16</w:t>
            </w:r>
          </w:p>
        </w:tc>
      </w:tr>
      <w:tr>
        <w:trPr>
          <w:trHeight w:val="509" w:hRule="exact"/>
        </w:trPr>
        <w:tc>
          <w:tcPr>
            <w:tcW w:w="1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24,847,227.76</w:t>
            </w:r>
          </w:p>
        </w:tc>
        <w:tc>
          <w:tcPr>
            <w:tcW w:w="1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5,830,504.45</w:t>
            </w:r>
          </w:p>
        </w:tc>
        <w:tc>
          <w:tcPr>
            <w:tcW w:w="13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19,016,723.31</w:t>
            </w:r>
          </w:p>
        </w:tc>
        <w:tc>
          <w:tcPr>
            <w:tcW w:w="1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21,930,513.26</w:t>
            </w:r>
          </w:p>
        </w:tc>
        <w:tc>
          <w:tcPr>
            <w:tcW w:w="1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5,063,670.77</w:t>
            </w:r>
          </w:p>
        </w:tc>
        <w:tc>
          <w:tcPr>
            <w:tcW w:w="138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16,866,842.49</w:t>
            </w:r>
          </w:p>
        </w:tc>
      </w:tr>
      <w:tr>
        <w:trPr>
          <w:trHeight w:val="508" w:hRule="exact"/>
        </w:trPr>
        <w:tc>
          <w:tcPr>
            <w:tcW w:w="1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408"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3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497,828,488.72</w:t>
            </w:r>
          </w:p>
        </w:tc>
        <w:tc>
          <w:tcPr>
            <w:tcW w:w="1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216,405,071.53</w:t>
            </w:r>
          </w:p>
        </w:tc>
        <w:tc>
          <w:tcPr>
            <w:tcW w:w="13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281,423,417.19</w:t>
            </w:r>
          </w:p>
        </w:tc>
        <w:tc>
          <w:tcPr>
            <w:tcW w:w="1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579,991,583.38</w:t>
            </w:r>
          </w:p>
        </w:tc>
        <w:tc>
          <w:tcPr>
            <w:tcW w:w="1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242,338,707.22</w:t>
            </w:r>
          </w:p>
        </w:tc>
        <w:tc>
          <w:tcPr>
            <w:tcW w:w="138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337,652,876.16</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5、投资收益" w:id="336"/>
      <w:bookmarkEnd w:id="33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55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9,800,000.00</w:t>
            </w:r>
          </w:p>
        </w:tc>
      </w:tr>
      <w:tr>
        <w:trPr>
          <w:trHeight w:val="559"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170,100.00</w:t>
            </w:r>
          </w:p>
        </w:tc>
      </w:tr>
    </w:tbl>
    <w:p>
      <w:pPr>
        <w:spacing w:after="0" w:line="240" w:lineRule="auto"/>
        <w:jc w:val="right"/>
        <w:rPr>
          <w:rFonts w:ascii="Times New Roman" w:hAnsi="Times New Roman" w:cs="Times New Roman" w:eastAsia="Times New Roman" w:hint="default"/>
          <w:sz w:val="18"/>
          <w:szCs w:val="18"/>
        </w:rPr>
        <w:sectPr>
          <w:footerReference w:type="default" r:id="rId21"/>
          <w:pgSz w:w="11910" w:h="16840"/>
          <w:pgMar w:footer="979" w:header="747" w:top="1060" w:bottom="1160" w:left="980" w:right="0"/>
          <w:pgNumType w:start="2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1026"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51"/>
              <w:jc w:val="left"/>
              <w:rPr>
                <w:rFonts w:ascii="宋体" w:hAnsi="宋体" w:cs="宋体" w:eastAsia="宋体" w:hint="default"/>
                <w:sz w:val="18"/>
                <w:szCs w:val="18"/>
              </w:rPr>
            </w:pPr>
            <w:r>
              <w:rPr>
                <w:rFonts w:ascii="宋体" w:hAnsi="宋体" w:cs="宋体" w:eastAsia="宋体" w:hint="default"/>
                <w:sz w:val="18"/>
                <w:szCs w:val="18"/>
              </w:rPr>
              <w:t>非同一控制下企业合并过程对前期投资成 本调整情况</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-600,000.00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9,970,100.00</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6、其他" w:id="337"/>
      <w:bookmarkEnd w:id="337"/>
      <w:r>
        <w:rPr>
          <w:b w:val="0"/>
          <w:bCs w:val="0"/>
        </w:rPr>
      </w:r>
      <w:r>
        <w:rPr>
          <w:rFonts w:ascii="Times New Roman" w:hAnsi="Times New Roman" w:cs="Times New Roman" w:eastAsia="Times New Roman" w:hint="default"/>
        </w:rPr>
        <w:t>6</w:t>
      </w:r>
      <w:r>
        <w:rPr/>
        <w:t>、其他</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right="1313" w:firstLine="420"/>
        <w:jc w:val="both"/>
      </w:pPr>
      <w:r>
        <w:rPr>
          <w:spacing w:val="-5"/>
        </w:rPr>
        <w:t>（</w:t>
      </w:r>
      <w:r>
        <w:rPr>
          <w:rFonts w:ascii="Times New Roman" w:hAnsi="Times New Roman" w:cs="Times New Roman" w:eastAsia="Times New Roman" w:hint="default"/>
          <w:spacing w:val="-5"/>
        </w:rPr>
        <w:t>1</w:t>
      </w:r>
      <w:r>
        <w:rPr>
          <w:spacing w:val="-5"/>
        </w:rPr>
        <w:t>）根据</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20</w:t>
      </w:r>
      <w:r>
        <w:rPr>
          <w:spacing w:val="-5"/>
        </w:rPr>
        <w:t>日长春农村商业银行股份有限公司召开的</w:t>
      </w:r>
      <w:r>
        <w:rPr>
          <w:rFonts w:ascii="Times New Roman" w:hAnsi="Times New Roman" w:cs="Times New Roman" w:eastAsia="Times New Roman" w:hint="default"/>
          <w:spacing w:val="-5"/>
        </w:rPr>
        <w:t>2013</w:t>
      </w:r>
      <w:r>
        <w:rPr>
          <w:spacing w:val="-5"/>
        </w:rPr>
        <w:t>年度股东大会，审议通过了</w:t>
      </w:r>
      <w:r>
        <w:rPr>
          <w:rFonts w:ascii="Times New Roman" w:hAnsi="Times New Roman" w:cs="Times New Roman" w:eastAsia="Times New Roman" w:hint="default"/>
          <w:spacing w:val="-5"/>
        </w:rPr>
        <w:t>2013</w:t>
      </w:r>
      <w:r>
        <w:rPr>
          <w:rFonts w:ascii="Times New Roman" w:hAnsi="Times New Roman" w:cs="Times New Roman" w:eastAsia="Times New Roman" w:hint="default"/>
        </w:rPr>
        <w:t> </w:t>
      </w:r>
      <w:r>
        <w:rPr/>
        <w:t>年度利润分配方案，</w:t>
      </w:r>
      <w:r>
        <w:rPr>
          <w:rFonts w:ascii="Times New Roman" w:hAnsi="Times New Roman" w:cs="Times New Roman" w:eastAsia="Times New Roman" w:hint="default"/>
        </w:rPr>
        <w:t>“</w:t>
      </w:r>
      <w:r>
        <w:rPr/>
        <w:t>按照每股</w:t>
      </w:r>
      <w:r>
        <w:rPr>
          <w:rFonts w:ascii="Times New Roman" w:hAnsi="Times New Roman" w:cs="Times New Roman" w:eastAsia="Times New Roman" w:hint="default"/>
        </w:rPr>
        <w:t>0.2</w:t>
      </w:r>
      <w:r>
        <w:rPr/>
        <w:t>元（含税）的比例，向本行截止</w:t>
      </w:r>
      <w:r>
        <w:rPr>
          <w:rFonts w:ascii="Times New Roman" w:hAnsi="Times New Roman" w:cs="Times New Roman" w:eastAsia="Times New Roman" w:hint="default"/>
        </w:rPr>
        <w:t>2013</w:t>
      </w:r>
      <w:r>
        <w:rPr/>
        <w:t>年末登记在册的股东进行现金分</w:t>
      </w:r>
      <w:r>
        <w:rPr>
          <w:spacing w:val="-45"/>
        </w:rPr>
        <w:t> </w:t>
      </w:r>
      <w:r>
        <w:rPr>
          <w:spacing w:val="-45"/>
        </w:rPr>
      </w:r>
      <w:r>
        <w:rPr/>
        <w:t>红</w:t>
      </w:r>
      <w:r>
        <w:rPr>
          <w:rFonts w:ascii="Times New Roman" w:hAnsi="Times New Roman" w:cs="Times New Roman" w:eastAsia="Times New Roman" w:hint="default"/>
        </w:rPr>
        <w:t>”</w:t>
      </w:r>
      <w:r>
        <w:rPr/>
        <w:t>，本期</w:t>
      </w:r>
      <w:r>
        <w:rPr>
          <w:rFonts w:ascii="Times New Roman" w:hAnsi="Times New Roman" w:cs="Times New Roman" w:eastAsia="Times New Roman" w:hint="default"/>
        </w:rPr>
        <w:t>2014</w:t>
      </w:r>
      <w:r>
        <w:rPr/>
        <w:t>年确认投资收益</w:t>
      </w:r>
      <w:r>
        <w:rPr>
          <w:rFonts w:ascii="Times New Roman" w:hAnsi="Times New Roman" w:cs="Times New Roman" w:eastAsia="Times New Roman" w:hint="default"/>
        </w:rPr>
        <w:t>980</w:t>
      </w:r>
      <w:r>
        <w:rPr/>
        <w:t>万元。</w:t>
      </w:r>
    </w:p>
    <w:p>
      <w:pPr>
        <w:pStyle w:val="BodyText"/>
        <w:spacing w:line="398" w:lineRule="auto" w:before="155"/>
        <w:ind w:right="1312" w:firstLine="420"/>
        <w:jc w:val="both"/>
      </w:pPr>
      <w:r>
        <w:rPr>
          <w:spacing w:val="-2"/>
        </w:rPr>
        <w:t>（</w:t>
      </w:r>
      <w:r>
        <w:rPr>
          <w:rFonts w:ascii="Times New Roman" w:hAnsi="Times New Roman" w:cs="Times New Roman" w:eastAsia="Times New Roman" w:hint="default"/>
          <w:spacing w:val="-2"/>
        </w:rPr>
        <w:t>2</w:t>
      </w:r>
      <w:r>
        <w:rPr>
          <w:spacing w:val="-2"/>
        </w:rPr>
        <w:t>）非同一控制下企业合并过程中对于本公司原持有的吉林环境能源交易所有限公司</w:t>
      </w:r>
      <w:r>
        <w:rPr>
          <w:rFonts w:ascii="Times New Roman" w:hAnsi="Times New Roman" w:cs="Times New Roman" w:eastAsia="Times New Roman" w:hint="default"/>
          <w:spacing w:val="-2"/>
        </w:rPr>
        <w:t>15%</w:t>
      </w:r>
      <w:r>
        <w:rPr>
          <w:spacing w:val="-2"/>
        </w:rPr>
        <w:t>的股权按</w:t>
      </w:r>
      <w:r>
        <w:rPr/>
        <w:t> 照账面价值加上新增投资成本之和确认初始投资成本，由于吉林环境能源交易所有限公司合并日之前是</w:t>
      </w:r>
      <w:r>
        <w:rPr>
          <w:spacing w:val="-100"/>
        </w:rPr>
        <w:t> </w:t>
      </w:r>
      <w:r>
        <w:rPr>
          <w:spacing w:val="-100"/>
        </w:rPr>
      </w:r>
      <w:r>
        <w:rPr/>
        <w:t>亏损，前期投资的实际成本按照</w:t>
      </w:r>
      <w:r>
        <w:rPr>
          <w:rFonts w:ascii="Times New Roman" w:hAnsi="Times New Roman" w:cs="Times New Roman" w:eastAsia="Times New Roman" w:hint="default"/>
        </w:rPr>
        <w:t>0</w:t>
      </w:r>
      <w:r>
        <w:rPr/>
        <w:t>价值计算，调整当期收益</w:t>
      </w:r>
      <w:r>
        <w:rPr>
          <w:rFonts w:ascii="Times New Roman" w:hAnsi="Times New Roman" w:cs="Times New Roman" w:eastAsia="Times New Roman" w:hint="default"/>
        </w:rPr>
        <w:t>-600,000.00</w:t>
      </w:r>
      <w:r>
        <w:rPr/>
        <w:t>元。</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十六、补充资料" w:id="338"/>
      <w:bookmarkEnd w:id="338"/>
      <w:r>
        <w:rPr>
          <w:b w:val="0"/>
          <w:bCs w:val="0"/>
        </w:rPr>
      </w:r>
      <w:r>
        <w:rPr/>
        <w:t>十六、补充资料</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left"/>
        <w:rPr>
          <w:b w:val="0"/>
          <w:bCs w:val="0"/>
        </w:rPr>
      </w:pPr>
      <w:bookmarkStart w:name="1、当期非经常性损益明细表" w:id="339"/>
      <w:bookmarkEnd w:id="33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9"/>
          <w:szCs w:val="19"/>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55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5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-261,915.91</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49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31,241,012.38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-1,180,939.23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4,972,254.74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24,825,902.50</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240" w:lineRule="auto" w:before="9"/>
        <w:rPr>
          <w:rFonts w:ascii="宋体" w:hAnsi="宋体" w:cs="宋体" w:eastAsia="宋体" w:hint="default"/>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说明原因。</w:t>
      </w:r>
    </w:p>
    <w:p>
      <w:pPr>
        <w:spacing w:line="240" w:lineRule="auto" w:before="10"/>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Heading4"/>
        <w:spacing w:line="240" w:lineRule="auto"/>
        <w:ind w:right="0"/>
        <w:jc w:val="left"/>
        <w:rPr>
          <w:b w:val="0"/>
          <w:bCs w:val="0"/>
        </w:rPr>
      </w:pPr>
      <w:bookmarkStart w:name="2、净资产收益率及每股收益" w:id="340"/>
      <w:bookmarkEnd w:id="34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1"/>
          <w:szCs w:val="11"/>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84"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269"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8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5"/>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5"/>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83"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558"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r>
      <w:tr>
        <w:trPr>
          <w:trHeight w:val="1027"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r>
    </w:tbl>
    <w:p>
      <w:pPr>
        <w:spacing w:line="240" w:lineRule="auto" w:before="1"/>
        <w:rPr>
          <w:rFonts w:ascii="宋体" w:hAnsi="宋体" w:cs="宋体" w:eastAsia="宋体" w:hint="default"/>
          <w:b/>
          <w:bCs/>
          <w:sz w:val="25"/>
          <w:szCs w:val="25"/>
        </w:rPr>
      </w:pPr>
    </w:p>
    <w:p>
      <w:pPr>
        <w:pStyle w:val="Heading4"/>
        <w:spacing w:line="240" w:lineRule="auto" w:before="35"/>
        <w:ind w:left="154" w:right="0"/>
        <w:jc w:val="left"/>
        <w:rPr>
          <w:b w:val="0"/>
          <w:bCs w:val="0"/>
        </w:rPr>
      </w:pPr>
      <w:bookmarkStart w:name="3、会计政策变更相关补充资料" w:id="341"/>
      <w:bookmarkEnd w:id="341"/>
      <w:r>
        <w:rPr>
          <w:b w:val="0"/>
          <w:bCs w:val="0"/>
        </w:rPr>
      </w:r>
      <w:r>
        <w:rPr>
          <w:rFonts w:ascii="Times New Roman" w:hAnsi="Times New Roman" w:cs="Times New Roman" w:eastAsia="Times New Roman" w:hint="default"/>
        </w:rPr>
        <w:t>3</w:t>
      </w:r>
      <w:r>
        <w:rPr/>
        <w:t>、会计政策变更相关补充资料</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bookmarkStart w:name="4、其他" w:id="342"/>
      <w:bookmarkEnd w:id="342"/>
      <w:r>
        <w:rPr>
          <w:b w:val="0"/>
          <w:bCs w:val="0"/>
        </w:rPr>
      </w:r>
      <w:r>
        <w:rPr>
          <w:rFonts w:ascii="Times New Roman" w:hAnsi="Times New Roman" w:cs="Times New Roman" w:eastAsia="Times New Roman" w:hint="default"/>
        </w:rPr>
        <w:t>4</w:t>
      </w:r>
      <w:r>
        <w:rPr/>
        <w:t>、其他</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0"/>
        <w:ind w:left="573" w:right="0"/>
        <w:jc w:val="left"/>
      </w:pPr>
      <w:r>
        <w:rPr/>
        <w:t>加权平均净资产收益率的计算过程</w:t>
      </w:r>
    </w:p>
    <w:p>
      <w:pPr>
        <w:spacing w:line="240" w:lineRule="auto" w:before="12"/>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5815"/>
        <w:gridCol w:w="1800"/>
        <w:gridCol w:w="1854"/>
      </w:tblGrid>
      <w:tr>
        <w:trPr>
          <w:trHeight w:val="511" w:hRule="exact"/>
        </w:trPr>
        <w:tc>
          <w:tcPr>
            <w:tcW w:w="5815" w:type="dxa"/>
            <w:tcBorders>
              <w:top w:val="single" w:sz="6" w:space="0" w:color="000000"/>
              <w:left w:val="single" w:sz="6" w:space="0" w:color="000000"/>
              <w:bottom w:val="single" w:sz="12" w:space="0" w:color="000000"/>
              <w:right w:val="single" w:sz="6" w:space="0" w:color="000000"/>
            </w:tcBorders>
          </w:tcPr>
          <w:p>
            <w:pPr>
              <w:pStyle w:val="TableParagraph"/>
              <w:tabs>
                <w:tab w:pos="470" w:val="left" w:leader="none"/>
              </w:tabs>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left="4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5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8"/>
              <w:ind w:left="46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8"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归属于本公司普通股股东的净利润</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47,193,156.40</w:t>
            </w:r>
          </w:p>
        </w:tc>
        <w:tc>
          <w:tcPr>
            <w:tcW w:w="18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8"/>
              <w:jc w:val="right"/>
              <w:rPr>
                <w:rFonts w:ascii="Times New Roman" w:hAnsi="Times New Roman" w:cs="Times New Roman" w:eastAsia="Times New Roman" w:hint="default"/>
                <w:sz w:val="18"/>
                <w:szCs w:val="18"/>
              </w:rPr>
            </w:pPr>
            <w:r>
              <w:rPr>
                <w:rFonts w:ascii="Times New Roman"/>
                <w:spacing w:val="-1"/>
                <w:sz w:val="18"/>
              </w:rPr>
              <w:t>50,480,288.62</w:t>
            </w:r>
          </w:p>
        </w:tc>
      </w:tr>
      <w:tr>
        <w:trPr>
          <w:trHeight w:val="508"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归属于本公司普通股股东的期初净资产</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3"/>
              <w:jc w:val="right"/>
              <w:rPr>
                <w:rFonts w:ascii="Times New Roman" w:hAnsi="Times New Roman" w:cs="Times New Roman" w:eastAsia="Times New Roman" w:hint="default"/>
                <w:sz w:val="18"/>
                <w:szCs w:val="18"/>
              </w:rPr>
            </w:pPr>
            <w:r>
              <w:rPr>
                <w:rFonts w:ascii="Times New Roman"/>
                <w:spacing w:val="-1"/>
                <w:sz w:val="18"/>
              </w:rPr>
              <w:t>1,945,947,867.60</w:t>
            </w:r>
          </w:p>
        </w:tc>
        <w:tc>
          <w:tcPr>
            <w:tcW w:w="18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9"/>
              <w:jc w:val="right"/>
              <w:rPr>
                <w:rFonts w:ascii="Times New Roman" w:hAnsi="Times New Roman" w:cs="Times New Roman" w:eastAsia="Times New Roman" w:hint="default"/>
                <w:sz w:val="18"/>
                <w:szCs w:val="18"/>
              </w:rPr>
            </w:pPr>
            <w:r>
              <w:rPr>
                <w:rFonts w:ascii="Times New Roman"/>
                <w:spacing w:val="-1"/>
                <w:sz w:val="18"/>
              </w:rPr>
              <w:t>1,920,673,989.97</w:t>
            </w:r>
          </w:p>
        </w:tc>
      </w:tr>
      <w:tr>
        <w:trPr>
          <w:trHeight w:val="509"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报告期新增的归属于本公司普通股股东的净资产</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4" w:type="dxa"/>
            <w:tcBorders>
              <w:top w:val="single" w:sz="12" w:space="0" w:color="000000"/>
              <w:left w:val="single" w:sz="6" w:space="0" w:color="000000"/>
              <w:bottom w:val="single" w:sz="12" w:space="0" w:color="000000"/>
              <w:right w:val="nil" w:sz="6" w:space="0" w:color="auto"/>
            </w:tcBorders>
          </w:tcPr>
          <w:p>
            <w:pPr/>
          </w:p>
        </w:tc>
      </w:tr>
      <w:tr>
        <w:trPr>
          <w:trHeight w:val="508"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其中：发行新股</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4" w:type="dxa"/>
            <w:tcBorders>
              <w:top w:val="single" w:sz="12" w:space="0" w:color="000000"/>
              <w:left w:val="single" w:sz="6" w:space="0" w:color="000000"/>
              <w:bottom w:val="single" w:sz="12" w:space="0" w:color="000000"/>
              <w:right w:val="nil" w:sz="6" w:space="0" w:color="auto"/>
            </w:tcBorders>
          </w:tcPr>
          <w:p>
            <w:pPr/>
          </w:p>
        </w:tc>
      </w:tr>
      <w:tr>
        <w:trPr>
          <w:trHeight w:val="508"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436" w:right="0"/>
              <w:jc w:val="left"/>
              <w:rPr>
                <w:rFonts w:ascii="宋体" w:hAnsi="宋体" w:cs="宋体" w:eastAsia="宋体" w:hint="default"/>
                <w:sz w:val="18"/>
                <w:szCs w:val="18"/>
              </w:rPr>
            </w:pPr>
            <w:r>
              <w:rPr>
                <w:rFonts w:ascii="宋体" w:hAnsi="宋体" w:cs="宋体" w:eastAsia="宋体" w:hint="default"/>
                <w:sz w:val="18"/>
                <w:szCs w:val="18"/>
              </w:rPr>
              <w:t>债转股</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4" w:type="dxa"/>
            <w:tcBorders>
              <w:top w:val="single" w:sz="12" w:space="0" w:color="000000"/>
              <w:left w:val="single" w:sz="6" w:space="0" w:color="000000"/>
              <w:bottom w:val="single" w:sz="12" w:space="0" w:color="000000"/>
              <w:right w:val="nil" w:sz="6" w:space="0" w:color="auto"/>
            </w:tcBorders>
          </w:tcPr>
          <w:p>
            <w:pPr/>
          </w:p>
        </w:tc>
      </w:tr>
      <w:tr>
        <w:trPr>
          <w:trHeight w:val="509"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436" w:right="0"/>
              <w:jc w:val="left"/>
              <w:rPr>
                <w:rFonts w:ascii="宋体" w:hAnsi="宋体" w:cs="宋体" w:eastAsia="宋体" w:hint="default"/>
                <w:sz w:val="18"/>
                <w:szCs w:val="18"/>
              </w:rPr>
            </w:pPr>
            <w:r>
              <w:rPr>
                <w:rFonts w:ascii="宋体" w:hAnsi="宋体" w:cs="宋体" w:eastAsia="宋体" w:hint="default"/>
                <w:sz w:val="18"/>
                <w:szCs w:val="18"/>
              </w:rPr>
              <w:t>其他增加</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4" w:type="dxa"/>
            <w:tcBorders>
              <w:top w:val="single" w:sz="12" w:space="0" w:color="000000"/>
              <w:left w:val="single" w:sz="6" w:space="0" w:color="000000"/>
              <w:bottom w:val="single" w:sz="12" w:space="0" w:color="000000"/>
              <w:right w:val="nil" w:sz="6" w:space="0" w:color="auto"/>
            </w:tcBorders>
          </w:tcPr>
          <w:p>
            <w:pPr/>
          </w:p>
        </w:tc>
      </w:tr>
      <w:tr>
        <w:trPr>
          <w:trHeight w:val="508"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本期增加净资产月份</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4" w:type="dxa"/>
            <w:tcBorders>
              <w:top w:val="single" w:sz="12" w:space="0" w:color="000000"/>
              <w:left w:val="single" w:sz="6" w:space="0" w:color="000000"/>
              <w:bottom w:val="single" w:sz="12" w:space="0" w:color="000000"/>
              <w:right w:val="nil" w:sz="6" w:space="0" w:color="auto"/>
            </w:tcBorders>
          </w:tcPr>
          <w:p>
            <w:pPr/>
          </w:p>
        </w:tc>
      </w:tr>
      <w:tr>
        <w:trPr>
          <w:trHeight w:val="508"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其中：发行新股</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4" w:type="dxa"/>
            <w:tcBorders>
              <w:top w:val="single" w:sz="12" w:space="0" w:color="000000"/>
              <w:left w:val="single" w:sz="6" w:space="0" w:color="000000"/>
              <w:bottom w:val="single" w:sz="12" w:space="0" w:color="000000"/>
              <w:right w:val="nil" w:sz="6" w:space="0" w:color="auto"/>
            </w:tcBorders>
          </w:tcPr>
          <w:p>
            <w:pPr/>
          </w:p>
        </w:tc>
      </w:tr>
      <w:tr>
        <w:trPr>
          <w:trHeight w:val="509"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436" w:right="0"/>
              <w:jc w:val="left"/>
              <w:rPr>
                <w:rFonts w:ascii="宋体" w:hAnsi="宋体" w:cs="宋体" w:eastAsia="宋体" w:hint="default"/>
                <w:sz w:val="18"/>
                <w:szCs w:val="18"/>
              </w:rPr>
            </w:pPr>
            <w:r>
              <w:rPr>
                <w:rFonts w:ascii="宋体" w:hAnsi="宋体" w:cs="宋体" w:eastAsia="宋体" w:hint="default"/>
                <w:sz w:val="18"/>
                <w:szCs w:val="18"/>
              </w:rPr>
              <w:t>债转股</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4" w:type="dxa"/>
            <w:tcBorders>
              <w:top w:val="single" w:sz="12" w:space="0" w:color="000000"/>
              <w:left w:val="single" w:sz="6" w:space="0" w:color="000000"/>
              <w:bottom w:val="single" w:sz="12" w:space="0" w:color="000000"/>
              <w:right w:val="nil" w:sz="6" w:space="0" w:color="auto"/>
            </w:tcBorders>
          </w:tcPr>
          <w:p>
            <w:pPr/>
          </w:p>
        </w:tc>
      </w:tr>
      <w:tr>
        <w:trPr>
          <w:trHeight w:val="508"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436" w:right="0"/>
              <w:jc w:val="left"/>
              <w:rPr>
                <w:rFonts w:ascii="宋体" w:hAnsi="宋体" w:cs="宋体" w:eastAsia="宋体" w:hint="default"/>
                <w:sz w:val="18"/>
                <w:szCs w:val="18"/>
              </w:rPr>
            </w:pPr>
            <w:r>
              <w:rPr>
                <w:rFonts w:ascii="宋体" w:hAnsi="宋体" w:cs="宋体" w:eastAsia="宋体" w:hint="default"/>
                <w:sz w:val="18"/>
                <w:szCs w:val="18"/>
              </w:rPr>
              <w:t>其他增加</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4" w:type="dxa"/>
            <w:tcBorders>
              <w:top w:val="single" w:sz="12" w:space="0" w:color="000000"/>
              <w:left w:val="single" w:sz="6" w:space="0" w:color="000000"/>
              <w:bottom w:val="single" w:sz="12" w:space="0" w:color="000000"/>
              <w:right w:val="nil" w:sz="6" w:space="0" w:color="auto"/>
            </w:tcBorders>
          </w:tcPr>
          <w:p>
            <w:pPr/>
          </w:p>
        </w:tc>
      </w:tr>
      <w:tr>
        <w:trPr>
          <w:trHeight w:val="508"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报告期减少的归属于本公司普通股股东的净资产</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4"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5815"/>
        <w:gridCol w:w="1800"/>
        <w:gridCol w:w="1854"/>
      </w:tblGrid>
      <w:tr>
        <w:trPr>
          <w:trHeight w:val="511" w:hRule="exact"/>
        </w:trPr>
        <w:tc>
          <w:tcPr>
            <w:tcW w:w="58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其中：回购</w:t>
            </w:r>
          </w:p>
        </w:tc>
        <w:tc>
          <w:tcPr>
            <w:tcW w:w="1800" w:type="dxa"/>
            <w:tcBorders>
              <w:top w:val="single" w:sz="6" w:space="0" w:color="000000"/>
              <w:left w:val="single" w:sz="6" w:space="0" w:color="000000"/>
              <w:bottom w:val="single" w:sz="12" w:space="0" w:color="000000"/>
              <w:right w:val="single" w:sz="6" w:space="0" w:color="000000"/>
            </w:tcBorders>
          </w:tcPr>
          <w:p>
            <w:pPr/>
          </w:p>
        </w:tc>
        <w:tc>
          <w:tcPr>
            <w:tcW w:w="1854" w:type="dxa"/>
            <w:tcBorders>
              <w:top w:val="single" w:sz="6" w:space="0" w:color="000000"/>
              <w:left w:val="single" w:sz="6" w:space="0" w:color="000000"/>
              <w:bottom w:val="single" w:sz="12" w:space="0" w:color="000000"/>
              <w:right w:val="nil" w:sz="6" w:space="0" w:color="auto"/>
            </w:tcBorders>
          </w:tcPr>
          <w:p>
            <w:pPr/>
          </w:p>
        </w:tc>
      </w:tr>
      <w:tr>
        <w:trPr>
          <w:trHeight w:val="508"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542" w:right="0"/>
              <w:jc w:val="left"/>
              <w:rPr>
                <w:rFonts w:ascii="宋体" w:hAnsi="宋体" w:cs="宋体" w:eastAsia="宋体" w:hint="default"/>
                <w:sz w:val="18"/>
                <w:szCs w:val="18"/>
              </w:rPr>
            </w:pPr>
            <w:r>
              <w:rPr>
                <w:rFonts w:ascii="宋体" w:hAnsi="宋体" w:cs="宋体" w:eastAsia="宋体" w:hint="default"/>
                <w:sz w:val="18"/>
                <w:szCs w:val="18"/>
              </w:rPr>
              <w:t>现金分红</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4" w:type="dxa"/>
            <w:tcBorders>
              <w:top w:val="single" w:sz="12" w:space="0" w:color="000000"/>
              <w:left w:val="single" w:sz="6" w:space="0" w:color="000000"/>
              <w:bottom w:val="single" w:sz="12" w:space="0" w:color="000000"/>
              <w:right w:val="nil" w:sz="6" w:space="0" w:color="auto"/>
            </w:tcBorders>
          </w:tcPr>
          <w:p>
            <w:pPr/>
          </w:p>
        </w:tc>
      </w:tr>
      <w:tr>
        <w:trPr>
          <w:trHeight w:val="509"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542"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4" w:type="dxa"/>
            <w:tcBorders>
              <w:top w:val="single" w:sz="12" w:space="0" w:color="000000"/>
              <w:left w:val="single" w:sz="6" w:space="0" w:color="000000"/>
              <w:bottom w:val="single" w:sz="12" w:space="0" w:color="000000"/>
              <w:right w:val="nil" w:sz="6" w:space="0" w:color="auto"/>
            </w:tcBorders>
          </w:tcPr>
          <w:p>
            <w:pPr/>
          </w:p>
        </w:tc>
      </w:tr>
      <w:tr>
        <w:trPr>
          <w:trHeight w:val="508"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本期较少净资产月份</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4" w:type="dxa"/>
            <w:tcBorders>
              <w:top w:val="single" w:sz="12" w:space="0" w:color="000000"/>
              <w:left w:val="single" w:sz="6" w:space="0" w:color="000000"/>
              <w:bottom w:val="single" w:sz="12" w:space="0" w:color="000000"/>
              <w:right w:val="nil" w:sz="6" w:space="0" w:color="auto"/>
            </w:tcBorders>
          </w:tcPr>
          <w:p>
            <w:pPr/>
          </w:p>
        </w:tc>
      </w:tr>
      <w:tr>
        <w:trPr>
          <w:trHeight w:val="508"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其中：回购</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4" w:type="dxa"/>
            <w:tcBorders>
              <w:top w:val="single" w:sz="12" w:space="0" w:color="000000"/>
              <w:left w:val="single" w:sz="6" w:space="0" w:color="000000"/>
              <w:bottom w:val="single" w:sz="12" w:space="0" w:color="000000"/>
              <w:right w:val="nil" w:sz="6" w:space="0" w:color="auto"/>
            </w:tcBorders>
          </w:tcPr>
          <w:p>
            <w:pPr/>
          </w:p>
        </w:tc>
      </w:tr>
      <w:tr>
        <w:trPr>
          <w:trHeight w:val="509"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542" w:right="0"/>
              <w:jc w:val="left"/>
              <w:rPr>
                <w:rFonts w:ascii="宋体" w:hAnsi="宋体" w:cs="宋体" w:eastAsia="宋体" w:hint="default"/>
                <w:sz w:val="18"/>
                <w:szCs w:val="18"/>
              </w:rPr>
            </w:pPr>
            <w:r>
              <w:rPr>
                <w:rFonts w:ascii="宋体" w:hAnsi="宋体" w:cs="宋体" w:eastAsia="宋体" w:hint="default"/>
                <w:sz w:val="18"/>
                <w:szCs w:val="18"/>
              </w:rPr>
              <w:t>现金分红</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4" w:type="dxa"/>
            <w:tcBorders>
              <w:top w:val="single" w:sz="12" w:space="0" w:color="000000"/>
              <w:left w:val="single" w:sz="6" w:space="0" w:color="000000"/>
              <w:bottom w:val="single" w:sz="12" w:space="0" w:color="000000"/>
              <w:right w:val="nil" w:sz="6" w:space="0" w:color="auto"/>
            </w:tcBorders>
          </w:tcPr>
          <w:p>
            <w:pPr/>
          </w:p>
        </w:tc>
      </w:tr>
      <w:tr>
        <w:trPr>
          <w:trHeight w:val="508"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542"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4" w:type="dxa"/>
            <w:tcBorders>
              <w:top w:val="single" w:sz="12" w:space="0" w:color="000000"/>
              <w:left w:val="single" w:sz="6" w:space="0" w:color="000000"/>
              <w:bottom w:val="single" w:sz="12" w:space="0" w:color="000000"/>
              <w:right w:val="nil" w:sz="6" w:space="0" w:color="auto"/>
            </w:tcBorders>
          </w:tcPr>
          <w:p>
            <w:pPr/>
          </w:p>
        </w:tc>
      </w:tr>
      <w:tr>
        <w:trPr>
          <w:trHeight w:val="508"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因其他交易或事项引起的归属于公司普通股股东的净资产增减变动</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4" w:type="dxa"/>
            <w:tcBorders>
              <w:top w:val="single" w:sz="12" w:space="0" w:color="000000"/>
              <w:left w:val="single" w:sz="6" w:space="0" w:color="000000"/>
              <w:bottom w:val="single" w:sz="12" w:space="0" w:color="000000"/>
              <w:right w:val="nil" w:sz="6" w:space="0" w:color="auto"/>
            </w:tcBorders>
          </w:tcPr>
          <w:p>
            <w:pPr/>
          </w:p>
        </w:tc>
      </w:tr>
      <w:tr>
        <w:trPr>
          <w:trHeight w:val="509"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因其他交易或事项引起的归属于公司普通股股东的净资产增减变动月份</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4" w:type="dxa"/>
            <w:tcBorders>
              <w:top w:val="single" w:sz="12" w:space="0" w:color="000000"/>
              <w:left w:val="single" w:sz="6" w:space="0" w:color="000000"/>
              <w:bottom w:val="single" w:sz="12" w:space="0" w:color="000000"/>
              <w:right w:val="nil" w:sz="6" w:space="0" w:color="auto"/>
            </w:tcBorders>
          </w:tcPr>
          <w:p>
            <w:pPr/>
          </w:p>
        </w:tc>
      </w:tr>
      <w:tr>
        <w:trPr>
          <w:trHeight w:val="508"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当期净资产加权平均数</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3"/>
              <w:jc w:val="right"/>
              <w:rPr>
                <w:rFonts w:ascii="Times New Roman" w:hAnsi="Times New Roman" w:cs="Times New Roman" w:eastAsia="Times New Roman" w:hint="default"/>
                <w:sz w:val="18"/>
                <w:szCs w:val="18"/>
              </w:rPr>
            </w:pPr>
            <w:r>
              <w:rPr>
                <w:rFonts w:ascii="Times New Roman"/>
                <w:spacing w:val="-1"/>
                <w:sz w:val="18"/>
              </w:rPr>
              <w:t>1,970,053,732.87</w:t>
            </w:r>
          </w:p>
        </w:tc>
        <w:tc>
          <w:tcPr>
            <w:tcW w:w="18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9"/>
              <w:jc w:val="right"/>
              <w:rPr>
                <w:rFonts w:ascii="Times New Roman" w:hAnsi="Times New Roman" w:cs="Times New Roman" w:eastAsia="Times New Roman" w:hint="default"/>
                <w:sz w:val="18"/>
                <w:szCs w:val="18"/>
              </w:rPr>
            </w:pPr>
            <w:r>
              <w:rPr>
                <w:rFonts w:ascii="Times New Roman"/>
                <w:spacing w:val="-1"/>
                <w:sz w:val="18"/>
              </w:rPr>
              <w:t>1,920,673,989.97</w:t>
            </w:r>
          </w:p>
        </w:tc>
      </w:tr>
      <w:tr>
        <w:trPr>
          <w:trHeight w:val="508"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z w:val="18"/>
              </w:rPr>
              <w:t>2.40%</w:t>
            </w:r>
          </w:p>
        </w:tc>
        <w:tc>
          <w:tcPr>
            <w:tcW w:w="18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z w:val="18"/>
              </w:rPr>
              <w:t>2.63%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pStyle w:val="Heading1"/>
        <w:spacing w:line="240" w:lineRule="auto"/>
        <w:ind w:left="3286" w:right="0"/>
        <w:jc w:val="left"/>
        <w:rPr>
          <w:b w:val="0"/>
          <w:bCs w:val="0"/>
        </w:rPr>
      </w:pPr>
      <w:bookmarkStart w:name="_TOC_250000" w:id="343"/>
      <w:bookmarkStart w:name="第十二节 备查文件目录" w:id="344"/>
      <w:r>
        <w:rPr>
          <w:b w:val="0"/>
          <w:bCs w:val="0"/>
        </w:rPr>
      </w:r>
      <w:r>
        <w:rPr/>
        <w:t>第十二节</w:t>
      </w:r>
      <w:r>
        <w:rPr>
          <w:spacing w:val="-8"/>
        </w:rPr>
        <w:t> </w:t>
      </w:r>
      <w:r>
        <w:rPr/>
        <w:t>备查文件目录</w:t>
      </w:r>
      <w:bookmarkEnd w:id="343"/>
      <w:r>
        <w:rPr>
          <w:b w:val="0"/>
          <w:bCs w:val="0"/>
        </w:rPr>
      </w:r>
    </w:p>
    <w:p>
      <w:pPr>
        <w:spacing w:line="240" w:lineRule="auto" w:before="9"/>
        <w:rPr>
          <w:rFonts w:ascii="宋体" w:hAnsi="宋体" w:cs="宋体" w:eastAsia="宋体" w:hint="default"/>
          <w:b/>
          <w:bCs/>
          <w:sz w:val="41"/>
          <w:szCs w:val="41"/>
        </w:rPr>
      </w:pPr>
    </w:p>
    <w:p>
      <w:pPr>
        <w:pStyle w:val="BodyText"/>
        <w:spacing w:line="403" w:lineRule="auto"/>
        <w:ind w:right="3193"/>
        <w:jc w:val="left"/>
      </w:pPr>
      <w:r>
        <w:rPr/>
        <w:t>一、载有公司法定代表人、财务总监、会计机构负责人签名并盖章的财务报告。 二、载有会计师事务所盖章，中国注册会计师签名并盖章的审计报告原件。 三、报告期内在中国证监会指定报纸上公开披露过的所有公司文件的正本的原稿。 四、载有公司董事长郭春林先生签名的公司</w:t>
      </w:r>
      <w:r>
        <w:rPr>
          <w:rFonts w:ascii="Times New Roman" w:hAnsi="Times New Roman" w:cs="Times New Roman" w:eastAsia="Times New Roman" w:hint="default"/>
        </w:rPr>
        <w:t>2014</w:t>
      </w:r>
      <w:r>
        <w:rPr/>
        <w:t>年度报告文本。 五、以上备查文件的备置地点：公司董事会秘书办公室。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614" w:lineRule="auto" w:before="157"/>
        <w:ind w:left="5822" w:right="2892" w:hanging="328"/>
        <w:jc w:val="left"/>
      </w:pPr>
      <w:r>
        <w:rPr/>
        <w:t>吉林紫鑫药业股份有限公司 董事长：郭春林</w:t>
      </w:r>
    </w:p>
    <w:p>
      <w:pPr>
        <w:pStyle w:val="BodyText"/>
        <w:spacing w:line="240" w:lineRule="auto" w:before="102"/>
        <w:ind w:left="5926" w:right="0"/>
        <w:jc w:val="left"/>
      </w:pPr>
      <w:r>
        <w:rPr>
          <w:rFonts w:ascii="Times New Roman" w:hAnsi="Times New Roman" w:cs="Times New Roman" w:eastAsia="Times New Roman" w:hint="default"/>
        </w:rPr>
        <w:t>2015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16048" type="#_x0000_t75" stroked="false">
          <v:imagedata r:id="rId1" o:title=""/>
        </v:shape>
      </w:pict>
    </w:r>
    <w:r>
      <w:rPr/>
      <w:pict>
        <v:shape style="position:absolute;margin-left:533.179993pt;margin-top:795.517944pt;width:6.5pt;height:11pt;mso-position-horizontal-relative:page;mso-position-vertical-relative:page;z-index:-9160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16000" type="#_x0000_t75" stroked="false">
          <v:imagedata r:id="rId1" o:title=""/>
        </v:shape>
      </w:pict>
    </w:r>
    <w:r>
      <w:rPr/>
      <w:pict>
        <v:shape style="position:absolute;margin-left:527.679993pt;margin-top:781.957947pt;width:13pt;height:11pt;mso-position-horizontal-relative:page;mso-position-vertical-relative:page;z-index:-915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15952" type="#_x0000_t75" stroked="false">
          <v:imagedata r:id="rId1" o:title=""/>
        </v:shape>
      </w:pict>
    </w:r>
    <w:r>
      <w:rPr/>
      <w:pict>
        <v:shape style="position:absolute;margin-left:524.179993pt;margin-top:781.957947pt;width:15.5pt;height:11pt;mso-position-horizontal-relative:page;mso-position-vertical-relative:page;z-index:-9159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15904" type="#_x0000_t75" stroked="false">
          <v:imagedata r:id="rId1" o:title=""/>
        </v:shape>
      </w:pict>
    </w:r>
    <w:r>
      <w:rPr/>
      <w:pict>
        <v:shape style="position:absolute;margin-left:523.179993pt;margin-top:781.957947pt;width:17.5pt;height:11pt;mso-position-horizontal-relative:page;mso-position-vertical-relative:page;z-index:-915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15856" type="#_x0000_t75" stroked="false">
          <v:imagedata r:id="rId1" o:title=""/>
        </v:shape>
      </w:pict>
    </w:r>
    <w:r>
      <w:rPr/>
      <w:pict>
        <v:shape style="position:absolute;margin-left:524.179993pt;margin-top:781.957947pt;width:15.5pt;height:11pt;mso-position-horizontal-relative:page;mso-position-vertical-relative:page;z-index:-9158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15808" type="#_x0000_t75" stroked="false">
          <v:imagedata r:id="rId1" o:title=""/>
        </v:shape>
      </w:pict>
    </w:r>
    <w:r>
      <w:rPr/>
      <w:pict>
        <v:shape style="position:absolute;margin-left:523.179993pt;margin-top:781.957947pt;width:17.5pt;height:11pt;mso-position-horizontal-relative:page;mso-position-vertical-relative:page;z-index:-915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9160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15"/>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21"/>
      <w:szCs w:val="21"/>
    </w:rPr>
  </w:style>
  <w:style w:styleId="Heading1" w:type="paragraph">
    <w:name w:val="Heading 1"/>
    <w:basedOn w:val="Normal"/>
    <w:uiPriority w:val="1"/>
    <w:qFormat/>
    <w:pPr>
      <w:spacing w:before="1"/>
      <w:ind w:left="2785"/>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spacing w:before="31"/>
      <w:ind w:left="2786"/>
      <w:outlineLvl w:val="3"/>
    </w:pPr>
    <w:rPr>
      <w:rFonts w:ascii="宋体" w:hAnsi="宋体" w:eastAsia="宋体"/>
      <w:b/>
      <w:bCs/>
      <w:sz w:val="22"/>
      <w:szCs w:val="22"/>
    </w:rPr>
  </w:style>
  <w:style w:styleId="Heading4" w:type="paragraph">
    <w:name w:val="Heading 4"/>
    <w:basedOn w:val="Normal"/>
    <w:uiPriority w:val="1"/>
    <w:qFormat/>
    <w:pPr>
      <w:ind w:left="153"/>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jilinzixin.com.cn/" TargetMode="External"/><Relationship Id="rId10" Type="http://schemas.openxmlformats.org/officeDocument/2006/relationships/hyperlink" Target="mailto:zixin@zxpc.cc" TargetMode="External"/><Relationship Id="rId11" Type="http://schemas.openxmlformats.org/officeDocument/2006/relationships/hyperlink" Target="http://www.cninfo.com.cn/" TargetMode="External"/><Relationship Id="rId12" Type="http://schemas.openxmlformats.org/officeDocument/2006/relationships/hyperlink" Target="http://www.cninfo.co/" TargetMode="External"/><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jpeg"/><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2020-05-06T15:57:39Z</dcterms:created>
  <dcterms:modified xsi:type="dcterms:W3CDTF">2020-05-06T15:57:39Z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2015-02-16T00:00:00Z</vt:filetime>
  </property>
  <property fmtid="{D5CDD505-2E9C-101B-9397-08002B2CF9AE}" pid="3" name="Creator">
    <vt:lpwstr>Microsoft® Office Word 2007</vt:lpwstr>
  </property>
  <property fmtid="{D5CDD505-2E9C-101B-9397-08002B2CF9AE}" pid="4" name="LastSaved">
    <vt:filetime>2020-05-06T00:00:00Z</vt:filetime>
  </property>
</Properties>
</file>