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4"/>
        <w:rPr>
          <w:rFonts w:ascii="Times New Roman" w:hAnsi="Times New Roman" w:cs="Times New Roman" w:eastAsia="Times New Roman" w:hint="default"/>
          <w:sz w:val="25"/>
          <w:szCs w:val="25"/>
        </w:rPr>
      </w:pPr>
    </w:p>
    <w:p>
      <w:pPr>
        <w:spacing w:line="460" w:lineRule="exact"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吉林紫鑫药业股份有限公司</w:t>
      </w:r>
      <w:r>
        <w:rPr>
          <w:rFonts w:ascii="宋体" w:hAnsi="宋体" w:cs="宋体" w:eastAsia="宋体" w:hint="default"/>
          <w:sz w:val="36"/>
          <w:szCs w:val="36"/>
        </w:rPr>
      </w:r>
    </w:p>
    <w:p>
      <w:pPr>
        <w:spacing w:line="240" w:lineRule="auto" w:before="8"/>
        <w:rPr>
          <w:rFonts w:ascii="宋体" w:hAnsi="宋体" w:cs="宋体" w:eastAsia="宋体" w:hint="default"/>
          <w:b/>
          <w:bCs/>
          <w:sz w:val="48"/>
          <w:szCs w:val="48"/>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2"/>
        <w:rPr>
          <w:rFonts w:ascii="宋体" w:hAnsi="宋体" w:cs="宋体" w:eastAsia="宋体" w:hint="default"/>
          <w:b/>
          <w:bCs/>
          <w:sz w:val="30"/>
          <w:szCs w:val="30"/>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4"/>
        <w:rPr>
          <w:rFonts w:ascii="宋体" w:hAnsi="宋体" w:cs="宋体" w:eastAsia="宋体" w:hint="default"/>
          <w:b/>
          <w:bCs/>
          <w:sz w:val="43"/>
          <w:szCs w:val="43"/>
        </w:rPr>
      </w:pPr>
    </w:p>
    <w:p>
      <w:pPr>
        <w:spacing w:line="408" w:lineRule="auto" w:before="0"/>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公司负责人郭春林、主管会计工作负责人孙莉莉及会计机构负责人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邵天宇声明：保证年度报告中财务报告的真实、准确、完整。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公司可能存在新产品开发风险、规模快速扩张带来的管理风险、原材料风</w:t>
      </w:r>
      <w:r>
        <w:rPr>
          <w:rFonts w:ascii="宋体" w:hAnsi="宋体" w:cs="宋体" w:eastAsia="宋体" w:hint="default"/>
          <w:spacing w:val="3"/>
          <w:sz w:val="28"/>
          <w:szCs w:val="28"/>
        </w:rPr>
      </w:r>
    </w:p>
    <w:p>
      <w:pPr>
        <w:spacing w:line="393" w:lineRule="auto" w:before="0"/>
        <w:ind w:left="153" w:right="1133" w:firstLine="0"/>
        <w:jc w:val="both"/>
        <w:rPr>
          <w:rFonts w:ascii="宋体" w:hAnsi="宋体" w:cs="宋体" w:eastAsia="宋体" w:hint="default"/>
          <w:sz w:val="28"/>
          <w:szCs w:val="28"/>
        </w:rPr>
      </w:pPr>
      <w:r>
        <w:rPr>
          <w:rFonts w:ascii="宋体" w:hAnsi="宋体" w:cs="宋体" w:eastAsia="宋体" w:hint="default"/>
          <w:b/>
          <w:bCs/>
          <w:spacing w:val="-1"/>
          <w:w w:val="95"/>
          <w:sz w:val="28"/>
          <w:szCs w:val="28"/>
        </w:rPr>
        <w:t>险、人才储备风险等，具体风险详见第四节管理层讨论与分析第九部分</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公司未</w:t>
      </w:r>
      <w:r>
        <w:rPr>
          <w:rFonts w:ascii="宋体" w:hAnsi="宋体" w:cs="宋体" w:eastAsia="宋体" w:hint="default"/>
          <w:b/>
          <w:bCs/>
          <w:spacing w:val="34"/>
          <w:w w:val="95"/>
          <w:sz w:val="28"/>
          <w:szCs w:val="28"/>
        </w:rPr>
        <w:t> </w:t>
      </w:r>
      <w:r>
        <w:rPr>
          <w:rFonts w:ascii="宋体" w:hAnsi="宋体" w:cs="宋体" w:eastAsia="宋体" w:hint="default"/>
          <w:b/>
          <w:bCs/>
          <w:spacing w:val="-2"/>
          <w:sz w:val="28"/>
          <w:szCs w:val="28"/>
        </w:rPr>
        <w:t>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中可能面临的主要风险。本报告中如有涉及未来的计划、发展战</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略等方面的内容，均不构成本公司对投资者的实质承诺，敬请广大投资者注意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投资风险。</w:t>
      </w:r>
      <w:r>
        <w:rPr>
          <w:rFonts w:ascii="宋体" w:hAnsi="宋体" w:cs="宋体" w:eastAsia="宋体" w:hint="default"/>
          <w:sz w:val="28"/>
          <w:szCs w:val="28"/>
        </w:rPr>
      </w:r>
    </w:p>
    <w:p>
      <w:pPr>
        <w:spacing w:before="179"/>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4"/>
          <w:szCs w:val="4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75" w:val="right" w:leader="dot"/>
            </w:tabs>
            <w:spacing w:line="240" w:lineRule="auto" w:before="62"/>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8"/>
              </w:rPr>
              <w:t>11</w:t>
            </w:r>
            <w:r>
              <w:rPr>
                <w:rFonts w:ascii="Times New Roman" w:hAnsi="Times New Roman" w:cs="Times New Roman" w:eastAsia="Times New Roman" w:hint="default"/>
              </w:rPr>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3">
            <w:r>
              <w:rPr/>
              <w:t>第四节 管理层讨论与分析</w:t>
            </w:r>
            <w:r>
              <w:rPr>
                <w:rFonts w:ascii="Times New Roman" w:hAnsi="Times New Roman" w:cs="Times New Roman" w:eastAsia="Times New Roman" w:hint="default"/>
              </w:rPr>
              <w:tab/>
              <w:t>18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47</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83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93</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94</w:t>
            </w:r>
          </w:hyperlink>
        </w:p>
        <w:p>
          <w:pPr>
            <w:pStyle w:val="TOC1"/>
            <w:tabs>
              <w:tab w:pos="9783" w:val="right" w:leader="dot"/>
            </w:tabs>
            <w:spacing w:line="240" w:lineRule="auto" w:before="62"/>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100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106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0">
            <w:r>
              <w:rPr/>
              <w:t>第十一节 备查文件目录</w:t>
            </w:r>
            <w:r>
              <w:rPr>
                <w:rFonts w:ascii="Times New Roman" w:hAnsi="Times New Roman" w:cs="Times New Roman" w:eastAsia="Times New Roman" w:hint="default"/>
              </w:rPr>
              <w:tab/>
              <w:t>223</w:t>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558"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公司、本公司、紫鑫药业、紫鑫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控股股东、康平公司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敦化医药材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红石种养殖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草还丹药业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紫鑫般若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紫鑫初元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延边盛鑫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延边盛鑫人参制品有限公司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紫鑫药研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紫鑫禺拙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紫鑫参研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紫鑫参售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吉林紫鑫人参销售有限公司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北京中科紫鑫</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北京中科紫鑫科技有限责任公司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环能交易所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北方环境能源交易所有限公司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长春农商行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长春农村商业银行股份公司</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吉林紫鑫药业股份有限公司董事会</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吉林紫鑫药业股份有限公司监事会</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558"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吉林紫鑫药业股份有限公司章程</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OTC</w:t>
            </w:r>
            <w:r>
              <w:rPr>
                <w:rFonts w:ascii="宋体" w:hAnsi="宋体" w:cs="宋体" w:eastAsia="宋体" w:hint="default"/>
                <w:sz w:val="18"/>
                <w:szCs w:val="18"/>
              </w:rPr>
              <w:t>、非处方药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69"/>
              <w:jc w:val="left"/>
              <w:rPr>
                <w:rFonts w:ascii="宋体" w:hAnsi="宋体" w:cs="宋体" w:eastAsia="宋体" w:hint="default"/>
                <w:sz w:val="18"/>
                <w:szCs w:val="18"/>
              </w:rPr>
            </w:pPr>
            <w:r>
              <w:rPr>
                <w:rFonts w:ascii="宋体" w:hAnsi="宋体" w:cs="宋体" w:eastAsia="宋体" w:hint="default"/>
                <w:sz w:val="18"/>
                <w:szCs w:val="18"/>
              </w:rPr>
              <w:t>不需凭执业医师或执业助理医师开具的处方便可自行购买和使用的 药品</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处方药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2"/>
                <w:sz w:val="18"/>
                <w:szCs w:val="18"/>
              </w:rPr>
              <w:t>凭执业医师或执业助理医师开具的处方才可以调配、购买和使用的药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品</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2"/>
                <w:sz w:val="18"/>
                <w:szCs w:val="18"/>
              </w:rPr>
              <w:t>中准会计师事务所有限公司，后更名为中准会计师事务所（特殊普通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合伙）</w:t>
            </w:r>
          </w:p>
        </w:tc>
      </w:tr>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京都律师事务所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北京市京都律师事务所</w:t>
            </w:r>
          </w:p>
        </w:tc>
      </w:tr>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东吴证券</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r>
              <w:rPr>
                <w:rFonts w:ascii="Times New Roman" w:hAnsi="Times New Roman" w:cs="Times New Roman" w:eastAsia="Times New Roman" w:hint="default"/>
                <w:sz w:val="18"/>
                <w:szCs w:val="18"/>
              </w:rPr>
              <w:t>/</w:t>
            </w:r>
            <w:r>
              <w:rPr>
                <w:rFonts w:ascii="宋体" w:hAnsi="宋体" w:cs="宋体" w:eastAsia="宋体" w:hint="default"/>
                <w:sz w:val="18"/>
                <w:szCs w:val="18"/>
              </w:rPr>
              <w:t>保荐机构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13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股）股票</w:t>
            </w:r>
          </w:p>
        </w:tc>
      </w:tr>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年员工持股计划</w:t>
            </w:r>
          </w:p>
        </w:tc>
      </w:tr>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指人民币元、人民币万元</w:t>
            </w:r>
          </w:p>
        </w:tc>
      </w:tr>
      <w:tr>
        <w:trPr>
          <w:trHeight w:val="55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1-12  </w:t>
            </w:r>
            <w:r>
              <w:rPr>
                <w:rFonts w:ascii="宋体" w:hAnsi="宋体" w:cs="宋体" w:eastAsia="宋体" w:hint="default"/>
                <w:sz w:val="18"/>
                <w:szCs w:val="18"/>
              </w:rPr>
              <w:t>月的会计期间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002118</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紫鑫药业</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JILIN ZIXIN PHARMACEUTICAL INDUSTRIAL</w:t>
            </w:r>
            <w:r>
              <w:rPr>
                <w:rFonts w:ascii="Times New Roman"/>
                <w:spacing w:val="-14"/>
                <w:sz w:val="18"/>
              </w:rPr>
              <w:t> </w:t>
            </w:r>
            <w:r>
              <w:rPr>
                <w:rFonts w:ascii="Times New Roman"/>
                <w:spacing w:val="-3"/>
                <w:sz w:val="18"/>
              </w:rPr>
              <w:t>CO.,LTD</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郭春林</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吉林省柳河县英利路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135300</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8"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130041</w:t>
            </w:r>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hyperlink r:id="rId9">
              <w:r>
                <w:rPr>
                  <w:rFonts w:ascii="Times New Roman"/>
                  <w:sz w:val="18"/>
                </w:rPr>
                <w:t>http://www.jilinzixin.com.cn</w:t>
              </w:r>
            </w:hyperlink>
          </w:p>
        </w:tc>
      </w:tr>
      <w:tr>
        <w:trPr>
          <w:trHeight w:val="558"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spacing w:line="240" w:lineRule="auto" w:before="0"/>
        <w:rPr>
          <w:rFonts w:ascii="宋体" w:hAnsi="宋体" w:cs="宋体" w:eastAsia="宋体" w:hint="default"/>
          <w:b/>
          <w:bCs/>
          <w:sz w:val="24"/>
          <w:szCs w:val="24"/>
        </w:rPr>
      </w:pPr>
    </w:p>
    <w:p>
      <w:pPr>
        <w:pStyle w:val="Heading3"/>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张万恒</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吉林省长春市南关区东头道街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0431-81916633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0431-81916633</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0431-88698366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0431-88698366</w:t>
            </w:r>
          </w:p>
        </w:tc>
      </w:tr>
      <w:tr>
        <w:trPr>
          <w:trHeight w:val="55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0">
              <w:r>
                <w:rPr>
                  <w:rFonts w:ascii="Times New Roman"/>
                  <w:sz w:val="18"/>
                </w:rPr>
                <w:t>zixin@zxpc.cc</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b/>
          <w:bCs/>
          <w:sz w:val="29"/>
          <w:szCs w:val="29"/>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55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55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558"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0"/>
        <w:rPr>
          <w:rFonts w:ascii="宋体" w:hAnsi="宋体" w:cs="宋体" w:eastAsia="宋体" w:hint="default"/>
          <w:b/>
          <w:bCs/>
          <w:sz w:val="24"/>
          <w:szCs w:val="24"/>
        </w:rPr>
      </w:pPr>
    </w:p>
    <w:p>
      <w:pPr>
        <w:pStyle w:val="Heading3"/>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9122000070222720XH</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55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0"/>
        <w:rPr>
          <w:rFonts w:ascii="宋体" w:hAnsi="宋体" w:cs="宋体" w:eastAsia="宋体" w:hint="default"/>
          <w:b/>
          <w:bCs/>
          <w:sz w:val="24"/>
          <w:szCs w:val="24"/>
        </w:rPr>
      </w:pPr>
    </w:p>
    <w:p>
      <w:pPr>
        <w:pStyle w:val="Heading3"/>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0"/>
        <w:rPr>
          <w:rFonts w:ascii="宋体" w:hAnsi="宋体" w:cs="宋体" w:eastAsia="宋体" w:hint="default"/>
          <w:b/>
          <w:bCs/>
          <w:sz w:val="24"/>
          <w:szCs w:val="24"/>
        </w:rPr>
      </w:pPr>
    </w:p>
    <w:p>
      <w:pPr>
        <w:spacing w:before="19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北京市海淀区首体南路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号国兴大厦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刘昆、常明</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240" w:lineRule="auto" w:before="12"/>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8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240" w:lineRule="auto" w:before="11"/>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24"/>
      </w:tblGrid>
      <w:tr>
        <w:trPr>
          <w:trHeight w:val="558"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633,260,028.20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775,714,633.85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474,666,795.22</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39,591,514.07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47,193,156.40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-16.11%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50,480,288.62</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9,675,688.91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22,367,253.90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40,005,650.45</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217,319,944.92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4,619,573.11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4,604.33%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-471,386,146.51</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4,998,106,954.08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4,052,417,486.03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3,778,053,002.42</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2,013,306,332.23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1,993,174,757.32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1,945,947,867.60</w:t>
            </w:r>
          </w:p>
        </w:tc>
      </w:tr>
    </w:tbl>
    <w:p>
      <w:pPr>
        <w:spacing w:line="240" w:lineRule="auto" w:before="0"/>
        <w:rPr>
          <w:rFonts w:ascii="宋体" w:hAnsi="宋体" w:cs="宋体" w:eastAsia="宋体" w:hint="default"/>
          <w:sz w:val="24"/>
          <w:szCs w:val="24"/>
        </w:rPr>
      </w:pPr>
    </w:p>
    <w:p>
      <w:pPr>
        <w:pStyle w:val="Heading3"/>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14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108,370,452.14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117,338,498.77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97,909,345.16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309,641,732.13</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4,829,982.07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-1,894,261.25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-30,174,916.38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66,830,709.63</w:t>
            </w:r>
          </w:p>
        </w:tc>
      </w:tr>
      <w:tr>
        <w:trPr>
          <w:trHeight w:val="102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1,411,700.00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-10,391,038.02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-32,908,392.25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51,563,419.18</w:t>
            </w:r>
          </w:p>
        </w:tc>
      </w:tr>
      <w:tr>
        <w:trPr>
          <w:trHeight w:val="55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38,198,970.54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32,286,446.89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-58,285,316.03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205,119,843.52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-261,915.91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75,148.93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35,071,948.56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31,241,012.38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16,066,485.58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170,100.00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333,873.29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-1,180,939.23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-3,861,105.96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5,502,746.69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4,972,254.74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1,975,990.38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-12,750.00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29,915,825.16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24,825,902.50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10,474,638.17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40" w:lineRule="auto" w:before="8"/>
        <w:rPr>
          <w:rFonts w:ascii="宋体" w:hAnsi="宋体" w:cs="宋体" w:eastAsia="宋体" w:hint="default"/>
          <w:sz w:val="16"/>
          <w:szCs w:val="16"/>
        </w:rPr>
      </w:pPr>
    </w:p>
    <w:p>
      <w:pPr>
        <w:spacing w:line="451" w:lineRule="auto" w:before="0"/>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spacing w:line="451" w:lineRule="auto" w:before="0"/>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right="978"/>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0"/>
        <w:rPr>
          <w:rFonts w:ascii="宋体" w:hAnsi="宋体" w:cs="宋体" w:eastAsia="宋体" w:hint="default"/>
          <w:b/>
          <w:bCs/>
          <w:sz w:val="40"/>
          <w:szCs w:val="40"/>
        </w:rPr>
      </w:pPr>
    </w:p>
    <w:p>
      <w:pPr>
        <w:pStyle w:val="Heading3"/>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right="0" w:firstLine="480"/>
        <w:jc w:val="left"/>
      </w:pPr>
      <w:r>
        <w:rPr>
          <w:spacing w:val="-5"/>
        </w:rPr>
        <w:t>（一）报告期内，公司董事会面对国家宏观经济调整、医药行业监管力度加大等环境变化，积极应对，</w:t>
      </w:r>
      <w:r>
        <w:rPr/>
        <w:t> 狠抓市场建设，优化产品结构，积极挖潜增效，加强资金管理，强化质量控制，加快科研开发，努力推进 公司三大板块产业，公司经营情况总体良好。</w:t>
      </w:r>
    </w:p>
    <w:p>
      <w:pPr>
        <w:pStyle w:val="BodyText"/>
        <w:spacing w:line="240" w:lineRule="auto" w:before="166"/>
        <w:ind w:left="634" w:right="0"/>
        <w:jc w:val="left"/>
      </w:pPr>
      <w:r>
        <w:rPr/>
        <w:t>（二）报告期内公司所从事的主要业务及产品</w:t>
      </w:r>
    </w:p>
    <w:p>
      <w:pPr>
        <w:spacing w:line="240" w:lineRule="auto" w:before="12"/>
        <w:rPr>
          <w:rFonts w:ascii="宋体" w:hAnsi="宋体" w:cs="宋体" w:eastAsia="宋体" w:hint="default"/>
          <w:sz w:val="23"/>
          <w:szCs w:val="23"/>
        </w:rPr>
      </w:pPr>
    </w:p>
    <w:p>
      <w:pPr>
        <w:pStyle w:val="BodyText"/>
        <w:spacing w:line="398" w:lineRule="auto" w:before="0"/>
        <w:ind w:left="154" w:right="1110" w:firstLine="480"/>
        <w:jc w:val="both"/>
      </w:pPr>
      <w:r>
        <w:rPr/>
        <w:t>报告期内</w:t>
      </w:r>
      <w:r>
        <w:rPr>
          <w:rFonts w:ascii="Times New Roman" w:hAnsi="Times New Roman" w:cs="Times New Roman" w:eastAsia="Times New Roman" w:hint="default"/>
        </w:rPr>
        <w:t>,</w:t>
      </w:r>
      <w:r>
        <w:rPr/>
        <w:t>公司主要从事中成药与人参产品的研发、生产和销售，而基因测序仪的研发、生产和销售 是公司目前正在大力发展的业务。随着基因测序仪业务的不断成熟，未来公司将形成中成药、人参产品、 基因测序仪三大核心业务并驾齐驱的业务结构与发展格局。</w:t>
      </w:r>
    </w:p>
    <w:p>
      <w:pPr>
        <w:pStyle w:val="BodyText"/>
        <w:spacing w:line="240" w:lineRule="auto" w:before="54"/>
        <w:ind w:left="634" w:right="0"/>
        <w:jc w:val="left"/>
      </w:pPr>
      <w:r>
        <w:rPr/>
        <w:t>公司的主要产品如下：</w:t>
      </w:r>
    </w:p>
    <w:p>
      <w:pPr>
        <w:spacing w:line="240" w:lineRule="auto" w:before="10"/>
        <w:rPr>
          <w:rFonts w:ascii="宋体" w:hAnsi="宋体" w:cs="宋体" w:eastAsia="宋体" w:hint="default"/>
          <w:sz w:val="14"/>
          <w:szCs w:val="14"/>
        </w:rPr>
      </w:pPr>
    </w:p>
    <w:p>
      <w:pPr>
        <w:pStyle w:val="BodyText"/>
        <w:spacing w:line="386" w:lineRule="auto" w:before="0"/>
        <w:ind w:left="634" w:right="1120"/>
        <w:jc w:val="left"/>
      </w:pPr>
      <w:r>
        <w:rPr>
          <w:rFonts w:ascii="Times New Roman" w:hAnsi="Times New Roman" w:cs="Times New Roman" w:eastAsia="Times New Roman" w:hint="default"/>
        </w:rPr>
        <w:t>1</w:t>
      </w:r>
      <w:r>
        <w:rPr/>
        <w:t>、中成药产业概况 </w:t>
      </w:r>
      <w:r>
        <w:rPr>
          <w:spacing w:val="-2"/>
        </w:rPr>
        <w:t>公司生产的中成药以治疗风湿免疫类、耳鼻喉类、泌尿系统、心脑血管、肝胆类和消化系统类疾病为</w:t>
      </w:r>
    </w:p>
    <w:p>
      <w:pPr>
        <w:pStyle w:val="BodyText"/>
        <w:spacing w:line="386" w:lineRule="auto" w:before="65"/>
        <w:ind w:right="0"/>
        <w:jc w:val="left"/>
      </w:pPr>
      <w:r>
        <w:rPr/>
        <w:t>主，生产药品的剂型共分为</w:t>
      </w:r>
      <w:r>
        <w:rPr>
          <w:rFonts w:ascii="Times New Roman" w:hAnsi="Times New Roman" w:cs="Times New Roman" w:eastAsia="Times New Roman" w:hint="default"/>
        </w:rPr>
        <w:t>9</w:t>
      </w:r>
      <w:r>
        <w:rPr/>
        <w:t>种，包括丸剂、片剂、硬胶囊剂、口服液、颗粒剂、口服溶液剂、合剂、软 </w:t>
      </w:r>
      <w:r>
        <w:rPr>
          <w:spacing w:val="-1"/>
        </w:rPr>
        <w:t>胶囊剂和锭剂。公司中成药产品储备丰富，目前共取得药品批准文号</w:t>
      </w:r>
      <w:r>
        <w:rPr>
          <w:rFonts w:ascii="Times New Roman" w:hAnsi="Times New Roman" w:cs="Times New Roman" w:eastAsia="Times New Roman" w:hint="default"/>
          <w:spacing w:val="-1"/>
        </w:rPr>
        <w:t>206</w:t>
      </w:r>
      <w:r>
        <w:rPr>
          <w:spacing w:val="-1"/>
        </w:rPr>
        <w:t>个，涉及</w:t>
      </w:r>
      <w:r>
        <w:rPr>
          <w:rFonts w:ascii="Times New Roman" w:hAnsi="Times New Roman" w:cs="Times New Roman" w:eastAsia="Times New Roman" w:hint="default"/>
          <w:spacing w:val="-1"/>
        </w:rPr>
        <w:t>167</w:t>
      </w:r>
      <w:r>
        <w:rPr>
          <w:spacing w:val="-1"/>
        </w:rPr>
        <w:t>种药品（在生产药品</w:t>
      </w:r>
      <w:r>
        <w:rPr>
          <w:spacing w:val="-85"/>
        </w:rPr>
        <w:t> </w:t>
      </w:r>
      <w:r>
        <w:rPr>
          <w:spacing w:val="-85"/>
        </w:rPr>
      </w:r>
      <w:r>
        <w:rPr>
          <w:rFonts w:ascii="Times New Roman" w:hAnsi="Times New Roman" w:cs="Times New Roman" w:eastAsia="Times New Roman" w:hint="default"/>
        </w:rPr>
        <w:t>67</w:t>
      </w:r>
      <w:r>
        <w:rPr/>
        <w:t>种），其中</w:t>
      </w:r>
      <w:r>
        <w:rPr>
          <w:rFonts w:ascii="Times New Roman" w:hAnsi="Times New Roman" w:cs="Times New Roman" w:eastAsia="Times New Roman" w:hint="default"/>
        </w:rPr>
        <w:t>OTC</w:t>
      </w:r>
      <w:r>
        <w:rPr/>
        <w:t>药品</w:t>
      </w:r>
      <w:r>
        <w:rPr>
          <w:rFonts w:ascii="Times New Roman" w:hAnsi="Times New Roman" w:cs="Times New Roman" w:eastAsia="Times New Roman" w:hint="default"/>
        </w:rPr>
        <w:t>90</w:t>
      </w:r>
      <w:r>
        <w:rPr/>
        <w:t>种，处方药品</w:t>
      </w:r>
      <w:r>
        <w:rPr>
          <w:rFonts w:ascii="Times New Roman" w:hAnsi="Times New Roman" w:cs="Times New Roman" w:eastAsia="Times New Roman" w:hint="default"/>
        </w:rPr>
        <w:t>116</w:t>
      </w:r>
      <w:r>
        <w:rPr/>
        <w:t>种。公司目前拥有独家品种</w:t>
      </w:r>
      <w:r>
        <w:rPr>
          <w:rFonts w:ascii="Times New Roman" w:hAnsi="Times New Roman" w:cs="Times New Roman" w:eastAsia="Times New Roman" w:hint="default"/>
        </w:rPr>
        <w:t>5</w:t>
      </w:r>
      <w:r>
        <w:rPr/>
        <w:t>种，优质优价药品</w:t>
      </w:r>
      <w:r>
        <w:rPr>
          <w:rFonts w:ascii="Times New Roman" w:hAnsi="Times New Roman" w:cs="Times New Roman" w:eastAsia="Times New Roman" w:hint="default"/>
        </w:rPr>
        <w:t>8</w:t>
      </w:r>
      <w:r>
        <w:rPr/>
        <w:t>种，国家中药 </w:t>
      </w:r>
      <w:r>
        <w:rPr>
          <w:spacing w:val="-1"/>
        </w:rPr>
        <w:t>二级保护药品</w:t>
      </w:r>
      <w:r>
        <w:rPr>
          <w:rFonts w:ascii="Times New Roman" w:hAnsi="Times New Roman" w:cs="Times New Roman" w:eastAsia="Times New Roman" w:hint="default"/>
          <w:spacing w:val="-1"/>
        </w:rPr>
        <w:t>4</w:t>
      </w:r>
      <w:r>
        <w:rPr>
          <w:spacing w:val="-1"/>
        </w:rPr>
        <w:t>种，有</w:t>
      </w:r>
      <w:r>
        <w:rPr>
          <w:rFonts w:ascii="Times New Roman" w:hAnsi="Times New Roman" w:cs="Times New Roman" w:eastAsia="Times New Roman" w:hint="default"/>
          <w:spacing w:val="-1"/>
        </w:rPr>
        <w:t>48</w:t>
      </w:r>
      <w:r>
        <w:rPr>
          <w:spacing w:val="-1"/>
        </w:rPr>
        <w:t>种药品进入国家基本药物目录，</w:t>
      </w:r>
      <w:r>
        <w:rPr>
          <w:rFonts w:ascii="Times New Roman" w:hAnsi="Times New Roman" w:cs="Times New Roman" w:eastAsia="Times New Roman" w:hint="default"/>
          <w:spacing w:val="-1"/>
        </w:rPr>
        <w:t>136</w:t>
      </w:r>
      <w:r>
        <w:rPr>
          <w:spacing w:val="-1"/>
        </w:rPr>
        <w:t>种药品列入国家医保目录</w:t>
      </w:r>
      <w:r>
        <w:rPr>
          <w:rFonts w:ascii="宋体" w:hAnsi="宋体" w:cs="宋体" w:eastAsia="宋体" w:hint="default"/>
          <w:b/>
          <w:bCs/>
          <w:spacing w:val="-1"/>
        </w:rPr>
        <w:t>。</w:t>
      </w:r>
      <w:r>
        <w:rPr>
          <w:spacing w:val="-1"/>
        </w:rPr>
        <w:t>公司主要中成药产</w:t>
      </w:r>
      <w:r>
        <w:rPr>
          <w:spacing w:val="-83"/>
        </w:rPr>
        <w:t> </w:t>
      </w:r>
      <w:r>
        <w:rPr/>
        <w:t>品包括四妙丸、藿胆片、肾复康胶囊、活血通脉片、萆薢分清丸和内消瘰疬丸。</w:t>
      </w:r>
    </w:p>
    <w:p>
      <w:pPr>
        <w:pStyle w:val="BodyText"/>
        <w:spacing w:line="386" w:lineRule="auto" w:before="65"/>
        <w:ind w:left="633" w:right="1121"/>
        <w:jc w:val="left"/>
      </w:pPr>
      <w:r>
        <w:rPr>
          <w:rFonts w:ascii="Times New Roman" w:hAnsi="Times New Roman" w:cs="Times New Roman" w:eastAsia="Times New Roman" w:hint="default"/>
        </w:rPr>
        <w:t>2</w:t>
      </w:r>
      <w:r>
        <w:rPr/>
        <w:t>、人参产业概况 </w:t>
      </w:r>
      <w:r>
        <w:rPr>
          <w:spacing w:val="-2"/>
        </w:rPr>
        <w:t>公司的人参产品分为粗加工产品和深加工产品。粗加工产品包括白参、红参、生晒参等系列产品，深</w:t>
      </w:r>
    </w:p>
    <w:p>
      <w:pPr>
        <w:pStyle w:val="BodyText"/>
        <w:spacing w:line="408" w:lineRule="auto" w:before="65"/>
        <w:ind w:right="1024"/>
        <w:jc w:val="left"/>
      </w:pPr>
      <w:r>
        <w:rPr>
          <w:spacing w:val="-3"/>
        </w:rPr>
        <w:t>加工产品包括人参双耳饮料、人参果蔬发酵饮料、鲜人参蜜片、玉红颜红参阿胶糕和红参红枣固体饮料等，</w:t>
      </w:r>
      <w:r>
        <w:rPr>
          <w:spacing w:val="-90"/>
        </w:rPr>
        <w:t> </w:t>
      </w:r>
      <w:r>
        <w:rPr>
          <w:spacing w:val="-90"/>
        </w:rPr>
      </w:r>
      <w:r>
        <w:rPr>
          <w:spacing w:val="-1"/>
        </w:rPr>
        <w:t>公司现已取得</w:t>
      </w:r>
      <w:r>
        <w:rPr>
          <w:rFonts w:ascii="Times New Roman" w:hAnsi="Times New Roman" w:cs="Times New Roman" w:eastAsia="Times New Roman" w:hint="default"/>
          <w:spacing w:val="-1"/>
        </w:rPr>
        <w:t>4</w:t>
      </w:r>
      <w:r>
        <w:rPr>
          <w:spacing w:val="-1"/>
        </w:rPr>
        <w:t>个系列人参食品生产许可证，涉及产品包括饮料、糖果制品、蜜饯、含茶制品和代用茶等。</w:t>
      </w:r>
    </w:p>
    <w:p>
      <w:pPr>
        <w:pStyle w:val="BodyText"/>
        <w:spacing w:line="386" w:lineRule="auto" w:before="14"/>
        <w:ind w:left="634" w:right="1120"/>
        <w:jc w:val="left"/>
      </w:pPr>
      <w:r>
        <w:rPr>
          <w:rFonts w:ascii="Times New Roman" w:hAnsi="Times New Roman" w:cs="Times New Roman" w:eastAsia="Times New Roman" w:hint="default"/>
        </w:rPr>
        <w:t>3</w:t>
      </w:r>
      <w:r>
        <w:rPr/>
        <w:t>、基因测序仪产业概况 </w:t>
      </w:r>
      <w:r>
        <w:rPr>
          <w:spacing w:val="-2"/>
        </w:rPr>
        <w:t>基因测序仪的研发、生产和销售是公司目前大力发展的业务，公司为发展基因测序仪项目，已分别成</w:t>
      </w:r>
    </w:p>
    <w:p>
      <w:pPr>
        <w:pStyle w:val="BodyText"/>
        <w:spacing w:line="400" w:lineRule="auto" w:before="65"/>
        <w:ind w:left="154" w:right="1130"/>
        <w:jc w:val="both"/>
      </w:pPr>
      <w:r>
        <w:rPr>
          <w:spacing w:val="-1"/>
        </w:rPr>
        <w:t>立了吉林中科紫鑫科技有限公司、北京中科紫鑫科技有限责任公司、敦化市中科紫鑫科技有限公司，公司</w:t>
      </w:r>
      <w:r>
        <w:rPr>
          <w:spacing w:val="-83"/>
        </w:rPr>
        <w:t> </w:t>
      </w:r>
      <w:r>
        <w:rPr>
          <w:spacing w:val="-83"/>
        </w:rPr>
      </w:r>
      <w:r>
        <w:rPr>
          <w:spacing w:val="-1"/>
        </w:rPr>
        <w:t>基因测序的技术团队为中科院北京基因组研究所核心团队，多年来从事基因组学与生物信息学基础研究和</w:t>
      </w:r>
      <w:r>
        <w:rPr>
          <w:spacing w:val="-81"/>
        </w:rPr>
        <w:t> </w:t>
      </w:r>
      <w:r>
        <w:rPr>
          <w:spacing w:val="-81"/>
        </w:rPr>
      </w:r>
      <w:r>
        <w:rPr/>
        <w:t>应用开发工作，具备充分的技术服务专业基础，技术已经达到国际一流水平。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日，公司与基</w:t>
      </w:r>
      <w:r>
        <w:rPr>
          <w:spacing w:val="-28"/>
        </w:rPr>
        <w:t> </w:t>
      </w:r>
      <w:r>
        <w:rPr>
          <w:spacing w:val="-28"/>
        </w:rPr>
      </w:r>
      <w:r>
        <w:rPr/>
        <w:t>因所研制开发的国产第二代高通量</w:t>
      </w:r>
      <w:r>
        <w:rPr>
          <w:rFonts w:ascii="Times New Roman" w:hAnsi="Times New Roman" w:cs="Times New Roman" w:eastAsia="Times New Roman" w:hint="default"/>
        </w:rPr>
        <w:t>DNA</w:t>
      </w:r>
      <w:r>
        <w:rPr/>
        <w:t>测序仪</w:t>
      </w:r>
      <w:r>
        <w:rPr>
          <w:rFonts w:ascii="Times New Roman" w:hAnsi="Times New Roman" w:cs="Times New Roman" w:eastAsia="Times New Roman" w:hint="default"/>
        </w:rPr>
        <w:t>BIGIS</w:t>
      </w:r>
      <w:r>
        <w:rPr/>
        <w:t>产品样机正式发布，成功解决</w:t>
      </w:r>
      <w:r>
        <w:rPr>
          <w:rFonts w:ascii="Times New Roman" w:hAnsi="Times New Roman" w:cs="Times New Roman" w:eastAsia="Times New Roman" w:hint="default"/>
        </w:rPr>
        <w:t>“</w:t>
      </w:r>
      <w:r>
        <w:rPr/>
        <w:t>读长较短</w:t>
      </w:r>
      <w:r>
        <w:rPr>
          <w:rFonts w:ascii="Times New Roman" w:hAnsi="Times New Roman" w:cs="Times New Roman" w:eastAsia="Times New Roman" w:hint="default"/>
        </w:rPr>
        <w:t>”</w:t>
      </w:r>
      <w:r>
        <w:rPr/>
        <w:t>的关键技术</w:t>
      </w:r>
    </w:p>
    <w:p>
      <w:pPr>
        <w:spacing w:after="0" w:line="4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0"/>
        <w:jc w:val="left"/>
      </w:pPr>
      <w:r>
        <w:rPr/>
        <w:t>难题。</w:t>
      </w:r>
      <w:r>
        <w:rPr>
          <w:rFonts w:ascii="Times New Roman" w:hAnsi="Times New Roman" w:cs="Times New Roman" w:eastAsia="Times New Roman" w:hint="default"/>
        </w:rPr>
        <w:t>BIGIS</w:t>
      </w:r>
      <w:r>
        <w:rPr/>
        <w:t>测序仪是目前国内第一台达到或部分超越国际主流设备技术指标的国产化第二代测序仪，具</w:t>
      </w:r>
      <w:r>
        <w:rPr>
          <w:spacing w:val="-56"/>
        </w:rPr>
        <w:t> </w:t>
      </w:r>
      <w:r>
        <w:rPr>
          <w:spacing w:val="-56"/>
        </w:rPr>
      </w:r>
      <w:r>
        <w:rPr>
          <w:spacing w:val="-1"/>
        </w:rPr>
        <w:t>有高通量、高读长、高精确度等优势，且成本低于进口设备的</w:t>
      </w:r>
      <w:r>
        <w:rPr>
          <w:rFonts w:ascii="Times New Roman" w:hAnsi="Times New Roman" w:cs="Times New Roman" w:eastAsia="Times New Roman" w:hint="default"/>
          <w:spacing w:val="-1"/>
        </w:rPr>
        <w:t>1/2</w:t>
      </w:r>
      <w:r>
        <w:rPr>
          <w:spacing w:val="-1"/>
        </w:rPr>
        <w:t>以上，应用成本低于进口设备的</w:t>
      </w:r>
      <w:r>
        <w:rPr>
          <w:rFonts w:ascii="Times New Roman" w:hAnsi="Times New Roman" w:cs="Times New Roman" w:eastAsia="Times New Roman" w:hint="default"/>
          <w:spacing w:val="-1"/>
        </w:rPr>
        <w:t>1/3</w:t>
      </w:r>
      <w:r>
        <w:rPr>
          <w:spacing w:val="-1"/>
        </w:rPr>
        <w:t>以上。</w:t>
      </w:r>
    </w:p>
    <w:p>
      <w:pPr>
        <w:pStyle w:val="BodyText"/>
        <w:spacing w:line="240" w:lineRule="auto" w:before="156"/>
        <w:ind w:left="633" w:right="0"/>
        <w:jc w:val="left"/>
      </w:pPr>
      <w:r>
        <w:rPr/>
        <w:t>（三）报告期内公司所属行业的发展阶段、周期性特点以及公司所处的行业地位</w:t>
      </w:r>
    </w:p>
    <w:p>
      <w:pPr>
        <w:spacing w:line="240" w:lineRule="auto" w:before="12"/>
        <w:rPr>
          <w:rFonts w:ascii="宋体" w:hAnsi="宋体" w:cs="宋体" w:eastAsia="宋体" w:hint="default"/>
          <w:sz w:val="23"/>
          <w:szCs w:val="23"/>
        </w:rPr>
      </w:pPr>
    </w:p>
    <w:p>
      <w:pPr>
        <w:pStyle w:val="BodyText"/>
        <w:spacing w:line="405" w:lineRule="auto" w:before="0"/>
        <w:ind w:right="1131" w:firstLine="480"/>
        <w:jc w:val="both"/>
      </w:pPr>
      <w:r>
        <w:rPr>
          <w:rFonts w:ascii="Times New Roman" w:hAnsi="Times New Roman" w:cs="Times New Roman" w:eastAsia="Times New Roman" w:hint="default"/>
        </w:rPr>
        <w:t>1</w:t>
      </w:r>
      <w:r>
        <w:rPr/>
        <w:t>、中药行业作为医药行业的一个细分，在我国历史悠久。中药以其产量多、分布广、药性平和、毒 </w:t>
      </w:r>
      <w:r>
        <w:rPr>
          <w:spacing w:val="-1"/>
        </w:rPr>
        <w:t>副作用小、根治能力强等优势占据着我国医药产业的半壁江山。中药行业表现出很强的非周期性，很少随</w:t>
      </w:r>
      <w:r>
        <w:rPr>
          <w:spacing w:val="-83"/>
        </w:rPr>
        <w:t> </w:t>
      </w:r>
      <w:r>
        <w:rPr>
          <w:spacing w:val="-83"/>
        </w:rPr>
      </w:r>
      <w:r>
        <w:rPr>
          <w:spacing w:val="-1"/>
        </w:rPr>
        <w:t>宏观经济的起伏而波动，也没有明显的区域特点，受益于国家医疗改革政策的扶持和市场需求的扩大，近</w:t>
      </w:r>
      <w:r>
        <w:rPr>
          <w:spacing w:val="-83"/>
        </w:rPr>
        <w:t> </w:t>
      </w:r>
      <w:r>
        <w:rPr>
          <w:spacing w:val="-83"/>
        </w:rPr>
      </w:r>
      <w:r>
        <w:rPr>
          <w:spacing w:val="-1"/>
        </w:rPr>
        <w:t>几年来我国中药行业取得了持续快速的发展，工业总产值和营业收入稳步增长，虽然化学药品制剂仍占据</w:t>
      </w:r>
      <w:r>
        <w:rPr>
          <w:spacing w:val="-81"/>
        </w:rPr>
        <w:t> </w:t>
      </w:r>
      <w:r>
        <w:rPr>
          <w:spacing w:val="-81"/>
        </w:rPr>
      </w:r>
      <w:r>
        <w:rPr>
          <w:spacing w:val="-1"/>
        </w:rPr>
        <w:t>着我国医药市场的主导地位，但随着近几年我国中药工业的迅速发展，中药产品市场份额持续增加，其与</w:t>
      </w:r>
      <w:r>
        <w:rPr>
          <w:spacing w:val="-83"/>
        </w:rPr>
        <w:t> </w:t>
      </w:r>
      <w:r>
        <w:rPr>
          <w:spacing w:val="-83"/>
        </w:rPr>
      </w:r>
      <w:r>
        <w:rPr>
          <w:spacing w:val="-1"/>
        </w:rPr>
        <w:t>化学药品的差距正逐渐缩小。考虑到中药产品自身独特的优势、消费者消费习惯的改变以及当前越来越多</w:t>
      </w:r>
      <w:r>
        <w:rPr>
          <w:spacing w:val="-81"/>
        </w:rPr>
        <w:t> </w:t>
      </w:r>
      <w:r>
        <w:rPr>
          <w:spacing w:val="-81"/>
        </w:rPr>
      </w:r>
      <w:r>
        <w:rPr/>
        <w:t>的中药药性能被科学解释，未来我国中药产品的竞争力将进一步提升。</w:t>
      </w:r>
    </w:p>
    <w:p>
      <w:pPr>
        <w:pStyle w:val="BodyText"/>
        <w:spacing w:line="405" w:lineRule="auto" w:before="48"/>
        <w:ind w:right="1131" w:firstLine="480"/>
        <w:jc w:val="both"/>
      </w:pPr>
      <w:r>
        <w:rPr>
          <w:rFonts w:ascii="Times New Roman" w:hAnsi="Times New Roman" w:cs="Times New Roman" w:eastAsia="Times New Roman" w:hint="default"/>
        </w:rPr>
        <w:t>2</w:t>
      </w:r>
      <w:r>
        <w:rPr/>
        <w:t>、人参作为名贵的中药材和高级滋补品在我国已有两千多年的应用历史，被誉为</w:t>
      </w:r>
      <w:r>
        <w:rPr>
          <w:rFonts w:ascii="Times New Roman" w:hAnsi="Times New Roman" w:cs="Times New Roman" w:eastAsia="Times New Roman" w:hint="default"/>
        </w:rPr>
        <w:t>“</w:t>
      </w:r>
      <w:r>
        <w:rPr/>
        <w:t>百草之王</w:t>
      </w:r>
      <w:r>
        <w:rPr>
          <w:rFonts w:ascii="Times New Roman" w:hAnsi="Times New Roman" w:cs="Times New Roman" w:eastAsia="Times New Roman" w:hint="default"/>
        </w:rPr>
        <w:t>”</w:t>
      </w:r>
      <w:r>
        <w:rPr/>
        <w:t>，具有 </w:t>
      </w:r>
      <w:r>
        <w:rPr>
          <w:spacing w:val="-1"/>
        </w:rPr>
        <w:t>强身健体、益肾补血、抗疲劳、美容养颜、提高人体抵抗力等功效。按照人参的品质和生长环境不同，可</w:t>
      </w:r>
      <w:r>
        <w:rPr>
          <w:spacing w:val="-83"/>
        </w:rPr>
        <w:t> </w:t>
      </w:r>
      <w:r>
        <w:rPr>
          <w:spacing w:val="-83"/>
        </w:rPr>
      </w:r>
      <w:r>
        <w:rPr>
          <w:spacing w:val="-1"/>
        </w:rPr>
        <w:t>以把人参分为野山参、红参、白参、高丽参、园参、边条参、糖参、西洋参等多个品种，其中以野山参的</w:t>
      </w:r>
      <w:r>
        <w:rPr>
          <w:spacing w:val="-85"/>
        </w:rPr>
        <w:t> </w:t>
      </w:r>
      <w:r>
        <w:rPr>
          <w:spacing w:val="-85"/>
        </w:rPr>
      </w:r>
      <w:r>
        <w:rPr>
          <w:spacing w:val="-1"/>
        </w:rPr>
        <w:t>药用价值和经济价值最高。由于过度的采挖和森林的破坏，野山参目前仅少量分布于我国长白山地区和俄</w:t>
      </w:r>
      <w:r>
        <w:rPr>
          <w:spacing w:val="-81"/>
        </w:rPr>
        <w:t> </w:t>
      </w:r>
      <w:r>
        <w:rPr>
          <w:spacing w:val="-81"/>
        </w:rPr>
      </w:r>
      <w:r>
        <w:rPr>
          <w:spacing w:val="-1"/>
        </w:rPr>
        <w:t>罗斯远东地区，日本和朝鲜的野山参基本绝迹。在世界范围内，人参主要分布于中国及东北亚地区，其中</w:t>
      </w:r>
      <w:r>
        <w:rPr>
          <w:spacing w:val="-86"/>
        </w:rPr>
        <w:t> </w:t>
      </w:r>
      <w:r>
        <w:rPr>
          <w:spacing w:val="-86"/>
        </w:rPr>
      </w:r>
      <w:r>
        <w:rPr>
          <w:spacing w:val="-1"/>
        </w:rPr>
        <w:t>我国人参栽培面积最大，占全球栽培面积的一半以上，吉林省是我国人参的主产区，长白山区是人参的主</w:t>
      </w:r>
      <w:r>
        <w:rPr>
          <w:spacing w:val="-83"/>
        </w:rPr>
        <w:t> </w:t>
      </w:r>
      <w:r>
        <w:rPr>
          <w:spacing w:val="-83"/>
        </w:rPr>
      </w:r>
      <w:r>
        <w:rPr/>
        <w:t>要栽培区，分布在省内的通化、白山、延边等地。</w:t>
      </w:r>
    </w:p>
    <w:p>
      <w:pPr>
        <w:pStyle w:val="BodyText"/>
        <w:spacing w:line="391" w:lineRule="auto" w:before="48"/>
        <w:ind w:right="1130" w:firstLine="480"/>
        <w:jc w:val="both"/>
      </w:pPr>
      <w:r>
        <w:rPr>
          <w:spacing w:val="-2"/>
        </w:rPr>
        <w:t>我国是产参大国，人参年产量约占世界人参总产量的</w:t>
      </w:r>
      <w:r>
        <w:rPr>
          <w:rFonts w:ascii="Times New Roman" w:hAnsi="Times New Roman" w:cs="Times New Roman" w:eastAsia="Times New Roman" w:hint="default"/>
          <w:spacing w:val="-2"/>
        </w:rPr>
        <w:t>80%-90%</w:t>
      </w:r>
      <w:r>
        <w:rPr>
          <w:spacing w:val="-2"/>
        </w:rPr>
        <w:t>。虽然我国人参产量巨大，但近年来却</w:t>
      </w:r>
      <w:r>
        <w:rPr/>
        <w:t> 呈现逐年下降的趋势。由于受到国家</w:t>
      </w:r>
      <w:r>
        <w:rPr>
          <w:rFonts w:ascii="Times New Roman" w:hAnsi="Times New Roman" w:cs="Times New Roman" w:eastAsia="Times New Roman" w:hint="default"/>
        </w:rPr>
        <w:t>“</w:t>
      </w:r>
      <w:r>
        <w:rPr/>
        <w:t>防止水土流失政策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退参还林政策</w:t>
      </w:r>
      <w:r>
        <w:rPr>
          <w:rFonts w:ascii="Times New Roman" w:hAnsi="Times New Roman" w:cs="Times New Roman" w:eastAsia="Times New Roman" w:hint="default"/>
        </w:rPr>
        <w:t>”</w:t>
      </w:r>
      <w:r>
        <w:rPr/>
        <w:t>的冲击，加上近年来人参过度</w:t>
      </w:r>
      <w:r>
        <w:rPr>
          <w:spacing w:val="-86"/>
        </w:rPr>
        <w:t> </w:t>
      </w:r>
      <w:r>
        <w:rPr>
          <w:spacing w:val="-86"/>
        </w:rPr>
      </w:r>
      <w:r>
        <w:rPr>
          <w:spacing w:val="-1"/>
        </w:rPr>
        <w:t>采挖和森林毁坏严重，我国人参产量和人参栽培总面积均逐年减少，从市场需求来看，由于人参极高的药</w:t>
      </w:r>
      <w:r>
        <w:rPr>
          <w:spacing w:val="-83"/>
        </w:rPr>
        <w:t> </w:t>
      </w:r>
      <w:r>
        <w:rPr>
          <w:spacing w:val="-83"/>
        </w:rPr>
      </w:r>
      <w:r>
        <w:rPr/>
        <w:t>用价值、特殊的医用疗效和深厚的历史文化沉淀，其已成为国内外保健品市场的</w:t>
      </w:r>
      <w:r>
        <w:rPr>
          <w:rFonts w:ascii="Times New Roman" w:hAnsi="Times New Roman" w:cs="Times New Roman" w:eastAsia="Times New Roman" w:hint="default"/>
        </w:rPr>
        <w:t>“</w:t>
      </w:r>
      <w:r>
        <w:rPr/>
        <w:t>强势品种</w:t>
      </w:r>
      <w:r>
        <w:rPr>
          <w:rFonts w:ascii="Times New Roman" w:hAnsi="Times New Roman" w:cs="Times New Roman" w:eastAsia="Times New Roman" w:hint="default"/>
        </w:rPr>
        <w:t>”</w:t>
      </w:r>
      <w:r>
        <w:rPr/>
        <w:t>。</w:t>
      </w:r>
      <w:r>
        <w:rPr>
          <w:rFonts w:ascii="Times New Roman" w:hAnsi="Times New Roman" w:cs="Times New Roman" w:eastAsia="Times New Roman" w:hint="default"/>
        </w:rPr>
        <w:t>2012</w:t>
      </w:r>
      <w:r>
        <w:rPr/>
        <w:t>年卫生</w:t>
      </w:r>
      <w:r>
        <w:rPr>
          <w:spacing w:val="-103"/>
        </w:rPr>
        <w:t> </w:t>
      </w:r>
      <w:r>
        <w:rPr/>
        <w:t>部批准人参（人工种植）为</w:t>
      </w:r>
      <w:r>
        <w:rPr>
          <w:rFonts w:ascii="Times New Roman" w:hAnsi="Times New Roman" w:cs="Times New Roman" w:eastAsia="Times New Roman" w:hint="default"/>
        </w:rPr>
        <w:t>“</w:t>
      </w:r>
      <w:r>
        <w:rPr/>
        <w:t>新资源食品</w:t>
      </w:r>
      <w:r>
        <w:rPr>
          <w:rFonts w:ascii="Times New Roman" w:hAnsi="Times New Roman" w:cs="Times New Roman" w:eastAsia="Times New Roman" w:hint="default"/>
        </w:rPr>
        <w:t>”</w:t>
      </w:r>
      <w:r>
        <w:rPr/>
        <w:t>后，各大制药企业纷纷涉足人参食品领域，人参食品网络将在全 国市场逐步铺开，将有效推动人参需求量的持续大幅增长。</w:t>
      </w:r>
    </w:p>
    <w:p>
      <w:pPr>
        <w:pStyle w:val="BodyText"/>
        <w:spacing w:line="396" w:lineRule="auto" w:before="61"/>
        <w:ind w:right="1130" w:firstLine="480"/>
        <w:jc w:val="both"/>
      </w:pPr>
      <w:r>
        <w:rPr>
          <w:rFonts w:ascii="Times New Roman" w:hAnsi="Times New Roman" w:cs="Times New Roman" w:eastAsia="Times New Roman" w:hint="default"/>
          <w:spacing w:val="-1"/>
        </w:rPr>
        <w:t>3</w:t>
      </w:r>
      <w:r>
        <w:rPr>
          <w:spacing w:val="-1"/>
        </w:rPr>
        <w:t>、基因测序，也称</w:t>
      </w:r>
      <w:r>
        <w:rPr>
          <w:rFonts w:ascii="Times New Roman" w:hAnsi="Times New Roman" w:cs="Times New Roman" w:eastAsia="Times New Roman" w:hint="default"/>
          <w:spacing w:val="-1"/>
        </w:rPr>
        <w:t>DNA</w:t>
      </w:r>
      <w:r>
        <w:rPr>
          <w:spacing w:val="-1"/>
        </w:rPr>
        <w:t>测序，是现代生物学研究中重要的手段之一，自上世纪</w:t>
      </w:r>
      <w:r>
        <w:rPr>
          <w:rFonts w:ascii="Times New Roman" w:hAnsi="Times New Roman" w:cs="Times New Roman" w:eastAsia="Times New Roman" w:hint="default"/>
          <w:spacing w:val="-1"/>
        </w:rPr>
        <w:t>70</w:t>
      </w:r>
      <w:r>
        <w:rPr>
          <w:spacing w:val="-1"/>
        </w:rPr>
        <w:t>年代的第一代测序</w:t>
      </w:r>
      <w:r>
        <w:rPr/>
        <w:t> </w:t>
      </w:r>
      <w:r>
        <w:rPr>
          <w:spacing w:val="-2"/>
        </w:rPr>
        <w:t>技术问世以来，经过三十几年的发展，基因测序技术已经过了三个发展阶段，其中第二代</w:t>
      </w:r>
      <w:r>
        <w:rPr>
          <w:rFonts w:ascii="Times New Roman" w:hAnsi="Times New Roman" w:cs="Times New Roman" w:eastAsia="Times New Roman" w:hint="default"/>
          <w:spacing w:val="-2"/>
        </w:rPr>
        <w:t>DNA</w:t>
      </w:r>
      <w:r>
        <w:rPr>
          <w:spacing w:val="-2"/>
        </w:rPr>
        <w:t>测序技术凭</w:t>
      </w:r>
      <w:r>
        <w:rPr>
          <w:spacing w:val="-72"/>
        </w:rPr>
        <w:t> </w:t>
      </w:r>
      <w:r>
        <w:rPr/>
        <w:t>借其高通量、低成本和高准确度，在</w:t>
      </w:r>
      <w:r>
        <w:rPr>
          <w:rFonts w:ascii="Times New Roman" w:hAnsi="Times New Roman" w:cs="Times New Roman" w:eastAsia="Times New Roman" w:hint="default"/>
        </w:rPr>
        <w:t>5-10</w:t>
      </w:r>
      <w:r>
        <w:rPr/>
        <w:t>年内仍然是基因测序的主流方法。基因测序在医学、农业、畜牧</w:t>
      </w:r>
      <w:r>
        <w:rPr>
          <w:spacing w:val="-98"/>
        </w:rPr>
        <w:t> </w:t>
      </w:r>
      <w:r>
        <w:rPr>
          <w:spacing w:val="-98"/>
        </w:rPr>
      </w:r>
      <w:r>
        <w:rPr>
          <w:spacing w:val="-1"/>
        </w:rPr>
        <w:t>业、祖先起源、法医取证、生物能源等领域均有广泛应用。在医学方面，基因测序在检测遗传病、基因突</w:t>
      </w:r>
      <w:r>
        <w:rPr>
          <w:spacing w:val="-83"/>
        </w:rPr>
        <w:t> </w:t>
      </w:r>
      <w:r>
        <w:rPr>
          <w:spacing w:val="-83"/>
        </w:rPr>
      </w:r>
      <w:r>
        <w:rPr>
          <w:spacing w:val="-1"/>
        </w:rPr>
        <w:t>变、各种慢性病症，以及针对某种疾病的特定基因测试中有广泛的应用。目前我国市场上所有高通量测序</w:t>
      </w:r>
      <w:r>
        <w:rPr>
          <w:spacing w:val="-83"/>
        </w:rPr>
        <w:t> </w:t>
      </w:r>
      <w:r>
        <w:rPr>
          <w:spacing w:val="-83"/>
        </w:rPr>
      </w:r>
      <w:r>
        <w:rPr>
          <w:spacing w:val="-1"/>
        </w:rPr>
        <w:t>设备和试剂均来源于进口，随着国内基因测序技术的应用范围正逐步拓宽，国产基因测序仪的发展，作为</w:t>
      </w:r>
    </w:p>
    <w:p>
      <w:pPr>
        <w:spacing w:after="0" w:line="39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33" w:right="1121" w:hanging="480"/>
        <w:jc w:val="left"/>
      </w:pPr>
      <w:r>
        <w:rPr/>
        <w:t>传统治疗与健康管理方式的革新，国产基因测序仪产业正孕育着巨大的市场空间。 </w:t>
      </w:r>
      <w:r>
        <w:rPr>
          <w:spacing w:val="-2"/>
        </w:rPr>
        <w:t>目前，公司在中成药方面已发展成为是一家集科研、开发、生产、销售、药用动植物种养殖为一体的</w:t>
      </w:r>
    </w:p>
    <w:p>
      <w:pPr>
        <w:pStyle w:val="BodyText"/>
        <w:spacing w:line="408" w:lineRule="auto"/>
        <w:ind w:right="1131"/>
        <w:jc w:val="both"/>
      </w:pPr>
      <w:r>
        <w:rPr>
          <w:spacing w:val="-1"/>
        </w:rPr>
        <w:t>高科技股份制企业，是中医药行业的骨干企业；在人参产业方面，公司拥有优势的人参库存，也有着丰富</w:t>
      </w:r>
      <w:r>
        <w:rPr>
          <w:spacing w:val="-86"/>
        </w:rPr>
        <w:t> </w:t>
      </w:r>
      <w:r>
        <w:rPr>
          <w:spacing w:val="-86"/>
        </w:rPr>
      </w:r>
      <w:r>
        <w:rPr>
          <w:spacing w:val="-1"/>
        </w:rPr>
        <w:t>的人参深加工产品，同时公司在人参基础研究和应用研究具有创新性及先进性，公司的高科技人参研究为</w:t>
      </w:r>
      <w:r>
        <w:rPr>
          <w:spacing w:val="-81"/>
        </w:rPr>
        <w:t> </w:t>
      </w:r>
      <w:r>
        <w:rPr>
          <w:spacing w:val="-81"/>
        </w:rPr>
      </w:r>
      <w:r>
        <w:rPr>
          <w:spacing w:val="-1"/>
        </w:rPr>
        <w:t>人参种植、加工、新产品的研发提供了理论指导和技术支撑，公司进入人参领域以来一直处于行业领先地</w:t>
      </w:r>
      <w:r>
        <w:rPr>
          <w:spacing w:val="-83"/>
        </w:rPr>
        <w:t> </w:t>
      </w:r>
      <w:r>
        <w:rPr>
          <w:spacing w:val="-83"/>
        </w:rPr>
      </w:r>
      <w:r>
        <w:rPr>
          <w:spacing w:val="-1"/>
        </w:rPr>
        <w:t>位；基因测序方面，目前公司研发的基因测序仪是国内第一台能够达到和部分超越国际主流设备技术指标</w:t>
      </w:r>
      <w:r>
        <w:rPr>
          <w:spacing w:val="-81"/>
        </w:rPr>
        <w:t> </w:t>
      </w:r>
      <w:r>
        <w:rPr>
          <w:spacing w:val="-81"/>
        </w:rPr>
      </w:r>
      <w:r>
        <w:rPr>
          <w:spacing w:val="-1"/>
        </w:rPr>
        <w:t>的国产化第二代测序仪，基因测序的技术团队为中科院北京基因组研究所核心团队，多年来从事基因组学</w:t>
      </w:r>
      <w:r>
        <w:rPr>
          <w:spacing w:val="-81"/>
        </w:rPr>
        <w:t> </w:t>
      </w:r>
      <w:r>
        <w:rPr>
          <w:spacing w:val="-81"/>
        </w:rPr>
      </w:r>
      <w:r>
        <w:rPr/>
        <w:t>与生物信息学基础研究和应用开发工作，具备充分的技术服务专业基础，技术已经达到国际一流水平。</w:t>
      </w:r>
    </w:p>
    <w:p>
      <w:pPr>
        <w:spacing w:line="240" w:lineRule="auto" w:before="9"/>
        <w:rPr>
          <w:rFonts w:ascii="宋体" w:hAnsi="宋体" w:cs="宋体" w:eastAsia="宋体" w:hint="default"/>
          <w:sz w:val="24"/>
          <w:szCs w:val="24"/>
        </w:rPr>
      </w:pPr>
    </w:p>
    <w:p>
      <w:pPr>
        <w:pStyle w:val="Heading3"/>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076"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3"/>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pStyle w:val="BodyText"/>
        <w:spacing w:line="600" w:lineRule="atLeast" w:before="151"/>
        <w:ind w:left="633" w:right="0" w:hanging="36"/>
        <w:jc w:val="left"/>
      </w:pPr>
      <w:r>
        <w:rPr/>
        <w:t>（一）品牌优势 公司</w:t>
      </w:r>
      <w:r>
        <w:rPr>
          <w:rFonts w:ascii="Times New Roman" w:hAnsi="Times New Roman" w:cs="Times New Roman" w:eastAsia="Times New Roman" w:hint="default"/>
        </w:rPr>
        <w:t>“</w:t>
      </w:r>
      <w:r>
        <w:rPr/>
        <w:t>紫鑫</w:t>
      </w:r>
      <w:r>
        <w:rPr>
          <w:rFonts w:ascii="Times New Roman" w:hAnsi="Times New Roman" w:cs="Times New Roman" w:eastAsia="Times New Roman" w:hint="default"/>
        </w:rPr>
        <w:t>”</w:t>
      </w:r>
      <w:r>
        <w:rPr/>
        <w:t>商标为中国驰名商标和吉林省著名商标。公司被评为</w:t>
      </w:r>
      <w:r>
        <w:rPr>
          <w:rFonts w:ascii="Times New Roman" w:hAnsi="Times New Roman" w:cs="Times New Roman" w:eastAsia="Times New Roman" w:hint="default"/>
        </w:rPr>
        <w:t>“</w:t>
      </w:r>
      <w:r>
        <w:rPr/>
        <w:t>中国医药行业重质量单位</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吉林</w:t>
      </w:r>
    </w:p>
    <w:p>
      <w:pPr>
        <w:pStyle w:val="BodyText"/>
        <w:spacing w:line="386" w:lineRule="auto" w:before="177"/>
        <w:ind w:right="1130"/>
        <w:jc w:val="both"/>
      </w:pPr>
      <w:r>
        <w:rPr>
          <w:spacing w:val="-3"/>
        </w:rPr>
        <w:t>省百姓口碑最佳信誉单位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中国医药行业无假货单位</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“AAA</w:t>
      </w:r>
      <w:r>
        <w:rPr>
          <w:spacing w:val="-3"/>
        </w:rPr>
        <w:t>级中国诚信企业</w:t>
      </w:r>
      <w:r>
        <w:rPr>
          <w:rFonts w:ascii="Times New Roman" w:hAnsi="Times New Roman" w:cs="Times New Roman" w:eastAsia="Times New Roman" w:hint="default"/>
          <w:spacing w:val="-3"/>
        </w:rPr>
        <w:t>”</w:t>
      </w:r>
      <w:r>
        <w:rPr>
          <w:spacing w:val="-3"/>
        </w:rPr>
        <w:t>。民众的美誉度、忠诚度</w:t>
      </w:r>
      <w:r>
        <w:rPr>
          <w:spacing w:val="-64"/>
        </w:rPr>
        <w:t> </w:t>
      </w:r>
      <w:r>
        <w:rPr>
          <w:spacing w:val="-64"/>
        </w:rPr>
      </w:r>
      <w:r>
        <w:rPr/>
        <w:t>非常高，在医药行业已经树立起良好的医药品牌形象。公司的</w:t>
      </w:r>
      <w:r>
        <w:rPr>
          <w:rFonts w:ascii="Times New Roman" w:hAnsi="Times New Roman" w:cs="Times New Roman" w:eastAsia="Times New Roman" w:hint="default"/>
        </w:rPr>
        <w:t>“</w:t>
      </w:r>
      <w:r>
        <w:rPr/>
        <w:t>紫鑫国参</w:t>
      </w:r>
      <w:r>
        <w:rPr>
          <w:rFonts w:ascii="Times New Roman" w:hAnsi="Times New Roman" w:cs="Times New Roman" w:eastAsia="Times New Roman" w:hint="default"/>
        </w:rPr>
        <w:t>”</w:t>
      </w:r>
      <w:r>
        <w:rPr/>
        <w:t>品牌在业界具有一定的优势，人 </w:t>
      </w:r>
      <w:r>
        <w:rPr>
          <w:spacing w:val="-2"/>
        </w:rPr>
        <w:t>参果蔬发酵饮料、鲜人参蜜片及红参红枣固体饮料于</w:t>
      </w:r>
      <w:r>
        <w:rPr>
          <w:rFonts w:ascii="Times New Roman" w:hAnsi="Times New Roman" w:cs="Times New Roman" w:eastAsia="Times New Roman" w:hint="default"/>
          <w:spacing w:val="-2"/>
        </w:rPr>
        <w:t>2013</w:t>
      </w:r>
      <w:r>
        <w:rPr>
          <w:spacing w:val="-2"/>
        </w:rPr>
        <w:t>年获得</w:t>
      </w:r>
      <w:r>
        <w:rPr>
          <w:rFonts w:ascii="Times New Roman" w:hAnsi="Times New Roman" w:cs="Times New Roman" w:eastAsia="Times New Roman" w:hint="default"/>
          <w:spacing w:val="-2"/>
        </w:rPr>
        <w:t>“</w:t>
      </w:r>
      <w:r>
        <w:rPr>
          <w:spacing w:val="-2"/>
        </w:rPr>
        <w:t>长白山人参</w:t>
      </w:r>
      <w:r>
        <w:rPr>
          <w:rFonts w:ascii="Times New Roman" w:hAnsi="Times New Roman" w:cs="Times New Roman" w:eastAsia="Times New Roman" w:hint="default"/>
          <w:spacing w:val="-2"/>
        </w:rPr>
        <w:t>”</w:t>
      </w:r>
      <w:r>
        <w:rPr>
          <w:spacing w:val="-2"/>
        </w:rPr>
        <w:t>品牌产品认证；</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
        </w:rPr>
        <w:t> </w:t>
      </w:r>
      <w:r>
        <w:rPr/>
        <w:t>日，第五届国际食品安全年度峰会召开，公司主打的人参双耳饮料</w:t>
      </w:r>
      <w:r>
        <w:rPr>
          <w:rFonts w:ascii="Times New Roman" w:hAnsi="Times New Roman" w:cs="Times New Roman" w:eastAsia="Times New Roman" w:hint="default"/>
        </w:rPr>
        <w:t>“</w:t>
      </w:r>
      <w:r>
        <w:rPr/>
        <w:t>参呼吸</w:t>
      </w:r>
      <w:r>
        <w:rPr>
          <w:rFonts w:ascii="Times New Roman" w:hAnsi="Times New Roman" w:cs="Times New Roman" w:eastAsia="Times New Roman" w:hint="default"/>
        </w:rPr>
        <w:t>”</w:t>
      </w:r>
      <w:r>
        <w:rPr/>
        <w:t>荣获国际食品安全协会指定饮 品。</w:t>
      </w:r>
    </w:p>
    <w:p>
      <w:pPr>
        <w:spacing w:line="240" w:lineRule="auto" w:before="2"/>
        <w:rPr>
          <w:rFonts w:ascii="宋体" w:hAnsi="宋体" w:cs="宋体" w:eastAsia="宋体" w:hint="default"/>
          <w:sz w:val="14"/>
          <w:szCs w:val="14"/>
        </w:rPr>
      </w:pPr>
    </w:p>
    <w:p>
      <w:pPr>
        <w:pStyle w:val="BodyText"/>
        <w:spacing w:line="513" w:lineRule="auto" w:before="0"/>
        <w:ind w:left="634" w:right="1120"/>
        <w:jc w:val="left"/>
      </w:pPr>
      <w:r>
        <w:rPr/>
        <w:t>（二）营销渠道优势 </w:t>
      </w:r>
      <w:r>
        <w:rPr>
          <w:spacing w:val="-2"/>
        </w:rPr>
        <w:t>公司拥有完善的销售系统和市场支持体系，通过长期培育，目前公司建立了一支经验丰富、市场开拓</w:t>
      </w:r>
    </w:p>
    <w:p>
      <w:pPr>
        <w:spacing w:after="0" w:line="51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right="1132"/>
        <w:jc w:val="both"/>
      </w:pPr>
      <w:r>
        <w:rPr>
          <w:spacing w:val="-1"/>
        </w:rPr>
        <w:t>能力突出的一流销售队伍，销售目标区域以东北三省、江浙地区为中心，辐射全国除台湾、西藏藏族自治</w:t>
      </w:r>
      <w:r>
        <w:rPr>
          <w:spacing w:val="-86"/>
        </w:rPr>
        <w:t> </w:t>
      </w:r>
      <w:r>
        <w:rPr>
          <w:spacing w:val="-86"/>
        </w:rPr>
      </w:r>
      <w:r>
        <w:rPr/>
        <w:t>区以外的</w:t>
      </w:r>
      <w:r>
        <w:rPr>
          <w:rFonts w:ascii="Times New Roman" w:hAnsi="Times New Roman" w:cs="Times New Roman" w:eastAsia="Times New Roman" w:hint="default"/>
        </w:rPr>
        <w:t>30</w:t>
      </w:r>
      <w:r>
        <w:rPr/>
        <w:t>个省、市和自治区，与全国</w:t>
      </w:r>
      <w:r>
        <w:rPr>
          <w:rFonts w:ascii="Times New Roman" w:hAnsi="Times New Roman" w:cs="Times New Roman" w:eastAsia="Times New Roman" w:hint="default"/>
        </w:rPr>
        <w:t>4,000</w:t>
      </w:r>
      <w:r>
        <w:rPr/>
        <w:t>多家二级甲等以上医院、</w:t>
      </w:r>
      <w:r>
        <w:rPr>
          <w:rFonts w:ascii="Times New Roman" w:hAnsi="Times New Roman" w:cs="Times New Roman" w:eastAsia="Times New Roman" w:hint="default"/>
        </w:rPr>
        <w:t>900</w:t>
      </w:r>
      <w:r>
        <w:rPr/>
        <w:t>多家医药经销单位建立了长期稳</w:t>
      </w:r>
      <w:r>
        <w:rPr>
          <w:spacing w:val="-81"/>
        </w:rPr>
        <w:t> </w:t>
      </w:r>
      <w:r>
        <w:rPr>
          <w:spacing w:val="-81"/>
        </w:rPr>
      </w:r>
      <w:r>
        <w:rPr/>
        <w:t>定的业务关系。</w:t>
      </w:r>
    </w:p>
    <w:p>
      <w:pPr>
        <w:pStyle w:val="BodyText"/>
        <w:spacing w:line="240" w:lineRule="auto" w:before="175"/>
        <w:ind w:left="633" w:right="0"/>
        <w:jc w:val="left"/>
      </w:pPr>
      <w:r>
        <w:rPr/>
        <w:t>（三）质量保证体系优势</w:t>
      </w:r>
    </w:p>
    <w:p>
      <w:pPr>
        <w:spacing w:line="240" w:lineRule="auto" w:before="12"/>
        <w:rPr>
          <w:rFonts w:ascii="宋体" w:hAnsi="宋体" w:cs="宋体" w:eastAsia="宋体" w:hint="default"/>
          <w:sz w:val="23"/>
          <w:szCs w:val="23"/>
        </w:rPr>
      </w:pPr>
    </w:p>
    <w:p>
      <w:pPr>
        <w:pStyle w:val="BodyText"/>
        <w:spacing w:line="403" w:lineRule="auto" w:before="0"/>
        <w:ind w:right="1131" w:firstLine="480"/>
        <w:jc w:val="both"/>
      </w:pPr>
      <w:r>
        <w:rPr>
          <w:spacing w:val="-2"/>
        </w:rPr>
        <w:t>公司的主导品种以治疗心脑血管、骨伤类、消化系统、泌尿系统和风湿免疫类疾病为主，主要产品有</w:t>
      </w:r>
      <w:r>
        <w:rPr/>
        <w:t> </w:t>
      </w:r>
      <w:r>
        <w:rPr>
          <w:spacing w:val="-1"/>
        </w:rPr>
        <w:t>活血通脉片、醒脑再造胶囊、麝香接骨胶囊、复方益肝灵片、补肾安神口服液、四妙丸等。生产药品剂型</w:t>
      </w:r>
      <w:r>
        <w:rPr>
          <w:spacing w:val="-83"/>
        </w:rPr>
        <w:t> </w:t>
      </w:r>
      <w:r>
        <w:rPr>
          <w:spacing w:val="-83"/>
        </w:rPr>
      </w:r>
      <w:r>
        <w:rPr>
          <w:spacing w:val="-1"/>
        </w:rPr>
        <w:t>包括片剂、硬胶囊剂、口服液、丸剂、颗粒剂、口服溶液剂、合剂和锭剂，公司及公司子公司相关生产线</w:t>
      </w:r>
      <w:r>
        <w:rPr>
          <w:spacing w:val="-85"/>
        </w:rPr>
        <w:t> </w:t>
      </w:r>
      <w:r>
        <w:rPr>
          <w:spacing w:val="-85"/>
        </w:rPr>
      </w:r>
      <w:r>
        <w:rPr>
          <w:spacing w:val="-2"/>
        </w:rPr>
        <w:t>已通过新版《药品生产质量管理规范》（</w:t>
      </w:r>
      <w:r>
        <w:rPr>
          <w:rFonts w:ascii="Times New Roman" w:hAnsi="Times New Roman" w:cs="Times New Roman" w:eastAsia="Times New Roman" w:hint="default"/>
          <w:spacing w:val="-2"/>
        </w:rPr>
        <w:t>GMP</w:t>
      </w:r>
      <w:r>
        <w:rPr>
          <w:spacing w:val="-2"/>
        </w:rPr>
        <w:t>）认证，并获得《药品</w:t>
      </w:r>
      <w:r>
        <w:rPr>
          <w:rFonts w:ascii="Times New Roman" w:hAnsi="Times New Roman" w:cs="Times New Roman" w:eastAsia="Times New Roman" w:hint="default"/>
          <w:spacing w:val="-2"/>
        </w:rPr>
        <w:t>GMP</w:t>
      </w:r>
      <w:r>
        <w:rPr>
          <w:spacing w:val="-2"/>
        </w:rPr>
        <w:t>证书》。公司产品历次无重大质</w:t>
      </w:r>
      <w:r>
        <w:rPr/>
        <w:t> 量事故发生，在市场上享有良好声誉。</w:t>
      </w:r>
    </w:p>
    <w:p>
      <w:pPr>
        <w:pStyle w:val="BodyText"/>
        <w:spacing w:line="240" w:lineRule="auto" w:before="170"/>
        <w:ind w:left="633" w:right="0"/>
        <w:jc w:val="left"/>
      </w:pPr>
      <w:r>
        <w:rPr/>
        <w:t>（四）丰富的资源优势</w:t>
      </w:r>
    </w:p>
    <w:p>
      <w:pPr>
        <w:spacing w:line="240" w:lineRule="auto" w:before="12"/>
        <w:rPr>
          <w:rFonts w:ascii="宋体" w:hAnsi="宋体" w:cs="宋体" w:eastAsia="宋体" w:hint="default"/>
          <w:sz w:val="23"/>
          <w:szCs w:val="23"/>
        </w:rPr>
      </w:pPr>
    </w:p>
    <w:p>
      <w:pPr>
        <w:pStyle w:val="BodyText"/>
        <w:spacing w:line="391" w:lineRule="auto" w:before="0"/>
        <w:ind w:right="1121" w:firstLine="480"/>
        <w:jc w:val="left"/>
        <w:rPr>
          <w:rFonts w:ascii="宋体" w:hAnsi="宋体" w:cs="宋体" w:eastAsia="宋体" w:hint="default"/>
        </w:rPr>
      </w:pPr>
      <w:r>
        <w:rPr>
          <w:spacing w:val="-2"/>
        </w:rPr>
        <w:t>公司生产的中成药以治疗风湿免疫类、耳鼻喉类、泌尿系统、心脑血管、肝胆类和消化系统类疾病为</w:t>
      </w:r>
      <w:r>
        <w:rPr/>
        <w:t> 主，生产药品的剂型共分为</w:t>
      </w:r>
      <w:r>
        <w:rPr>
          <w:rFonts w:ascii="Times New Roman" w:hAnsi="Times New Roman" w:cs="Times New Roman" w:eastAsia="Times New Roman" w:hint="default"/>
        </w:rPr>
        <w:t>9</w:t>
      </w:r>
      <w:r>
        <w:rPr/>
        <w:t>种，包括丸剂、片剂、硬胶囊剂、口服液、颗粒剂、口服溶液剂、合剂、软 </w:t>
      </w:r>
      <w:r>
        <w:rPr>
          <w:spacing w:val="-1"/>
        </w:rPr>
        <w:t>胶囊剂和锭剂。公司中成药产品储备丰富，目前共取得药品批准文号</w:t>
      </w:r>
      <w:r>
        <w:rPr>
          <w:rFonts w:ascii="Times New Roman" w:hAnsi="Times New Roman" w:cs="Times New Roman" w:eastAsia="Times New Roman" w:hint="default"/>
          <w:spacing w:val="-1"/>
        </w:rPr>
        <w:t>206</w:t>
      </w:r>
      <w:r>
        <w:rPr>
          <w:spacing w:val="-1"/>
        </w:rPr>
        <w:t>个，涉及</w:t>
      </w:r>
      <w:r>
        <w:rPr>
          <w:rFonts w:ascii="Times New Roman" w:hAnsi="Times New Roman" w:cs="Times New Roman" w:eastAsia="Times New Roman" w:hint="default"/>
          <w:spacing w:val="-1"/>
        </w:rPr>
        <w:t>167</w:t>
      </w:r>
      <w:r>
        <w:rPr>
          <w:spacing w:val="-1"/>
        </w:rPr>
        <w:t>种药品（在生产药品</w:t>
      </w:r>
      <w:r>
        <w:rPr>
          <w:spacing w:val="-85"/>
        </w:rPr>
        <w:t> </w:t>
      </w:r>
      <w:r>
        <w:rPr>
          <w:spacing w:val="-85"/>
        </w:rPr>
      </w:r>
      <w:r>
        <w:rPr>
          <w:rFonts w:ascii="Times New Roman" w:hAnsi="Times New Roman" w:cs="Times New Roman" w:eastAsia="Times New Roman" w:hint="default"/>
        </w:rPr>
        <w:t>67</w:t>
      </w:r>
      <w:r>
        <w:rPr/>
        <w:t>种），其中</w:t>
      </w:r>
      <w:r>
        <w:rPr>
          <w:rFonts w:ascii="Times New Roman" w:hAnsi="Times New Roman" w:cs="Times New Roman" w:eastAsia="Times New Roman" w:hint="default"/>
        </w:rPr>
        <w:t>OTC</w:t>
      </w:r>
      <w:r>
        <w:rPr/>
        <w:t>药品</w:t>
      </w:r>
      <w:r>
        <w:rPr>
          <w:rFonts w:ascii="Times New Roman" w:hAnsi="Times New Roman" w:cs="Times New Roman" w:eastAsia="Times New Roman" w:hint="default"/>
        </w:rPr>
        <w:t>90</w:t>
      </w:r>
      <w:r>
        <w:rPr/>
        <w:t>种，处方药品</w:t>
      </w:r>
      <w:r>
        <w:rPr>
          <w:rFonts w:ascii="Times New Roman" w:hAnsi="Times New Roman" w:cs="Times New Roman" w:eastAsia="Times New Roman" w:hint="default"/>
        </w:rPr>
        <w:t>116</w:t>
      </w:r>
      <w:r>
        <w:rPr/>
        <w:t>种。公司目前拥有独家品种</w:t>
      </w:r>
      <w:r>
        <w:rPr>
          <w:rFonts w:ascii="Times New Roman" w:hAnsi="Times New Roman" w:cs="Times New Roman" w:eastAsia="Times New Roman" w:hint="default"/>
        </w:rPr>
        <w:t>5</w:t>
      </w:r>
      <w:r>
        <w:rPr/>
        <w:t>种，优质优价药品</w:t>
      </w:r>
      <w:r>
        <w:rPr>
          <w:rFonts w:ascii="Times New Roman" w:hAnsi="Times New Roman" w:cs="Times New Roman" w:eastAsia="Times New Roman" w:hint="default"/>
        </w:rPr>
        <w:t>8</w:t>
      </w:r>
      <w:r>
        <w:rPr/>
        <w:t>种，国家中药 二级保护药品</w:t>
      </w:r>
      <w:r>
        <w:rPr>
          <w:rFonts w:ascii="Times New Roman" w:hAnsi="Times New Roman" w:cs="Times New Roman" w:eastAsia="Times New Roman" w:hint="default"/>
        </w:rPr>
        <w:t>4</w:t>
      </w:r>
      <w:r>
        <w:rPr/>
        <w:t>种，有</w:t>
      </w:r>
      <w:r>
        <w:rPr>
          <w:rFonts w:ascii="Times New Roman" w:hAnsi="Times New Roman" w:cs="Times New Roman" w:eastAsia="Times New Roman" w:hint="default"/>
        </w:rPr>
        <w:t>48</w:t>
      </w:r>
      <w:r>
        <w:rPr/>
        <w:t>种药品进入国家基本药物目录，</w:t>
      </w:r>
      <w:r>
        <w:rPr>
          <w:rFonts w:ascii="Times New Roman" w:hAnsi="Times New Roman" w:cs="Times New Roman" w:eastAsia="Times New Roman" w:hint="default"/>
        </w:rPr>
        <w:t>136</w:t>
      </w:r>
      <w:r>
        <w:rPr/>
        <w:t>种药品列入国家医保目录</w:t>
      </w:r>
      <w:r>
        <w:rPr>
          <w:rFonts w:ascii="宋体" w:hAnsi="宋体" w:cs="宋体" w:eastAsia="宋体" w:hint="default"/>
          <w:b/>
          <w:bCs/>
        </w:rPr>
        <w:t>。</w:t>
      </w:r>
      <w:r>
        <w:rPr>
          <w:rFonts w:ascii="宋体" w:hAnsi="宋体" w:cs="宋体" w:eastAsia="宋体" w:hint="default"/>
        </w:rPr>
      </w:r>
    </w:p>
    <w:p>
      <w:pPr>
        <w:pStyle w:val="BodyText"/>
        <w:spacing w:line="393" w:lineRule="auto" w:before="150"/>
        <w:ind w:right="0" w:firstLine="480"/>
        <w:jc w:val="left"/>
      </w:pPr>
      <w:r>
        <w:rPr>
          <w:spacing w:val="-2"/>
        </w:rPr>
        <w:t>公司的人参产品分为粗加工产品和深加工产品。粗加工产品包括白参、红参、生晒参等系列产品，深</w:t>
      </w:r>
      <w:r>
        <w:rPr/>
        <w:t> 加工产品包括玉红颜红参阿胶糕、鲜人参蜜片、人参果蔬发酵饮料等，公司分别有</w:t>
      </w:r>
      <w:r>
        <w:rPr>
          <w:rFonts w:ascii="Times New Roman" w:hAnsi="Times New Roman" w:cs="Times New Roman" w:eastAsia="Times New Roman" w:hint="default"/>
        </w:rPr>
        <w:t>12</w:t>
      </w:r>
      <w:r>
        <w:rPr/>
        <w:t>个品种进入首批食品 </w:t>
      </w:r>
      <w:r>
        <w:rPr>
          <w:spacing w:val="-1"/>
        </w:rPr>
        <w:t>试点的和</w:t>
      </w:r>
      <w:r>
        <w:rPr>
          <w:rFonts w:ascii="Times New Roman" w:hAnsi="Times New Roman" w:cs="Times New Roman" w:eastAsia="Times New Roman" w:hint="default"/>
          <w:spacing w:val="-1"/>
        </w:rPr>
        <w:t>29</w:t>
      </w:r>
      <w:r>
        <w:rPr>
          <w:spacing w:val="-1"/>
        </w:rPr>
        <w:t>个品种进入第二批食品试点。公司现已取得</w:t>
      </w:r>
      <w:r>
        <w:rPr>
          <w:rFonts w:ascii="Times New Roman" w:hAnsi="Times New Roman" w:cs="Times New Roman" w:eastAsia="Times New Roman" w:hint="default"/>
          <w:spacing w:val="-1"/>
        </w:rPr>
        <w:t>4</w:t>
      </w:r>
      <w:r>
        <w:rPr>
          <w:spacing w:val="-1"/>
        </w:rPr>
        <w:t>个系列人参食品生产许可证，涉及产品包括饮料、</w:t>
      </w:r>
      <w:r>
        <w:rPr>
          <w:spacing w:val="-82"/>
        </w:rPr>
        <w:t> </w:t>
      </w:r>
      <w:r>
        <w:rPr>
          <w:spacing w:val="-82"/>
        </w:rPr>
      </w:r>
      <w:r>
        <w:rPr/>
        <w:t>糖果制品、蜜饯、含茶制品和代用茶等。</w:t>
      </w:r>
    </w:p>
    <w:p>
      <w:pPr>
        <w:pStyle w:val="BodyText"/>
        <w:spacing w:line="240" w:lineRule="auto" w:before="178"/>
        <w:ind w:left="633" w:right="0"/>
        <w:jc w:val="left"/>
      </w:pPr>
      <w:r>
        <w:rPr/>
        <w:t>（五）核心技术优势</w:t>
      </w:r>
    </w:p>
    <w:p>
      <w:pPr>
        <w:spacing w:line="240" w:lineRule="auto" w:before="12"/>
        <w:rPr>
          <w:rFonts w:ascii="宋体" w:hAnsi="宋体" w:cs="宋体" w:eastAsia="宋体" w:hint="default"/>
          <w:sz w:val="23"/>
          <w:szCs w:val="23"/>
        </w:rPr>
      </w:pPr>
    </w:p>
    <w:p>
      <w:pPr>
        <w:pStyle w:val="BodyText"/>
        <w:spacing w:line="240" w:lineRule="auto" w:before="0"/>
        <w:ind w:left="802" w:right="0"/>
        <w:jc w:val="left"/>
      </w:pPr>
      <w:r>
        <w:rPr>
          <w:rFonts w:ascii="Times New Roman" w:hAnsi="Times New Roman" w:cs="Times New Roman" w:eastAsia="Times New Roman" w:hint="default"/>
        </w:rPr>
        <w:t>1</w:t>
      </w:r>
      <w:r>
        <w:rPr/>
        <w:t>、公司在中成药领域的核心技术主要包括以下方面：</w:t>
      </w:r>
    </w:p>
    <w:p>
      <w:pPr>
        <w:spacing w:line="240" w:lineRule="auto" w:before="9"/>
        <w:rPr>
          <w:rFonts w:ascii="宋体" w:hAnsi="宋体" w:cs="宋体" w:eastAsia="宋体" w:hint="default"/>
          <w:sz w:val="22"/>
          <w:szCs w:val="22"/>
        </w:rPr>
      </w:pPr>
    </w:p>
    <w:p>
      <w:pPr>
        <w:pStyle w:val="BodyText"/>
        <w:spacing w:line="484" w:lineRule="auto" w:before="0"/>
        <w:ind w:left="633" w:right="1121"/>
        <w:jc w:val="left"/>
      </w:pPr>
      <w:r>
        <w:rPr/>
        <w:t>（</w:t>
      </w:r>
      <w:r>
        <w:rPr>
          <w:rFonts w:ascii="Times New Roman" w:hAnsi="Times New Roman" w:cs="Times New Roman" w:eastAsia="Times New Roman" w:hint="default"/>
        </w:rPr>
        <w:t>1</w:t>
      </w:r>
      <w:r>
        <w:rPr/>
        <w:t>）桑麻口服液、补肾安神口服液的包合技术 </w:t>
      </w:r>
      <w:r>
        <w:rPr>
          <w:spacing w:val="-2"/>
        </w:rPr>
        <w:t>该技术由公司自行研发，为公司独家拥有，解决了传统中药内在成分质量不稳定的难题，是桑麻口服</w:t>
      </w:r>
    </w:p>
    <w:p>
      <w:pPr>
        <w:pStyle w:val="BodyText"/>
        <w:spacing w:line="254" w:lineRule="exact" w:before="0"/>
        <w:ind w:right="0"/>
        <w:jc w:val="both"/>
      </w:pPr>
      <w:r>
        <w:rPr/>
        <w:t>液、补肾安神口服液生产加工的关键技术之一。</w:t>
      </w:r>
    </w:p>
    <w:p>
      <w:pPr>
        <w:spacing w:line="240" w:lineRule="auto" w:before="13"/>
        <w:rPr>
          <w:rFonts w:ascii="宋体" w:hAnsi="宋体" w:cs="宋体" w:eastAsia="宋体" w:hint="default"/>
          <w:sz w:val="23"/>
          <w:szCs w:val="23"/>
        </w:rPr>
      </w:pPr>
    </w:p>
    <w:p>
      <w:pPr>
        <w:pStyle w:val="BodyText"/>
        <w:spacing w:line="484" w:lineRule="auto" w:before="0"/>
        <w:ind w:left="634" w:right="1120"/>
        <w:jc w:val="left"/>
      </w:pPr>
      <w:r>
        <w:rPr/>
        <w:t>（</w:t>
      </w:r>
      <w:r>
        <w:rPr>
          <w:rFonts w:ascii="Times New Roman" w:hAnsi="Times New Roman" w:cs="Times New Roman" w:eastAsia="Times New Roman" w:hint="default"/>
        </w:rPr>
        <w:t>2</w:t>
      </w:r>
      <w:r>
        <w:rPr/>
        <w:t>）四妙丸、苏子降气丸粉碎、混合技术 </w:t>
      </w:r>
      <w:r>
        <w:rPr>
          <w:spacing w:val="-2"/>
        </w:rPr>
        <w:t>该技术在传统中医药理论指导下，在保证处方中各味药材的原有药效物质基础的前提下，利用现代先</w:t>
      </w:r>
    </w:p>
    <w:p>
      <w:pPr>
        <w:pStyle w:val="BodyText"/>
        <w:spacing w:line="254" w:lineRule="exact" w:before="0"/>
        <w:ind w:left="154" w:right="0"/>
        <w:jc w:val="both"/>
      </w:pPr>
      <w:r>
        <w:rPr/>
        <w:t>进的粉碎、混合技术，以精湛、稳定的工艺，制备出质量均一、稳定、可控，药效显著的优良产品。</w:t>
      </w:r>
    </w:p>
    <w:p>
      <w:pPr>
        <w:spacing w:after="0" w:line="254" w:lineRule="exact"/>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84" w:lineRule="auto" w:before="174"/>
        <w:ind w:left="633" w:right="0"/>
        <w:jc w:val="left"/>
      </w:pPr>
      <w:r>
        <w:rPr/>
        <w:t>（</w:t>
      </w:r>
      <w:r>
        <w:rPr>
          <w:rFonts w:ascii="Times New Roman" w:hAnsi="Times New Roman" w:cs="Times New Roman" w:eastAsia="Times New Roman" w:hint="default"/>
        </w:rPr>
        <w:t>3</w:t>
      </w:r>
      <w:r>
        <w:rPr/>
        <w:t>）藿胆片、小儿白贝止咳糖浆的浸膏提取技术 </w:t>
      </w:r>
      <w:r>
        <w:rPr>
          <w:spacing w:val="-5"/>
        </w:rPr>
        <w:t>该技术由公司自行研发，基于传统的中医药理论，利用现代的浸提技术进行开发，充分保留有效物质，</w:t>
      </w:r>
    </w:p>
    <w:p>
      <w:pPr>
        <w:pStyle w:val="BodyText"/>
        <w:spacing w:line="254" w:lineRule="exact" w:before="0"/>
        <w:ind w:right="0"/>
        <w:jc w:val="both"/>
      </w:pPr>
      <w:r>
        <w:rPr/>
        <w:t>保证临床疗效，工艺稳定，质量可控。</w:t>
      </w:r>
    </w:p>
    <w:p>
      <w:pPr>
        <w:spacing w:line="240" w:lineRule="auto" w:before="12"/>
        <w:rPr>
          <w:rFonts w:ascii="宋体" w:hAnsi="宋体" w:cs="宋体" w:eastAsia="宋体" w:hint="default"/>
          <w:sz w:val="23"/>
          <w:szCs w:val="23"/>
        </w:rPr>
      </w:pPr>
    </w:p>
    <w:p>
      <w:pPr>
        <w:pStyle w:val="BodyText"/>
        <w:spacing w:line="484" w:lineRule="auto" w:before="0"/>
        <w:ind w:left="633" w:right="1121"/>
        <w:jc w:val="left"/>
      </w:pPr>
      <w:r>
        <w:rPr>
          <w:rFonts w:ascii="Times New Roman" w:hAnsi="Times New Roman" w:cs="Times New Roman" w:eastAsia="Times New Roman" w:hint="default"/>
        </w:rPr>
        <w:t>2</w:t>
      </w:r>
      <w:r>
        <w:rPr/>
        <w:t>、人参领域 </w:t>
      </w:r>
      <w:r>
        <w:rPr>
          <w:spacing w:val="-2"/>
        </w:rPr>
        <w:t>人参产业的发展在很大程度上取决于人参基础研究和应用研究的创新性及先进性，其为人参种植、加</w:t>
      </w:r>
    </w:p>
    <w:p>
      <w:pPr>
        <w:pStyle w:val="BodyText"/>
        <w:spacing w:line="254" w:lineRule="exact" w:before="0"/>
        <w:ind w:right="0"/>
        <w:jc w:val="both"/>
      </w:pPr>
      <w:r>
        <w:rPr/>
        <w:t>工、新产品的研发提供了理论指导和技术支撑。公司率先从基因角度开展人参领域的相关研究，关键技术</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如下：</w:t>
      </w:r>
    </w:p>
    <w:p>
      <w:pPr>
        <w:spacing w:line="240" w:lineRule="auto" w:before="10"/>
        <w:rPr>
          <w:rFonts w:ascii="宋体" w:hAnsi="宋体" w:cs="宋体" w:eastAsia="宋体" w:hint="default"/>
          <w:sz w:val="14"/>
          <w:szCs w:val="14"/>
        </w:rPr>
      </w:pPr>
    </w:p>
    <w:p>
      <w:pPr>
        <w:pStyle w:val="BodyText"/>
        <w:spacing w:line="386" w:lineRule="auto" w:before="0"/>
        <w:ind w:left="633" w:right="1033"/>
        <w:jc w:val="left"/>
      </w:pPr>
      <w:r>
        <w:rPr/>
        <w:t>（</w:t>
      </w:r>
      <w:r>
        <w:rPr>
          <w:rFonts w:ascii="Times New Roman" w:hAnsi="Times New Roman" w:cs="Times New Roman" w:eastAsia="Times New Roman" w:hint="default"/>
        </w:rPr>
        <w:t>1</w:t>
      </w:r>
      <w:r>
        <w:rPr/>
        <w:t>）人参基因组数据库 以第二代测序技术为主结合第一代测序技术为研究手段，应用新的研究策略，对五种人参（大马牙、</w:t>
      </w:r>
    </w:p>
    <w:p>
      <w:pPr>
        <w:pStyle w:val="BodyText"/>
        <w:spacing w:line="408" w:lineRule="auto" w:before="65"/>
        <w:ind w:right="1131"/>
        <w:jc w:val="both"/>
      </w:pPr>
      <w:r>
        <w:rPr>
          <w:spacing w:val="-1"/>
        </w:rPr>
        <w:t>二马牙、高丽参、西洋参、野山参）进行全基因组测序，建立了覆盖全部人参品系的基因组数据库，该数</w:t>
      </w:r>
      <w:r>
        <w:rPr>
          <w:spacing w:val="-83"/>
        </w:rPr>
        <w:t> </w:t>
      </w:r>
      <w:r>
        <w:rPr>
          <w:spacing w:val="-83"/>
        </w:rPr>
      </w:r>
      <w:r>
        <w:rPr>
          <w:spacing w:val="-1"/>
        </w:rPr>
        <w:t>据库的建立，不仅有利于进行基因水平的优良品种的选育及将相关基因组资源和遗传工具应用于新品种培</w:t>
      </w:r>
      <w:r>
        <w:rPr>
          <w:spacing w:val="-81"/>
        </w:rPr>
        <w:t> </w:t>
      </w:r>
      <w:r>
        <w:rPr>
          <w:spacing w:val="-81"/>
        </w:rPr>
      </w:r>
      <w:r>
        <w:rPr>
          <w:spacing w:val="-1"/>
        </w:rPr>
        <w:t>育，推动人参产业的健康发展；有利于指导人参的病虫害防治、林下地栽参和大地栽参的推广，从而推动</w:t>
      </w:r>
      <w:r>
        <w:rPr>
          <w:spacing w:val="-86"/>
        </w:rPr>
        <w:t> </w:t>
      </w:r>
      <w:r>
        <w:rPr>
          <w:spacing w:val="-86"/>
        </w:rPr>
      </w:r>
      <w:r>
        <w:rPr>
          <w:spacing w:val="-1"/>
        </w:rPr>
        <w:t>人参种植的常规化和规范化。亦能推动其他中药材基因组资源的开发，建立类似模式生物的各种资源数据</w:t>
      </w:r>
      <w:r>
        <w:rPr>
          <w:spacing w:val="-81"/>
        </w:rPr>
        <w:t> </w:t>
      </w:r>
      <w:r>
        <w:rPr>
          <w:spacing w:val="-81"/>
        </w:rPr>
      </w:r>
      <w:r>
        <w:rPr/>
        <w:t>库。</w:t>
      </w:r>
    </w:p>
    <w:p>
      <w:pPr>
        <w:pStyle w:val="BodyText"/>
        <w:spacing w:line="386" w:lineRule="auto"/>
        <w:ind w:left="634" w:right="1120"/>
        <w:jc w:val="left"/>
      </w:pPr>
      <w:r>
        <w:rPr/>
        <w:t>（</w:t>
      </w:r>
      <w:r>
        <w:rPr>
          <w:rFonts w:ascii="Times New Roman" w:hAnsi="Times New Roman" w:cs="Times New Roman" w:eastAsia="Times New Roman" w:hint="default"/>
        </w:rPr>
        <w:t>2</w:t>
      </w:r>
      <w:r>
        <w:rPr/>
        <w:t>）人参基因组鉴别方法 </w:t>
      </w:r>
      <w:r>
        <w:rPr>
          <w:spacing w:val="-2"/>
        </w:rPr>
        <w:t>利用第一代、第二代和第三代测序技术，对野山参、大马牙、二马牙、高丽参、西洋参五种参类进行</w:t>
      </w:r>
    </w:p>
    <w:p>
      <w:pPr>
        <w:pStyle w:val="BodyText"/>
        <w:spacing w:line="408" w:lineRule="auto" w:before="65"/>
        <w:ind w:left="154" w:right="1110"/>
        <w:jc w:val="both"/>
      </w:pPr>
      <w:r>
        <w:rPr>
          <w:spacing w:val="-1"/>
        </w:rPr>
        <w:t>基因组文库的构建、基因组测序和组装等程序的全基因组序列分析。通过对五种人参进行基因组水平比较</w:t>
      </w:r>
      <w:r>
        <w:rPr>
          <w:spacing w:val="-81"/>
        </w:rPr>
        <w:t> </w:t>
      </w:r>
      <w:r>
        <w:rPr>
          <w:spacing w:val="-81"/>
        </w:rPr>
      </w:r>
      <w:r>
        <w:rPr/>
        <w:t>研究，筛分出五种人参的本质差别，从而确定各种人参的真正起源；获得人参重要的药用价值功能基因； 并开发人参种质鉴别的系统方法。以人参本源为始，为人参全面研究奠定物质基础。</w:t>
      </w:r>
    </w:p>
    <w:p>
      <w:pPr>
        <w:pStyle w:val="BodyText"/>
        <w:spacing w:line="386" w:lineRule="auto"/>
        <w:ind w:left="633" w:right="0"/>
        <w:jc w:val="left"/>
      </w:pPr>
      <w:r>
        <w:rPr>
          <w:rFonts w:ascii="Times New Roman" w:hAnsi="Times New Roman" w:cs="Times New Roman" w:eastAsia="Times New Roman" w:hint="default"/>
        </w:rPr>
        <w:t>3</w:t>
      </w:r>
      <w:r>
        <w:rPr/>
        <w:t>、基因测序领域 </w:t>
      </w:r>
      <w:r>
        <w:rPr>
          <w:spacing w:val="-1"/>
        </w:rPr>
        <w:t>公司与基因所研制开发的国产第二代高通量</w:t>
      </w:r>
      <w:r>
        <w:rPr>
          <w:rFonts w:ascii="Times New Roman" w:hAnsi="Times New Roman" w:cs="Times New Roman" w:eastAsia="Times New Roman" w:hint="default"/>
          <w:spacing w:val="-1"/>
        </w:rPr>
        <w:t>DNA</w:t>
      </w:r>
      <w:r>
        <w:rPr>
          <w:spacing w:val="-1"/>
        </w:rPr>
        <w:t>测序仪</w:t>
      </w:r>
      <w:r>
        <w:rPr>
          <w:rFonts w:ascii="Times New Roman" w:hAnsi="Times New Roman" w:cs="Times New Roman" w:eastAsia="Times New Roman" w:hint="default"/>
          <w:spacing w:val="-1"/>
        </w:rPr>
        <w:t>BIGIS</w:t>
      </w:r>
      <w:r>
        <w:rPr>
          <w:spacing w:val="-1"/>
        </w:rPr>
        <w:t>产品，成功解决</w:t>
      </w:r>
      <w:r>
        <w:rPr>
          <w:rFonts w:ascii="Times New Roman" w:hAnsi="Times New Roman" w:cs="Times New Roman" w:eastAsia="Times New Roman" w:hint="default"/>
          <w:spacing w:val="-1"/>
        </w:rPr>
        <w:t>“</w:t>
      </w:r>
      <w:r>
        <w:rPr>
          <w:spacing w:val="-1"/>
        </w:rPr>
        <w:t>读长较短</w:t>
      </w:r>
      <w:r>
        <w:rPr>
          <w:rFonts w:ascii="Times New Roman" w:hAnsi="Times New Roman" w:cs="Times New Roman" w:eastAsia="Times New Roman" w:hint="default"/>
          <w:spacing w:val="-1"/>
        </w:rPr>
        <w:t>”</w:t>
      </w:r>
      <w:r>
        <w:rPr>
          <w:spacing w:val="-1"/>
        </w:rPr>
        <w:t>的关键技术</w:t>
      </w:r>
    </w:p>
    <w:p>
      <w:pPr>
        <w:pStyle w:val="BodyText"/>
        <w:spacing w:line="386" w:lineRule="auto" w:before="35"/>
        <w:ind w:left="154" w:right="1129"/>
        <w:jc w:val="both"/>
      </w:pPr>
      <w:r>
        <w:rPr/>
        <w:t>难题。</w:t>
      </w:r>
      <w:r>
        <w:rPr>
          <w:rFonts w:ascii="Times New Roman" w:hAnsi="Times New Roman" w:cs="Times New Roman" w:eastAsia="Times New Roman" w:hint="default"/>
        </w:rPr>
        <w:t>BIGIS</w:t>
      </w:r>
      <w:r>
        <w:rPr/>
        <w:t>测序仪是目前国内第一台拥有自主知识产权，技术已达到或部分超越国际主流设备技术指标</w:t>
      </w:r>
      <w:r>
        <w:rPr>
          <w:spacing w:val="-56"/>
        </w:rPr>
        <w:t> </w:t>
      </w:r>
      <w:r>
        <w:rPr>
          <w:spacing w:val="-56"/>
        </w:rPr>
      </w:r>
      <w:r>
        <w:rPr>
          <w:spacing w:val="-2"/>
        </w:rPr>
        <w:t>的国产化第二代测序仪，具有高通量、高读长、高精确度等优势，且成本低于进口设备的</w:t>
      </w:r>
      <w:r>
        <w:rPr>
          <w:rFonts w:ascii="Times New Roman" w:hAnsi="Times New Roman" w:cs="Times New Roman" w:eastAsia="Times New Roman" w:hint="default"/>
          <w:spacing w:val="-2"/>
        </w:rPr>
        <w:t>1/2</w:t>
      </w:r>
      <w:r>
        <w:rPr>
          <w:spacing w:val="-2"/>
        </w:rPr>
        <w:t>以上，应用成</w:t>
      </w:r>
      <w:r>
        <w:rPr>
          <w:spacing w:val="-91"/>
        </w:rPr>
        <w:t> </w:t>
      </w:r>
      <w:r>
        <w:rPr>
          <w:spacing w:val="-91"/>
        </w:rPr>
      </w:r>
      <w:r>
        <w:rPr/>
        <w:t>本低于进口设备的</w:t>
      </w:r>
      <w:r>
        <w:rPr>
          <w:rFonts w:ascii="Times New Roman" w:hAnsi="Times New Roman" w:cs="Times New Roman" w:eastAsia="Times New Roman" w:hint="default"/>
        </w:rPr>
        <w:t>1/3</w:t>
      </w:r>
      <w:r>
        <w:rPr/>
        <w:t>以上。</w:t>
      </w:r>
    </w:p>
    <w:p>
      <w:pPr>
        <w:pStyle w:val="BodyText"/>
        <w:spacing w:line="240" w:lineRule="auto" w:before="155"/>
        <w:ind w:left="634" w:right="0"/>
        <w:jc w:val="left"/>
      </w:pPr>
      <w:r>
        <w:rPr/>
        <w:t>（六）科研实力优势</w:t>
      </w:r>
    </w:p>
    <w:p>
      <w:pPr>
        <w:spacing w:line="240" w:lineRule="auto" w:before="13"/>
        <w:rPr>
          <w:rFonts w:ascii="宋体" w:hAnsi="宋体" w:cs="宋体" w:eastAsia="宋体" w:hint="default"/>
          <w:sz w:val="23"/>
          <w:szCs w:val="23"/>
        </w:rPr>
      </w:pPr>
    </w:p>
    <w:p>
      <w:pPr>
        <w:pStyle w:val="BodyText"/>
        <w:spacing w:line="408" w:lineRule="auto" w:before="0"/>
        <w:ind w:left="154" w:right="1032" w:firstLine="480"/>
        <w:jc w:val="left"/>
      </w:pPr>
      <w:r>
        <w:rPr/>
        <w:t>公司拥有一支高层次的科研队伍从事新药、保健食品、特殊用途化妆品的开发，药品知识产权保护， 产品二次开发，人参相关基础研究与应用研究等工作，此外，为促进基因测序产业的快速发展，中科紫鑫 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月聘请中国科学院于军、任鲁风、俞育德、周晓光四位研究员担任科学顾问，为本公司中成药</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产品、人参产业、基因测序仪及相关产品的研发、生产、推广和销售打下了坚实的基础。</w:t>
      </w:r>
    </w:p>
    <w:p>
      <w:pPr>
        <w:spacing w:line="240" w:lineRule="auto" w:before="12"/>
        <w:rPr>
          <w:rFonts w:ascii="宋体" w:hAnsi="宋体" w:cs="宋体" w:eastAsia="宋体" w:hint="default"/>
          <w:sz w:val="23"/>
          <w:szCs w:val="23"/>
        </w:rPr>
      </w:pPr>
    </w:p>
    <w:p>
      <w:pPr>
        <w:pStyle w:val="BodyText"/>
        <w:spacing w:line="484" w:lineRule="auto" w:before="0"/>
        <w:ind w:left="633" w:right="0"/>
        <w:jc w:val="left"/>
      </w:pPr>
      <w:r>
        <w:rPr/>
        <w:t>（</w:t>
      </w:r>
      <w:r>
        <w:rPr>
          <w:rFonts w:ascii="Times New Roman" w:hAnsi="Times New Roman" w:cs="Times New Roman" w:eastAsia="Times New Roman" w:hint="default"/>
        </w:rPr>
        <w:t>1</w:t>
      </w:r>
      <w:r>
        <w:rPr/>
        <w:t>）中药科研实力 </w:t>
      </w:r>
      <w:r>
        <w:rPr>
          <w:spacing w:val="2"/>
        </w:rPr>
        <w:t>医药工业属于知识和技术密集型产业，强大的研发能力和先进的生产技术是医药企业赖以生存的根</w:t>
      </w:r>
    </w:p>
    <w:p>
      <w:pPr>
        <w:pStyle w:val="BodyText"/>
        <w:spacing w:line="254" w:lineRule="exact" w:before="0"/>
        <w:ind w:right="0"/>
        <w:jc w:val="both"/>
      </w:pPr>
      <w:r>
        <w:rPr/>
        <w:t>本。公司自成立以来，就将新产品研发和技术创新视作自身发展的核心，并努力保持研发能力和技术水平</w:t>
      </w:r>
    </w:p>
    <w:p>
      <w:pPr>
        <w:spacing w:line="240" w:lineRule="auto" w:before="10"/>
        <w:rPr>
          <w:rFonts w:ascii="宋体" w:hAnsi="宋体" w:cs="宋体" w:eastAsia="宋体" w:hint="default"/>
          <w:sz w:val="14"/>
          <w:szCs w:val="14"/>
        </w:rPr>
      </w:pPr>
    </w:p>
    <w:p>
      <w:pPr>
        <w:pStyle w:val="BodyText"/>
        <w:spacing w:line="408" w:lineRule="auto" w:before="0"/>
        <w:ind w:left="633" w:right="0" w:hanging="480"/>
        <w:jc w:val="left"/>
      </w:pPr>
      <w:r>
        <w:rPr/>
        <w:t>的先进性和连续性。 </w:t>
      </w:r>
      <w:r>
        <w:rPr>
          <w:spacing w:val="-5"/>
        </w:rPr>
        <w:t>公司拥有吉林省唯一一家企业药剂学二级实验室，负责中药的研究和中药材原料的提取、分离及纯化。</w:t>
      </w:r>
    </w:p>
    <w:p>
      <w:pPr>
        <w:pStyle w:val="BodyText"/>
        <w:spacing w:line="408" w:lineRule="auto"/>
        <w:ind w:right="1027"/>
        <w:jc w:val="both"/>
      </w:pPr>
      <w:r>
        <w:rPr/>
        <w:t>子公司吉林紫鑫药物研究有限公司为专门的中药研发机构，负责新药、中间体、原料药、生物药的研发， 同时承担着公司科技项目申报和专利事务管理工作、技术合作和交流等职责。公司重视同国内知名高校和 科研机构加强技术合作，通过依托高校的技术和人才优势，加快推进自身产品的研发进度。公司目前已与 北京大学、吉林大学、中国药科大学、长春理工大学和长春中医药大学等高等院校建立了长期合作关系。 </w:t>
      </w:r>
      <w:r>
        <w:rPr>
          <w:spacing w:val="-3"/>
        </w:rPr>
        <w:t>截至本尽职调查报告出具日，公司及其控股子公司拥有专利</w:t>
      </w:r>
      <w:r>
        <w:rPr>
          <w:rFonts w:ascii="Times New Roman" w:hAnsi="Times New Roman" w:cs="Times New Roman" w:eastAsia="Times New Roman" w:hint="default"/>
          <w:spacing w:val="-3"/>
        </w:rPr>
        <w:t>67</w:t>
      </w:r>
      <w:r>
        <w:rPr>
          <w:spacing w:val="-3"/>
        </w:rPr>
        <w:t>项，其中发明专利</w:t>
      </w:r>
      <w:r>
        <w:rPr>
          <w:rFonts w:ascii="Times New Roman" w:hAnsi="Times New Roman" w:cs="Times New Roman" w:eastAsia="Times New Roman" w:hint="default"/>
          <w:spacing w:val="-3"/>
        </w:rPr>
        <w:t>36</w:t>
      </w:r>
      <w:r>
        <w:rPr>
          <w:spacing w:val="-3"/>
        </w:rPr>
        <w:t>项、实用新型专利</w:t>
      </w:r>
      <w:r>
        <w:rPr>
          <w:rFonts w:ascii="Times New Roman" w:hAnsi="Times New Roman" w:cs="Times New Roman" w:eastAsia="Times New Roman" w:hint="default"/>
          <w:spacing w:val="-3"/>
        </w:rPr>
        <w:t>31</w:t>
      </w:r>
      <w:r>
        <w:rPr>
          <w:spacing w:val="-3"/>
        </w:rPr>
        <w:t>项。</w:t>
      </w:r>
      <w:r>
        <w:rPr/>
      </w:r>
    </w:p>
    <w:p>
      <w:pPr>
        <w:pStyle w:val="BodyText"/>
        <w:spacing w:line="484" w:lineRule="auto" w:before="134"/>
        <w:ind w:left="634" w:right="1120"/>
        <w:jc w:val="left"/>
      </w:pPr>
      <w:r>
        <w:rPr/>
        <w:t>（</w:t>
      </w:r>
      <w:r>
        <w:rPr>
          <w:rFonts w:ascii="Times New Roman" w:hAnsi="Times New Roman" w:cs="Times New Roman" w:eastAsia="Times New Roman" w:hint="default"/>
        </w:rPr>
        <w:t>2</w:t>
      </w:r>
      <w:r>
        <w:rPr/>
        <w:t>）人参科研实力 </w:t>
      </w:r>
      <w:r>
        <w:rPr>
          <w:spacing w:val="-2"/>
        </w:rPr>
        <w:t>公司在人参保健产品领域，同样有着较强的研发能力和技术优势。近年来，公司加大对人参新产品的</w:t>
      </w:r>
    </w:p>
    <w:p>
      <w:pPr>
        <w:pStyle w:val="BodyText"/>
        <w:spacing w:line="254" w:lineRule="exact" w:before="0"/>
        <w:ind w:left="154" w:right="0"/>
        <w:jc w:val="both"/>
      </w:pPr>
      <w:r>
        <w:rPr/>
        <w:t>研发投入，通过与中科院等知名科研机构展开紧密合作，在人参深加工产品的研发、人参加工技术、人参</w:t>
      </w:r>
    </w:p>
    <w:p>
      <w:pPr>
        <w:spacing w:line="240" w:lineRule="auto" w:before="10"/>
        <w:rPr>
          <w:rFonts w:ascii="宋体" w:hAnsi="宋体" w:cs="宋体" w:eastAsia="宋体" w:hint="default"/>
          <w:sz w:val="14"/>
          <w:szCs w:val="14"/>
        </w:rPr>
      </w:pPr>
    </w:p>
    <w:p>
      <w:pPr>
        <w:pStyle w:val="BodyText"/>
        <w:spacing w:line="408" w:lineRule="auto" w:before="0"/>
        <w:ind w:left="154" w:right="1131"/>
        <w:jc w:val="both"/>
      </w:pPr>
      <w:r>
        <w:rPr>
          <w:spacing w:val="-1"/>
        </w:rPr>
        <w:t>基因测序等核心领域取得了一系列重大的突破。公司成立了专门的人参研发机构：吉林紫鑫人参研发有限</w:t>
      </w:r>
      <w:r>
        <w:rPr>
          <w:spacing w:val="-81"/>
        </w:rPr>
        <w:t> </w:t>
      </w:r>
      <w:r>
        <w:rPr>
          <w:spacing w:val="-81"/>
        </w:rPr>
      </w:r>
      <w:r>
        <w:rPr>
          <w:spacing w:val="-1"/>
        </w:rPr>
        <w:t>公司，主要负责人参的基础研究（如开展人参的质谱研究）、人参保健食品研究、人参新资源食品的开发</w:t>
      </w:r>
      <w:r>
        <w:rPr>
          <w:spacing w:val="-83"/>
        </w:rPr>
        <w:t> </w:t>
      </w:r>
      <w:r>
        <w:rPr>
          <w:spacing w:val="-83"/>
        </w:rPr>
      </w:r>
      <w:r>
        <w:rPr/>
        <w:t>和人参种植技术的研究等事务。</w:t>
      </w:r>
    </w:p>
    <w:p>
      <w:pPr>
        <w:pStyle w:val="BodyText"/>
        <w:spacing w:line="408" w:lineRule="auto" w:before="166"/>
        <w:ind w:left="154" w:right="1032" w:firstLine="480"/>
        <w:jc w:val="left"/>
      </w:pPr>
      <w:r>
        <w:rPr/>
        <w:t>公司现已掌握人参种植领域的重茬栽培技术，解决了老参地不能重复栽培人参的问题；脱农残技术， 即利用先进的超临界萃取技术，结合现代生物酶降解技术脱除残留的有机氯和有机磷，有助于提高人参提 取液的纯度；脱人参皂苷</w:t>
      </w:r>
      <w:r>
        <w:rPr>
          <w:rFonts w:ascii="Times New Roman" w:hAnsi="Times New Roman" w:cs="Times New Roman" w:eastAsia="Times New Roman" w:hint="default"/>
        </w:rPr>
        <w:t>Ro</w:t>
      </w:r>
      <w:r>
        <w:rPr/>
        <w:t>技术，解决了服用人参过量而引起的</w:t>
      </w:r>
      <w:r>
        <w:rPr>
          <w:rFonts w:ascii="Times New Roman" w:hAnsi="Times New Roman" w:cs="Times New Roman" w:eastAsia="Times New Roman" w:hint="default"/>
        </w:rPr>
        <w:t>“</w:t>
      </w:r>
      <w:r>
        <w:rPr/>
        <w:t>上火</w:t>
      </w:r>
      <w:r>
        <w:rPr>
          <w:rFonts w:ascii="Times New Roman" w:hAnsi="Times New Roman" w:cs="Times New Roman" w:eastAsia="Times New Roman" w:hint="default"/>
        </w:rPr>
        <w:t>”</w:t>
      </w:r>
      <w:r>
        <w:rPr/>
        <w:t>问题。</w:t>
      </w:r>
    </w:p>
    <w:p>
      <w:pPr>
        <w:pStyle w:val="BodyText"/>
        <w:spacing w:line="398" w:lineRule="auto" w:before="134"/>
        <w:ind w:right="1022" w:firstLine="480"/>
        <w:jc w:val="left"/>
      </w:pPr>
      <w:r>
        <w:rPr>
          <w:spacing w:val="-2"/>
        </w:rPr>
        <w:t>此外，公司与通化市政府、中科院北京基因组研究所共同合作的人参基因组图谱在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2</w:t>
      </w:r>
      <w:r>
        <w:rPr>
          <w:spacing w:val="-2"/>
        </w:rPr>
        <w:t>月底完成。</w:t>
      </w:r>
      <w:r>
        <w:rPr/>
        <w:t> 作为首家单位，此项研发工作的顺利完成，将为人参的育种、加工、产品开发等整个产业提供技术保障， 从根本上解决人参</w:t>
      </w:r>
      <w:r>
        <w:rPr>
          <w:rFonts w:ascii="Times New Roman" w:hAnsi="Times New Roman" w:cs="Times New Roman" w:eastAsia="Times New Roman" w:hint="default"/>
        </w:rPr>
        <w:t>“</w:t>
      </w:r>
      <w:r>
        <w:rPr/>
        <w:t>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量</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病</w:t>
      </w:r>
      <w:r>
        <w:rPr>
          <w:rFonts w:ascii="Times New Roman" w:hAnsi="Times New Roman" w:cs="Times New Roman" w:eastAsia="Times New Roman" w:hint="default"/>
        </w:rPr>
        <w:t>”</w:t>
      </w:r>
      <w:r>
        <w:rPr/>
        <w:t>的问题。</w:t>
      </w:r>
    </w:p>
    <w:p>
      <w:pPr>
        <w:pStyle w:val="BodyText"/>
        <w:spacing w:line="484" w:lineRule="auto" w:before="144"/>
        <w:ind w:left="633" w:right="1121"/>
        <w:jc w:val="left"/>
      </w:pPr>
      <w:r>
        <w:rPr/>
        <w:t>（</w:t>
      </w:r>
      <w:r>
        <w:rPr>
          <w:rFonts w:ascii="Times New Roman" w:hAnsi="Times New Roman" w:cs="Times New Roman" w:eastAsia="Times New Roman" w:hint="default"/>
        </w:rPr>
        <w:t>3</w:t>
      </w:r>
      <w:r>
        <w:rPr/>
        <w:t>）基因测序仪相关科研实力 </w:t>
      </w:r>
      <w:r>
        <w:rPr>
          <w:spacing w:val="-2"/>
        </w:rPr>
        <w:t>基因测序仪的研发、生产和销售是公司目前大力发展的业务，公司为发展基因测序仪项目，已分别成</w:t>
      </w:r>
    </w:p>
    <w:p>
      <w:pPr>
        <w:pStyle w:val="BodyText"/>
        <w:spacing w:line="254" w:lineRule="exact" w:before="0"/>
        <w:ind w:right="0"/>
        <w:jc w:val="both"/>
      </w:pPr>
      <w:r>
        <w:rPr/>
        <w:t>立了吉林中科紫鑫科技有限公司、北京中科紫鑫科技有限责任公司、敦化市中科紫鑫科技有限公司，公司</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t>基因测序的技术团队为中科院北京基因组研究所核心团队，多年来从事基因组学与生物信息学基础研究和</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t>应用开发工作，具备充分的技术服务专业基础，技术已经达到国际一流水平。中国科学院于军、任鲁风、 </w:t>
      </w:r>
      <w:r>
        <w:rPr>
          <w:spacing w:val="-1"/>
        </w:rPr>
        <w:t>俞育德、周晓光四位研究员担任公司基因测序仪相关的科学顾问，并签署了相关协议，以上四位研究员简</w:t>
      </w:r>
      <w:r>
        <w:rPr>
          <w:spacing w:val="-83"/>
        </w:rPr>
        <w:t> </w:t>
      </w:r>
      <w:r>
        <w:rPr>
          <w:spacing w:val="-83"/>
        </w:rPr>
      </w:r>
      <w:r>
        <w:rPr/>
        <w:t>介如下：</w:t>
      </w:r>
    </w:p>
    <w:p>
      <w:pPr>
        <w:pStyle w:val="BodyText"/>
        <w:spacing w:line="386" w:lineRule="auto" w:before="166"/>
        <w:ind w:right="1129" w:firstLine="480"/>
        <w:jc w:val="both"/>
      </w:pPr>
      <w:r>
        <w:rPr>
          <w:spacing w:val="-2"/>
        </w:rPr>
        <w:t>于军，博士，研究员，博士生导师，基因所副所长，中国科学院</w:t>
      </w:r>
      <w:r>
        <w:rPr>
          <w:rFonts w:ascii="Times New Roman" w:hAnsi="Times New Roman" w:cs="Times New Roman" w:eastAsia="Times New Roman" w:hint="default"/>
          <w:spacing w:val="-2"/>
        </w:rPr>
        <w:t>”</w:t>
      </w:r>
      <w:r>
        <w:rPr>
          <w:spacing w:val="-2"/>
        </w:rPr>
        <w:t>百人计划</w:t>
      </w:r>
      <w:r>
        <w:rPr>
          <w:rFonts w:ascii="Times New Roman" w:hAnsi="Times New Roman" w:cs="Times New Roman" w:eastAsia="Times New Roman" w:hint="default"/>
          <w:spacing w:val="-2"/>
        </w:rPr>
        <w:t>”</w:t>
      </w:r>
      <w:r>
        <w:rPr>
          <w:spacing w:val="-2"/>
        </w:rPr>
        <w:t>引进专家人才，基因组科</w:t>
      </w:r>
      <w:r>
        <w:rPr/>
        <w:t> </w:t>
      </w:r>
      <w:r>
        <w:rPr>
          <w:spacing w:val="-1"/>
        </w:rPr>
        <w:t>学与信息重点实验室主任，技术研发中心主任。</w:t>
      </w:r>
      <w:r>
        <w:rPr>
          <w:rFonts w:ascii="Times New Roman" w:hAnsi="Times New Roman" w:cs="Times New Roman" w:eastAsia="Times New Roman" w:hint="default"/>
          <w:spacing w:val="-1"/>
        </w:rPr>
        <w:t>1990</w:t>
      </w:r>
      <w:r>
        <w:rPr>
          <w:spacing w:val="-1"/>
        </w:rPr>
        <w:t>年获纽约大学生物医学科学博士，从事细胞生物学与</w:t>
      </w:r>
      <w:r>
        <w:rPr>
          <w:spacing w:val="-81"/>
        </w:rPr>
        <w:t> </w:t>
      </w:r>
      <w:r>
        <w:rPr>
          <w:spacing w:val="-81"/>
        </w:rPr>
      </w:r>
      <w:r>
        <w:rPr>
          <w:spacing w:val="-2"/>
        </w:rPr>
        <w:t>分子生物学研究。</w:t>
      </w:r>
      <w:r>
        <w:rPr>
          <w:rFonts w:ascii="Times New Roman" w:hAnsi="Times New Roman" w:cs="Times New Roman" w:eastAsia="Times New Roman" w:hint="default"/>
          <w:spacing w:val="-2"/>
        </w:rPr>
        <w:t>1993</w:t>
      </w:r>
      <w:r>
        <w:rPr>
          <w:spacing w:val="-2"/>
        </w:rPr>
        <w:t>年加盟基因组研究中心（华盛顿大学），领导实验仪器研发、大规模</w:t>
      </w:r>
      <w:r>
        <w:rPr>
          <w:rFonts w:ascii="Times New Roman" w:hAnsi="Times New Roman" w:cs="Times New Roman" w:eastAsia="Times New Roman" w:hint="default"/>
          <w:spacing w:val="-2"/>
        </w:rPr>
        <w:t>DNA</w:t>
      </w:r>
      <w:r>
        <w:rPr>
          <w:spacing w:val="-2"/>
        </w:rPr>
        <w:t>测序、物</w:t>
      </w:r>
      <w:r>
        <w:rPr>
          <w:spacing w:val="-71"/>
        </w:rPr>
        <w:t> </w:t>
      </w:r>
      <w:r>
        <w:rPr>
          <w:spacing w:val="-71"/>
        </w:rPr>
      </w:r>
      <w:r>
        <w:rPr>
          <w:spacing w:val="-1"/>
        </w:rPr>
        <w:t>理图谱制作、基因组数据的处理和分析等工作。</w:t>
      </w:r>
      <w:r>
        <w:rPr>
          <w:rFonts w:ascii="Times New Roman" w:hAnsi="Times New Roman" w:cs="Times New Roman" w:eastAsia="Times New Roman" w:hint="default"/>
          <w:spacing w:val="-1"/>
        </w:rPr>
        <w:t>1997</w:t>
      </w:r>
      <w:r>
        <w:rPr>
          <w:spacing w:val="-1"/>
        </w:rPr>
        <w:t>年回国工作，先后参与组建中科院遗传所人类基因组</w:t>
      </w:r>
      <w:r>
        <w:rPr>
          <w:spacing w:val="-81"/>
        </w:rPr>
        <w:t> </w:t>
      </w:r>
      <w:r>
        <w:rPr>
          <w:spacing w:val="-81"/>
        </w:rPr>
      </w:r>
      <w:r>
        <w:rPr/>
        <w:t>中心、华大基因研究中心、国家生物信息系统工程中心和中科院北京基因组研究所。</w:t>
      </w:r>
    </w:p>
    <w:p>
      <w:pPr>
        <w:pStyle w:val="BodyText"/>
        <w:spacing w:line="386" w:lineRule="auto" w:before="65"/>
        <w:ind w:right="1130" w:firstLine="480"/>
        <w:jc w:val="both"/>
      </w:pPr>
      <w:r>
        <w:rPr>
          <w:spacing w:val="-2"/>
        </w:rPr>
        <w:t>俞育德，研究员，博士生导师，中国科学院半导体研究所所长。主持和参加了神舟</w:t>
      </w:r>
      <w:r>
        <w:rPr>
          <w:rFonts w:ascii="Times New Roman" w:hAnsi="Times New Roman" w:cs="Times New Roman" w:eastAsia="Times New Roman" w:hint="default"/>
          <w:spacing w:val="-2"/>
        </w:rPr>
        <w:t>2</w:t>
      </w:r>
      <w:r>
        <w:rPr>
          <w:spacing w:val="-2"/>
        </w:rPr>
        <w:t>号、神舟</w:t>
      </w:r>
      <w:r>
        <w:rPr>
          <w:rFonts w:ascii="Times New Roman" w:hAnsi="Times New Roman" w:cs="Times New Roman" w:eastAsia="Times New Roman" w:hint="default"/>
          <w:spacing w:val="-2"/>
        </w:rPr>
        <w:t>3</w:t>
      </w:r>
      <w:r>
        <w:rPr>
          <w:spacing w:val="-2"/>
        </w:rPr>
        <w:t>号与俄</w:t>
      </w:r>
      <w:r>
        <w:rPr/>
        <w:t> </w:t>
      </w:r>
      <w:r>
        <w:rPr>
          <w:spacing w:val="-2"/>
        </w:rPr>
        <w:t>罗斯光子号卫星上开展的空间材料科学研究。</w:t>
      </w:r>
      <w:r>
        <w:rPr>
          <w:rFonts w:ascii="Times New Roman" w:hAnsi="Times New Roman" w:cs="Times New Roman" w:eastAsia="Times New Roman" w:hint="default"/>
          <w:spacing w:val="-2"/>
        </w:rPr>
        <w:t>2003</w:t>
      </w:r>
      <w:r>
        <w:rPr>
          <w:spacing w:val="-2"/>
        </w:rPr>
        <w:t>年至今，主要从事</w:t>
      </w:r>
      <w:r>
        <w:rPr>
          <w:rFonts w:ascii="Times New Roman" w:hAnsi="Times New Roman" w:cs="Times New Roman" w:eastAsia="Times New Roman" w:hint="default"/>
          <w:spacing w:val="-2"/>
        </w:rPr>
        <w:t>DNA</w:t>
      </w:r>
      <w:r>
        <w:rPr>
          <w:spacing w:val="-2"/>
        </w:rPr>
        <w:t>测序、生物传感器、硅基光波导</w:t>
      </w:r>
      <w:r>
        <w:rPr>
          <w:spacing w:val="-66"/>
        </w:rPr>
        <w:t> </w:t>
      </w:r>
      <w:r>
        <w:rPr>
          <w:spacing w:val="-66"/>
        </w:rPr>
      </w:r>
      <w:r>
        <w:rPr/>
        <w:t>器件等方面的研究工作。</w:t>
      </w:r>
    </w:p>
    <w:p>
      <w:pPr>
        <w:pStyle w:val="BodyText"/>
        <w:spacing w:line="391" w:lineRule="auto" w:before="65"/>
        <w:ind w:right="1014" w:firstLine="480"/>
        <w:jc w:val="left"/>
      </w:pPr>
      <w:r>
        <w:rPr/>
        <w:t>周晓光，博士，研究员，中组部</w:t>
      </w:r>
      <w:r>
        <w:rPr>
          <w:rFonts w:ascii="Times New Roman" w:hAnsi="Times New Roman" w:cs="Times New Roman" w:eastAsia="Times New Roman" w:hint="default"/>
        </w:rPr>
        <w:t>“</w:t>
      </w:r>
      <w:r>
        <w:rPr/>
        <w:t>千人计划</w:t>
      </w:r>
      <w:r>
        <w:rPr>
          <w:rFonts w:ascii="Times New Roman" w:hAnsi="Times New Roman" w:cs="Times New Roman" w:eastAsia="Times New Roman" w:hint="default"/>
        </w:rPr>
        <w:t>”</w:t>
      </w:r>
      <w:r>
        <w:rPr/>
        <w:t>引进人才，中国科学院半导体研究所技术研发中心顾问委 员会主任。</w:t>
      </w:r>
      <w:r>
        <w:rPr>
          <w:rFonts w:ascii="Times New Roman" w:hAnsi="Times New Roman" w:cs="Times New Roman" w:eastAsia="Times New Roman" w:hint="default"/>
        </w:rPr>
        <w:t>1988</w:t>
      </w:r>
      <w:r>
        <w:rPr/>
        <w:t>年起加入美国</w:t>
      </w:r>
      <w:r>
        <w:rPr>
          <w:rFonts w:ascii="Times New Roman" w:hAnsi="Times New Roman" w:cs="Times New Roman" w:eastAsia="Times New Roman" w:hint="default"/>
        </w:rPr>
        <w:t>Thermo Finnigan</w:t>
      </w:r>
      <w:r>
        <w:rPr/>
        <w:t>（现为</w:t>
      </w:r>
      <w:r>
        <w:rPr>
          <w:rFonts w:ascii="Times New Roman" w:hAnsi="Times New Roman" w:cs="Times New Roman" w:eastAsia="Times New Roman" w:hint="default"/>
        </w:rPr>
        <w:t>Thermo Fisher</w:t>
      </w:r>
      <w:r>
        <w:rPr>
          <w:rFonts w:ascii="Times New Roman" w:hAnsi="Times New Roman" w:cs="Times New Roman" w:eastAsia="Times New Roman" w:hint="default"/>
          <w:spacing w:val="-18"/>
        </w:rPr>
        <w:t> </w:t>
      </w:r>
      <w:r>
        <w:rPr>
          <w:rFonts w:ascii="Times New Roman" w:hAnsi="Times New Roman" w:cs="Times New Roman" w:eastAsia="Times New Roman" w:hint="default"/>
        </w:rPr>
        <w:t>Scientific</w:t>
      </w:r>
      <w:r>
        <w:rPr/>
        <w:t>）公司，从事生化分析仪器及</w:t>
      </w:r>
      <w:r>
        <w:rPr>
          <w:w w:val="99"/>
        </w:rPr>
        <w:t> </w:t>
      </w:r>
      <w:r>
        <w:rPr/>
        <w:t>软件研究开发工作，参与并领导了高尖端生命科学质谱仪控制系统、数据处理及分析系统、蛋白质生物分</w:t>
      </w:r>
      <w:r>
        <w:rPr>
          <w:w w:val="99"/>
        </w:rPr>
        <w:t> </w:t>
      </w:r>
      <w:r>
        <w:rPr/>
        <w:t>析系统的研发。</w:t>
      </w:r>
      <w:r>
        <w:rPr>
          <w:rFonts w:ascii="Times New Roman" w:hAnsi="Times New Roman" w:cs="Times New Roman" w:eastAsia="Times New Roman" w:hint="default"/>
        </w:rPr>
        <w:t>1995</w:t>
      </w:r>
      <w:r>
        <w:rPr/>
        <w:t>年加入美国</w:t>
      </w:r>
      <w:r>
        <w:rPr>
          <w:rFonts w:ascii="Times New Roman" w:hAnsi="Times New Roman" w:cs="Times New Roman" w:eastAsia="Times New Roman" w:hint="default"/>
        </w:rPr>
        <w:t>Applied</w:t>
      </w:r>
      <w:r>
        <w:rPr>
          <w:rFonts w:ascii="Times New Roman" w:hAnsi="Times New Roman" w:cs="Times New Roman" w:eastAsia="Times New Roman" w:hint="default"/>
          <w:spacing w:val="-20"/>
        </w:rPr>
        <w:t> </w:t>
      </w:r>
      <w:r>
        <w:rPr>
          <w:rFonts w:ascii="Times New Roman" w:hAnsi="Times New Roman" w:cs="Times New Roman" w:eastAsia="Times New Roman" w:hint="default"/>
        </w:rPr>
        <w:t>Biosystems</w:t>
      </w:r>
      <w:r>
        <w:rPr/>
        <w:t>公司，作为公司研发部门的资深管理人员，领导研发团 </w:t>
      </w:r>
      <w:r>
        <w:rPr>
          <w:spacing w:val="-2"/>
        </w:rPr>
        <w:t>队开发了包括蛋白组分析质谱仪的控制及数据系统、组合化学分析平台、蛋白组分析平台、</w:t>
      </w:r>
      <w:r>
        <w:rPr>
          <w:rFonts w:ascii="Times New Roman" w:hAnsi="Times New Roman" w:cs="Times New Roman" w:eastAsia="Times New Roman" w:hint="default"/>
          <w:spacing w:val="-2"/>
        </w:rPr>
        <w:t>SNP</w:t>
      </w:r>
      <w:r>
        <w:rPr>
          <w:spacing w:val="-2"/>
        </w:rPr>
        <w:t>分析系统、</w:t>
      </w:r>
      <w:r>
        <w:rPr/>
        <w:t> 生物标志物分析系统等多项系统与平台。</w:t>
      </w:r>
      <w:r>
        <w:rPr>
          <w:rFonts w:ascii="Times New Roman" w:hAnsi="Times New Roman" w:cs="Times New Roman" w:eastAsia="Times New Roman" w:hint="default"/>
        </w:rPr>
        <w:t>2008</w:t>
      </w:r>
      <w:r>
        <w:rPr/>
        <w:t>年回国工作，主要从事生命科学分析仪器的研究与开发。</w:t>
      </w:r>
    </w:p>
    <w:p>
      <w:pPr>
        <w:pStyle w:val="BodyText"/>
        <w:spacing w:line="400" w:lineRule="auto" w:before="30"/>
        <w:ind w:left="154" w:right="1131" w:firstLine="480"/>
        <w:jc w:val="both"/>
      </w:pPr>
      <w:r>
        <w:rPr>
          <w:spacing w:val="-2"/>
        </w:rPr>
        <w:t>任鲁风，博士，副研究员，现任北京中科紫鑫总经理。</w:t>
      </w:r>
      <w:r>
        <w:rPr>
          <w:rFonts w:ascii="Times New Roman" w:hAnsi="Times New Roman" w:cs="Times New Roman" w:eastAsia="Times New Roman" w:hint="default"/>
          <w:spacing w:val="-2"/>
        </w:rPr>
        <w:t>2000</w:t>
      </w:r>
      <w:r>
        <w:rPr>
          <w:spacing w:val="-2"/>
        </w:rPr>
        <w:t>年参加工作起先后任天津市妇女保健所诊</w:t>
      </w:r>
      <w:r>
        <w:rPr/>
        <w:t> </w:t>
      </w:r>
      <w:r>
        <w:rPr>
          <w:spacing w:val="-1"/>
        </w:rPr>
        <w:t>断科副主任、本元正阳基因技术有限公司芯片产品事业部技术经理、新药研发部项目经理、技术研发部技</w:t>
      </w:r>
      <w:r>
        <w:rPr>
          <w:spacing w:val="-83"/>
        </w:rPr>
        <w:t> </w:t>
      </w:r>
      <w:r>
        <w:rPr>
          <w:spacing w:val="-83"/>
        </w:rPr>
      </w:r>
      <w:r>
        <w:rPr>
          <w:spacing w:val="-1"/>
        </w:rPr>
        <w:t>术经理、总经理助理，从事人类医学遗传学、分子病毒学、基因组学、分子检测诊断技术等领域的研究工</w:t>
      </w:r>
      <w:r>
        <w:rPr>
          <w:spacing w:val="-83"/>
        </w:rPr>
        <w:t> </w:t>
      </w:r>
      <w:r>
        <w:rPr>
          <w:spacing w:val="-83"/>
        </w:rPr>
      </w:r>
      <w:r>
        <w:rPr/>
        <w:t>作，具有生物医药企业管理经验。</w:t>
      </w:r>
    </w:p>
    <w:p>
      <w:pPr>
        <w:pStyle w:val="BodyText"/>
        <w:spacing w:line="240" w:lineRule="auto" w:before="172"/>
        <w:ind w:left="634" w:right="0"/>
        <w:jc w:val="left"/>
      </w:pPr>
      <w:r>
        <w:rPr/>
        <w:t>（七）原材料成本优势</w:t>
      </w:r>
    </w:p>
    <w:p>
      <w:pPr>
        <w:spacing w:line="240" w:lineRule="auto" w:before="12"/>
        <w:rPr>
          <w:rFonts w:ascii="宋体" w:hAnsi="宋体" w:cs="宋体" w:eastAsia="宋体" w:hint="default"/>
          <w:sz w:val="23"/>
          <w:szCs w:val="23"/>
        </w:rPr>
      </w:pPr>
    </w:p>
    <w:p>
      <w:pPr>
        <w:pStyle w:val="BodyText"/>
        <w:spacing w:line="393" w:lineRule="auto" w:before="0"/>
        <w:ind w:left="154" w:right="1131" w:firstLine="480"/>
        <w:jc w:val="both"/>
        <w:rPr>
          <w:sz w:val="24"/>
          <w:szCs w:val="24"/>
        </w:rPr>
      </w:pPr>
      <w:r>
        <w:rPr/>
        <w:t>公司地处长白山腹地，长白山原产地药材</w:t>
      </w:r>
      <w:r>
        <w:rPr>
          <w:rFonts w:ascii="Times New Roman" w:hAnsi="Times New Roman" w:cs="Times New Roman" w:eastAsia="Times New Roman" w:hint="default"/>
        </w:rPr>
        <w:t>1,400</w:t>
      </w:r>
      <w:r>
        <w:rPr/>
        <w:t>余种，使得公司在原材料资源上拥有明显优势。公司 </w:t>
      </w:r>
      <w:r>
        <w:rPr>
          <w:spacing w:val="-1"/>
        </w:rPr>
        <w:t>立足实施中药现代化和产业化发展战略，充分利用药材资源的天然地域优势，在敦化草还丹基地和柳河红</w:t>
      </w:r>
      <w:r>
        <w:rPr>
          <w:spacing w:val="-81"/>
        </w:rPr>
        <w:t> </w:t>
      </w:r>
      <w:r>
        <w:rPr>
          <w:spacing w:val="-81"/>
        </w:rPr>
      </w:r>
      <w:r>
        <w:rPr>
          <w:spacing w:val="-1"/>
        </w:rPr>
        <w:t>石基地进行中药材的种植，对主要中药原材料进行规模化种植。这将对公司主要原材料的供应形成有力支</w:t>
      </w:r>
      <w:r>
        <w:rPr>
          <w:spacing w:val="-81"/>
        </w:rPr>
        <w:t> </w:t>
      </w:r>
      <w:r>
        <w:rPr>
          <w:spacing w:val="-81"/>
        </w:rPr>
      </w:r>
      <w:r>
        <w:rPr/>
        <w:t>撑，有利于节约原材料的成本支出</w:t>
      </w:r>
      <w:r>
        <w:rPr>
          <w:sz w:val="24"/>
          <w:szCs w:val="24"/>
        </w:rPr>
        <w:t>。</w:t>
      </w:r>
    </w:p>
    <w:p>
      <w:pPr>
        <w:spacing w:after="0" w:line="393" w:lineRule="auto"/>
        <w:jc w:val="both"/>
        <w:rPr>
          <w:sz w:val="24"/>
          <w:szCs w:val="24"/>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Heading3"/>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0"/>
        <w:rPr>
          <w:rFonts w:ascii="宋体" w:hAnsi="宋体" w:cs="宋体" w:eastAsia="宋体" w:hint="default"/>
          <w:b/>
          <w:bCs/>
          <w:sz w:val="24"/>
          <w:szCs w:val="24"/>
        </w:rPr>
      </w:pPr>
    </w:p>
    <w:p>
      <w:pPr>
        <w:pStyle w:val="BodyText"/>
        <w:spacing w:line="388" w:lineRule="auto" w:before="163"/>
        <w:ind w:right="1126" w:firstLine="403"/>
        <w:jc w:val="both"/>
      </w:pPr>
      <w:r>
        <w:rPr>
          <w:rFonts w:ascii="Times New Roman" w:hAnsi="Times New Roman" w:cs="Times New Roman" w:eastAsia="Times New Roman" w:hint="default"/>
        </w:rPr>
        <w:t>2015</w:t>
      </w:r>
      <w:r>
        <w:rPr/>
        <w:t>年医药行业各项政策的出台是疾风骤雨、药企研发是跌宕起伏、药品招标市场硝烟弥漫、医改进 </w:t>
      </w:r>
      <w:r>
        <w:rPr>
          <w:spacing w:val="2"/>
        </w:rPr>
        <w:t>入攻坚阶段、医保控费已成为常态。面对药品行业的不利环境和竞争压力，公司董事会紧紧围绕</w:t>
      </w:r>
      <w:r>
        <w:rPr>
          <w:rFonts w:ascii="Times New Roman" w:hAnsi="Times New Roman" w:cs="Times New Roman" w:eastAsia="Times New Roman" w:hint="default"/>
          <w:spacing w:val="2"/>
        </w:rPr>
        <w:t>“</w:t>
      </w:r>
      <w:r>
        <w:rPr>
          <w:spacing w:val="2"/>
        </w:rPr>
        <w:t>以中成</w:t>
      </w:r>
      <w:r>
        <w:rPr>
          <w:spacing w:val="-103"/>
        </w:rPr>
        <w:t> </w:t>
      </w:r>
      <w:r>
        <w:rPr/>
        <w:t>药发展为企业的立足之本，人参产业、基因测序产业作为企业发展的排头兵</w:t>
      </w:r>
      <w:r>
        <w:rPr>
          <w:rFonts w:ascii="Times New Roman" w:hAnsi="Times New Roman" w:cs="Times New Roman" w:eastAsia="Times New Roman" w:hint="default"/>
        </w:rPr>
        <w:t>”</w:t>
      </w:r>
      <w:r>
        <w:rPr/>
        <w:t>的战略方针，充分发挥公司</w:t>
      </w:r>
      <w:r>
        <w:rPr>
          <w:spacing w:val="-15"/>
        </w:rPr>
        <w:t> </w:t>
      </w:r>
      <w:r>
        <w:rPr>
          <w:spacing w:val="-15"/>
        </w:rPr>
      </w:r>
      <w:r>
        <w:rPr>
          <w:spacing w:val="-1"/>
        </w:rPr>
        <w:t>的先进加工技术、人才资源，积极开展关键技术攻关，实现合理的结构调整，使中成药、人参产业、基因</w:t>
      </w:r>
      <w:r>
        <w:rPr>
          <w:spacing w:val="-83"/>
        </w:rPr>
        <w:t> </w:t>
      </w:r>
      <w:r>
        <w:rPr>
          <w:spacing w:val="-83"/>
        </w:rPr>
      </w:r>
      <w:r>
        <w:rPr/>
        <w:t>测序仪三大产业齐头发展。报告期内，公司实现营业收入</w:t>
      </w:r>
      <w:r>
        <w:rPr>
          <w:rFonts w:ascii="Times New Roman" w:hAnsi="Times New Roman" w:cs="Times New Roman" w:eastAsia="Times New Roman" w:hint="default"/>
        </w:rPr>
        <w:t>63</w:t>
      </w:r>
      <w:r>
        <w:rPr/>
        <w:t>，</w:t>
      </w:r>
      <w:r>
        <w:rPr>
          <w:rFonts w:ascii="Times New Roman" w:hAnsi="Times New Roman" w:cs="Times New Roman" w:eastAsia="Times New Roman" w:hint="default"/>
        </w:rPr>
        <w:t>326.00</w:t>
      </w:r>
      <w:r>
        <w:rPr/>
        <w:t>万元，较上年同期下降</w:t>
      </w:r>
      <w:r>
        <w:rPr>
          <w:rFonts w:ascii="Times New Roman" w:hAnsi="Times New Roman" w:cs="Times New Roman" w:eastAsia="Times New Roman" w:hint="default"/>
        </w:rPr>
        <w:t>18.36%</w:t>
      </w:r>
      <w:r>
        <w:rPr/>
        <w:t>；实现</w:t>
      </w:r>
      <w:r>
        <w:rPr>
          <w:spacing w:val="-97"/>
        </w:rPr>
        <w:t> </w:t>
      </w:r>
      <w:r>
        <w:rPr>
          <w:spacing w:val="-97"/>
        </w:rPr>
      </w:r>
      <w:r>
        <w:rPr/>
        <w:t>归属于上市公司股东的净利润</w:t>
      </w:r>
      <w:r>
        <w:rPr>
          <w:rFonts w:ascii="Times New Roman" w:hAnsi="Times New Roman" w:cs="Times New Roman" w:eastAsia="Times New Roman" w:hint="default"/>
        </w:rPr>
        <w:t>3,959.15</w:t>
      </w:r>
      <w:r>
        <w:rPr/>
        <w:t>万元，较上年同期下降</w:t>
      </w:r>
      <w:r>
        <w:rPr>
          <w:rFonts w:ascii="Times New Roman" w:hAnsi="Times New Roman" w:cs="Times New Roman" w:eastAsia="Times New Roman" w:hint="default"/>
        </w:rPr>
        <w:t>16.11%,</w:t>
      </w:r>
      <w:r>
        <w:rPr/>
        <w:t>同比下降的原因主要是</w:t>
      </w:r>
      <w:r>
        <w:rPr>
          <w:rFonts w:ascii="Times New Roman" w:hAnsi="Times New Roman" w:cs="Times New Roman" w:eastAsia="Times New Roman" w:hint="default"/>
        </w:rPr>
        <w:t>2014</w:t>
      </w:r>
      <w:r>
        <w:rPr/>
        <w:t>年出售了</w:t>
      </w:r>
      <w:r>
        <w:rPr>
          <w:spacing w:val="-100"/>
        </w:rPr>
        <w:t> </w:t>
      </w:r>
      <w:r>
        <w:rPr>
          <w:spacing w:val="-100"/>
        </w:rPr>
      </w:r>
      <w:r>
        <w:rPr>
          <w:spacing w:val="-1"/>
        </w:rPr>
        <w:t>野山参所致；除去野山参交易部分，本报告期内公司主营业务业绩同比略有增加。</w:t>
      </w:r>
      <w:r>
        <w:rPr>
          <w:rFonts w:ascii="Times New Roman" w:hAnsi="Times New Roman" w:cs="Times New Roman" w:eastAsia="Times New Roman" w:hint="default"/>
          <w:spacing w:val="-1"/>
        </w:rPr>
        <w:t>2015</w:t>
      </w:r>
      <w:r>
        <w:rPr>
          <w:spacing w:val="-1"/>
        </w:rPr>
        <w:t>年公司经营情况具</w:t>
      </w:r>
      <w:r>
        <w:rPr>
          <w:spacing w:val="-81"/>
        </w:rPr>
        <w:t> </w:t>
      </w:r>
      <w:r>
        <w:rPr>
          <w:spacing w:val="-81"/>
        </w:rPr>
      </w:r>
      <w:r>
        <w:rPr/>
        <w:t>体如下：</w:t>
      </w:r>
    </w:p>
    <w:p>
      <w:pPr>
        <w:pStyle w:val="BodyText"/>
        <w:spacing w:line="398" w:lineRule="auto" w:before="63"/>
        <w:ind w:right="1024" w:firstLine="420"/>
        <w:jc w:val="left"/>
      </w:pPr>
      <w:r>
        <w:rPr>
          <w:rFonts w:ascii="Times New Roman" w:hAnsi="Times New Roman" w:cs="Times New Roman" w:eastAsia="Times New Roman" w:hint="default"/>
        </w:rPr>
        <w:t>1</w:t>
      </w:r>
      <w:r>
        <w:rPr/>
        <w:t>、内控建设方面：内控制度建设是一项长期工作，特别是公司进入人参产业后，深化了系列涉及人 </w:t>
      </w:r>
      <w:r>
        <w:rPr>
          <w:spacing w:val="-3"/>
        </w:rPr>
        <w:t>参产业的相关内部控制制度，持续优化包括经营控制、财务管理控制和信息披露控制在内的内部控制体系，</w:t>
      </w:r>
      <w:r>
        <w:rPr>
          <w:spacing w:val="-92"/>
        </w:rPr>
        <w:t> </w:t>
      </w:r>
      <w:r>
        <w:rPr>
          <w:spacing w:val="-92"/>
        </w:rPr>
      </w:r>
      <w:r>
        <w:rPr/>
        <w:t>并在实施过程中，持续落实，加强执行力度，以保障公司发展战略、经营目标的实现。</w:t>
      </w:r>
    </w:p>
    <w:p>
      <w:pPr>
        <w:pStyle w:val="BodyText"/>
        <w:spacing w:line="400" w:lineRule="auto" w:before="54"/>
        <w:ind w:right="1130" w:firstLine="420"/>
        <w:jc w:val="both"/>
      </w:pPr>
      <w:r>
        <w:rPr>
          <w:rFonts w:ascii="Times New Roman" w:hAnsi="Times New Roman" w:cs="Times New Roman" w:eastAsia="Times New Roman" w:hint="default"/>
        </w:rPr>
        <w:t>2</w:t>
      </w:r>
      <w:r>
        <w:rPr/>
        <w:t>、研发系统方面：报告期内，公司在研的中成药产品暴贝止咳口服液、消盆炎颗粒、元神安颗粒、 </w:t>
      </w:r>
      <w:r>
        <w:rPr>
          <w:spacing w:val="-1"/>
        </w:rPr>
        <w:t>桑麻口服液等产品均取得了阶段性的进展；公司及公司子公司完成了药品文号再注册批件审批工作。食品</w:t>
      </w:r>
      <w:r>
        <w:rPr>
          <w:spacing w:val="-80"/>
        </w:rPr>
        <w:t> </w:t>
      </w:r>
      <w:r>
        <w:rPr>
          <w:spacing w:val="-80"/>
        </w:rPr>
      </w:r>
      <w:r>
        <w:rPr>
          <w:spacing w:val="-1"/>
        </w:rPr>
        <w:t>和保健食品方面，公司对已获得批准文号品种紫瑞片、紫瑞胶囊，芳芙颗粒、人参叶颗粒组织开展生产工</w:t>
      </w:r>
      <w:r>
        <w:rPr>
          <w:spacing w:val="-86"/>
        </w:rPr>
        <w:t> </w:t>
      </w:r>
      <w:r>
        <w:rPr>
          <w:spacing w:val="-86"/>
        </w:rPr>
      </w:r>
      <w:r>
        <w:rPr>
          <w:spacing w:val="-1"/>
        </w:rPr>
        <w:t>艺放大验证工作；全国人参种质资源专项普查工作方面，公司与国家中药管理局中药资源中心、人参国际</w:t>
      </w:r>
      <w:r>
        <w:rPr>
          <w:spacing w:val="-83"/>
        </w:rPr>
        <w:t> </w:t>
      </w:r>
      <w:r>
        <w:rPr>
          <w:spacing w:val="-83"/>
        </w:rPr>
      </w:r>
      <w:r>
        <w:rPr>
          <w:spacing w:val="-1"/>
        </w:rPr>
        <w:t>标准科技联盟、中科院北京基因组所、吉林省中医药管理局、长春中医药大学等多家单位合作，共同完成</w:t>
      </w:r>
      <w:r>
        <w:rPr>
          <w:spacing w:val="-86"/>
        </w:rPr>
        <w:t> </w:t>
      </w:r>
      <w:r>
        <w:rPr>
          <w:spacing w:val="-86"/>
        </w:rPr>
      </w:r>
      <w:r>
        <w:rPr/>
        <w:t>了全国人参种质资源普查工作；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月北京中科紫鑫与英特尔公司取得共识，在新一代基因测序技术</w:t>
      </w:r>
      <w:r>
        <w:rPr>
          <w:spacing w:val="-33"/>
        </w:rPr>
        <w:t> </w:t>
      </w:r>
      <w:r>
        <w:rPr>
          <w:spacing w:val="-33"/>
        </w:rPr>
      </w:r>
      <w:r>
        <w:rPr>
          <w:spacing w:val="-1"/>
        </w:rPr>
        <w:t>及应用领域达成合作伙伴关系，英特尔公司将围绕中科紫鑫测序仪和数据中心提供计算、存储和网络相关</w:t>
      </w:r>
      <w:r>
        <w:rPr>
          <w:spacing w:val="-81"/>
        </w:rPr>
        <w:t> </w:t>
      </w:r>
      <w:r>
        <w:rPr>
          <w:spacing w:val="-81"/>
        </w:rPr>
      </w:r>
      <w:r>
        <w:rPr>
          <w:spacing w:val="-1"/>
        </w:rPr>
        <w:t>的技术支持和专家建议。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月北京中科紫鑫应北方夜视科技集团有限公司的邀请，北京中科紫鑫团</w:t>
      </w:r>
      <w:r>
        <w:rPr>
          <w:spacing w:val="-80"/>
        </w:rPr>
        <w:t> </w:t>
      </w:r>
      <w:r>
        <w:rPr>
          <w:spacing w:val="-80"/>
        </w:rPr>
      </w:r>
      <w:r>
        <w:rPr>
          <w:spacing w:val="-1"/>
        </w:rPr>
        <w:t>队赴夜视集团南京分公司进行参观考察，双方就基因测序仪检测芯片的研发、生产及更深层次技术合作签</w:t>
      </w:r>
      <w:r>
        <w:rPr>
          <w:spacing w:val="-81"/>
        </w:rPr>
        <w:t> </w:t>
      </w:r>
      <w:r>
        <w:rPr>
          <w:spacing w:val="-81"/>
        </w:rPr>
      </w:r>
      <w:r>
        <w:rPr/>
        <w:t>署长期战略合作协议。</w:t>
      </w:r>
    </w:p>
    <w:p>
      <w:pPr>
        <w:pStyle w:val="BodyText"/>
        <w:spacing w:line="393" w:lineRule="auto" w:before="52"/>
        <w:ind w:right="1131" w:firstLine="420"/>
        <w:jc w:val="both"/>
      </w:pPr>
      <w:r>
        <w:rPr>
          <w:rFonts w:ascii="Times New Roman" w:hAnsi="Times New Roman" w:cs="Times New Roman" w:eastAsia="Times New Roman" w:hint="default"/>
        </w:rPr>
        <w:t>3</w:t>
      </w:r>
      <w:r>
        <w:rPr/>
        <w:t>、生产质量系统：公司在生产管理中坚持</w:t>
      </w:r>
      <w:r>
        <w:rPr>
          <w:rFonts w:ascii="Times New Roman" w:hAnsi="Times New Roman" w:cs="Times New Roman" w:eastAsia="Times New Roman" w:hint="default"/>
        </w:rPr>
        <w:t>“</w:t>
      </w:r>
      <w:r>
        <w:rPr/>
        <w:t>安全第一、预防为主、综合治理</w:t>
      </w:r>
      <w:r>
        <w:rPr>
          <w:rFonts w:ascii="Times New Roman" w:hAnsi="Times New Roman" w:cs="Times New Roman" w:eastAsia="Times New Roman" w:hint="default"/>
        </w:rPr>
        <w:t>”</w:t>
      </w:r>
      <w:r>
        <w:rPr/>
        <w:t>的方针，按照</w:t>
      </w:r>
      <w:r>
        <w:rPr>
          <w:rFonts w:ascii="Times New Roman" w:hAnsi="Times New Roman" w:cs="Times New Roman" w:eastAsia="Times New Roman" w:hint="default"/>
        </w:rPr>
        <w:t>“</w:t>
      </w:r>
      <w:r>
        <w:rPr/>
        <w:t>谁主管、 </w:t>
      </w:r>
      <w:r>
        <w:rPr>
          <w:spacing w:val="-2"/>
        </w:rPr>
        <w:t>谁负责</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分级管理、分线负责</w:t>
      </w:r>
      <w:r>
        <w:rPr>
          <w:rFonts w:ascii="Times New Roman" w:hAnsi="Times New Roman" w:cs="Times New Roman" w:eastAsia="Times New Roman" w:hint="default"/>
          <w:spacing w:val="-2"/>
        </w:rPr>
        <w:t>”</w:t>
      </w:r>
      <w:r>
        <w:rPr>
          <w:spacing w:val="-2"/>
        </w:rPr>
        <w:t>的原则，确保了全年的安全生产。报告期内，公司高新技术企业通过了重</w:t>
      </w:r>
      <w:r>
        <w:rPr/>
        <w:t> </w:t>
      </w:r>
      <w:r>
        <w:rPr>
          <w:spacing w:val="6"/>
        </w:rPr>
        <w:t>新认定；公司人参系列化募投项目通化厂区于获得了由吉林省食品药品监督管理局颁发的新版</w:t>
      </w:r>
      <w:r>
        <w:rPr>
          <w:spacing w:val="24"/>
        </w:rPr>
        <w:t> </w:t>
      </w:r>
      <w:r>
        <w:rPr>
          <w:spacing w:val="3"/>
        </w:rPr>
        <w:t>《药品</w:t>
      </w:r>
      <w:r>
        <w:rPr>
          <w:spacing w:val="-100"/>
        </w:rPr>
        <w:t> </w:t>
      </w:r>
      <w:r>
        <w:rPr>
          <w:spacing w:val="-100"/>
        </w:rPr>
      </w:r>
      <w:r>
        <w:rPr>
          <w:rFonts w:ascii="Times New Roman" w:hAnsi="Times New Roman" w:cs="Times New Roman" w:eastAsia="Times New Roman" w:hint="default"/>
        </w:rPr>
        <w:t>GMP </w:t>
      </w:r>
      <w:r>
        <w:rPr>
          <w:rFonts w:ascii="Times New Roman" w:hAnsi="Times New Roman" w:cs="Times New Roman" w:eastAsia="Times New Roman" w:hint="default"/>
          <w:spacing w:val="7"/>
        </w:rPr>
        <w:t> </w:t>
      </w:r>
      <w:r>
        <w:rPr/>
        <w:t>证书》，自此公司四个人参系列募投厂区均已获得</w:t>
      </w:r>
      <w:r>
        <w:rPr>
          <w:rFonts w:ascii="Times New Roman" w:hAnsi="Times New Roman" w:cs="Times New Roman" w:eastAsia="Times New Roman" w:hint="default"/>
        </w:rPr>
        <w:t>GMP</w:t>
      </w:r>
      <w:r>
        <w:rPr/>
        <w:t>认证，全面进入正式生产经营阶段。公司柳</w:t>
      </w:r>
    </w:p>
    <w:p>
      <w:pPr>
        <w:spacing w:after="0" w:line="39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3" w:lineRule="auto" w:before="174"/>
        <w:ind w:right="1130"/>
        <w:jc w:val="both"/>
      </w:pPr>
      <w:r>
        <w:rPr>
          <w:spacing w:val="-1"/>
        </w:rPr>
        <w:t>河医药产业园建设项目一期工程进展顺利，目前生产厂房框架基础建设基本完毕。</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月北京中科紫</w:t>
      </w:r>
      <w:r>
        <w:rPr>
          <w:spacing w:val="-79"/>
        </w:rPr>
        <w:t> </w:t>
      </w:r>
      <w:r>
        <w:rPr>
          <w:spacing w:val="3"/>
        </w:rPr>
        <w:t>鑫在北京市北京经济技术开发区路东区购置了用于生产经营基因测序仪的土地房产，土地使用权面积为</w:t>
      </w:r>
      <w:r>
        <w:rPr>
          <w:spacing w:val="-82"/>
        </w:rPr>
        <w:t> </w:t>
      </w:r>
      <w:r>
        <w:rPr>
          <w:spacing w:val="-82"/>
        </w:rPr>
      </w:r>
      <w:r>
        <w:rPr>
          <w:rFonts w:ascii="Times New Roman" w:hAnsi="Times New Roman" w:cs="Times New Roman" w:eastAsia="Times New Roman" w:hint="default"/>
        </w:rPr>
        <w:t>26,645</w:t>
      </w:r>
      <w:r>
        <w:rPr/>
        <w:t>平方米、地上构筑物所有权面积为</w:t>
      </w:r>
      <w:r>
        <w:rPr>
          <w:rFonts w:ascii="Times New Roman" w:hAnsi="Times New Roman" w:cs="Times New Roman" w:eastAsia="Times New Roman" w:hint="default"/>
        </w:rPr>
        <w:t>48,966.95</w:t>
      </w:r>
      <w:r>
        <w:rPr/>
        <w:t>平方米，已建成地上建筑布局合理，配套设施完备，已</w:t>
      </w:r>
      <w:r>
        <w:rPr>
          <w:spacing w:val="-80"/>
        </w:rPr>
        <w:t> </w:t>
      </w:r>
      <w:r>
        <w:rPr>
          <w:spacing w:val="-80"/>
        </w:rPr>
      </w:r>
      <w:r>
        <w:rPr/>
        <w:t>经满足基因测序仪项目研发升级及产品量产需求，为公司基因测序仪的产业化奠定了基础。</w:t>
      </w:r>
    </w:p>
    <w:p>
      <w:pPr>
        <w:pStyle w:val="BodyText"/>
        <w:spacing w:line="386" w:lineRule="auto" w:before="58"/>
        <w:ind w:left="489" w:right="0" w:firstLine="84"/>
        <w:jc w:val="left"/>
      </w:pPr>
      <w:r>
        <w:rPr>
          <w:rFonts w:ascii="Times New Roman" w:hAnsi="Times New Roman" w:cs="Times New Roman" w:eastAsia="Times New Roman" w:hint="default"/>
        </w:rPr>
        <w:t>4</w:t>
      </w:r>
      <w:r>
        <w:rPr/>
        <w:t>、销售系统方面：中成药产品方面 处方药：处方药对在整个公司全盘销售，占有主导比例，因此处方药销售渠道是否稳固，对公司整体</w:t>
      </w:r>
    </w:p>
    <w:p>
      <w:pPr>
        <w:pStyle w:val="BodyText"/>
        <w:spacing w:line="386" w:lineRule="auto" w:before="65"/>
        <w:ind w:right="1129"/>
        <w:jc w:val="both"/>
      </w:pPr>
      <w:r>
        <w:rPr>
          <w:spacing w:val="-1"/>
        </w:rPr>
        <w:t>的营销态势，起决定性的作用。报告期内，紫鑫药业与全国</w:t>
      </w:r>
      <w:r>
        <w:rPr>
          <w:rFonts w:ascii="Times New Roman" w:hAnsi="Times New Roman" w:cs="Times New Roman" w:eastAsia="Times New Roman" w:hint="default"/>
          <w:spacing w:val="-1"/>
        </w:rPr>
        <w:t>3000</w:t>
      </w:r>
      <w:r>
        <w:rPr>
          <w:spacing w:val="-1"/>
        </w:rPr>
        <w:t>多家各级医院、</w:t>
      </w:r>
      <w:r>
        <w:rPr>
          <w:rFonts w:ascii="Times New Roman" w:hAnsi="Times New Roman" w:cs="Times New Roman" w:eastAsia="Times New Roman" w:hint="default"/>
          <w:spacing w:val="-1"/>
        </w:rPr>
        <w:t>1000</w:t>
      </w:r>
      <w:r>
        <w:rPr>
          <w:spacing w:val="-1"/>
        </w:rPr>
        <w:t>多家大型医药经销公</w:t>
      </w:r>
      <w:r>
        <w:rPr>
          <w:spacing w:val="-82"/>
        </w:rPr>
        <w:t> </w:t>
      </w:r>
      <w:r>
        <w:rPr>
          <w:spacing w:val="-82"/>
        </w:rPr>
      </w:r>
      <w:r>
        <w:rPr>
          <w:spacing w:val="-4"/>
        </w:rPr>
        <w:t>司合作处方药的销售。同时与</w:t>
      </w:r>
      <w:r>
        <w:rPr>
          <w:rFonts w:ascii="Times New Roman" w:hAnsi="Times New Roman" w:cs="Times New Roman" w:eastAsia="Times New Roman" w:hint="default"/>
          <w:spacing w:val="-4"/>
        </w:rPr>
        <w:t>“</w:t>
      </w:r>
      <w:r>
        <w:rPr>
          <w:spacing w:val="-4"/>
        </w:rPr>
        <w:t>吉林大药房</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辽宁成大</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北京同仁堂</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南京医药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上海大药房</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云</w:t>
      </w:r>
      <w:r>
        <w:rPr/>
        <w:t> 南鸿翔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广东大参林</w:t>
      </w:r>
      <w:r>
        <w:rPr>
          <w:rFonts w:ascii="Times New Roman" w:hAnsi="Times New Roman" w:cs="Times New Roman" w:eastAsia="Times New Roman" w:hint="default"/>
        </w:rPr>
        <w:t>”</w:t>
      </w:r>
      <w:r>
        <w:rPr/>
        <w:t>等等超大型连锁医药零售公司合作，已经在全国建立起强大、稳定的销售网络。</w:t>
      </w:r>
    </w:p>
    <w:p>
      <w:pPr>
        <w:pStyle w:val="BodyText"/>
        <w:spacing w:line="403" w:lineRule="auto" w:before="35"/>
        <w:ind w:right="1024" w:firstLine="336"/>
        <w:jc w:val="left"/>
      </w:pPr>
      <w:r>
        <w:rPr/>
        <w:t>基本药物：报告期内，公司承接了前期的工作，大力开展了基本药物的市场开发，抓住了国家支持推 广基本药物使用的契机，在安徽、四川、江苏、浙江、安徽、广东、天津、河南、河北等基本药物制度实 </w:t>
      </w:r>
      <w:r>
        <w:rPr>
          <w:spacing w:val="-3"/>
        </w:rPr>
        <w:t>施较好的地区，推广了二级以上医院以原有地区销售团队为核心，基层医疗机构利用县级销售区域为单位，</w:t>
      </w:r>
      <w:r>
        <w:rPr>
          <w:spacing w:val="-92"/>
        </w:rPr>
        <w:t> </w:t>
      </w:r>
      <w:r>
        <w:rPr>
          <w:spacing w:val="-92"/>
        </w:rPr>
      </w:r>
      <w:r>
        <w:rPr/>
        <w:t>通过原地区业务员进行精细化招商的多层次销售通路共同开发的销售网络建设模式，取得很好的效果。公</w:t>
      </w:r>
      <w:r>
        <w:rPr/>
        <w:t> 司有</w:t>
      </w:r>
      <w:r>
        <w:rPr>
          <w:rFonts w:ascii="Times New Roman" w:hAnsi="Times New Roman" w:cs="Times New Roman" w:eastAsia="Times New Roman" w:hint="default"/>
        </w:rPr>
        <w:t>“</w:t>
      </w:r>
      <w:r>
        <w:rPr/>
        <w:t>藿胆片</w:t>
      </w:r>
      <w:r>
        <w:rPr>
          <w:rFonts w:ascii="Times New Roman" w:hAnsi="Times New Roman" w:cs="Times New Roman" w:eastAsia="Times New Roman" w:hint="default"/>
        </w:rPr>
        <w:t>”</w:t>
      </w:r>
      <w:r>
        <w:rPr/>
        <w:t>为代表的</w:t>
      </w:r>
      <w:r>
        <w:rPr>
          <w:rFonts w:ascii="Times New Roman" w:hAnsi="Times New Roman" w:cs="Times New Roman" w:eastAsia="Times New Roman" w:hint="default"/>
        </w:rPr>
        <w:t>26</w:t>
      </w:r>
      <w:r>
        <w:rPr/>
        <w:t>个产品被遴选进目录，这对公司在基层医疗机构的药品销售中，给出了强大的政 策支持。是公司的基本药物品种，迅速的占领了基层医疗机构的市场份额。</w:t>
      </w:r>
    </w:p>
    <w:p>
      <w:pPr>
        <w:pStyle w:val="BodyText"/>
        <w:spacing w:line="386" w:lineRule="auto" w:before="50"/>
        <w:ind w:right="1129" w:firstLine="336"/>
        <w:jc w:val="both"/>
      </w:pPr>
      <w:r>
        <w:rPr>
          <w:rFonts w:ascii="Times New Roman" w:hAnsi="Times New Roman" w:cs="Times New Roman" w:eastAsia="Times New Roman" w:hint="default"/>
          <w:spacing w:val="-1"/>
        </w:rPr>
        <w:t>OTC</w:t>
      </w:r>
      <w:r>
        <w:rPr>
          <w:spacing w:val="-1"/>
        </w:rPr>
        <w:t>零售：报告期内在强化原有处方药模式的基础上，经过</w:t>
      </w:r>
      <w:r>
        <w:rPr>
          <w:rFonts w:ascii="Times New Roman" w:hAnsi="Times New Roman" w:cs="Times New Roman" w:eastAsia="Times New Roman" w:hint="default"/>
          <w:spacing w:val="-1"/>
        </w:rPr>
        <w:t>2015</w:t>
      </w:r>
      <w:r>
        <w:rPr>
          <w:spacing w:val="-1"/>
        </w:rPr>
        <w:t>年上半年的组织和筹备，</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月公</w:t>
      </w:r>
      <w:r>
        <w:rPr>
          <w:w w:val="99"/>
        </w:rPr>
        <w:t> </w:t>
      </w:r>
      <w:r>
        <w:rPr/>
        <w:t>司成立</w:t>
      </w:r>
      <w:r>
        <w:rPr>
          <w:rFonts w:ascii="Times New Roman" w:hAnsi="Times New Roman" w:cs="Times New Roman" w:eastAsia="Times New Roman" w:hint="default"/>
        </w:rPr>
        <w:t>OTC</w:t>
      </w:r>
      <w:r>
        <w:rPr/>
        <w:t>事业部，在全国建立</w:t>
      </w:r>
      <w:r>
        <w:rPr>
          <w:rFonts w:ascii="Times New Roman" w:hAnsi="Times New Roman" w:cs="Times New Roman" w:eastAsia="Times New Roman" w:hint="default"/>
        </w:rPr>
        <w:t>21</w:t>
      </w:r>
      <w:r>
        <w:rPr/>
        <w:t>个省级办事处，招聘斤</w:t>
      </w:r>
      <w:r>
        <w:rPr>
          <w:rFonts w:ascii="Times New Roman" w:hAnsi="Times New Roman" w:cs="Times New Roman" w:eastAsia="Times New Roman" w:hint="default"/>
        </w:rPr>
        <w:t>300</w:t>
      </w:r>
      <w:r>
        <w:rPr/>
        <w:t>人的地级销售经理，</w:t>
      </w:r>
      <w:r>
        <w:rPr>
          <w:rFonts w:ascii="Times New Roman" w:hAnsi="Times New Roman" w:cs="Times New Roman" w:eastAsia="Times New Roman" w:hint="default"/>
        </w:rPr>
        <w:t>10</w:t>
      </w:r>
      <w:r>
        <w:rPr/>
        <w:t>月份</w:t>
      </w:r>
      <w:r>
        <w:rPr>
          <w:rFonts w:ascii="Times New Roman" w:hAnsi="Times New Roman" w:cs="Times New Roman" w:eastAsia="Times New Roman" w:hint="default"/>
        </w:rPr>
        <w:t>-12</w:t>
      </w:r>
      <w:r>
        <w:rPr/>
        <w:t>月份每个省都</w:t>
      </w:r>
      <w:r>
        <w:rPr>
          <w:spacing w:val="-102"/>
        </w:rPr>
        <w:t> </w:t>
      </w:r>
      <w:r>
        <w:rPr/>
        <w:t>已经召开了省级和地级的推广会议，前期工作取得阶段性的成功。</w:t>
      </w:r>
      <w:r>
        <w:rPr>
          <w:rFonts w:ascii="Times New Roman" w:hAnsi="Times New Roman" w:cs="Times New Roman" w:eastAsia="Times New Roman" w:hint="default"/>
        </w:rPr>
        <w:t>OTC</w:t>
      </w:r>
      <w:r>
        <w:rPr/>
        <w:t>市场销售坚持与</w:t>
      </w:r>
      <w:r>
        <w:rPr>
          <w:rFonts w:ascii="Times New Roman" w:hAnsi="Times New Roman" w:cs="Times New Roman" w:eastAsia="Times New Roman" w:hint="default"/>
        </w:rPr>
        <w:t>“</w:t>
      </w:r>
      <w:r>
        <w:rPr/>
        <w:t>全国百强连锁药</w:t>
      </w:r>
      <w:r>
        <w:rPr>
          <w:spacing w:val="-18"/>
        </w:rPr>
        <w:t> </w:t>
      </w:r>
      <w:r>
        <w:rPr>
          <w:spacing w:val="-18"/>
        </w:rPr>
      </w:r>
      <w:r>
        <w:rPr/>
        <w:t>房</w:t>
      </w:r>
      <w:r>
        <w:rPr>
          <w:rFonts w:ascii="Times New Roman" w:hAnsi="Times New Roman" w:cs="Times New Roman" w:eastAsia="Times New Roman" w:hint="default"/>
        </w:rPr>
        <w:t>”</w:t>
      </w:r>
      <w:r>
        <w:rPr/>
        <w:t>合作，在云南、贵州、甘肃、四川、广东、河北、河南等地区选择终端占有率较高的主流连锁合作。</w:t>
      </w:r>
      <w:r>
        <w:rPr>
          <w:spacing w:val="-25"/>
        </w:rPr>
        <w:t> </w:t>
      </w:r>
      <w:r>
        <w:rPr>
          <w:spacing w:val="-25"/>
        </w:rPr>
      </w:r>
      <w:r>
        <w:rPr/>
        <w:t>从目前的合作情况来看，合作产品线越来越广，销售业绩已取得初步成果。</w:t>
      </w:r>
    </w:p>
    <w:p>
      <w:pPr>
        <w:pStyle w:val="BodyText"/>
        <w:spacing w:line="398" w:lineRule="auto" w:before="65"/>
        <w:ind w:left="154" w:right="1130" w:firstLine="336"/>
        <w:jc w:val="both"/>
      </w:pPr>
      <w:r>
        <w:rPr>
          <w:spacing w:val="-2"/>
        </w:rPr>
        <w:t>低价药物：</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月国家颁布了《低价药品目录》，我公司产品有</w:t>
      </w:r>
      <w:r>
        <w:rPr>
          <w:rFonts w:ascii="Times New Roman" w:hAnsi="Times New Roman" w:cs="Times New Roman" w:eastAsia="Times New Roman" w:hint="default"/>
          <w:spacing w:val="-2"/>
        </w:rPr>
        <w:t>45</w:t>
      </w:r>
      <w:r>
        <w:rPr>
          <w:spacing w:val="-2"/>
        </w:rPr>
        <w:t>个文号包括在内，对下一步基层</w:t>
      </w:r>
      <w:r>
        <w:rPr/>
        <w:t> </w:t>
      </w:r>
      <w:r>
        <w:rPr>
          <w:spacing w:val="-1"/>
        </w:rPr>
        <w:t>医疗机构用药的数量增长有很好的提升。在前期已经开始的河南、河北等地区的低价药物采购项目中，都</w:t>
      </w:r>
      <w:r>
        <w:rPr>
          <w:spacing w:val="-82"/>
        </w:rPr>
        <w:t> </w:t>
      </w:r>
      <w:r>
        <w:rPr>
          <w:spacing w:val="-82"/>
        </w:rPr>
      </w:r>
      <w:r>
        <w:rPr/>
        <w:t>以较为理想的价格入围，为</w:t>
      </w:r>
      <w:r>
        <w:rPr>
          <w:rFonts w:ascii="Times New Roman" w:hAnsi="Times New Roman" w:cs="Times New Roman" w:eastAsia="Times New Roman" w:hint="default"/>
        </w:rPr>
        <w:t>2016</w:t>
      </w:r>
      <w:r>
        <w:rPr/>
        <w:t>年的全盘销售奠定了基础。</w:t>
      </w:r>
    </w:p>
    <w:p>
      <w:pPr>
        <w:pStyle w:val="BodyText"/>
        <w:spacing w:line="405" w:lineRule="auto" w:before="24"/>
        <w:ind w:right="1131" w:firstLine="336"/>
        <w:jc w:val="both"/>
      </w:pPr>
      <w:r>
        <w:rPr/>
        <w:t>人参产品方面：公司人参粗加工产品保持了稳定的销售；人参深加工产品方面，公司销售通过整个团 </w:t>
      </w:r>
      <w:r>
        <w:rPr>
          <w:spacing w:val="-1"/>
        </w:rPr>
        <w:t>队的共同努力，在队伍组建、渠道铺设、产品招商、区域拓展和品牌建设等一系列重要工作方面都取得了</w:t>
      </w:r>
      <w:r>
        <w:rPr>
          <w:spacing w:val="-86"/>
        </w:rPr>
        <w:t> </w:t>
      </w:r>
      <w:r>
        <w:rPr>
          <w:spacing w:val="-86"/>
        </w:rPr>
      </w:r>
      <w:r>
        <w:rPr>
          <w:spacing w:val="-1"/>
        </w:rPr>
        <w:t>一定的成效和进展，特别是在核心市场建设、外围市场布局和专卖店体系拓展方面取得了突出进展，公司</w:t>
      </w:r>
      <w:r>
        <w:rPr>
          <w:spacing w:val="-83"/>
        </w:rPr>
        <w:t> </w:t>
      </w:r>
      <w:r>
        <w:rPr>
          <w:spacing w:val="-83"/>
        </w:rPr>
      </w:r>
      <w:r>
        <w:rPr>
          <w:spacing w:val="-1"/>
        </w:rPr>
        <w:t>通过直营和客户联营的方式进行专卖店体系的拓展，在长春、东北、华南、华东、华中等重点区域进行产</w:t>
      </w:r>
      <w:r>
        <w:rPr>
          <w:spacing w:val="-83"/>
        </w:rPr>
        <w:t> </w:t>
      </w:r>
      <w:r>
        <w:rPr>
          <w:spacing w:val="-83"/>
        </w:rPr>
      </w:r>
      <w:r>
        <w:rPr>
          <w:spacing w:val="-1"/>
        </w:rPr>
        <w:t>品招商工作，通过在重点区域先布局几个点，再逐步扩展成面的方式开展渠道建设工作，新建洛阳店、荆</w:t>
      </w:r>
      <w:r>
        <w:rPr>
          <w:spacing w:val="-84"/>
        </w:rPr>
        <w:t> </w:t>
      </w:r>
      <w:r>
        <w:rPr>
          <w:spacing w:val="-84"/>
        </w:rPr>
      </w:r>
      <w:r>
        <w:rPr>
          <w:spacing w:val="-3"/>
        </w:rPr>
        <w:t>州店、沈阳店、台州店等加盟专卖店和专柜共</w:t>
      </w:r>
      <w:r>
        <w:rPr>
          <w:rFonts w:ascii="Times New Roman" w:hAnsi="Times New Roman" w:cs="Times New Roman" w:eastAsia="Times New Roman" w:hint="default"/>
          <w:spacing w:val="-3"/>
        </w:rPr>
        <w:t>9 </w:t>
      </w:r>
      <w:r>
        <w:rPr/>
        <w:t>家、商超渠道新开发店面</w:t>
      </w:r>
      <w:r>
        <w:rPr>
          <w:rFonts w:ascii="Times New Roman" w:hAnsi="Times New Roman" w:cs="Times New Roman" w:eastAsia="Times New Roman" w:hint="default"/>
        </w:rPr>
        <w:t>25</w:t>
      </w:r>
      <w:r>
        <w:rPr>
          <w:rFonts w:ascii="Times New Roman" w:hAnsi="Times New Roman" w:cs="Times New Roman" w:eastAsia="Times New Roman" w:hint="default"/>
          <w:spacing w:val="40"/>
        </w:rPr>
        <w:t> </w:t>
      </w:r>
      <w:r>
        <w:rPr/>
        <w:t>家、参茸和药店渠道新开发店 面</w:t>
      </w:r>
      <w:r>
        <w:rPr>
          <w:rFonts w:ascii="Times New Roman" w:hAnsi="Times New Roman" w:cs="Times New Roman" w:eastAsia="Times New Roman" w:hint="default"/>
        </w:rPr>
        <w:t>122</w:t>
      </w:r>
      <w:r>
        <w:rPr>
          <w:rFonts w:ascii="Times New Roman" w:hAnsi="Times New Roman" w:cs="Times New Roman" w:eastAsia="Times New Roman" w:hint="default"/>
          <w:spacing w:val="32"/>
        </w:rPr>
        <w:t> </w:t>
      </w:r>
      <w:r>
        <w:rPr/>
        <w:t>家。</w:t>
      </w:r>
    </w:p>
    <w:p>
      <w:pPr>
        <w:spacing w:after="0" w:line="405"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785" w:right="8021" w:hanging="212"/>
        <w:jc w:val="left"/>
      </w:pPr>
      <w:r>
        <w:rPr>
          <w:rFonts w:ascii="Times New Roman" w:hAnsi="Times New Roman" w:cs="Times New Roman" w:eastAsia="Times New Roman" w:hint="default"/>
        </w:rPr>
        <w:t>5</w:t>
      </w:r>
      <w:r>
        <w:rPr/>
        <w:t>、资本市场方面 非公开发行股票事项：</w:t>
      </w:r>
    </w:p>
    <w:p>
      <w:pPr>
        <w:pStyle w:val="BodyText"/>
        <w:spacing w:line="240" w:lineRule="auto" w:before="65"/>
        <w:ind w:left="764" w:right="0"/>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w:t>
      </w:r>
      <w:r>
        <w:rPr/>
        <w:t>日，公司第五届董事会第十八次会议审议通过了公司非公开发行股票相关议案；</w:t>
      </w:r>
      <w:r>
        <w:rPr>
          <w:rFonts w:ascii="宋体" w:hAnsi="宋体" w:cs="宋体" w:eastAsia="宋体" w:hint="default"/>
        </w:rPr>
        <w:t>2014</w:t>
      </w:r>
      <w:r>
        <w:rPr/>
        <w:t>年</w:t>
      </w:r>
    </w:p>
    <w:p>
      <w:pPr>
        <w:spacing w:line="240" w:lineRule="auto" w:before="10"/>
        <w:rPr>
          <w:rFonts w:ascii="宋体" w:hAnsi="宋体" w:cs="宋体" w:eastAsia="宋体" w:hint="default"/>
          <w:sz w:val="14"/>
          <w:szCs w:val="14"/>
        </w:rPr>
      </w:pPr>
    </w:p>
    <w:p>
      <w:pPr>
        <w:pStyle w:val="BodyText"/>
        <w:spacing w:line="408" w:lineRule="auto" w:before="0"/>
        <w:ind w:right="1024"/>
        <w:jc w:val="left"/>
      </w:pPr>
      <w:r>
        <w:rPr>
          <w:rFonts w:ascii="宋体" w:hAnsi="宋体" w:cs="宋体" w:eastAsia="宋体" w:hint="default"/>
        </w:rPr>
        <w:t>9</w:t>
      </w:r>
      <w:r>
        <w:rPr/>
        <w:t>月</w:t>
      </w:r>
      <w:r>
        <w:rPr>
          <w:rFonts w:ascii="宋体" w:hAnsi="宋体" w:cs="宋体" w:eastAsia="宋体" w:hint="default"/>
        </w:rPr>
        <w:t>19</w:t>
      </w:r>
      <w:r>
        <w:rPr/>
        <w:t>日，公司</w:t>
      </w:r>
      <w:r>
        <w:rPr>
          <w:rFonts w:ascii="宋体" w:hAnsi="宋体" w:cs="宋体" w:eastAsia="宋体" w:hint="default"/>
        </w:rPr>
        <w:t>2014</w:t>
      </w:r>
      <w:r>
        <w:rPr/>
        <w:t>年第三次临时股东大会审议通过了公司非公开发行股票相关议案。</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13</w:t>
      </w:r>
      <w:r>
        <w:rPr/>
        <w:t>日，公 司收到中国证券监督管理委员会（以下简称“中国证监会”）出具的《中国证监会行政许可申请受理通知 书》（</w:t>
      </w:r>
      <w:r>
        <w:rPr>
          <w:rFonts w:ascii="宋体" w:hAnsi="宋体" w:cs="宋体" w:eastAsia="宋体" w:hint="default"/>
        </w:rPr>
        <w:t>150651</w:t>
      </w:r>
      <w:r>
        <w:rPr/>
        <w:t>号）。中国证监会依法对公司提交的《上市公司非公开发行股票》行政许可申请材料进行了 审查。认为申请材料齐全，符合法定形式，决定对行政许可申请予以受理。</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日，中国证监会</w:t>
      </w:r>
      <w:r>
        <w:rPr>
          <w:spacing w:val="-28"/>
        </w:rPr>
        <w:t> </w:t>
      </w:r>
      <w:r>
        <w:rPr>
          <w:spacing w:val="-28"/>
        </w:rPr>
      </w:r>
      <w:r>
        <w:rPr/>
        <w:t>发行审核委员会对公司非公开发行股票的申请进行了审核。根据会议审核结果，公司本次非公开发行股票</w:t>
      </w:r>
      <w:r>
        <w:rPr/>
        <w:t> 的申请获得审核通过。</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w:t>
      </w:r>
      <w:r>
        <w:rPr/>
        <w:t>日，中国证监会向公司下发了《关于核准吉林紫鑫药业股份有限公司</w:t>
      </w:r>
      <w:r>
        <w:rPr>
          <w:spacing w:val="-34"/>
        </w:rPr>
        <w:t> </w:t>
      </w:r>
      <w:r>
        <w:rPr>
          <w:spacing w:val="-34"/>
        </w:rPr>
      </w:r>
      <w:r>
        <w:rPr/>
        <w:t>非公开发行股票的批复》（证监许可【</w:t>
      </w:r>
      <w:r>
        <w:rPr>
          <w:rFonts w:ascii="宋体" w:hAnsi="宋体" w:cs="宋体" w:eastAsia="宋体" w:hint="default"/>
        </w:rPr>
        <w:t>2015</w:t>
      </w:r>
      <w:r>
        <w:rPr/>
        <w:t>】</w:t>
      </w:r>
      <w:r>
        <w:rPr>
          <w:rFonts w:ascii="宋体" w:hAnsi="宋体" w:cs="宋体" w:eastAsia="宋体" w:hint="default"/>
        </w:rPr>
        <w:t>2409</w:t>
      </w:r>
      <w:r>
        <w:rPr/>
        <w:t>号）。</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13</w:t>
      </w:r>
      <w:r>
        <w:rPr/>
        <w:t>日，公司与东吴证券依据《股份认</w:t>
      </w:r>
      <w:r>
        <w:rPr>
          <w:spacing w:val="-34"/>
        </w:rPr>
        <w:t> </w:t>
      </w:r>
      <w:r>
        <w:rPr>
          <w:spacing w:val="-34"/>
        </w:rPr>
      </w:r>
      <w:r>
        <w:rPr>
          <w:spacing w:val="-3"/>
        </w:rPr>
        <w:t>购合同》向认购对象仲桂兰、上海红樱资产管理有限公司、北京富徳昊邦投资中心（有限合伙）、李自英、</w:t>
      </w:r>
      <w:r>
        <w:rPr>
          <w:spacing w:val="-94"/>
        </w:rPr>
        <w:t> </w:t>
      </w:r>
      <w:r>
        <w:rPr>
          <w:spacing w:val="-94"/>
        </w:rPr>
      </w:r>
      <w:r>
        <w:rPr/>
        <w:t>佛山市科技孵化合伙企业（有限合伙）、郭华发出了《缴款通知书》，通知各认购对象于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14</w:t>
      </w:r>
      <w:r>
        <w:rPr/>
        <w:t>日</w:t>
      </w:r>
      <w:r>
        <w:rPr>
          <w:spacing w:val="-25"/>
        </w:rPr>
        <w:t> </w:t>
      </w:r>
      <w:r>
        <w:rPr>
          <w:rFonts w:ascii="宋体" w:hAnsi="宋体" w:cs="宋体" w:eastAsia="宋体" w:hint="default"/>
        </w:rPr>
        <w:t>15:00</w:t>
      </w:r>
      <w:r>
        <w:rPr/>
        <w:t>之前将应缴纳的认购款足额汇入发行人与东吴证券指定的收款银行账户。截至</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14</w:t>
      </w:r>
      <w:r>
        <w:rPr/>
        <w:t>日</w:t>
      </w:r>
      <w:r>
        <w:rPr>
          <w:rFonts w:ascii="宋体" w:hAnsi="宋体" w:cs="宋体" w:eastAsia="宋体" w:hint="default"/>
        </w:rPr>
        <w:t>15</w:t>
      </w:r>
      <w:r>
        <w:rPr/>
        <w:t>时， 东吴证券已实际收到认购人仲桂兰、上海红樱资产管理有限公司、北京富徳昊邦投资中心（有限合伙）、 佛山市科技孵化合伙企业（有限合伙）、郭华在指定账户缴存的认购资金累计</w:t>
      </w:r>
      <w:r>
        <w:rPr>
          <w:rFonts w:ascii="宋体" w:hAnsi="宋体" w:cs="宋体" w:eastAsia="宋体" w:hint="default"/>
        </w:rPr>
        <w:t>1,599,999,949.36</w:t>
      </w:r>
      <w:r>
        <w:rPr/>
        <w:t>元。根据</w:t>
      </w:r>
    </w:p>
    <w:p>
      <w:pPr>
        <w:pStyle w:val="BodyText"/>
        <w:spacing w:line="408" w:lineRule="auto"/>
        <w:ind w:right="0"/>
        <w:jc w:val="left"/>
      </w:pPr>
      <w:r>
        <w:rPr>
          <w:spacing w:val="-1"/>
        </w:rPr>
        <w:t>《股份认购合同》，本次发行认购人李自英应认购数量</w:t>
      </w:r>
      <w:r>
        <w:rPr>
          <w:rFonts w:ascii="宋体" w:hAnsi="宋体" w:cs="宋体" w:eastAsia="宋体" w:hint="default"/>
          <w:spacing w:val="-1"/>
        </w:rPr>
        <w:t>31,847,133</w:t>
      </w:r>
      <w:r>
        <w:rPr>
          <w:spacing w:val="-1"/>
        </w:rPr>
        <w:t>股</w:t>
      </w:r>
      <w:r>
        <w:rPr>
          <w:rFonts w:ascii="宋体" w:hAnsi="宋体" w:cs="宋体" w:eastAsia="宋体" w:hint="default"/>
          <w:spacing w:val="-1"/>
        </w:rPr>
        <w:t>,</w:t>
      </w:r>
      <w:r>
        <w:rPr>
          <w:spacing w:val="-1"/>
        </w:rPr>
        <w:t>实际认购数量</w:t>
      </w:r>
      <w:r>
        <w:rPr>
          <w:rFonts w:ascii="宋体" w:hAnsi="宋体" w:cs="宋体" w:eastAsia="宋体" w:hint="default"/>
          <w:spacing w:val="-1"/>
        </w:rPr>
        <w:t>0</w:t>
      </w:r>
      <w:r>
        <w:rPr>
          <w:spacing w:val="-1"/>
        </w:rPr>
        <w:t>股。</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16</w:t>
      </w:r>
      <w:r>
        <w:rPr>
          <w:spacing w:val="-1"/>
        </w:rPr>
        <w:t>日，</w:t>
      </w:r>
      <w:r>
        <w:rPr>
          <w:spacing w:val="-77"/>
        </w:rPr>
        <w:t> </w:t>
      </w:r>
      <w:r>
        <w:rPr>
          <w:spacing w:val="-1"/>
        </w:rPr>
        <w:t>中准会计师事务所（特殊普通合伙）以中准验字</w:t>
      </w:r>
      <w:r>
        <w:rPr>
          <w:rFonts w:ascii="宋体" w:hAnsi="宋体" w:cs="宋体" w:eastAsia="宋体" w:hint="default"/>
          <w:spacing w:val="-1"/>
        </w:rPr>
        <w:t>[2016]</w:t>
      </w:r>
      <w:r>
        <w:rPr>
          <w:spacing w:val="-1"/>
        </w:rPr>
        <w:t>第</w:t>
      </w:r>
      <w:r>
        <w:rPr>
          <w:rFonts w:ascii="宋体" w:hAnsi="宋体" w:cs="宋体" w:eastAsia="宋体" w:hint="default"/>
          <w:spacing w:val="-1"/>
        </w:rPr>
        <w:t>1068</w:t>
      </w:r>
      <w:r>
        <w:rPr>
          <w:spacing w:val="-1"/>
        </w:rPr>
        <w:t>号《验证报告》验证，截至</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15</w:t>
      </w:r>
      <w:r>
        <w:rPr>
          <w:spacing w:val="-1"/>
        </w:rPr>
        <w:t>日，</w:t>
      </w:r>
      <w:r>
        <w:rPr>
          <w:spacing w:val="-76"/>
        </w:rPr>
        <w:t> </w:t>
      </w:r>
      <w:r>
        <w:rPr/>
        <w:t>公司本次非公开发行（</w:t>
      </w:r>
      <w:r>
        <w:rPr>
          <w:rFonts w:ascii="宋体" w:hAnsi="宋体" w:cs="宋体" w:eastAsia="宋体" w:hint="default"/>
        </w:rPr>
        <w:t>A</w:t>
      </w:r>
      <w:r>
        <w:rPr/>
        <w:t>股）股票实际发行人民币普通股</w:t>
      </w:r>
      <w:r>
        <w:rPr>
          <w:rFonts w:ascii="宋体" w:hAnsi="宋体" w:cs="宋体" w:eastAsia="宋体" w:hint="default"/>
        </w:rPr>
        <w:t>127,388,531</w:t>
      </w:r>
      <w:r>
        <w:rPr/>
        <w:t>股，每股发行价格</w:t>
      </w:r>
      <w:r>
        <w:rPr>
          <w:rFonts w:ascii="宋体" w:hAnsi="宋体" w:cs="宋体" w:eastAsia="宋体" w:hint="default"/>
        </w:rPr>
        <w:t>12.56</w:t>
      </w:r>
      <w:r>
        <w:rPr/>
        <w:t>元，共计募</w:t>
      </w:r>
      <w:r>
        <w:rPr>
          <w:spacing w:val="-25"/>
        </w:rPr>
        <w:t> </w:t>
      </w:r>
      <w:r>
        <w:rPr>
          <w:spacing w:val="-25"/>
        </w:rPr>
      </w:r>
      <w:r>
        <w:rPr>
          <w:spacing w:val="-3"/>
        </w:rPr>
        <w:t>集货币资金人民币</w:t>
      </w:r>
      <w:r>
        <w:rPr>
          <w:rFonts w:ascii="宋体" w:hAnsi="宋体" w:cs="宋体" w:eastAsia="宋体" w:hint="default"/>
          <w:spacing w:val="-3"/>
        </w:rPr>
        <w:t>1,599,999,949.36</w:t>
      </w:r>
      <w:r>
        <w:rPr>
          <w:spacing w:val="-3"/>
        </w:rPr>
        <w:t>元，扣除各项发行费用</w:t>
      </w:r>
      <w:r>
        <w:rPr>
          <w:rFonts w:ascii="宋体" w:hAnsi="宋体" w:cs="宋体" w:eastAsia="宋体" w:hint="default"/>
          <w:spacing w:val="-3"/>
        </w:rPr>
        <w:t>33,247,387.52</w:t>
      </w:r>
      <w:r>
        <w:rPr>
          <w:spacing w:val="-3"/>
        </w:rPr>
        <w:t>元且不包括人民币普通股（</w:t>
      </w:r>
      <w:r>
        <w:rPr>
          <w:rFonts w:ascii="宋体" w:hAnsi="宋体" w:cs="宋体" w:eastAsia="宋体" w:hint="default"/>
          <w:spacing w:val="-3"/>
        </w:rPr>
        <w:t>A</w:t>
      </w:r>
      <w:r>
        <w:rPr>
          <w:spacing w:val="-3"/>
        </w:rPr>
        <w:t>股）</w:t>
      </w:r>
      <w:r>
        <w:rPr>
          <w:spacing w:val="-48"/>
        </w:rPr>
        <w:t> </w:t>
      </w:r>
      <w:r>
        <w:rPr/>
        <w:t>发行申购资金于冻结期间产生的利息收入，实际募集资金净额为</w:t>
      </w:r>
      <w:r>
        <w:rPr>
          <w:rFonts w:ascii="宋体" w:hAnsi="宋体" w:cs="宋体" w:eastAsia="宋体" w:hint="default"/>
        </w:rPr>
        <w:t>1,566,752,561.84</w:t>
      </w:r>
      <w:r>
        <w:rPr/>
        <w:t>元。其中新增注册资本 </w:t>
      </w:r>
      <w:r>
        <w:rPr>
          <w:rFonts w:ascii="宋体" w:hAnsi="宋体" w:cs="宋体" w:eastAsia="宋体" w:hint="default"/>
        </w:rPr>
        <w:t>127,388,531.00</w:t>
      </w:r>
      <w:r>
        <w:rPr/>
        <w:t>元整，增加资本公积</w:t>
      </w:r>
      <w:r>
        <w:rPr>
          <w:rFonts w:ascii="宋体" w:hAnsi="宋体" w:cs="宋体" w:eastAsia="宋体" w:hint="default"/>
        </w:rPr>
        <w:t>1,439,364,030.84</w:t>
      </w:r>
      <w:r>
        <w:rPr/>
        <w:t>元。</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19</w:t>
      </w:r>
      <w:r>
        <w:rPr/>
        <w:t>日，公司对本次发行的股权在中</w:t>
      </w:r>
      <w:r>
        <w:rPr>
          <w:spacing w:val="-36"/>
        </w:rPr>
        <w:t> </w:t>
      </w:r>
      <w:r>
        <w:rPr>
          <w:spacing w:val="-36"/>
        </w:rPr>
      </w:r>
      <w:r>
        <w:rPr/>
        <w:t>国证券登记结算有限责任公司深圳分公司办理了股份登记托管手续。新增股份上市日为</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29</w:t>
      </w:r>
      <w:r>
        <w:rPr/>
        <w:t>日。</w:t>
      </w:r>
    </w:p>
    <w:p>
      <w:pPr>
        <w:pStyle w:val="BodyText"/>
        <w:spacing w:line="240" w:lineRule="auto"/>
        <w:ind w:left="574" w:right="0"/>
        <w:jc w:val="left"/>
      </w:pPr>
      <w:r>
        <w:rPr/>
        <w:t>维护资本市场事项：</w:t>
      </w:r>
    </w:p>
    <w:p>
      <w:pPr>
        <w:spacing w:line="240" w:lineRule="auto" w:before="10"/>
        <w:rPr>
          <w:rFonts w:ascii="宋体" w:hAnsi="宋体" w:cs="宋体" w:eastAsia="宋体" w:hint="default"/>
          <w:sz w:val="14"/>
          <w:szCs w:val="14"/>
        </w:rPr>
      </w:pPr>
    </w:p>
    <w:p>
      <w:pPr>
        <w:pStyle w:val="BodyText"/>
        <w:spacing w:line="398" w:lineRule="auto" w:before="0"/>
        <w:ind w:left="154" w:right="1131" w:firstLine="336"/>
        <w:jc w:val="both"/>
      </w:pPr>
      <w:r>
        <w:rPr>
          <w:rFonts w:ascii="Times New Roman" w:hAnsi="Times New Roman" w:cs="Times New Roman" w:eastAsia="Times New Roman" w:hint="default"/>
          <w:spacing w:val="-2"/>
          <w:w w:val="99"/>
        </w:rPr>
        <w:t>2015</w:t>
      </w:r>
      <w:r>
        <w:rPr>
          <w:spacing w:val="-2"/>
          <w:w w:val="99"/>
        </w:rPr>
        <w:t>年下半年</w:t>
      </w:r>
      <w:r>
        <w:rPr>
          <w:rFonts w:ascii="Times New Roman" w:hAnsi="Times New Roman" w:cs="Times New Roman" w:eastAsia="Times New Roman" w:hint="default"/>
          <w:spacing w:val="-2"/>
          <w:w w:val="99"/>
        </w:rPr>
        <w:t>A</w:t>
      </w:r>
      <w:r>
        <w:rPr>
          <w:spacing w:val="-2"/>
          <w:w w:val="99"/>
        </w:rPr>
        <w:t>股市场出现非理性波动和系统性风险，同时基于对公司未来发展前景的信心以及对公司</w:t>
      </w:r>
      <w:r>
        <w:rPr/>
        <w:t> </w:t>
      </w:r>
      <w:r>
        <w:rPr>
          <w:spacing w:val="-1"/>
        </w:rPr>
        <w:t>价值的认可，为促进公司持续、稳定、健康发展和维护公司全体股东的利益，公司、实际控制人及公司部</w:t>
      </w:r>
      <w:r>
        <w:rPr>
          <w:spacing w:val="-83"/>
        </w:rPr>
        <w:t> </w:t>
      </w:r>
      <w:r>
        <w:rPr>
          <w:spacing w:val="-83"/>
        </w:rPr>
      </w:r>
      <w:r>
        <w:rPr/>
        <w:t>分董事、高级管理人员拟采取以下措施，维护公司股价稳定、树立良好的市场形象。</w:t>
      </w:r>
    </w:p>
    <w:p>
      <w:pPr>
        <w:pStyle w:val="BodyText"/>
        <w:spacing w:line="386" w:lineRule="auto" w:before="54"/>
        <w:ind w:right="1128" w:firstLine="336"/>
        <w:jc w:val="left"/>
      </w:pPr>
      <w:r>
        <w:rPr/>
        <w:t>（</w:t>
      </w:r>
      <w:r>
        <w:rPr>
          <w:rFonts w:ascii="Times New Roman" w:hAnsi="Times New Roman" w:cs="Times New Roman" w:eastAsia="Times New Roman" w:hint="default"/>
        </w:rPr>
        <w:t>1</w:t>
      </w:r>
      <w:r>
        <w:rPr/>
        <w:t>）公司部分董事、高级管理人员增持公司股票计划 </w:t>
      </w:r>
      <w:r>
        <w:rPr>
          <w:spacing w:val="-5"/>
        </w:rPr>
        <w:t>公司董事、董事会秘书兼副总经理钟云香；公司董事兼财务总监孙莉莉；公司销售副总经理徐大庆。自</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日起一个月内分别通过二级市场购买方式合计增持</w:t>
      </w:r>
      <w:r>
        <w:rPr>
          <w:rFonts w:ascii="Times New Roman" w:hAnsi="Times New Roman" w:cs="Times New Roman" w:eastAsia="Times New Roman" w:hint="default"/>
        </w:rPr>
        <w:t>198,500</w:t>
      </w:r>
      <w:r>
        <w:rPr/>
        <w:t>股。</w:t>
      </w:r>
    </w:p>
    <w:p>
      <w:pPr>
        <w:pStyle w:val="BodyText"/>
        <w:spacing w:line="240" w:lineRule="auto" w:before="35"/>
        <w:ind w:left="489" w:right="0"/>
        <w:jc w:val="left"/>
      </w:pPr>
      <w:r>
        <w:rPr/>
        <w:t>（</w:t>
      </w:r>
      <w:r>
        <w:rPr>
          <w:rFonts w:ascii="Times New Roman" w:hAnsi="Times New Roman" w:cs="Times New Roman" w:eastAsia="Times New Roman" w:hint="default"/>
        </w:rPr>
        <w:t>2</w:t>
      </w:r>
      <w:r>
        <w:rPr/>
        <w:t>）员工持股计划</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0" w:firstLine="336"/>
        <w:jc w:val="both"/>
      </w:pPr>
      <w:r>
        <w:rPr/>
        <w:t>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日第五届董事会第二十九次会议（临时）、</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2015</w:t>
      </w:r>
      <w:r>
        <w:rPr/>
        <w:t>年第二次临时</w:t>
      </w:r>
      <w:r>
        <w:rPr>
          <w:spacing w:val="1"/>
        </w:rPr>
        <w:t> </w:t>
      </w:r>
      <w:r>
        <w:rPr/>
        <w:t>股东大会审议通过了员工持股计划的相关议案，并于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日通过二级市场购买的方式完成股票购</w:t>
      </w:r>
      <w:r>
        <w:rPr>
          <w:spacing w:val="-31"/>
        </w:rPr>
        <w:t> </w:t>
      </w:r>
      <w:r>
        <w:rPr>
          <w:spacing w:val="-31"/>
        </w:rPr>
      </w:r>
      <w:r>
        <w:rPr/>
        <w:t>买，购买数量为</w:t>
      </w:r>
      <w:r>
        <w:rPr>
          <w:rFonts w:ascii="Times New Roman" w:hAnsi="Times New Roman" w:cs="Times New Roman" w:eastAsia="Times New Roman" w:hint="default"/>
        </w:rPr>
        <w:t>2,272,846</w:t>
      </w:r>
      <w:r>
        <w:rPr/>
        <w:t>股，本次员工持股计划所购买的股票锁定期为起</w:t>
      </w:r>
      <w:r>
        <w:rPr>
          <w:rFonts w:ascii="Times New Roman" w:hAnsi="Times New Roman" w:cs="Times New Roman" w:eastAsia="Times New Roman" w:hint="default"/>
        </w:rPr>
        <w:t>12</w:t>
      </w:r>
      <w:r>
        <w:rPr/>
        <w:t>个月。</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84"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4"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74"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84"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6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633,260,028.20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775,714,633.85</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-18.36%</w:t>
            </w:r>
          </w:p>
        </w:tc>
      </w:tr>
      <w:tr>
        <w:trPr>
          <w:trHeight w:val="55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633,260,028.20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775,714,633.85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-18.36%</w:t>
            </w:r>
          </w:p>
        </w:tc>
      </w:tr>
      <w:tr>
        <w:trPr>
          <w:trHeight w:val="55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123,034,071.04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99,606,492.71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23.52%</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21,403,118.57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25,014,352.66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-14.44%</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28,756,163.20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25,173,393.92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14.23%</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16,456,996.80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13,246,987.26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24.23%</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24,663,547.85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20,112,765.07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22.63%</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14,846,008.13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12,549,680.36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18.30%</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70,225,252.47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55,646,141.20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26.20%</w:t>
            </w:r>
          </w:p>
        </w:tc>
      </w:tr>
      <w:tr>
        <w:trPr>
          <w:trHeight w:val="55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小儿白贝止咳糖浆</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20,936,088.83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17,709,654.99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内消瘰疬丸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21,589,796.56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18,326,998.63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17.80%</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六味地黄软胶囊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9,130,905.38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10,129,669.38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215,719,576.58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424,099,218.76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-49.13%</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66,498,502.79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54,099,278.91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22.92%</w:t>
            </w:r>
          </w:p>
        </w:tc>
      </w:tr>
      <w:tr>
        <w:trPr>
          <w:trHeight w:val="55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272,005,241.33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448,089,866.78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-39.30%</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207,469,360.94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194,886,686.20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125,930,687.63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107,776,986.19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16.84%</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78,977,943.37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69,303,079.56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13.96%</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21,009,425.71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14,987,399.43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40.18%</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34,085,440.45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30,850,376.44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10.49%</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内部抵消金额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-106,218,071.23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-90,179,760.75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17.78%</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55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633,260,028.20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210,184,327.94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11.66%</w:t>
            </w:r>
          </w:p>
        </w:tc>
      </w:tr>
      <w:tr>
        <w:trPr>
          <w:trHeight w:val="55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123,034,071.04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17,992,152.68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-0.80%</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21,403,118.57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11,772,434.47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28,756,163.20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5,568,265.01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16,456,996.80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3,764,595.81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24,663,547.85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3,259,133.14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14,846,008.13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2,159,694.06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70,225,252.47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8,739,411.98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小儿白贝止咳糖 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20,936,088.83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5,928,406.70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0.84%</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内消瘰疬丸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21,589,796.56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6,375,601.33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六味地黄软胶囊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9,130,905.38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3,135,197.98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215,719,576.58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121,677,423.28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66,498,502.79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19,812,011.50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13.24%</w:t>
            </w:r>
          </w:p>
        </w:tc>
      </w:tr>
      <w:tr>
        <w:trPr>
          <w:trHeight w:val="558"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272,005,241.33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101,770,551.53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16.68%</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207,469,360.94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118,984,636.86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125,930,687.63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55,137,224.42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78,977,943.37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25,301,598.48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21,009,425.71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5,207,964.64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0.83%</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34,085,440.45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10,834,284.85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内部抵消金额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-106,218,071.23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-107,051,932.84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558"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8"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20,133,363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16,384,755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22.88%</w:t>
            </w:r>
          </w:p>
        </w:tc>
      </w:tr>
      <w:tr>
        <w:trPr>
          <w:trHeight w:val="559"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19,563,608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17,277,228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558" w:hRule="exact"/>
        </w:trPr>
        <w:tc>
          <w:tcPr>
            <w:tcW w:w="1608" w:type="dxa"/>
            <w:tcBorders>
              <w:top w:val="single" w:sz="4" w:space="0" w:color="000000"/>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5,687,096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6,266,832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-9.25%</w:t>
            </w:r>
          </w:p>
        </w:tc>
      </w:tr>
      <w:tr>
        <w:trPr>
          <w:trHeight w:val="558"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人参粗加工产品</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202,373.64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316,078.74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-35.97%</w:t>
            </w:r>
          </w:p>
        </w:tc>
      </w:tr>
      <w:tr>
        <w:trPr>
          <w:trHeight w:val="558"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163,881.59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583,046.59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-71.89%</w:t>
            </w:r>
          </w:p>
        </w:tc>
      </w:tr>
      <w:tr>
        <w:trPr>
          <w:trHeight w:val="558"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3,167,232.61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3,205,724.66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r>
      <w:tr>
        <w:trPr>
          <w:trHeight w:val="558"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人参深加工产品</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1,430,570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187.15%</w:t>
            </w:r>
          </w:p>
        </w:tc>
      </w:tr>
      <w:tr>
        <w:trPr>
          <w:trHeight w:val="558"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1,454,106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65.73%</w:t>
            </w:r>
          </w:p>
        </w:tc>
      </w:tr>
      <w:tr>
        <w:trPr>
          <w:trHeight w:val="558"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盒、罐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240" w:lineRule="auto" w:before="0"/>
        <w:ind w:right="0"/>
        <w:jc w:val="left"/>
      </w:pPr>
      <w:r>
        <w:rPr>
          <w:rFonts w:ascii="Times New Roman" w:hAnsi="Times New Roman" w:cs="Times New Roman" w:eastAsia="Times New Roman" w:hint="default"/>
        </w:rPr>
        <w:t>1.</w:t>
      </w:r>
      <w:r>
        <w:rPr/>
        <w:t>人参粗加工产品销售量较上年同比减少</w:t>
      </w:r>
      <w:r>
        <w:rPr>
          <w:rFonts w:ascii="Times New Roman" w:hAnsi="Times New Roman" w:cs="Times New Roman" w:eastAsia="Times New Roman" w:hint="default"/>
        </w:rPr>
        <w:t>35.97%</w:t>
      </w:r>
      <w:r>
        <w:rPr/>
        <w:t>，主要原因系本年人参粗加工产品的销售减少所致。</w:t>
      </w:r>
    </w:p>
    <w:p>
      <w:pPr>
        <w:pStyle w:val="BodyText"/>
        <w:spacing w:line="240" w:lineRule="auto" w:before="177"/>
        <w:ind w:left="154" w:right="0"/>
        <w:jc w:val="left"/>
      </w:pPr>
      <w:r>
        <w:rPr>
          <w:rFonts w:ascii="Times New Roman" w:hAnsi="Times New Roman" w:cs="Times New Roman" w:eastAsia="Times New Roman" w:hint="default"/>
        </w:rPr>
        <w:t>2.</w:t>
      </w:r>
      <w:r>
        <w:rPr/>
        <w:t>人参粗加工产品生产量较上年同比减少</w:t>
      </w:r>
      <w:r>
        <w:rPr>
          <w:rFonts w:ascii="Times New Roman" w:hAnsi="Times New Roman" w:cs="Times New Roman" w:eastAsia="Times New Roman" w:hint="default"/>
        </w:rPr>
        <w:t>71.89%</w:t>
      </w:r>
      <w:r>
        <w:rPr/>
        <w:t>，主要原因系本年减少生产所致。</w:t>
      </w:r>
    </w:p>
    <w:p>
      <w:pPr>
        <w:pStyle w:val="BodyText"/>
        <w:spacing w:line="398" w:lineRule="auto" w:before="177"/>
        <w:ind w:right="1125"/>
        <w:jc w:val="left"/>
      </w:pPr>
      <w:r>
        <w:rPr>
          <w:rFonts w:ascii="Times New Roman" w:hAnsi="Times New Roman" w:cs="Times New Roman" w:eastAsia="Times New Roman" w:hint="default"/>
          <w:spacing w:val="-2"/>
        </w:rPr>
        <w:t>3.</w:t>
      </w:r>
      <w:r>
        <w:rPr>
          <w:spacing w:val="-2"/>
        </w:rPr>
        <w:t>人参深加工产品销售量较上年同比增加</w:t>
      </w:r>
      <w:r>
        <w:rPr>
          <w:rFonts w:ascii="Times New Roman" w:hAnsi="Times New Roman" w:cs="Times New Roman" w:eastAsia="Times New Roman" w:hint="default"/>
          <w:spacing w:val="-2"/>
        </w:rPr>
        <w:t>187.15%</w:t>
      </w:r>
      <w:r>
        <w:rPr>
          <w:spacing w:val="-2"/>
        </w:rPr>
        <w:t>，主要原因系本年加大了原有产品的销售力度，同时也加</w:t>
      </w:r>
      <w:r>
        <w:rPr>
          <w:spacing w:val="-98"/>
        </w:rPr>
        <w:t> </w:t>
      </w:r>
      <w:r>
        <w:rPr>
          <w:spacing w:val="-98"/>
        </w:rPr>
      </w:r>
      <w:r>
        <w:rPr/>
        <w:t>强了新产品的生产和销售所致。 </w:t>
      </w:r>
      <w:r>
        <w:rPr>
          <w:rFonts w:ascii="Times New Roman" w:hAnsi="Times New Roman" w:cs="Times New Roman" w:eastAsia="Times New Roman" w:hint="default"/>
        </w:rPr>
        <w:t>4.</w:t>
      </w:r>
      <w:r>
        <w:rPr/>
        <w:t>人参深加工产品生产量较上年同比增加</w:t>
      </w:r>
      <w:r>
        <w:rPr>
          <w:rFonts w:ascii="Times New Roman" w:hAnsi="Times New Roman" w:cs="Times New Roman" w:eastAsia="Times New Roman" w:hint="default"/>
        </w:rPr>
        <w:t>65.73%</w:t>
      </w:r>
      <w:r>
        <w:rPr/>
        <w:t>，主要原因系市场需求量增加，加强新产品的生产所致。</w:t>
      </w:r>
    </w:p>
    <w:p>
      <w:pPr>
        <w:spacing w:line="240" w:lineRule="auto" w:before="10"/>
        <w:rPr>
          <w:rFonts w:ascii="宋体" w:hAnsi="宋体" w:cs="宋体" w:eastAsia="宋体" w:hint="default"/>
          <w:sz w:val="24"/>
          <w:szCs w:val="24"/>
        </w:rPr>
      </w:pPr>
    </w:p>
    <w:p>
      <w:pPr>
        <w:pStyle w:val="Heading4"/>
        <w:spacing w:line="240" w:lineRule="auto"/>
        <w:ind w:left="154"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line="240" w:lineRule="auto" w:before="12"/>
        <w:rPr>
          <w:rFonts w:ascii="宋体" w:hAnsi="宋体" w:cs="宋体" w:eastAsia="宋体" w:hint="default"/>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8"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8"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57,848,700.28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56,416,576.41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4,458,703.95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4,248,884.90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26,199,500.43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25,766,472.99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96,411,597.61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253,784,272.20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-62.01%</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3,741,193.31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2,403,751.40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55.64%</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21,524,632.36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3,818,028.61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463.76%</w:t>
            </w:r>
          </w:p>
        </w:tc>
      </w:tr>
    </w:tbl>
    <w:p>
      <w:pPr>
        <w:spacing w:line="240" w:lineRule="auto" w:before="6"/>
        <w:rPr>
          <w:rFonts w:ascii="宋体" w:hAnsi="宋体" w:cs="宋体" w:eastAsia="宋体" w:hint="default"/>
          <w:sz w:val="6"/>
          <w:szCs w:val="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8"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8"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17,992,152.68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13,765,160.10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30.71%</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11,772,434.47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15,889,243.85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-25.91%</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5,568,265.01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4,408,100.50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26.32%</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3,764,595.81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2,607,532.11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44.37%</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3,259,133.14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2,621,358.32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24.33%</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2,159,694.06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2,374,656.52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霍胆片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8,739,411.98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5,390,220.86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62.13%</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5"/>
              <w:jc w:val="left"/>
              <w:rPr>
                <w:rFonts w:ascii="宋体" w:hAnsi="宋体" w:cs="宋体" w:eastAsia="宋体" w:hint="default"/>
                <w:sz w:val="18"/>
                <w:szCs w:val="18"/>
              </w:rPr>
            </w:pPr>
            <w:r>
              <w:rPr>
                <w:rFonts w:ascii="宋体" w:hAnsi="宋体" w:cs="宋体" w:eastAsia="宋体" w:hint="default"/>
                <w:sz w:val="18"/>
                <w:szCs w:val="18"/>
              </w:rPr>
              <w:t>小儿白贝止咳糖 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5,928,406.70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5,163,990.77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14.80%</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内消瘰疬丸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6,375,601.33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5,337,362.61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19.45%</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六味地黄软胶囊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3,135,197.98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3,277,317.89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-4.34%</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121,677,423.28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263,794,956.41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-53.87%</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19,812,011.50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23,281,191.19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559"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258,207,665.45</w:t>
            </w:r>
          </w:p>
        </w:tc>
      </w:tr>
      <w:tr>
        <w:trPr>
          <w:trHeight w:val="559"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40.78%</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557"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125,062,565.34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19.75%</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82,362,141.79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13.01%</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18,373,108.71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17,367,114.57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r>
      <w:tr>
        <w:trPr>
          <w:trHeight w:val="558"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15,042,735.04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w:t>
            </w:r>
          </w:p>
        </w:tc>
      </w:tr>
      <w:tr>
        <w:trPr>
          <w:trHeight w:val="559"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258,207,665.45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40.78%</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240" w:lineRule="auto" w:before="10"/>
        <w:rPr>
          <w:rFonts w:ascii="宋体" w:hAnsi="宋体" w:cs="宋体" w:eastAsia="宋体" w:hint="default"/>
          <w:sz w:val="20"/>
          <w:szCs w:val="20"/>
        </w:rPr>
      </w:pPr>
    </w:p>
    <w:p>
      <w:pPr>
        <w:spacing w:line="489"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55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223,899,329.47</w:t>
            </w:r>
          </w:p>
        </w:tc>
      </w:tr>
      <w:tr>
        <w:trPr>
          <w:trHeight w:val="55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82.12%</w:t>
            </w:r>
          </w:p>
        </w:tc>
      </w:tr>
    </w:tbl>
    <w:p>
      <w:pPr>
        <w:spacing w:line="240" w:lineRule="auto" w:before="1"/>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sz w:val="20"/>
              </w:rPr>
              <w:t>73.36%</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8,548,988.25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sz w:val="20"/>
              </w:rPr>
              <w:t>3.14%</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7,913,793.37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sz w:val="20"/>
              </w:rPr>
              <w:t>2.90%</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4,151,812.42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sz w:val="20"/>
              </w:rPr>
              <w:t>1.52%</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3,284,735.43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9"/>
              <w:jc w:val="right"/>
              <w:rPr>
                <w:rFonts w:ascii="Times New Roman" w:hAnsi="Times New Roman" w:cs="Times New Roman" w:eastAsia="Times New Roman" w:hint="default"/>
                <w:sz w:val="20"/>
                <w:szCs w:val="20"/>
              </w:rPr>
            </w:pPr>
            <w:r>
              <w:rPr>
                <w:rFonts w:ascii="Times New Roman"/>
                <w:sz w:val="20"/>
              </w:rPr>
              <w:t>1.20%</w:t>
            </w:r>
          </w:p>
        </w:tc>
      </w:tr>
      <w:tr>
        <w:trPr>
          <w:trHeight w:val="558"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223,899,329.47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82.12%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line="240" w:lineRule="auto" w:before="12"/>
        <w:rPr>
          <w:rFonts w:ascii="宋体" w:hAnsi="宋体" w:cs="宋体" w:eastAsia="宋体" w:hint="default"/>
          <w:sz w:val="20"/>
          <w:szCs w:val="20"/>
        </w:rPr>
      </w:pPr>
    </w:p>
    <w:p>
      <w:pPr>
        <w:spacing w:line="489" w:lineRule="auto" w:before="0"/>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公司及公司董、监、高、控股股东、实际控制人及其关联方与上述供应商不存在关联关系。</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55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55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120,091,599.20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121,821,299.94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152,778,172.11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135,897,423.63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139,692,669.84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137,037,776.42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240" w:lineRule="auto" w:before="0"/>
        <w:ind w:left="575" w:right="0"/>
        <w:jc w:val="left"/>
      </w:pPr>
      <w:r>
        <w:rPr/>
        <w:t>报告期内，公司研发投入</w:t>
      </w:r>
      <w:r>
        <w:rPr>
          <w:rFonts w:ascii="Times New Roman" w:hAnsi="Times New Roman" w:cs="Times New Roman" w:eastAsia="Times New Roman" w:hint="default"/>
        </w:rPr>
        <w:t>34,965,632.68</w:t>
      </w:r>
      <w:r>
        <w:rPr/>
        <w:t>元，占</w:t>
      </w:r>
      <w:r>
        <w:rPr>
          <w:rFonts w:ascii="Times New Roman" w:hAnsi="Times New Roman" w:cs="Times New Roman" w:eastAsia="Times New Roman" w:hint="default"/>
        </w:rPr>
        <w:t>2015</w:t>
      </w:r>
      <w:r>
        <w:rPr/>
        <w:t>年经审计净资产的</w:t>
      </w:r>
      <w:r>
        <w:rPr>
          <w:rFonts w:ascii="Times New Roman" w:hAnsi="Times New Roman" w:cs="Times New Roman" w:eastAsia="Times New Roman" w:hint="default"/>
        </w:rPr>
        <w:t>1.74%</w:t>
      </w:r>
      <w:r>
        <w:rPr/>
        <w:t>，占营业收入的</w:t>
      </w:r>
      <w:r>
        <w:rPr>
          <w:rFonts w:ascii="Times New Roman" w:hAnsi="Times New Roman" w:cs="Times New Roman" w:eastAsia="Times New Roman" w:hint="default"/>
        </w:rPr>
        <w:t>5.52%</w:t>
      </w:r>
      <w:r>
        <w:rPr/>
        <w:t>。</w:t>
      </w:r>
    </w:p>
    <w:p>
      <w:pPr>
        <w:spacing w:line="240" w:lineRule="auto" w:before="8"/>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32.65%</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34,965,632.68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27,635,988.23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26.52%</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20,821,068.93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3,110,522.85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569.38%</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51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240" w:lineRule="auto" w:before="12"/>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line="489" w:lineRule="auto" w:before="85"/>
        <w:ind w:left="153" w:right="416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研发投入资本化的金额本期较上期增长</w:t>
      </w:r>
      <w:r>
        <w:rPr>
          <w:rFonts w:ascii="Times New Roman" w:hAnsi="Times New Roman" w:cs="Times New Roman" w:eastAsia="Times New Roman" w:hint="default"/>
          <w:sz w:val="18"/>
          <w:szCs w:val="18"/>
        </w:rPr>
        <w:t>569.38%</w:t>
      </w:r>
      <w:r>
        <w:rPr>
          <w:rFonts w:ascii="宋体" w:hAnsi="宋体" w:cs="宋体" w:eastAsia="宋体" w:hint="default"/>
          <w:sz w:val="18"/>
          <w:szCs w:val="18"/>
        </w:rPr>
        <w:t>原因系基因测序项目投入增加所致。</w:t>
      </w:r>
    </w:p>
    <w:p>
      <w:pPr>
        <w:spacing w:line="240" w:lineRule="auto" w:before="11"/>
        <w:rPr>
          <w:rFonts w:ascii="宋体" w:hAnsi="宋体" w:cs="宋体" w:eastAsia="宋体" w:hint="default"/>
          <w:sz w:val="21"/>
          <w:szCs w:val="21"/>
        </w:rPr>
      </w:pPr>
    </w:p>
    <w:p>
      <w:pPr>
        <w:pStyle w:val="Heading4"/>
        <w:spacing w:line="240" w:lineRule="auto"/>
        <w:ind w:left="154"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797,572,651.37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566,032,417.50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40.91%</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580,252,706.45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561,412,844.39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3.36%</w:t>
            </w:r>
          </w:p>
        </w:tc>
      </w:tr>
      <w:tr>
        <w:trPr>
          <w:trHeight w:val="102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217,319,944.92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4,619,573.11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4,604.33%</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9,925,514.47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311,137,233.51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65,664,033.46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373.83%</w:t>
            </w:r>
          </w:p>
        </w:tc>
      </w:tr>
      <w:tr>
        <w:trPr>
          <w:trHeight w:val="102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-301,337,233.51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-55,738,518.99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-440.63%</w:t>
            </w:r>
            <w:r>
              <w:rPr>
                <w:rFonts w:ascii="Times New Roman"/>
                <w:sz w:val="18"/>
              </w:rPr>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4,146,400,000.00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2,666,000,000.00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55.53%</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3,489,731,346.29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2,592,394,231.69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34.61%</w:t>
            </w:r>
          </w:p>
        </w:tc>
      </w:tr>
      <w:tr>
        <w:trPr>
          <w:trHeight w:val="102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656,668,653.71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73,605,768.31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792.14%</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572,651,365.12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22,486,822.43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2,446.61%</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BodyText"/>
        <w:spacing w:line="240" w:lineRule="auto" w:before="0"/>
        <w:ind w:right="0"/>
        <w:jc w:val="left"/>
      </w:pPr>
      <w:r>
        <w:rPr/>
        <w:t>经营活动产生的现金流量净额相较上年增加</w:t>
      </w:r>
      <w:r>
        <w:rPr>
          <w:rFonts w:ascii="Times New Roman" w:hAnsi="Times New Roman" w:cs="Times New Roman" w:eastAsia="Times New Roman" w:hint="default"/>
        </w:rPr>
        <w:t>4,604.33%</w:t>
      </w:r>
      <w:r>
        <w:rPr/>
        <w:t>，主要原因为本期销售回款增加所致。</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80"/>
        <w:jc w:val="left"/>
      </w:pPr>
      <w:r>
        <w:rPr/>
        <w:t>投资活动产生的现金流量净额相较上年减少</w:t>
      </w:r>
      <w:r>
        <w:rPr>
          <w:rFonts w:ascii="Times New Roman" w:hAnsi="Times New Roman" w:cs="Times New Roman" w:eastAsia="Times New Roman" w:hint="default"/>
        </w:rPr>
        <w:t>440.63%</w:t>
      </w:r>
      <w:r>
        <w:rPr/>
        <w:t>，主要原因为购置固定资产和其他长期资产支出增加 所致。</w:t>
      </w:r>
    </w:p>
    <w:p>
      <w:pPr>
        <w:spacing w:line="429" w:lineRule="auto" w:before="104"/>
        <w:ind w:left="153" w:right="1443" w:firstLine="0"/>
        <w:jc w:val="left"/>
        <w:rPr>
          <w:rFonts w:ascii="宋体" w:hAnsi="宋体" w:cs="宋体" w:eastAsia="宋体" w:hint="default"/>
          <w:sz w:val="18"/>
          <w:szCs w:val="18"/>
        </w:rPr>
      </w:pPr>
      <w:r>
        <w:rPr>
          <w:rFonts w:ascii="宋体" w:hAnsi="宋体" w:cs="宋体" w:eastAsia="宋体" w:hint="default"/>
          <w:sz w:val="21"/>
          <w:szCs w:val="21"/>
        </w:rPr>
        <w:t>筹资活动产生的现金流量净额相较上年增加</w:t>
      </w:r>
      <w:r>
        <w:rPr>
          <w:rFonts w:ascii="Times New Roman" w:hAnsi="Times New Roman" w:cs="Times New Roman" w:eastAsia="Times New Roman" w:hint="default"/>
          <w:sz w:val="21"/>
          <w:szCs w:val="21"/>
        </w:rPr>
        <w:t>792.14%</w:t>
      </w:r>
      <w:r>
        <w:rPr>
          <w:rFonts w:ascii="宋体" w:hAnsi="宋体" w:cs="宋体" w:eastAsia="宋体" w:hint="default"/>
          <w:sz w:val="21"/>
          <w:szCs w:val="21"/>
        </w:rPr>
        <w:t>，主要原因为本年银行贷款增加所致。 现金及现金等价物净增加额相较上年增加</w:t>
      </w:r>
      <w:r>
        <w:rPr>
          <w:rFonts w:ascii="Times New Roman" w:hAnsi="Times New Roman" w:cs="Times New Roman" w:eastAsia="Times New Roman" w:hint="default"/>
          <w:sz w:val="21"/>
          <w:szCs w:val="21"/>
        </w:rPr>
        <w:t>2,446.61%</w:t>
      </w:r>
      <w:r>
        <w:rPr>
          <w:rFonts w:ascii="宋体" w:hAnsi="宋体" w:cs="宋体" w:eastAsia="宋体" w:hint="default"/>
          <w:sz w:val="21"/>
          <w:szCs w:val="21"/>
        </w:rPr>
        <w:t>，主要原因为本期销售回款及银行借款增加所致。 </w:t>
      </w:r>
      <w:r>
        <w:rPr>
          <w:rFonts w:ascii="宋体" w:hAnsi="宋体" w:cs="宋体" w:eastAsia="宋体" w:hint="default"/>
          <w:sz w:val="18"/>
          <w:szCs w:val="18"/>
        </w:rPr>
        <w:t>报告期内公司经营活动产生的现金净流量与本年度净利润存在重大差异的原因说明</w:t>
      </w:r>
    </w:p>
    <w:p>
      <w:pPr>
        <w:spacing w:before="13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0"/>
        <w:rPr>
          <w:rFonts w:ascii="宋体" w:hAnsi="宋体" w:cs="宋体" w:eastAsia="宋体" w:hint="default"/>
          <w:b/>
          <w:bCs/>
          <w:sz w:val="24"/>
          <w:szCs w:val="24"/>
        </w:rPr>
      </w:pPr>
    </w:p>
    <w:p>
      <w:pPr>
        <w:spacing w:before="18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55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87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931" w:right="0"/>
              <w:jc w:val="left"/>
              <w:rPr>
                <w:rFonts w:ascii="Times New Roman" w:hAnsi="Times New Roman" w:cs="Times New Roman" w:eastAsia="Times New Roman" w:hint="default"/>
                <w:sz w:val="18"/>
                <w:szCs w:val="18"/>
              </w:rPr>
            </w:pPr>
            <w:r>
              <w:rPr>
                <w:rFonts w:ascii="Times New Roman"/>
                <w:sz w:val="18"/>
              </w:rPr>
              <w:t>9,800,000.00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36" w:right="0"/>
              <w:jc w:val="left"/>
              <w:rPr>
                <w:rFonts w:ascii="Times New Roman" w:hAnsi="Times New Roman" w:cs="Times New Roman" w:eastAsia="Times New Roman" w:hint="default"/>
                <w:sz w:val="18"/>
                <w:szCs w:val="18"/>
              </w:rPr>
            </w:pPr>
            <w:r>
              <w:rPr>
                <w:rFonts w:ascii="Times New Roman"/>
                <w:sz w:val="18"/>
              </w:rPr>
              <w:t>22.27%</w:t>
            </w:r>
          </w:p>
        </w:tc>
        <w:tc>
          <w:tcPr>
            <w:tcW w:w="2254" w:type="dxa"/>
            <w:vMerge w:val="restart"/>
            <w:tcBorders>
              <w:top w:val="single" w:sz="4" w:space="0" w:color="000000"/>
              <w:left w:val="single" w:sz="4" w:space="0" w:color="000000"/>
              <w:right w:val="single" w:sz="4" w:space="0" w:color="000000"/>
            </w:tcBorders>
          </w:tcPr>
          <w:p>
            <w:pPr>
              <w:pStyle w:val="TableParagraph"/>
              <w:spacing w:line="463" w:lineRule="auto" w:before="129"/>
              <w:ind w:left="23" w:right="21"/>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日长春农 村商业银行股份有限公司召 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年度股东大会，审</w:t>
            </w:r>
          </w:p>
          <w:p>
            <w:pPr>
              <w:pStyle w:val="TableParagraph"/>
              <w:spacing w:line="456" w:lineRule="auto" w:before="34"/>
              <w:ind w:left="23" w:right="21"/>
              <w:jc w:val="left"/>
              <w:rPr>
                <w:rFonts w:ascii="宋体" w:hAnsi="宋体" w:cs="宋体" w:eastAsia="宋体" w:hint="default"/>
                <w:sz w:val="18"/>
                <w:szCs w:val="18"/>
              </w:rPr>
            </w:pPr>
            <w:r>
              <w:rPr>
                <w:rFonts w:ascii="宋体" w:hAnsi="宋体" w:cs="宋体" w:eastAsia="宋体" w:hint="default"/>
                <w:sz w:val="18"/>
                <w:szCs w:val="18"/>
              </w:rPr>
              <w:t>议通过了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年度利润分 </w:t>
            </w:r>
            <w:r>
              <w:rPr>
                <w:rFonts w:ascii="宋体" w:hAnsi="宋体" w:cs="宋体" w:eastAsia="宋体" w:hint="default"/>
                <w:spacing w:val="-10"/>
                <w:w w:val="100"/>
                <w:sz w:val="18"/>
                <w:szCs w:val="18"/>
              </w:rPr>
              <w:t>配方案，</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按照每股</w:t>
            </w:r>
            <w:r>
              <w:rPr>
                <w:rFonts w:ascii="宋体" w:hAnsi="宋体" w:cs="宋体" w:eastAsia="宋体" w:hint="default"/>
                <w:spacing w:val="-46"/>
                <w:w w:val="10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元（含</w:t>
            </w:r>
            <w:r>
              <w:rPr>
                <w:rFonts w:ascii="宋体" w:hAnsi="宋体" w:cs="宋体" w:eastAsia="宋体" w:hint="default"/>
                <w:sz w:val="18"/>
                <w:szCs w:val="18"/>
              </w:rPr>
              <w:t> </w:t>
            </w:r>
            <w:r>
              <w:rPr>
                <w:rFonts w:ascii="宋体" w:hAnsi="宋体" w:cs="宋体" w:eastAsia="宋体" w:hint="default"/>
                <w:spacing w:val="-17"/>
                <w:sz w:val="18"/>
                <w:szCs w:val="18"/>
              </w:rPr>
              <w:t>税）的比例，向本行截止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年末登记在册的股东进行现 </w:t>
            </w:r>
            <w:r>
              <w:rPr>
                <w:rFonts w:ascii="宋体" w:hAnsi="宋体" w:cs="宋体" w:eastAsia="宋体" w:hint="default"/>
                <w:spacing w:val="-4"/>
                <w:sz w:val="18"/>
                <w:szCs w:val="18"/>
              </w:rPr>
              <w:t>金分红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，本期确认投资收益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980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254" w:type="dxa"/>
            <w:vMerge w:val="restart"/>
            <w:tcBorders>
              <w:top w:val="single" w:sz="4" w:space="0" w:color="000000"/>
              <w:left w:val="single" w:sz="4" w:space="0" w:color="000000"/>
              <w:right w:val="single" w:sz="4" w:space="0" w:color="000000"/>
            </w:tcBorders>
          </w:tcPr>
          <w:p>
            <w:pPr/>
          </w:p>
        </w:tc>
      </w:tr>
      <w:tr>
        <w:trPr>
          <w:trHeight w:val="548"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877"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239"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36,183,320.98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82.21%</w:t>
            </w:r>
          </w:p>
        </w:tc>
        <w:tc>
          <w:tcPr>
            <w:tcW w:w="2254" w:type="dxa"/>
            <w:vMerge w:val="restart"/>
            <w:tcBorders>
              <w:top w:val="single" w:sz="4" w:space="0" w:color="000000"/>
              <w:left w:val="single" w:sz="4" w:space="0" w:color="000000"/>
              <w:right w:val="single" w:sz="4" w:space="0" w:color="000000"/>
            </w:tcBorders>
          </w:tcPr>
          <w:p>
            <w:pPr>
              <w:pStyle w:val="TableParagraph"/>
              <w:spacing w:line="477" w:lineRule="auto" w:before="129"/>
              <w:ind w:left="23" w:right="58"/>
              <w:jc w:val="left"/>
              <w:rPr>
                <w:rFonts w:ascii="宋体" w:hAnsi="宋体" w:cs="宋体" w:eastAsia="宋体" w:hint="default"/>
                <w:sz w:val="18"/>
                <w:szCs w:val="18"/>
              </w:rPr>
            </w:pPr>
            <w:r>
              <w:rPr>
                <w:rFonts w:ascii="宋体" w:hAnsi="宋体" w:cs="宋体" w:eastAsia="宋体" w:hint="default"/>
                <w:sz w:val="18"/>
                <w:szCs w:val="18"/>
              </w:rPr>
              <w:t>主要原因系收到政府补助所 致。</w:t>
            </w:r>
          </w:p>
        </w:tc>
        <w:tc>
          <w:tcPr>
            <w:tcW w:w="2254" w:type="dxa"/>
            <w:vMerge w:val="restart"/>
            <w:tcBorders>
              <w:top w:val="single" w:sz="4" w:space="0" w:color="000000"/>
              <w:left w:val="single" w:sz="4" w:space="0" w:color="000000"/>
              <w:right w:val="single" w:sz="4" w:space="0" w:color="000000"/>
            </w:tcBorders>
          </w:tcPr>
          <w:p>
            <w:pPr/>
          </w:p>
        </w:tc>
      </w:tr>
      <w:tr>
        <w:trPr>
          <w:trHeight w:val="548"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239"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4"/>
          <w:szCs w:val="24"/>
        </w:rPr>
      </w:pPr>
    </w:p>
    <w:p>
      <w:pPr>
        <w:pStyle w:val="Heading3"/>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2227"/>
        <w:gridCol w:w="2259"/>
        <w:gridCol w:w="798"/>
        <w:gridCol w:w="2906"/>
      </w:tblGrid>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239" w:hRule="exact"/>
        </w:trPr>
        <w:tc>
          <w:tcPr>
            <w:tcW w:w="1357"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4" w:space="0" w:color="000000"/>
              <w:left w:val="single" w:sz="4" w:space="0" w:color="000000"/>
              <w:right w:val="single" w:sz="4" w:space="0" w:color="000000"/>
            </w:tcBorders>
            <w:shd w:val="clear" w:color="auto" w:fill="D2D2D2"/>
          </w:tcPr>
          <w:p>
            <w:pPr/>
          </w:p>
        </w:tc>
        <w:tc>
          <w:tcPr>
            <w:tcW w:w="2918" w:type="dxa"/>
            <w:vMerge w:val="restart"/>
            <w:tcBorders>
              <w:top w:val="single" w:sz="4" w:space="0" w:color="000000"/>
              <w:left w:val="single" w:sz="4" w:space="0" w:color="000000"/>
              <w:right w:val="single" w:sz="4" w:space="0" w:color="000000"/>
            </w:tcBorders>
            <w:shd w:val="clear" w:color="auto" w:fill="D2D2D2"/>
          </w:tcPr>
          <w:p>
            <w:pPr/>
          </w:p>
        </w:tc>
      </w:tr>
      <w:tr>
        <w:trPr>
          <w:trHeight w:val="548" w:hRule="exact"/>
        </w:trPr>
        <w:tc>
          <w:tcPr>
            <w:tcW w:w="1357"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2918" w:type="dxa"/>
            <w:vMerge/>
            <w:tcBorders>
              <w:left w:val="single" w:sz="4" w:space="0" w:color="000000"/>
              <w:right w:val="single" w:sz="4" w:space="0" w:color="000000"/>
            </w:tcBorders>
            <w:shd w:val="clear" w:color="auto" w:fill="D2D2D2"/>
          </w:tcPr>
          <w:p>
            <w:pPr/>
          </w:p>
        </w:tc>
      </w:tr>
      <w:tr>
        <w:trPr>
          <w:trHeight w:val="239"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706,753,820.3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14.14%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134,102,455.21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10.83%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4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552,494,230.2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11.05%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577,315,165.77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-3.20%</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4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2,082,902,681.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1,962,535,597.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48.43%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-6.76%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4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806,071,065.9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16.13%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679,132,545.54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16.76%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-0.63%</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4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73,807,129.51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212,216,061.52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2,353,800,000.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47.09%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1,355,000,000.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33.44%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13.65%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48"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23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199,500,000.00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4.92%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-2.92%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54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3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1"/>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35,615,695.34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44,614,093.37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243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4"/>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800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477" w:lineRule="auto"/>
              <w:ind w:left="22" w:right="159"/>
              <w:jc w:val="both"/>
              <w:rPr>
                <w:rFonts w:ascii="宋体" w:hAnsi="宋体" w:cs="宋体" w:eastAsia="宋体" w:hint="default"/>
                <w:sz w:val="18"/>
                <w:szCs w:val="18"/>
              </w:rPr>
            </w:pPr>
            <w:r>
              <w:rPr>
                <w:rFonts w:ascii="宋体" w:hAnsi="宋体" w:cs="宋体" w:eastAsia="宋体" w:hint="default"/>
                <w:sz w:val="18"/>
                <w:szCs w:val="18"/>
              </w:rPr>
              <w:t>柳河医 药产业 园建设 项目一 期工程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中成药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Times New Roman" w:hAnsi="Times New Roman" w:cs="Times New Roman" w:eastAsia="Times New Roman" w:hint="default"/>
                <w:sz w:val="18"/>
                <w:szCs w:val="18"/>
              </w:rPr>
            </w:pPr>
            <w:r>
              <w:rPr>
                <w:rFonts w:ascii="Times New Roman"/>
                <w:sz w:val="18"/>
              </w:rPr>
              <w:t>33,979,7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49.04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4" w:right="0"/>
              <w:jc w:val="left"/>
              <w:rPr>
                <w:rFonts w:ascii="Times New Roman" w:hAnsi="Times New Roman" w:cs="Times New Roman" w:eastAsia="Times New Roman" w:hint="default"/>
                <w:sz w:val="18"/>
                <w:szCs w:val="18"/>
              </w:rPr>
            </w:pPr>
            <w:r>
              <w:rPr>
                <w:rFonts w:ascii="Times New Roman"/>
                <w:sz w:val="18"/>
              </w:rPr>
              <w:t>49,439,3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84.55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477" w:lineRule="auto"/>
              <w:ind w:left="22" w:right="161"/>
              <w:jc w:val="both"/>
              <w:rPr>
                <w:rFonts w:ascii="宋体" w:hAnsi="宋体" w:cs="宋体" w:eastAsia="宋体" w:hint="default"/>
                <w:sz w:val="18"/>
                <w:szCs w:val="18"/>
              </w:rPr>
            </w:pPr>
            <w:r>
              <w:rPr>
                <w:rFonts w:ascii="宋体" w:hAnsi="宋体" w:cs="宋体" w:eastAsia="宋体" w:hint="default"/>
                <w:sz w:val="18"/>
                <w:szCs w:val="18"/>
              </w:rPr>
              <w:t>自有资 金结合 银行贷 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8" w:right="0"/>
              <w:jc w:val="left"/>
              <w:rPr>
                <w:rFonts w:ascii="Times New Roman" w:hAnsi="Times New Roman" w:cs="Times New Roman" w:eastAsia="Times New Roman" w:hint="default"/>
                <w:sz w:val="18"/>
                <w:szCs w:val="18"/>
              </w:rPr>
            </w:pPr>
            <w:r>
              <w:rPr>
                <w:rFonts w:ascii="Times New Roman"/>
                <w:sz w:val="18"/>
              </w:rPr>
              <w:t>8.67%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1" w:right="0"/>
              <w:jc w:val="center"/>
              <w:rPr>
                <w:rFonts w:ascii="Times New Roman" w:hAnsi="Times New Roman" w:cs="Times New Roman" w:eastAsia="Times New Roman" w:hint="default"/>
                <w:sz w:val="18"/>
                <w:szCs w:val="18"/>
              </w:rPr>
            </w:pPr>
            <w:r>
              <w:rPr>
                <w:rFonts w:ascii="Times New Roman"/>
                <w:sz w:val="18"/>
              </w:rPr>
              <w:t>216,289,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477" w:lineRule="auto"/>
              <w:ind w:left="22" w:right="161"/>
              <w:jc w:val="left"/>
              <w:rPr>
                <w:rFonts w:ascii="宋体" w:hAnsi="宋体" w:cs="宋体" w:eastAsia="宋体" w:hint="default"/>
                <w:sz w:val="18"/>
                <w:szCs w:val="18"/>
              </w:rPr>
            </w:pPr>
            <w:r>
              <w:rPr>
                <w:rFonts w:ascii="宋体" w:hAnsi="宋体" w:cs="宋体" w:eastAsia="宋体" w:hint="default"/>
                <w:sz w:val="18"/>
                <w:szCs w:val="18"/>
              </w:rPr>
              <w:t>项目在 建中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61"/>
              <w:jc w:val="both"/>
              <w:rPr>
                <w:rFonts w:ascii="宋体" w:hAnsi="宋体" w:cs="宋体" w:eastAsia="宋体" w:hint="default"/>
                <w:sz w:val="18"/>
                <w:szCs w:val="18"/>
              </w:rPr>
            </w:pPr>
            <w:r>
              <w:rPr>
                <w:rFonts w:ascii="宋体" w:hAnsi="宋体" w:cs="宋体" w:eastAsia="宋体" w:hint="default"/>
                <w:sz w:val="18"/>
                <w:szCs w:val="18"/>
              </w:rPr>
              <w:t>《第五 届董事 会第十 八次会 议决议 公告》</w:t>
            </w:r>
          </w:p>
          <w:p>
            <w:pPr>
              <w:pStyle w:val="TableParagraph"/>
              <w:spacing w:line="451" w:lineRule="auto" w:before="54"/>
              <w:ind w:left="22"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2014- 045</w:t>
            </w:r>
            <w:r>
              <w:rPr>
                <w:rFonts w:ascii="宋体" w:hAnsi="宋体" w:cs="宋体" w:eastAsia="宋体" w:hint="default"/>
                <w:sz w:val="18"/>
                <w:szCs w:val="18"/>
              </w:rPr>
              <w:t>）</w:t>
            </w:r>
          </w:p>
          <w:p>
            <w:pPr>
              <w:pStyle w:val="TableParagraph"/>
              <w:spacing w:line="240" w:lineRule="auto" w:before="4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240" w:lineRule="auto" w:before="9"/>
              <w:ind w:right="0"/>
              <w:jc w:val="left"/>
              <w:rPr>
                <w:rFonts w:ascii="宋体" w:hAnsi="宋体" w:cs="宋体" w:eastAsia="宋体" w:hint="default"/>
                <w:sz w:val="16"/>
                <w:szCs w:val="16"/>
              </w:rPr>
            </w:pPr>
          </w:p>
          <w:p>
            <w:pPr>
              <w:pStyle w:val="TableParagraph"/>
              <w:spacing w:line="477" w:lineRule="auto"/>
              <w:ind w:left="22" w:right="161"/>
              <w:jc w:val="both"/>
              <w:rPr>
                <w:rFonts w:ascii="宋体" w:hAnsi="宋体" w:cs="宋体" w:eastAsia="宋体" w:hint="default"/>
                <w:sz w:val="18"/>
                <w:szCs w:val="18"/>
              </w:rPr>
            </w:pPr>
            <w:r>
              <w:rPr>
                <w:rFonts w:ascii="宋体" w:hAnsi="宋体" w:cs="宋体" w:eastAsia="宋体" w:hint="default"/>
                <w:sz w:val="18"/>
                <w:szCs w:val="18"/>
              </w:rPr>
              <w:t>年第三 次临时 股东大 会决议 公告》</w:t>
            </w:r>
          </w:p>
          <w:p>
            <w:pPr>
              <w:pStyle w:val="TableParagraph"/>
              <w:spacing w:line="240" w:lineRule="auto" w:before="54"/>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宋体" w:hAnsi="宋体" w:cs="宋体" w:eastAsia="宋体" w:hint="default"/>
                <w:sz w:val="18"/>
                <w:szCs w:val="18"/>
              </w:rPr>
              <w:t>）巨 潮资讯</w:t>
            </w:r>
          </w:p>
        </w:tc>
      </w:tr>
    </w:tbl>
    <w:p>
      <w:pPr>
        <w:spacing w:after="0" w:line="451"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23"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530" w:lineRule="auto" w:before="88"/>
              <w:ind w:left="22"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网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w:t>
            </w:r>
          </w:p>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Times New Roman"/>
                <w:sz w:val="18"/>
              </w:rPr>
              <w:t>cn</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33,979,7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49.04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49,439,3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84.55</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216,289,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96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非公开发 行Ａ股</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90,510.65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90,510.65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455"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23"/>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经中国证券监督管理委员会《关于核准吉林紫鑫药业股份有限公司非公开发行股票的批复》（证监许可</w:t>
            </w:r>
            <w:r>
              <w:rPr>
                <w:rFonts w:ascii="Times New Roman" w:hAnsi="Times New Roman" w:cs="Times New Roman" w:eastAsia="Times New Roman" w:hint="default"/>
                <w:spacing w:val="-2"/>
                <w:sz w:val="18"/>
                <w:szCs w:val="18"/>
              </w:rPr>
              <w:t>[2010]1815</w:t>
            </w:r>
            <w:r>
              <w:rPr>
                <w:rFonts w:ascii="Times New Roman" w:hAnsi="Times New Roman" w:cs="Times New Roman" w:eastAsia="Times New Roman" w:hint="default"/>
                <w:sz w:val="18"/>
                <w:szCs w:val="18"/>
              </w:rPr>
              <w:t> </w:t>
            </w:r>
            <w:r>
              <w:rPr>
                <w:rFonts w:ascii="宋体" w:hAnsi="宋体" w:cs="宋体" w:eastAsia="宋体" w:hint="default"/>
                <w:sz w:val="18"/>
                <w:szCs w:val="18"/>
              </w:rPr>
              <w:t>号）核</w:t>
            </w:r>
            <w:r>
              <w:rPr>
                <w:rFonts w:ascii="宋体" w:hAnsi="宋体" w:cs="宋体" w:eastAsia="宋体" w:hint="default"/>
                <w:spacing w:val="-71"/>
                <w:sz w:val="18"/>
                <w:szCs w:val="18"/>
              </w:rPr>
              <w:t> </w:t>
            </w:r>
            <w:r>
              <w:rPr>
                <w:rFonts w:ascii="宋体" w:hAnsi="宋体" w:cs="宋体" w:eastAsia="宋体" w:hint="default"/>
                <w:sz w:val="18"/>
                <w:szCs w:val="18"/>
              </w:rPr>
              <w:t>准，公司非公开发行</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股股票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49,875,311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股，每股面值为人民币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元，募集资金总额</w:t>
            </w:r>
          </w:p>
          <w:p>
            <w:pPr>
              <w:pStyle w:val="TableParagraph"/>
              <w:spacing w:line="240" w:lineRule="auto" w:before="4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999,999,985.55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元，扣除相关发行费用后，募集资金净额为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986,450,110.24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日，募集资金累计使</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518" w:lineRule="exact"/>
        <w:ind w:left="154"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478.3pt;height:25.95pt;mso-position-horizontal-relative:char;mso-position-vertical-relative:line" type="#_x0000_t202" filled="false" stroked="true" strokeweight=".48pt" strokecolor="#000000">
            <w10:anchorlock/>
            <v:textbox inset="0,0,0,0">
              <w:txbxContent>
                <w:p>
                  <w:pPr>
                    <w:spacing w:before="89"/>
                    <w:ind w:left="22" w:right="0" w:firstLine="0"/>
                    <w:jc w:val="left"/>
                    <w:rPr>
                      <w:rFonts w:ascii="宋体" w:hAnsi="宋体" w:cs="宋体" w:eastAsia="宋体" w:hint="default"/>
                      <w:sz w:val="18"/>
                      <w:szCs w:val="18"/>
                    </w:rPr>
                  </w:pPr>
                  <w:r>
                    <w:rPr>
                      <w:rFonts w:ascii="宋体" w:hAnsi="宋体" w:cs="宋体" w:eastAsia="宋体" w:hint="default"/>
                      <w:sz w:val="18"/>
                      <w:szCs w:val="18"/>
                    </w:rPr>
                    <w:t>用金额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994,163,299.36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元（含永久补充流动资金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89,056,867.19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xbxContent>
            </v:textbox>
          </v:shape>
        </w:pict>
      </w:r>
      <w:r>
        <w:rPr>
          <w:rFonts w:ascii="宋体" w:hAnsi="宋体" w:cs="宋体" w:eastAsia="宋体" w:hint="default"/>
          <w:position w:val="-9"/>
          <w:sz w:val="20"/>
          <w:szCs w:val="20"/>
        </w:rPr>
      </w:r>
    </w:p>
    <w:p>
      <w:pPr>
        <w:spacing w:line="240" w:lineRule="auto" w:before="6"/>
        <w:rPr>
          <w:rFonts w:ascii="宋体" w:hAnsi="宋体" w:cs="宋体" w:eastAsia="宋体" w:hint="default"/>
          <w:sz w:val="25"/>
          <w:szCs w:val="25"/>
        </w:rPr>
      </w:pPr>
    </w:p>
    <w:p>
      <w:pPr>
        <w:pStyle w:val="Heading4"/>
        <w:spacing w:line="240" w:lineRule="auto" w:before="35"/>
        <w:ind w:left="15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before="44"/>
        <w:ind w:left="0" w:right="1141" w:firstLine="0"/>
        <w:jc w:val="right"/>
        <w:rPr>
          <w:rFonts w:ascii="宋体" w:hAnsi="宋体" w:cs="宋体" w:eastAsia="宋体" w:hint="default"/>
          <w:sz w:val="18"/>
          <w:szCs w:val="18"/>
        </w:rPr>
      </w:pPr>
      <w:r>
        <w:rPr/>
        <w:pict>
          <v:shape style="position:absolute;margin-left:56.459999pt;margin-top:-541.188293pt;width:479.2pt;height:562.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7"/>
                    <w:gridCol w:w="783"/>
                    <w:gridCol w:w="780"/>
                    <w:gridCol w:w="780"/>
                    <w:gridCol w:w="779"/>
                    <w:gridCol w:w="780"/>
                    <w:gridCol w:w="780"/>
                    <w:gridCol w:w="780"/>
                    <w:gridCol w:w="780"/>
                    <w:gridCol w:w="780"/>
                    <w:gridCol w:w="780"/>
                  </w:tblGrid>
                  <w:tr>
                    <w:trPr>
                      <w:trHeight w:val="1962"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520" w:right="6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8" w:lineRule="auto" w:before="129"/>
                          <w:ind w:left="27"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96" w:lineRule="auto" w:before="128"/>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80" w:lineRule="auto" w:before="129"/>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55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49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通 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29,954.21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29,954.21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24,086.79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-1,012.76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延 吉</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29,993.95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29,993.95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27,592.83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91.99%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磐 石</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13,989.33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13,989.33</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14,029.62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人参产品系列化</w:t>
                        </w:r>
                        <w:r>
                          <w:rPr>
                            <w:rFonts w:ascii="Times New Roman" w:hAnsi="Times New Roman" w:cs="Times New Roman" w:eastAsia="Times New Roman" w:hint="default"/>
                            <w:sz w:val="18"/>
                            <w:szCs w:val="18"/>
                          </w:rPr>
                          <w:t>(</w:t>
                        </w:r>
                        <w:r>
                          <w:rPr>
                            <w:rFonts w:ascii="宋体" w:hAnsi="宋体" w:cs="宋体" w:eastAsia="宋体" w:hint="default"/>
                            <w:sz w:val="18"/>
                            <w:szCs w:val="18"/>
                          </w:rPr>
                          <w:t>敦 化</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24,719.68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24,719.68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24,801.41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3"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98,657.17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98,657.17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163.59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90,510.65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3,351.34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55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558"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98,657.17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98,657.17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90,510.65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3,351.34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518" w:hRule="exact"/>
                    </w:trPr>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802"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9"/>
                          <w:ind w:left="20" w:right="0"/>
                          <w:jc w:val="left"/>
                          <w:rPr>
                            <w:rFonts w:ascii="宋体" w:hAnsi="宋体" w:cs="宋体" w:eastAsia="宋体" w:hint="default"/>
                            <w:sz w:val="18"/>
                            <w:szCs w:val="18"/>
                          </w:rPr>
                        </w:pPr>
                        <w:r>
                          <w:rPr>
                            <w:rFonts w:ascii="宋体" w:hAnsi="宋体" w:cs="宋体" w:eastAsia="宋体" w:hint="default"/>
                            <w:sz w:val="18"/>
                            <w:szCs w:val="18"/>
                          </w:rPr>
                          <w:t>人参产品系列化（通化）项目因政府用地调整，未能如期开工建设，至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24  </w:t>
                        </w:r>
                        <w:r>
                          <w:rPr>
                            <w:rFonts w:ascii="宋体" w:hAnsi="宋体" w:cs="宋体" w:eastAsia="宋体" w:hint="default"/>
                            <w:sz w:val="18"/>
                            <w:szCs w:val="18"/>
                          </w:rPr>
                          <w:t>才开工</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9.8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66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88"/>
                          <w:ind w:left="22" w:right="19"/>
                          <w:jc w:val="left"/>
                          <w:rPr>
                            <w:rFonts w:ascii="宋体" w:hAnsi="宋体" w:cs="宋体" w:eastAsia="宋体" w:hint="default"/>
                            <w:sz w:val="18"/>
                            <w:szCs w:val="18"/>
                          </w:rPr>
                        </w:pPr>
                        <w:r>
                          <w:rPr>
                            <w:rFonts w:ascii="宋体" w:hAnsi="宋体" w:cs="宋体" w:eastAsia="宋体" w:hint="default"/>
                            <w:sz w:val="18"/>
                            <w:szCs w:val="18"/>
                          </w:rPr>
                          <w:t>导致项目无法按计划进度完成</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日得药品生产许可证，截止目前，该项目已</w:t>
                        </w:r>
                        <w:r>
                          <w:rPr>
                            <w:rFonts w:ascii="宋体" w:hAnsi="宋体" w:cs="宋体" w:eastAsia="宋体" w:hint="default"/>
                            <w:sz w:val="18"/>
                            <w:szCs w:val="18"/>
                          </w:rPr>
                          <w:t> 经完成，并且已经通过了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认证；人参产品系列化（延吉）项目已经完成，该项目主要以生产 人参食品为主，</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月份取得饮料（果汁及蔬菜汁类）食品生产许可证。</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月卫生 部批准人参（人工种植）为新资源食品后，公司开始人参食品的生产认证工作；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月已通 </w:t>
                        </w:r>
                        <w:r>
                          <w:rPr>
                            <w:rFonts w:ascii="宋体" w:hAnsi="宋体" w:cs="宋体" w:eastAsia="宋体" w:hint="default"/>
                            <w:spacing w:val="-4"/>
                            <w:sz w:val="18"/>
                            <w:szCs w:val="18"/>
                          </w:rPr>
                          <w:t>过人参糖类、人参蜜片类、人参速溶茶类认证，以人参为主的中药饮片</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已取得《药品生产许可证》</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并通过了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认证，由于该项目生产的产品尚未完全销售，导致项目未达到预期使用效益；人参 产品系列化（磐石）项目未能按照工程进度完成的原因是由于卫生部发布了 </w:t>
                        </w:r>
                        <w:r>
                          <w:rPr>
                            <w:rFonts w:ascii="Times New Roman" w:hAnsi="Times New Roman" w:cs="Times New Roman" w:eastAsia="Times New Roman" w:hint="default"/>
                            <w:sz w:val="18"/>
                            <w:szCs w:val="18"/>
                          </w:rPr>
                          <w:t>2010  </w:t>
                        </w:r>
                        <w:r>
                          <w:rPr>
                            <w:rFonts w:ascii="宋体" w:hAnsi="宋体" w:cs="宋体" w:eastAsia="宋体" w:hint="default"/>
                            <w:sz w:val="18"/>
                            <w:szCs w:val="18"/>
                          </w:rPr>
                          <w:t>版《药品生产质</w:t>
                        </w:r>
                      </w:p>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量管理规范</w:t>
                        </w:r>
                        <w:r>
                          <w:rPr>
                            <w:rFonts w:ascii="宋体" w:hAnsi="宋体" w:cs="宋体" w:eastAsia="宋体" w:hint="default"/>
                            <w:spacing w:val="-9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并从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年开始实行</w:t>
                        </w:r>
                        <w:r>
                          <w:rPr>
                            <w:rFonts w:ascii="宋体" w:hAnsi="宋体" w:cs="宋体" w:eastAsia="宋体" w:hint="default"/>
                            <w:spacing w:val="-88"/>
                            <w:sz w:val="18"/>
                            <w:szCs w:val="18"/>
                          </w:rPr>
                          <w:t>，</w:t>
                        </w:r>
                        <w:r>
                          <w:rPr>
                            <w:rFonts w:ascii="宋体" w:hAnsi="宋体" w:cs="宋体" w:eastAsia="宋体" w:hint="default"/>
                            <w:sz w:val="18"/>
                            <w:szCs w:val="18"/>
                          </w:rPr>
                          <w:t>公司根据要求对项目建设方案作了相应调整</w:t>
                        </w:r>
                        <w:r>
                          <w:rPr>
                            <w:rFonts w:ascii="宋体" w:hAnsi="宋体" w:cs="宋体" w:eastAsia="宋体" w:hint="default"/>
                            <w:spacing w:val="2"/>
                            <w:sz w:val="18"/>
                            <w:szCs w:val="18"/>
                          </w:rPr>
                          <w:t>，</w:t>
                        </w:r>
                        <w:r>
                          <w:rPr>
                            <w:rFonts w:ascii="宋体" w:hAnsi="宋体" w:cs="宋体" w:eastAsia="宋体" w:hint="default"/>
                            <w:sz w:val="18"/>
                            <w:szCs w:val="18"/>
                          </w:rPr>
                          <w:t>该项目于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日取得药品生产许可证，丸剂车间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月通过了国家新版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认证（详见公</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司 </w:t>
                        </w:r>
                        <w:r>
                          <w:rPr>
                            <w:rFonts w:ascii="Times New Roman" w:hAnsi="Times New Roman" w:cs="Times New Roman" w:eastAsia="Times New Roman" w:hint="default"/>
                            <w:sz w:val="18"/>
                            <w:szCs w:val="18"/>
                          </w:rPr>
                          <w:t>2013-027</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号公告）</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该项目目前已经完工，但由于产品市场开拓等原因，产能尚未完全释放；人</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参产品系列化（敦化）项目未能按照工程进度完成的原因是：一是由于卫生部发布了 </w:t>
                        </w:r>
                        <w:r>
                          <w:rPr>
                            <w:rFonts w:ascii="Times New Roman" w:hAnsi="Times New Roman" w:cs="Times New Roman" w:eastAsia="Times New Roman" w:hint="default"/>
                            <w:sz w:val="18"/>
                            <w:szCs w:val="18"/>
                          </w:rPr>
                          <w:t>2010  </w:t>
                        </w:r>
                        <w:r>
                          <w:rPr>
                            <w:rFonts w:ascii="宋体" w:hAnsi="宋体" w:cs="宋体" w:eastAsia="宋体" w:hint="default"/>
                            <w:sz w:val="18"/>
                            <w:szCs w:val="18"/>
                          </w:rPr>
                          <w:t>版《药</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品生产质量管理规范</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并从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年开始实行</w:t>
                        </w:r>
                        <w:r>
                          <w:rPr>
                            <w:rFonts w:ascii="宋体" w:hAnsi="宋体" w:cs="宋体" w:eastAsia="宋体" w:hint="default"/>
                            <w:spacing w:val="-28"/>
                            <w:sz w:val="18"/>
                            <w:szCs w:val="18"/>
                          </w:rPr>
                          <w:t>，</w:t>
                        </w:r>
                        <w:r>
                          <w:rPr>
                            <w:rFonts w:ascii="宋体" w:hAnsi="宋体" w:cs="宋体" w:eastAsia="宋体" w:hint="default"/>
                            <w:sz w:val="18"/>
                            <w:szCs w:val="18"/>
                          </w:rPr>
                          <w:t>公司根据要求对项目建设方案作了相应调整</w:t>
                        </w:r>
                        <w:r>
                          <w:rPr>
                            <w:rFonts w:ascii="宋体" w:hAnsi="宋体" w:cs="宋体" w:eastAsia="宋体" w:hint="default"/>
                            <w:spacing w:val="-28"/>
                            <w:sz w:val="18"/>
                            <w:szCs w:val="18"/>
                          </w:rPr>
                          <w:t>；</w:t>
                        </w:r>
                        <w:r>
                          <w:rPr>
                            <w:rFonts w:ascii="宋体" w:hAnsi="宋体" w:cs="宋体" w:eastAsia="宋体" w:hint="default"/>
                            <w:spacing w:val="1"/>
                            <w:sz w:val="18"/>
                            <w:szCs w:val="18"/>
                          </w:rPr>
                          <w:t>二</w:t>
                        </w:r>
                        <w:r>
                          <w:rPr>
                            <w:rFonts w:ascii="宋体" w:hAnsi="宋体" w:cs="宋体" w:eastAsia="宋体" w:hint="default"/>
                            <w:sz w:val="18"/>
                            <w:szCs w:val="18"/>
                          </w:rPr>
                          <w:t>是</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公司追加投资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万元，项目整体工程量增加，截至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10"/>
                            <w:sz w:val="18"/>
                            <w:szCs w:val="18"/>
                          </w:rPr>
                          <w:t>月底，该项目已经完成，并取得《药</w:t>
                        </w:r>
                        <w:r>
                          <w:rPr>
                            <w:rFonts w:ascii="宋体" w:hAnsi="宋体" w:cs="宋体" w:eastAsia="宋体" w:hint="default"/>
                            <w:sz w:val="18"/>
                            <w:szCs w:val="18"/>
                          </w:rPr>
                          <w:t> </w:t>
                        </w:r>
                        <w:r>
                          <w:rPr>
                            <w:rFonts w:ascii="宋体" w:hAnsi="宋体" w:cs="宋体" w:eastAsia="宋体" w:hint="default"/>
                            <w:spacing w:val="-9"/>
                            <w:sz w:val="18"/>
                            <w:szCs w:val="18"/>
                          </w:rPr>
                          <w:t>品生产许可证》，通过了</w:t>
                        </w:r>
                        <w:r>
                          <w:rPr>
                            <w:rFonts w:ascii="宋体" w:hAnsi="宋体" w:cs="宋体" w:eastAsia="宋体" w:hint="default"/>
                            <w:sz w:val="18"/>
                            <w:szCs w:val="18"/>
                          </w:rPr>
                          <w:t> </w:t>
                        </w:r>
                        <w:r>
                          <w:rPr>
                            <w:rFonts w:ascii="Times New Roman" w:hAnsi="Times New Roman" w:cs="Times New Roman" w:eastAsia="Times New Roman" w:hint="default"/>
                            <w:w w:val="99"/>
                            <w:sz w:val="18"/>
                            <w:szCs w:val="18"/>
                          </w:rPr>
                          <w:t>GMP</w:t>
                        </w:r>
                        <w:r>
                          <w:rPr>
                            <w:rFonts w:ascii="Times New Roman" w:hAnsi="Times New Roman" w:cs="Times New Roman" w:eastAsia="Times New Roman" w:hint="default"/>
                            <w:spacing w:val="14"/>
                            <w:w w:val="99"/>
                            <w:sz w:val="18"/>
                            <w:szCs w:val="18"/>
                          </w:rPr>
                          <w:t> </w:t>
                        </w:r>
                        <w:r>
                          <w:rPr>
                            <w:rFonts w:ascii="宋体" w:hAnsi="宋体" w:cs="宋体" w:eastAsia="宋体" w:hint="default"/>
                            <w:spacing w:val="-1"/>
                            <w:sz w:val="18"/>
                            <w:szCs w:val="18"/>
                          </w:rPr>
                          <w:t>认证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，但产能尚未完全释放。</w:t>
                        </w:r>
                      </w:p>
                    </w:tc>
                  </w:tr>
                  <w:tr>
                    <w:trPr>
                      <w:trHeight w:val="1026"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477" w:lineRule="auto" w:before="12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477"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477"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58"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36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年第三次临时股东大会审议通过了《关于人参产品系列化（通化）募投项目实施变更的议</w:t>
                        </w:r>
                      </w:p>
                      <w:p>
                        <w:pPr>
                          <w:pStyle w:val="TableParagraph"/>
                          <w:spacing w:line="240" w:lineRule="auto" w:before="8"/>
                          <w:ind w:right="0"/>
                          <w:jc w:val="left"/>
                          <w:rPr>
                            <w:rFonts w:ascii="宋体" w:hAnsi="宋体" w:cs="宋体" w:eastAsia="宋体" w:hint="default"/>
                            <w:sz w:val="16"/>
                            <w:szCs w:val="16"/>
                          </w:rPr>
                        </w:pPr>
                      </w:p>
                      <w:p>
                        <w:pPr>
                          <w:pStyle w:val="TableParagraph"/>
                          <w:spacing w:line="468" w:lineRule="auto"/>
                          <w:ind w:left="22" w:right="20"/>
                          <w:jc w:val="both"/>
                          <w:rPr>
                            <w:rFonts w:ascii="宋体" w:hAnsi="宋体" w:cs="宋体" w:eastAsia="宋体" w:hint="default"/>
                            <w:sz w:val="18"/>
                            <w:szCs w:val="18"/>
                          </w:rPr>
                        </w:pPr>
                        <w:r>
                          <w:rPr>
                            <w:rFonts w:ascii="宋体" w:hAnsi="宋体" w:cs="宋体" w:eastAsia="宋体" w:hint="default"/>
                            <w:spacing w:val="-9"/>
                            <w:sz w:val="18"/>
                            <w:szCs w:val="18"/>
                          </w:rPr>
                          <w:t>案》，通化市人民政府</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日出具了《关于置换紫鑫药业人参产品系列化项目建设用地的 </w:t>
                        </w:r>
                        <w:r>
                          <w:rPr>
                            <w:rFonts w:ascii="宋体" w:hAnsi="宋体" w:cs="宋体" w:eastAsia="宋体" w:hint="default"/>
                            <w:spacing w:val="-5"/>
                            <w:sz w:val="18"/>
                            <w:szCs w:val="18"/>
                          </w:rPr>
                          <w:t>通知》，原募投项目用地东昌区经济技术开发区医药大路地块调整为旅游发展用地，人参产品系列化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项目（通化厂区）已不适宜在该地块建设，新项目建设用地由东昌区政府及通化市政府有关部门， 按《通化市城市总体规划》有关要求另行选址安排。</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日，禺拙药业竞得通化市东昌区</w:t>
                        </w:r>
                      </w:p>
                      <w:p>
                        <w:pPr>
                          <w:pStyle w:val="TableParagraph"/>
                          <w:spacing w:line="240" w:lineRule="auto" w:before="2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环通乡长流村</w:t>
                        </w:r>
                        <w:r>
                          <w:rPr>
                            <w:rFonts w:ascii="Times New Roman" w:hAnsi="Times New Roman" w:cs="Times New Roman" w:eastAsia="Times New Roman" w:hint="default"/>
                            <w:sz w:val="18"/>
                            <w:szCs w:val="18"/>
                          </w:rPr>
                          <w:t>“</w:t>
                        </w:r>
                        <w:r>
                          <w:rPr>
                            <w:rFonts w:ascii="宋体" w:hAnsi="宋体" w:cs="宋体" w:eastAsia="宋体" w:hint="default"/>
                            <w:sz w:val="18"/>
                            <w:szCs w:val="18"/>
                          </w:rPr>
                          <w:t>恒安药业东侧地块</w:t>
                        </w:r>
                        <w:r>
                          <w:rPr>
                            <w:rFonts w:ascii="Times New Roman" w:hAnsi="Times New Roman" w:cs="Times New Roman" w:eastAsia="Times New Roman" w:hint="default"/>
                            <w:sz w:val="18"/>
                            <w:szCs w:val="18"/>
                          </w:rPr>
                          <w:t>”</w:t>
                        </w:r>
                        <w:r>
                          <w:rPr>
                            <w:rFonts w:ascii="宋体" w:hAnsi="宋体" w:cs="宋体" w:eastAsia="宋体" w:hint="default"/>
                            <w:sz w:val="18"/>
                            <w:szCs w:val="18"/>
                          </w:rPr>
                          <w:t>，作为人参产品系列化项目（通化厂区）建设用地，并于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日开工建设。</w:t>
                        </w:r>
                      </w:p>
                    </w:tc>
                  </w:tr>
                  <w:tr>
                    <w:trPr>
                      <w:trHeight w:val="55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0.8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558"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129"/>
                          <w:ind w:left="22" w:right="22"/>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年第三次临时股东大会审议通过了《关于人参产品系列化（延吉）募投项目部分变更的议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案》、《关于人参产品系列化（磐石）募投项目部分变更的议案》和《关于人参产品系列化（敦化）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sz w:val="18"/>
                            <w:szCs w:val="18"/>
                          </w:rPr>
                          <w:t>募投项目部分变更的议案》。对人参产品系列化项目（磐石厂区）、人参产品系列化项目（延吉厂区）</w:t>
                        </w:r>
                        <w:r>
                          <w:rPr>
                            <w:rFonts w:ascii="宋体" w:hAnsi="宋体" w:cs="宋体" w:eastAsia="宋体" w:hint="default"/>
                            <w:spacing w:val="-90"/>
                            <w:sz w:val="18"/>
                            <w:szCs w:val="18"/>
                          </w:rPr>
                          <w:t> </w:t>
                        </w:r>
                        <w:r>
                          <w:rPr>
                            <w:rFonts w:ascii="宋体" w:hAnsi="宋体" w:cs="宋体" w:eastAsia="宋体" w:hint="default"/>
                            <w:sz w:val="18"/>
                            <w:szCs w:val="18"/>
                          </w:rPr>
                          <w:t>人参产品系列化项目（敦化厂区）进行部分调整。</w:t>
                        </w:r>
                      </w:p>
                    </w:tc>
                  </w:tr>
                  <w:tr>
                    <w:trPr>
                      <w:trHeight w:val="558"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477"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公司第四届董事会第十一次会议审议通过了《关于使用募集资金置换预先已投入募集资金投资项目</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自筹资金的议案》本公司以募集资金置换已投入募集资金投入项目的自筹资金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12,865.89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558"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894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日，公司召开了第四届董事会第十七次会议，审议通过了《关于使用部分闲置募集</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将人参产品系列化项</w:t>
                        </w:r>
                        <w:r>
                          <w:rPr>
                            <w:rFonts w:ascii="宋体" w:hAnsi="宋体" w:cs="宋体" w:eastAsia="宋体" w:hint="default"/>
                            <w:spacing w:val="-15"/>
                            <w:sz w:val="18"/>
                            <w:szCs w:val="18"/>
                          </w:rPr>
                          <w:t>目</w:t>
                        </w:r>
                        <w:r>
                          <w:rPr>
                            <w:rFonts w:ascii="宋体" w:hAnsi="宋体" w:cs="宋体" w:eastAsia="宋体" w:hint="default"/>
                            <w:sz w:val="18"/>
                            <w:szCs w:val="18"/>
                          </w:rPr>
                          <w:t>（通化厂区</w:t>
                        </w:r>
                        <w:r>
                          <w:rPr>
                            <w:rFonts w:ascii="宋体" w:hAnsi="宋体" w:cs="宋体" w:eastAsia="宋体" w:hint="default"/>
                            <w:spacing w:val="-15"/>
                            <w:sz w:val="18"/>
                            <w:szCs w:val="18"/>
                          </w:rPr>
                          <w:t>）</w:t>
                        </w:r>
                        <w:r>
                          <w:rPr>
                            <w:rFonts w:ascii="宋体" w:hAnsi="宋体" w:cs="宋体" w:eastAsia="宋体" w:hint="default"/>
                            <w:sz w:val="18"/>
                            <w:szCs w:val="18"/>
                          </w:rPr>
                          <w:t>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用于补充流动资金</w:t>
                        </w:r>
                        <w:r>
                          <w:rPr>
                            <w:rFonts w:ascii="宋体" w:hAnsi="宋体" w:cs="宋体" w:eastAsia="宋体" w:hint="default"/>
                            <w:spacing w:val="-90"/>
                            <w:sz w:val="18"/>
                            <w:szCs w:val="18"/>
                          </w:rPr>
                          <w:t>，</w:t>
                        </w:r>
                        <w:r>
                          <w:rPr>
                            <w:rFonts w:ascii="宋体" w:hAnsi="宋体" w:cs="宋体" w:eastAsia="宋体" w:hint="default"/>
                            <w:sz w:val="18"/>
                            <w:szCs w:val="18"/>
                          </w:rPr>
                          <w:t>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9.12%</w:t>
                        </w:r>
                        <w:r>
                          <w:rPr>
                            <w:rFonts w:ascii="宋体" w:hAnsi="宋体" w:cs="宋体" w:eastAsia="宋体" w:hint="default"/>
                            <w:spacing w:val="-90"/>
                            <w:sz w:val="18"/>
                            <w:szCs w:val="18"/>
                          </w:rPr>
                          <w:t>，</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89"/>
                            <w:sz w:val="18"/>
                            <w:szCs w:val="18"/>
                          </w:rPr>
                          <w:t>，</w:t>
                        </w:r>
                        <w:r>
                          <w:rPr>
                            <w:rFonts w:ascii="宋体" w:hAnsi="宋体" w:cs="宋体" w:eastAsia="宋体" w:hint="default"/>
                            <w:sz w:val="18"/>
                            <w:szCs w:val="18"/>
                          </w:rPr>
                          <w:t>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w:t>
                        </w:r>
                      </w:p>
                      <w:p>
                        <w:pPr>
                          <w:pStyle w:val="TableParagraph"/>
                          <w:spacing w:line="240" w:lineRule="auto" w:before="9"/>
                          <w:ind w:right="0"/>
                          <w:jc w:val="left"/>
                          <w:rPr>
                            <w:rFonts w:ascii="宋体" w:hAnsi="宋体" w:cs="宋体" w:eastAsia="宋体" w:hint="default"/>
                            <w:sz w:val="16"/>
                            <w:szCs w:val="16"/>
                          </w:rPr>
                        </w:pPr>
                      </w:p>
                      <w:p>
                        <w:pPr>
                          <w:pStyle w:val="TableParagraph"/>
                          <w:spacing w:line="458" w:lineRule="auto"/>
                          <w:ind w:left="22" w:right="20"/>
                          <w:jc w:val="left"/>
                          <w:rPr>
                            <w:rFonts w:ascii="宋体" w:hAnsi="宋体" w:cs="宋体" w:eastAsia="宋体" w:hint="default"/>
                            <w:sz w:val="18"/>
                            <w:szCs w:val="18"/>
                          </w:rPr>
                        </w:pPr>
                        <w:r>
                          <w:rPr>
                            <w:rFonts w:ascii="宋体" w:hAnsi="宋体" w:cs="宋体" w:eastAsia="宋体" w:hint="default"/>
                            <w:sz w:val="18"/>
                            <w:szCs w:val="18"/>
                          </w:rPr>
                          <w:t>还至募集资金专户，使用期限未超过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日，公司召开了第四届董事会第二十 </w:t>
                        </w:r>
                        <w:r>
                          <w:rPr>
                            <w:rFonts w:ascii="宋体" w:hAnsi="宋体" w:cs="宋体" w:eastAsia="宋体" w:hint="default"/>
                            <w:spacing w:val="-5"/>
                            <w:sz w:val="18"/>
                            <w:szCs w:val="18"/>
                          </w:rPr>
                          <w:t>三次会议，审议通过了《关于继续使用闲置募投资金暂时补充流动资金的议案》，将人参产品系列化</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项目（通化厂区）募集资金中的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w:t>
                        </w:r>
                        <w:r>
                          <w:rPr>
                            <w:rFonts w:ascii="宋体" w:hAnsi="宋体" w:cs="宋体" w:eastAsia="宋体" w:hint="default"/>
                            <w:sz w:val="18"/>
                            <w:szCs w:val="18"/>
                          </w:rPr>
                          <w:t>，使 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p>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万元返还至募集资金专用账户，使用期限未超过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日，公司召开了第四届董事会第二十八次会议，审议通过了《关于使用部分闲置募</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集资金暂时补充流动资金的议案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将人参产品系列化项</w:t>
                        </w:r>
                        <w:r>
                          <w:rPr>
                            <w:rFonts w:ascii="宋体" w:hAnsi="宋体" w:cs="宋体" w:eastAsia="宋体" w:hint="default"/>
                            <w:spacing w:val="-15"/>
                            <w:sz w:val="18"/>
                            <w:szCs w:val="18"/>
                          </w:rPr>
                          <w:t>目</w:t>
                        </w:r>
                        <w:r>
                          <w:rPr>
                            <w:rFonts w:ascii="宋体" w:hAnsi="宋体" w:cs="宋体" w:eastAsia="宋体" w:hint="default"/>
                            <w:sz w:val="18"/>
                            <w:szCs w:val="18"/>
                          </w:rPr>
                          <w:t>（通化厂区</w:t>
                        </w:r>
                        <w:r>
                          <w:rPr>
                            <w:rFonts w:ascii="宋体" w:hAnsi="宋体" w:cs="宋体" w:eastAsia="宋体" w:hint="default"/>
                            <w:spacing w:val="-15"/>
                            <w:sz w:val="18"/>
                            <w:szCs w:val="18"/>
                          </w:rPr>
                          <w:t>）</w:t>
                        </w:r>
                        <w:r>
                          <w:rPr>
                            <w:rFonts w:ascii="宋体" w:hAnsi="宋体" w:cs="宋体" w:eastAsia="宋体" w:hint="default"/>
                            <w:sz w:val="18"/>
                            <w:szCs w:val="18"/>
                          </w:rPr>
                          <w:t>募集资金中的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时用于补充流动资金，占募集资金净额的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5.07%</w:t>
                        </w:r>
                        <w:r>
                          <w:rPr>
                            <w:rFonts w:ascii="宋体" w:hAnsi="宋体" w:cs="宋体" w:eastAsia="宋体" w:hint="default"/>
                            <w:sz w:val="18"/>
                            <w:szCs w:val="18"/>
                          </w:rPr>
                          <w:t>，使用期限不超过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个月，从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日止。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68"/>
                          <w:jc w:val="both"/>
                          <w:rPr>
                            <w:rFonts w:ascii="宋体" w:hAnsi="宋体" w:cs="宋体" w:eastAsia="宋体" w:hint="default"/>
                            <w:sz w:val="18"/>
                            <w:szCs w:val="18"/>
                          </w:rPr>
                        </w:pPr>
                        <w:r>
                          <w:rPr>
                            <w:rFonts w:ascii="宋体" w:hAnsi="宋体" w:cs="宋体" w:eastAsia="宋体" w:hint="default"/>
                            <w:sz w:val="18"/>
                            <w:szCs w:val="18"/>
                          </w:rPr>
                          <w:t>部归还至募集资金专户，使用期限未超过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日，公司召开了第五届董事会第 一次会议，审议通过了《关于使用部分闲置募集资金暂时补充流动资金的议案》</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将人参产品系列 化项目（通化厂区）募集资金中的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w:t>
                        </w:r>
                        <w:r>
                          <w:rPr>
                            <w:rFonts w:ascii="宋体" w:hAnsi="宋体" w:cs="宋体" w:eastAsia="宋体" w:hint="default"/>
                            <w:sz w:val="18"/>
                            <w:szCs w:val="18"/>
                          </w:rPr>
                          <w:t>， 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个月， 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万元返还至募集资金专用账户，使用期限未超过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日，公司召开了第五届董事会第六次会议，审议通过了《关于使用部分闲置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0.7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79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20"/>
                          <w:jc w:val="left"/>
                          <w:rPr>
                            <w:rFonts w:ascii="宋体" w:hAnsi="宋体" w:cs="宋体" w:eastAsia="宋体" w:hint="default"/>
                            <w:sz w:val="18"/>
                            <w:szCs w:val="18"/>
                          </w:rPr>
                        </w:pPr>
                        <w:r>
                          <w:rPr>
                            <w:rFonts w:ascii="宋体" w:hAnsi="宋体" w:cs="宋体" w:eastAsia="宋体" w:hint="default"/>
                            <w:sz w:val="18"/>
                            <w:szCs w:val="18"/>
                          </w:rPr>
                          <w:t>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，拟将该项目募集资金中的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万元暂时用于补充流动资金，</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公司已于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万元返还至募集资金专用账户</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使用期限未超过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日，公司召开了第五届董事会第十二次会议，审议通过了</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拟将该项目募集资金中的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用于补充流动资金，占募集资金净额的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5.07%</w:t>
                        </w:r>
                        <w:r>
                          <w:rPr>
                            <w:rFonts w:ascii="宋体" w:hAnsi="宋体" w:cs="宋体" w:eastAsia="宋体" w:hint="default"/>
                            <w:spacing w:val="-5"/>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个月，从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9"/>
                          <w:ind w:right="0"/>
                          <w:jc w:val="left"/>
                          <w:rPr>
                            <w:rFonts w:ascii="宋体" w:hAnsi="宋体" w:cs="宋体" w:eastAsia="宋体" w:hint="default"/>
                            <w:sz w:val="16"/>
                            <w:szCs w:val="16"/>
                          </w:rPr>
                        </w:pPr>
                      </w:p>
                      <w:p>
                        <w:pPr>
                          <w:pStyle w:val="TableParagraph"/>
                          <w:spacing w:line="451" w:lineRule="auto"/>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日止。公司已于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日将上述暂时补充流动资金的募集资金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万元返还至 募集资金专用账户。</w:t>
                        </w:r>
                      </w:p>
                    </w:tc>
                  </w:tr>
                  <w:tr>
                    <w:trPr>
                      <w:trHeight w:val="558"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4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45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20"/>
                          <w:jc w:val="both"/>
                          <w:rPr>
                            <w:rFonts w:ascii="宋体" w:hAnsi="宋体" w:cs="宋体" w:eastAsia="宋体" w:hint="default"/>
                            <w:sz w:val="18"/>
                            <w:szCs w:val="18"/>
                          </w:rPr>
                        </w:pPr>
                        <w:r>
                          <w:rPr>
                            <w:rFonts w:ascii="宋体" w:hAnsi="宋体" w:cs="宋体" w:eastAsia="宋体" w:hint="default"/>
                            <w:sz w:val="18"/>
                            <w:szCs w:val="18"/>
                          </w:rPr>
                          <w:t>在项目建设过程中，公司从项目的实际情况出发，严格管理，秉承节约、合理及有效的原则使用募 集资金，合理配置资源，采取成本控制、优化生产工艺流程等措施，节约了项目投资。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日，公司召开第五届董事会第十次会议，会议审议通过了《关于单项节余募集资金永久补充流动</w:t>
                        </w:r>
                      </w:p>
                      <w:p>
                        <w:pPr>
                          <w:pStyle w:val="TableParagraph"/>
                          <w:spacing w:line="468" w:lineRule="auto" w:before="33"/>
                          <w:ind w:left="22" w:right="19"/>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资金的议案》，计划将人参产品系列化项目（延吉厂区）节余募集资金专户余额约为</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2,537.44</w:t>
                        </w:r>
                        <w:r>
                          <w:rPr>
                            <w:rFonts w:ascii="Times New Roman" w:hAnsi="Times New Roman" w:cs="Times New Roman" w:eastAsia="Times New Roman" w:hint="default"/>
                            <w:spacing w:val="2"/>
                            <w:sz w:val="18"/>
                            <w:szCs w:val="18"/>
                          </w:rPr>
                          <w:t> </w:t>
                        </w:r>
                        <w:r>
                          <w:rPr>
                            <w:rFonts w:ascii="宋体" w:hAnsi="宋体" w:cs="宋体" w:eastAsia="宋体" w:hint="default"/>
                            <w:spacing w:val="-17"/>
                            <w:sz w:val="18"/>
                            <w:szCs w:val="18"/>
                          </w:rPr>
                          <w:t>万元（包</w:t>
                        </w:r>
                        <w:r>
                          <w:rPr>
                            <w:rFonts w:ascii="宋体" w:hAnsi="宋体" w:cs="宋体" w:eastAsia="宋体" w:hint="default"/>
                            <w:sz w:val="18"/>
                            <w:szCs w:val="18"/>
                          </w:rPr>
                          <w:t> 括利息收入）永久补充流动资金。鉴于延吉厂区项目建设已全部完成，根据《深圳证券交易所股票 </w:t>
                        </w:r>
                        <w:r>
                          <w:rPr>
                            <w:rFonts w:ascii="宋体" w:hAnsi="宋体" w:cs="宋体" w:eastAsia="宋体" w:hint="default"/>
                            <w:spacing w:val="-8"/>
                            <w:sz w:val="18"/>
                            <w:szCs w:val="18"/>
                          </w:rPr>
                          <w:t>上市规则》、《深圳证券交易所中小企业板上市公司规范运作指引》、《中小企业板信息披露业务备忘</w:t>
                        </w:r>
                        <w:r>
                          <w:rPr>
                            <w:rFonts w:ascii="宋体" w:hAnsi="宋体" w:cs="宋体" w:eastAsia="宋体" w:hint="default"/>
                            <w:sz w:val="18"/>
                            <w:szCs w:val="18"/>
                          </w:rPr>
                          <w:t> 录第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号：募集资金使用》以及公司《募集资金管理制度》等法律法规有关规定，公司为了提高节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余募集资金的使用效率，降低公司的财务费用，为公司和股东创造更大的利益，且延吉厂区节余募 集资金永久补充流动资金不对其他募投项目厂区产生任何影响，故计划将延吉厂区节余募集资金约 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2,537.44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万元（包括利息收入）永久补充流动资金，用于公司日常生产经营活动。</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p>
                      <w:p>
                        <w:pPr>
                          <w:pStyle w:val="TableParagraph"/>
                          <w:spacing w:line="240" w:lineRule="auto" w:before="29"/>
                          <w:ind w:left="22" w:right="0"/>
                          <w:jc w:val="both"/>
                          <w:rPr>
                            <w:rFonts w:ascii="宋体" w:hAnsi="宋体" w:cs="宋体" w:eastAsia="宋体" w:hint="default"/>
                            <w:sz w:val="18"/>
                            <w:szCs w:val="18"/>
                          </w:rPr>
                        </w:pPr>
                        <w:r>
                          <w:rPr>
                            <w:rFonts w:ascii="宋体" w:hAnsi="宋体" w:cs="宋体" w:eastAsia="宋体" w:hint="default"/>
                            <w:spacing w:val="-12"/>
                            <w:sz w:val="18"/>
                            <w:szCs w:val="18"/>
                          </w:rPr>
                          <w:t>日，公司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年第一次临时股东大会审议通过上述事项。公司承诺延吉厂区已完工募投项目应付未</w:t>
                        </w:r>
                      </w:p>
                      <w:p>
                        <w:pPr>
                          <w:pStyle w:val="TableParagraph"/>
                          <w:spacing w:line="240" w:lineRule="auto" w:before="9"/>
                          <w:ind w:right="0"/>
                          <w:jc w:val="left"/>
                          <w:rPr>
                            <w:rFonts w:ascii="宋体" w:hAnsi="宋体" w:cs="宋体" w:eastAsia="宋体" w:hint="default"/>
                            <w:sz w:val="16"/>
                            <w:szCs w:val="16"/>
                          </w:rPr>
                        </w:pPr>
                      </w:p>
                      <w:p>
                        <w:pPr>
                          <w:pStyle w:val="TableParagraph"/>
                          <w:spacing w:line="463" w:lineRule="auto"/>
                          <w:ind w:left="22" w:right="20"/>
                          <w:jc w:val="both"/>
                          <w:rPr>
                            <w:rFonts w:ascii="宋体" w:hAnsi="宋体" w:cs="宋体" w:eastAsia="宋体" w:hint="default"/>
                            <w:sz w:val="18"/>
                            <w:szCs w:val="18"/>
                          </w:rPr>
                        </w:pPr>
                        <w:r>
                          <w:rPr>
                            <w:rFonts w:ascii="宋体" w:hAnsi="宋体" w:cs="宋体" w:eastAsia="宋体" w:hint="default"/>
                            <w:spacing w:val="-3"/>
                            <w:sz w:val="18"/>
                            <w:szCs w:val="18"/>
                          </w:rPr>
                          <w:t>付款项（约为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151.03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万元质保金）在满足付款条件时将使用公司自有资金支付。公司过去十二个月 内未进行风险投资，同时，公司承诺永久补充流动资金后十二个月内不进行证券投资等高风险投资 及为他人提供财务资助。截止本报告期末，此承诺已履行完毕。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日，公司召开第五 </w:t>
                        </w:r>
                        <w:r>
                          <w:rPr>
                            <w:rFonts w:ascii="宋体" w:hAnsi="宋体" w:cs="宋体" w:eastAsia="宋体" w:hint="default"/>
                            <w:spacing w:val="-5"/>
                            <w:sz w:val="18"/>
                            <w:szCs w:val="18"/>
                          </w:rPr>
                          <w:t>届董事会第二十四次会议，审议通过了《关于单项节余募集资金永久补充流动资金的议案》，计划将</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人参产品系列化项目（通化厂区）节余募集资金专户余额约为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6,375.81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万元（包括利息收入）永久</w:t>
                        </w:r>
                      </w:p>
                      <w:p>
                        <w:pPr>
                          <w:pStyle w:val="TableParagraph"/>
                          <w:spacing w:line="240" w:lineRule="auto" w:before="33"/>
                          <w:ind w:left="22" w:right="0"/>
                          <w:jc w:val="both"/>
                          <w:rPr>
                            <w:rFonts w:ascii="宋体" w:hAnsi="宋体" w:cs="宋体" w:eastAsia="宋体" w:hint="default"/>
                            <w:sz w:val="18"/>
                            <w:szCs w:val="18"/>
                          </w:rPr>
                        </w:pPr>
                        <w:r>
                          <w:rPr>
                            <w:rFonts w:ascii="宋体" w:hAnsi="宋体" w:cs="宋体" w:eastAsia="宋体" w:hint="default"/>
                            <w:sz w:val="18"/>
                            <w:szCs w:val="18"/>
                          </w:rPr>
                          <w:t>补充流动资金。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年年度股东大会审议通过上述事项。公司承诺通化厂</w:t>
                        </w:r>
                      </w:p>
                      <w:p>
                        <w:pPr>
                          <w:pStyle w:val="TableParagraph"/>
                          <w:spacing w:line="240" w:lineRule="auto" w:before="10"/>
                          <w:ind w:right="0"/>
                          <w:jc w:val="left"/>
                          <w:rPr>
                            <w:rFonts w:ascii="宋体" w:hAnsi="宋体" w:cs="宋体" w:eastAsia="宋体" w:hint="default"/>
                            <w:sz w:val="16"/>
                            <w:szCs w:val="16"/>
                          </w:rPr>
                        </w:pPr>
                      </w:p>
                      <w:p>
                        <w:pPr>
                          <w:pStyle w:val="TableParagraph"/>
                          <w:spacing w:line="465" w:lineRule="auto"/>
                          <w:ind w:left="22" w:right="25"/>
                          <w:jc w:val="both"/>
                          <w:rPr>
                            <w:rFonts w:ascii="宋体" w:hAnsi="宋体" w:cs="宋体" w:eastAsia="宋体" w:hint="default"/>
                            <w:sz w:val="18"/>
                            <w:szCs w:val="18"/>
                          </w:rPr>
                        </w:pPr>
                        <w:r>
                          <w:rPr>
                            <w:rFonts w:ascii="宋体" w:hAnsi="宋体" w:cs="宋体" w:eastAsia="宋体" w:hint="default"/>
                            <w:sz w:val="18"/>
                            <w:szCs w:val="18"/>
                          </w:rPr>
                          <w:t>区已完工募投项目应付未付款项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429.06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万元质保金</w:t>
                        </w:r>
                        <w:r>
                          <w:rPr>
                            <w:rFonts w:ascii="Times New Roman" w:hAnsi="Times New Roman" w:cs="Times New Roman" w:eastAsia="Times New Roman" w:hint="default"/>
                            <w:sz w:val="18"/>
                            <w:szCs w:val="18"/>
                          </w:rPr>
                          <w:t>)</w:t>
                        </w:r>
                        <w:r>
                          <w:rPr>
                            <w:rFonts w:ascii="宋体" w:hAnsi="宋体" w:cs="宋体" w:eastAsia="宋体" w:hint="default"/>
                            <w:sz w:val="18"/>
                            <w:szCs w:val="18"/>
                          </w:rPr>
                          <w:t>在满足付款条件时将使用公司自有资金支 付。公司过去十二个月内未进行风险投资，同时，公司承诺永久补充流动资金后十二个月内不进行 证券投资等高风险投资及为他人提供财务资助。截止本报告期末，该承诺正在严格履行。</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49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558"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49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9"/>
              <w:jc w:val="both"/>
              <w:rPr>
                <w:rFonts w:ascii="宋体" w:hAnsi="宋体" w:cs="宋体" w:eastAsia="宋体" w:hint="default"/>
                <w:sz w:val="18"/>
                <w:szCs w:val="18"/>
              </w:rPr>
            </w:pPr>
            <w:r>
              <w:rPr>
                <w:rFonts w:ascii="宋体" w:hAnsi="宋体" w:cs="宋体" w:eastAsia="宋体" w:hint="default"/>
                <w:sz w:val="18"/>
                <w:szCs w:val="18"/>
              </w:rPr>
              <w:t>吉林紫鑫般 若药业有限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9"/>
              <w:ind w:left="22" w:right="110"/>
              <w:jc w:val="both"/>
              <w:rPr>
                <w:rFonts w:ascii="宋体" w:hAnsi="宋体" w:cs="宋体" w:eastAsia="宋体" w:hint="default"/>
                <w:sz w:val="18"/>
                <w:szCs w:val="18"/>
              </w:rPr>
            </w:pPr>
            <w:r>
              <w:rPr>
                <w:rFonts w:ascii="宋体" w:hAnsi="宋体" w:cs="宋体" w:eastAsia="宋体" w:hint="default"/>
                <w:sz w:val="18"/>
                <w:szCs w:val="18"/>
              </w:rPr>
              <w:t>丸剂制造、 销售，中草 药收购，农</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369,359,196.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234,524,315.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101,625,066.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27,875,590.0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29,075,539.2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633.459961pt;width:75.95pt;height:58.5pt;mso-position-horizontal-relative:page;mso-position-vertical-relative:page;z-index:-1045840" type="#_x0000_t202" filled="false" stroked="false">
            <v:textbox inset="0,0,0,0">
              <w:txbxContent>
                <w:p>
                  <w:pPr>
                    <w:spacing w:line="240" w:lineRule="auto" w:before="6"/>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坚果、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10"/>
              <w:jc w:val="left"/>
              <w:rPr>
                <w:rFonts w:ascii="宋体" w:hAnsi="宋体" w:cs="宋体" w:eastAsia="宋体" w:hint="default"/>
                <w:sz w:val="18"/>
                <w:szCs w:val="18"/>
              </w:rPr>
            </w:pPr>
            <w:r>
              <w:rPr>
                <w:rFonts w:ascii="宋体" w:hAnsi="宋体" w:cs="宋体" w:eastAsia="宋体" w:hint="default"/>
                <w:sz w:val="18"/>
                <w:szCs w:val="18"/>
              </w:rPr>
              <w:t>副土特产 品、人参收 购及初加 工、销售。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477"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吉林紫鑫初 元药业有限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0"/>
              <w:jc w:val="both"/>
              <w:rPr>
                <w:rFonts w:ascii="宋体" w:hAnsi="宋体" w:cs="宋体" w:eastAsia="宋体" w:hint="default"/>
                <w:sz w:val="18"/>
                <w:szCs w:val="18"/>
              </w:rPr>
            </w:pPr>
            <w:r>
              <w:rPr>
                <w:rFonts w:ascii="宋体" w:hAnsi="宋体" w:cs="宋体" w:eastAsia="宋体" w:hint="default"/>
                <w:sz w:val="18"/>
                <w:szCs w:val="18"/>
              </w:rPr>
              <w:t>加工、销售 中成药、化 学药制剂； 人参收购、 销售、粗加 工，生产饮 料；生产： 中药饮片、 直接服用饮 片、中药提 取药、糖果 制品、含茶 制品或代用 茶、饮料、 蜜饯。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814,536,374.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311,457,965.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85,821,014.8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67" w:right="0"/>
              <w:jc w:val="left"/>
              <w:rPr>
                <w:rFonts w:ascii="Times New Roman" w:hAnsi="Times New Roman" w:cs="Times New Roman" w:eastAsia="Times New Roman" w:hint="default"/>
                <w:sz w:val="18"/>
                <w:szCs w:val="18"/>
              </w:rPr>
            </w:pPr>
            <w:r>
              <w:rPr>
                <w:rFonts w:ascii="Times New Roman"/>
                <w:sz w:val="18"/>
              </w:rPr>
              <w:t>8,141,444.79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11,950,405.2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r>
      <w:tr>
        <w:trPr>
          <w:trHeight w:val="336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477"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吉林紫鑫禺 拙药业有限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0"/>
              <w:jc w:val="left"/>
              <w:rPr>
                <w:rFonts w:ascii="宋体" w:hAnsi="宋体" w:cs="宋体" w:eastAsia="宋体" w:hint="default"/>
                <w:sz w:val="18"/>
                <w:szCs w:val="18"/>
              </w:rPr>
            </w:pPr>
            <w:r>
              <w:rPr>
                <w:rFonts w:ascii="宋体" w:hAnsi="宋体" w:cs="宋体" w:eastAsia="宋体" w:hint="default"/>
                <w:sz w:val="18"/>
                <w:szCs w:val="18"/>
              </w:rPr>
              <w:t>生产片剂、 硬胶囊剂、 颗粒剂、中 药饮片；人 参、蘑菇、 木耳、 鹿茸销售。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0"/>
                <w:szCs w:val="10"/>
              </w:rPr>
            </w:pPr>
          </w:p>
          <w:p>
            <w:pPr>
              <w:pStyle w:val="TableParagraph"/>
              <w:spacing w:line="1170"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51.75pt;height:58.5pt;mso-position-horizontal-relative:char;mso-position-vertical-relative:line" coordorigin="0,0" coordsize="1035,1170">
                  <v:group style="position:absolute;left:0;top:0;width:1035;height:1170" coordorigin="0,0" coordsize="1035,1170">
                    <v:shape style="position:absolute;left:0;top:0;width:1035;height:1170" coordorigin="0,0" coordsize="1035,1170" path="m0,1170l1035,1170,1035,0,0,0,0,1170xe" filled="true" fillcolor="#ffffff" stroked="false">
                      <v:path arrowok="t"/>
                      <v:fill type="solid"/>
                    </v:shape>
                  </v:group>
                </v:group>
              </w:pict>
            </w:r>
            <w:r>
              <w:rPr>
                <w:rFonts w:ascii="Times New Roman" w:hAnsi="Times New Roman" w:cs="Times New Roman" w:eastAsia="Times New Roman" w:hint="default"/>
                <w:position w:val="-22"/>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303,835,005.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284,772,800.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863,749.10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-10,742,475.</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-10,124,598.</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92</w:t>
            </w:r>
          </w:p>
        </w:tc>
      </w:tr>
      <w:tr>
        <w:trPr>
          <w:trHeight w:val="149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9"/>
              <w:jc w:val="both"/>
              <w:rPr>
                <w:rFonts w:ascii="宋体" w:hAnsi="宋体" w:cs="宋体" w:eastAsia="宋体" w:hint="default"/>
                <w:sz w:val="18"/>
                <w:szCs w:val="18"/>
              </w:rPr>
            </w:pPr>
            <w:r>
              <w:rPr>
                <w:rFonts w:ascii="宋体" w:hAnsi="宋体" w:cs="宋体" w:eastAsia="宋体" w:hint="default"/>
                <w:sz w:val="18"/>
                <w:szCs w:val="18"/>
              </w:rPr>
              <w:t>吉林紫鑫人 参销售有限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50"/>
              <w:ind w:left="22" w:right="110"/>
              <w:jc w:val="left"/>
              <w:rPr>
                <w:rFonts w:ascii="宋体" w:hAnsi="宋体" w:cs="宋体" w:eastAsia="宋体" w:hint="default"/>
                <w:sz w:val="18"/>
                <w:szCs w:val="18"/>
              </w:rPr>
            </w:pPr>
            <w:r>
              <w:rPr>
                <w:rFonts w:ascii="宋体" w:hAnsi="宋体" w:cs="宋体" w:eastAsia="宋体" w:hint="default"/>
                <w:sz w:val="18"/>
                <w:szCs w:val="18"/>
              </w:rPr>
              <w:t>人参及相关 产品的销 售；预包装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39,671,970.2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31,927,902.4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1,691,807.31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-8,370,317.1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-8,366,408.9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47998pt;width:84.95pt;height:678.7pt;mso-position-horizontal-relative:page;mso-position-vertical-relative:page;z-index:-1045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2"/>
                    <w:ind w:left="0" w:right="0" w:firstLine="0"/>
                    <w:jc w:val="left"/>
                    <w:rPr>
                      <w:rFonts w:ascii="宋体" w:hAnsi="宋体" w:cs="宋体" w:eastAsia="宋体" w:hint="default"/>
                      <w:sz w:val="18"/>
                      <w:szCs w:val="18"/>
                    </w:rPr>
                  </w:pPr>
                  <w:r>
                    <w:rPr>
                      <w:rFonts w:ascii="宋体" w:hAnsi="宋体" w:cs="宋体" w:eastAsia="宋体" w:hint="default"/>
                      <w:sz w:val="18"/>
                      <w:szCs w:val="18"/>
                    </w:rPr>
                    <w:t>豆制品、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73"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食品【粮食</w:t>
            </w:r>
          </w:p>
        </w:tc>
        <w:tc>
          <w:tcPr>
            <w:tcW w:w="1046" w:type="dxa"/>
            <w:vMerge w:val="restart"/>
            <w:tcBorders>
              <w:top w:val="single" w:sz="4" w:space="0" w:color="000000"/>
              <w:left w:val="single" w:sz="4" w:space="0" w:color="000000"/>
              <w:right w:val="single" w:sz="4" w:space="0" w:color="000000"/>
            </w:tcBorders>
          </w:tcPr>
          <w:p>
            <w:pPr>
              <w:pStyle w:val="TableParagraph"/>
              <w:spacing w:line="1357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0"/>
                <w:sz w:val="20"/>
                <w:szCs w:val="20"/>
              </w:rPr>
              <w:pict>
                <v:group style="width:51.75pt;height:678.7pt;mso-position-horizontal-relative:char;mso-position-vertical-relative:line" coordorigin="0,0" coordsize="1035,13574">
                  <v:group style="position:absolute;left:0;top:0;width:1035;height:13574" coordorigin="0,0" coordsize="1035,13574">
                    <v:shape style="position:absolute;left:0;top:0;width:1035;height:13574" coordorigin="0,0" coordsize="1035,13574" path="m0,13573l1035,13573,1035,0,0,0,0,13573xe" filled="true" fillcolor="#ffffff" stroked="false">
                      <v:path arrowok="t"/>
                      <v:fill type="solid"/>
                    </v:shape>
                  </v:group>
                </v:group>
              </w:pict>
            </w:r>
            <w:r>
              <w:rPr>
                <w:rFonts w:ascii="Times New Roman" w:hAnsi="Times New Roman" w:cs="Times New Roman" w:eastAsia="Times New Roman" w:hint="default"/>
                <w:position w:val="-270"/>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加工品、调</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味品、肉制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品、饮料、</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蛋制品、糕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糖果制品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（含巧克力</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及制品</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便食品、饼</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干、罐头、</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酒类制品、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蔬菜制品、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水果制品、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炒货食品及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坚果制品、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茶叶及相关</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制品、可可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及烘焙咖啡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产品、特殊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膳食食品</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乳制品（不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含婴幼儿配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方乳粉）批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发兼零售；</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土特产品、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日用百货、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6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化妆品、保</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474"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健食品销</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518"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477"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吉林紫鑫红 石种养殖有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0"/>
              <w:jc w:val="both"/>
              <w:rPr>
                <w:rFonts w:ascii="宋体" w:hAnsi="宋体" w:cs="宋体" w:eastAsia="宋体" w:hint="default"/>
                <w:sz w:val="18"/>
                <w:szCs w:val="18"/>
              </w:rPr>
            </w:pPr>
            <w:r>
              <w:rPr>
                <w:rFonts w:ascii="宋体" w:hAnsi="宋体" w:cs="宋体" w:eastAsia="宋体" w:hint="default"/>
                <w:sz w:val="18"/>
                <w:szCs w:val="18"/>
              </w:rPr>
              <w:t>中药材种植 销售、农副 产品收购</w:t>
            </w:r>
          </w:p>
          <w:p>
            <w:pPr>
              <w:pStyle w:val="TableParagraph"/>
              <w:spacing w:line="477" w:lineRule="auto" w:before="54"/>
              <w:ind w:left="22" w:right="110"/>
              <w:jc w:val="both"/>
              <w:rPr>
                <w:rFonts w:ascii="宋体" w:hAnsi="宋体" w:cs="宋体" w:eastAsia="宋体" w:hint="default"/>
                <w:sz w:val="18"/>
                <w:szCs w:val="18"/>
              </w:rPr>
            </w:pPr>
            <w:r>
              <w:rPr>
                <w:rFonts w:ascii="宋体" w:hAnsi="宋体" w:cs="宋体" w:eastAsia="宋体" w:hint="default"/>
                <w:sz w:val="18"/>
                <w:szCs w:val="18"/>
              </w:rPr>
              <w:t>（以上项目 国家法律、 法规需前置 审批的凭许 可证经营）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867,139,784.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43,896,932.9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17,158,655.1</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-7,644,134.7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-7,644,134.7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r>
      <w:tr>
        <w:trPr>
          <w:trHeight w:val="71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477"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吉林中科紫 鑫科技有限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0"/>
              <w:jc w:val="left"/>
              <w:rPr>
                <w:rFonts w:ascii="宋体" w:hAnsi="宋体" w:cs="宋体" w:eastAsia="宋体" w:hint="default"/>
                <w:sz w:val="18"/>
                <w:szCs w:val="18"/>
              </w:rPr>
            </w:pPr>
            <w:r>
              <w:rPr>
                <w:rFonts w:ascii="宋体" w:hAnsi="宋体" w:cs="宋体" w:eastAsia="宋体" w:hint="default"/>
                <w:sz w:val="18"/>
                <w:szCs w:val="18"/>
              </w:rPr>
              <w:t>为基因测序 仪、基因测 序仪配套试 剂、检测试 剂盒的生产 与销售，新 药、保健食 品及食品、 化学原料 药、人参及 相关产品的 研发、技术 转让、技术 咨询、成果 转让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pacing w:val="-1"/>
                <w:sz w:val="18"/>
              </w:rPr>
              <w:t>257,246,699.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0"/>
              <w:jc w:val="right"/>
              <w:rPr>
                <w:rFonts w:ascii="Times New Roman" w:hAnsi="Times New Roman" w:cs="Times New Roman" w:eastAsia="Times New Roman" w:hint="default"/>
                <w:sz w:val="18"/>
                <w:szCs w:val="18"/>
              </w:rPr>
            </w:pPr>
            <w:r>
              <w:rPr>
                <w:rFonts w:ascii="Times New Roman"/>
                <w:spacing w:val="-1"/>
                <w:sz w:val="18"/>
              </w:rPr>
              <w:t>10,047,952.9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-7,428,810.7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-7,428,810.7</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r>
      <w:tr>
        <w:trPr>
          <w:trHeight w:val="239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477"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吉林紫鑫敦 化医药药材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0"/>
              <w:jc w:val="both"/>
              <w:rPr>
                <w:rFonts w:ascii="宋体" w:hAnsi="宋体" w:cs="宋体" w:eastAsia="宋体" w:hint="default"/>
                <w:sz w:val="18"/>
                <w:szCs w:val="18"/>
              </w:rPr>
            </w:pPr>
            <w:r>
              <w:rPr>
                <w:rFonts w:ascii="宋体" w:hAnsi="宋体" w:cs="宋体" w:eastAsia="宋体" w:hint="default"/>
                <w:sz w:val="18"/>
                <w:szCs w:val="18"/>
              </w:rPr>
              <w:t>本公司主要 经营业务： 中成药、中 药材、中药</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饮片、化学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129,474,898.</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-8,006,987.0</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93,327,850.4</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-6,469,288.0</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-5,277,655.8</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45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10"/>
              <w:jc w:val="both"/>
              <w:rPr>
                <w:rFonts w:ascii="宋体" w:hAnsi="宋体" w:cs="宋体" w:eastAsia="宋体" w:hint="default"/>
                <w:sz w:val="18"/>
                <w:szCs w:val="18"/>
              </w:rPr>
            </w:pPr>
            <w:r>
              <w:rPr>
                <w:rFonts w:ascii="宋体" w:hAnsi="宋体" w:cs="宋体" w:eastAsia="宋体" w:hint="default"/>
                <w:sz w:val="18"/>
                <w:szCs w:val="18"/>
              </w:rPr>
              <w:t>药制剂、抗 生素、生化 药品批发、</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10"/>
              <w:ind w:left="22" w:right="119"/>
              <w:jc w:val="both"/>
              <w:rPr>
                <w:rFonts w:ascii="宋体" w:hAnsi="宋体" w:cs="宋体" w:eastAsia="宋体" w:hint="default"/>
                <w:sz w:val="18"/>
                <w:szCs w:val="18"/>
              </w:rPr>
            </w:pPr>
            <w:r>
              <w:rPr>
                <w:rFonts w:ascii="宋体" w:hAnsi="宋体" w:cs="宋体" w:eastAsia="宋体" w:hint="default"/>
                <w:sz w:val="18"/>
                <w:szCs w:val="18"/>
              </w:rPr>
              <w:t>长春农村商 业银行股份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0"/>
              <w:jc w:val="left"/>
              <w:rPr>
                <w:rFonts w:ascii="宋体" w:hAnsi="宋体" w:cs="宋体" w:eastAsia="宋体" w:hint="default"/>
                <w:sz w:val="18"/>
                <w:szCs w:val="18"/>
              </w:rPr>
            </w:pPr>
            <w:r>
              <w:rPr>
                <w:rFonts w:ascii="宋体" w:hAnsi="宋体" w:cs="宋体" w:eastAsia="宋体" w:hint="default"/>
                <w:sz w:val="18"/>
                <w:szCs w:val="18"/>
              </w:rPr>
              <w:t>吸收人民币 公众存款； 发放人民币 短期、中期 和长期贷 款；办理国 内结算；办 理票据承兑 和贴现；代 理发行、代 理兑付、成 效政府债 券；买卖政 府债券；金 融债券，参 与货币市 场；从事同 业拆借；代 理收付款项 及代理保险 业务；提供 保险箱服 务；从事银 行卡业务。 经中国银行</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业监督管理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50,587,654,2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93.86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2,728,669,17</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1,391,632,96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597,356,136.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457,345,902.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45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10"/>
              <w:jc w:val="left"/>
              <w:rPr>
                <w:rFonts w:ascii="宋体" w:hAnsi="宋体" w:cs="宋体" w:eastAsia="宋体" w:hint="default"/>
                <w:sz w:val="18"/>
                <w:szCs w:val="18"/>
              </w:rPr>
            </w:pPr>
            <w:r>
              <w:rPr>
                <w:rFonts w:ascii="宋体" w:hAnsi="宋体" w:cs="宋体" w:eastAsia="宋体" w:hint="default"/>
                <w:sz w:val="18"/>
                <w:szCs w:val="18"/>
              </w:rPr>
              <w:t>委员会批准 的其他业 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240" w:lineRule="auto" w:before="12"/>
        <w:rPr>
          <w:rFonts w:ascii="宋体" w:hAnsi="宋体" w:cs="宋体" w:eastAsia="宋体" w:hint="default"/>
          <w:sz w:val="20"/>
          <w:szCs w:val="20"/>
        </w:rPr>
      </w:pPr>
    </w:p>
    <w:p>
      <w:pPr>
        <w:spacing w:line="489" w:lineRule="auto" w:before="0"/>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left="490" w:right="0" w:hanging="168"/>
        <w:jc w:val="left"/>
      </w:pPr>
      <w:r>
        <w:rPr/>
        <w:t>（一）公司发展战略 公司未来三年发展战略为中成药、人参产业、基因测序仪三大产业齐头发展。公司以中成药发展为企</w:t>
      </w:r>
    </w:p>
    <w:p>
      <w:pPr>
        <w:pStyle w:val="BodyText"/>
        <w:spacing w:line="408" w:lineRule="auto"/>
        <w:ind w:left="154" w:right="1023"/>
        <w:jc w:val="left"/>
      </w:pPr>
      <w:r>
        <w:rPr/>
        <w:t>业的立足之本，以中药现代化为目标，促使中药更好、更便捷地走进生活，服务大众的身体健康；继承与 创新相结合，提升技术创新能力，加快品牌发展，占有更高市场份额，积极履行企业社会责任，与各相关 </w:t>
      </w:r>
      <w:r>
        <w:rPr>
          <w:spacing w:val="-3"/>
        </w:rPr>
        <w:t>方和谐共进。人参产业作为企业未来发展的排头兵，将依托公司的先进加工技术，积极开展关键技术攻关，</w:t>
      </w:r>
      <w:r>
        <w:rPr>
          <w:spacing w:val="-90"/>
        </w:rPr>
        <w:t> </w:t>
      </w:r>
      <w:r>
        <w:rPr>
          <w:spacing w:val="-90"/>
        </w:rPr>
      </w:r>
      <w:r>
        <w:rPr/>
        <w:t>实现合理的结构调整，提升人参产品的品质，使紫鑫人参成为国际、国内知名品牌，进一步提高核心竞争</w:t>
      </w:r>
      <w:r>
        <w:rPr/>
        <w:t> 力，为提高人类生活品质做出应尽的社会责任。基因测序产业是一个在国内新兴和朝阳的产业，紫鑫药业 </w:t>
      </w:r>
      <w:r>
        <w:rPr>
          <w:spacing w:val="3"/>
        </w:rPr>
        <w:t>与中国科学院北京基因组研究所共同研发的国产化第二代测序仪将缓解测序仪核心技术受制于国外公司</w:t>
      </w:r>
      <w:r>
        <w:rPr>
          <w:spacing w:val="-82"/>
        </w:rPr>
        <w:t> </w:t>
      </w:r>
      <w:r>
        <w:rPr>
          <w:spacing w:val="-82"/>
        </w:rPr>
      </w:r>
      <w:r>
        <w:rPr/>
        <w:t>的现状，在未来时间里，实现甲级以上医院的普及使用，降低基因检测成本，为国人健康提供有效帮助。</w:t>
      </w:r>
    </w:p>
    <w:p>
      <w:pPr>
        <w:pStyle w:val="BodyText"/>
        <w:spacing w:line="408" w:lineRule="auto"/>
        <w:ind w:left="154" w:right="1023" w:firstLine="336"/>
        <w:jc w:val="left"/>
      </w:pPr>
      <w:r>
        <w:rPr/>
        <w:t>公司通过进一步加大对药品、人参食品、保健品、基因测序仪的研发投入，坚持自主创新，不断提高 药品、人参食品、保健品、基因测序仪的质量标准，扩充产能储备；通过扩大产能，完善产品结构，丰富 各类产品线，迅速占领市场，提高产品的市场份额；通过持续建设和完善市场营销网络，加大对市场的投 </w:t>
      </w:r>
      <w:r>
        <w:rPr>
          <w:spacing w:val="-3"/>
        </w:rPr>
        <w:t>入，进一步完善营销人员的专业结构，提升品牌专业形象；通过人才引进、管理创新、完善公司治理结构、</w:t>
      </w:r>
      <w:r>
        <w:rPr>
          <w:spacing w:val="-94"/>
        </w:rPr>
        <w:t> </w:t>
      </w:r>
      <w:r>
        <w:rPr>
          <w:spacing w:val="-94"/>
        </w:rPr>
      </w:r>
      <w:r>
        <w:rPr/>
        <w:t>优化人力资源管理等手段，努力提高公司的经营决策水平；保证公司核心产品的稳步提升，提高营销网络</w:t>
      </w:r>
      <w:r>
        <w:rPr/>
        <w:t> 运行效率，为公司发展提供稳定的现金流支持。</w:t>
      </w:r>
    </w:p>
    <w:p>
      <w:pPr>
        <w:pStyle w:val="BodyText"/>
        <w:spacing w:line="240" w:lineRule="auto"/>
        <w:ind w:left="406" w:right="0"/>
        <w:jc w:val="left"/>
      </w:pPr>
      <w:r>
        <w:rPr/>
        <w:t>（二）业务发展目标</w:t>
      </w:r>
    </w:p>
    <w:p>
      <w:pPr>
        <w:spacing w:line="240" w:lineRule="auto" w:before="10"/>
        <w:rPr>
          <w:rFonts w:ascii="宋体" w:hAnsi="宋体" w:cs="宋体" w:eastAsia="宋体" w:hint="default"/>
          <w:sz w:val="14"/>
          <w:szCs w:val="14"/>
        </w:rPr>
      </w:pPr>
    </w:p>
    <w:p>
      <w:pPr>
        <w:pStyle w:val="BodyText"/>
        <w:spacing w:line="386" w:lineRule="auto" w:before="0"/>
        <w:ind w:left="489" w:right="0"/>
        <w:jc w:val="left"/>
      </w:pPr>
      <w:r>
        <w:rPr>
          <w:rFonts w:ascii="Times New Roman" w:hAnsi="Times New Roman" w:cs="Times New Roman" w:eastAsia="Times New Roman" w:hint="default"/>
        </w:rPr>
        <w:t>1</w:t>
      </w:r>
      <w:r>
        <w:rPr/>
        <w:t>、中成药发展目标 </w:t>
      </w:r>
      <w:r>
        <w:rPr>
          <w:spacing w:val="-3"/>
        </w:rPr>
        <w:t>公司将继续坚持</w:t>
      </w:r>
      <w:r>
        <w:rPr>
          <w:rFonts w:ascii="Times New Roman" w:hAnsi="Times New Roman" w:cs="Times New Roman" w:eastAsia="Times New Roman" w:hint="default"/>
          <w:spacing w:val="-3"/>
        </w:rPr>
        <w:t>“</w:t>
      </w:r>
      <w:r>
        <w:rPr>
          <w:spacing w:val="-3"/>
        </w:rPr>
        <w:t>科学管理，挖潜增效</w:t>
      </w:r>
      <w:r>
        <w:rPr>
          <w:rFonts w:ascii="Times New Roman" w:hAnsi="Times New Roman" w:cs="Times New Roman" w:eastAsia="Times New Roman" w:hint="default"/>
          <w:spacing w:val="-3"/>
        </w:rPr>
        <w:t>”</w:t>
      </w:r>
      <w:r>
        <w:rPr>
          <w:spacing w:val="-3"/>
        </w:rPr>
        <w:t>的既定原则和</w:t>
      </w:r>
      <w:r>
        <w:rPr>
          <w:rFonts w:ascii="Times New Roman" w:hAnsi="Times New Roman" w:cs="Times New Roman" w:eastAsia="Times New Roman" w:hint="default"/>
          <w:spacing w:val="-3"/>
        </w:rPr>
        <w:t>“</w:t>
      </w:r>
      <w:r>
        <w:rPr>
          <w:spacing w:val="-3"/>
        </w:rPr>
        <w:t>以品树人、以德酿药</w:t>
      </w:r>
      <w:r>
        <w:rPr>
          <w:rFonts w:ascii="Times New Roman" w:hAnsi="Times New Roman" w:cs="Times New Roman" w:eastAsia="Times New Roman" w:hint="default"/>
          <w:spacing w:val="-3"/>
        </w:rPr>
        <w:t>”</w:t>
      </w:r>
      <w:r>
        <w:rPr>
          <w:spacing w:val="-3"/>
        </w:rPr>
        <w:t>的企业文化为指引牢牢抓住</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中成药发展这一主线，以心脑血管、抗肿瘤等药品为主攻方向，通过与科研机构、大专院校强强合作的方</w:t>
      </w:r>
      <w:r>
        <w:rPr>
          <w:spacing w:val="-85"/>
        </w:rPr>
        <w:t> </w:t>
      </w:r>
      <w:r>
        <w:rPr>
          <w:spacing w:val="-85"/>
        </w:rPr>
      </w:r>
      <w:r>
        <w:rPr>
          <w:spacing w:val="-1"/>
        </w:rPr>
        <w:t>式开发新药，形成公司独特的竞争优势，进一步加大对研发的投入。同时公司将通过资本运营与生产经营</w:t>
      </w:r>
      <w:r>
        <w:rPr>
          <w:spacing w:val="-83"/>
        </w:rPr>
        <w:t> </w:t>
      </w:r>
      <w:r>
        <w:rPr>
          <w:spacing w:val="-83"/>
        </w:rPr>
      </w:r>
      <w:r>
        <w:rPr>
          <w:spacing w:val="-1"/>
        </w:rPr>
        <w:t>并举，通过收购、并购参股等形式，有计划、有步骤、有目标积极稳妥的收购一些优良药品品种，进而实</w:t>
      </w:r>
      <w:r>
        <w:rPr>
          <w:spacing w:val="-83"/>
        </w:rPr>
        <w:t> </w:t>
      </w:r>
      <w:r>
        <w:rPr>
          <w:spacing w:val="-83"/>
        </w:rPr>
      </w:r>
      <w:r>
        <w:rPr/>
        <w:t>现公司的持续健康发展。</w:t>
      </w:r>
    </w:p>
    <w:p>
      <w:pPr>
        <w:pStyle w:val="BodyText"/>
        <w:spacing w:line="386" w:lineRule="auto"/>
        <w:ind w:left="489" w:right="0"/>
        <w:jc w:val="left"/>
      </w:pPr>
      <w:r>
        <w:rPr>
          <w:rFonts w:ascii="Times New Roman" w:hAnsi="Times New Roman" w:cs="Times New Roman" w:eastAsia="Times New Roman" w:hint="default"/>
        </w:rPr>
        <w:t>2</w:t>
      </w:r>
      <w:r>
        <w:rPr/>
        <w:t>、人参食品发展目标 人参（人工种植）已被卫生部批准为新资源食品，随着大众对健康的关注日益强烈，人参食品、保健</w:t>
      </w:r>
    </w:p>
    <w:p>
      <w:pPr>
        <w:pStyle w:val="BodyText"/>
        <w:spacing w:line="400" w:lineRule="auto" w:before="65"/>
        <w:ind w:right="1026"/>
        <w:jc w:val="both"/>
      </w:pPr>
      <w:r>
        <w:rPr/>
        <w:t>品的需求量也将大幅提升。</w:t>
      </w:r>
      <w:r>
        <w:rPr>
          <w:rFonts w:ascii="Times New Roman" w:hAnsi="Times New Roman" w:cs="Times New Roman" w:eastAsia="Times New Roman" w:hint="default"/>
        </w:rPr>
        <w:t>2009</w:t>
      </w:r>
      <w:r>
        <w:rPr/>
        <w:t>年公司进军人参产业，经历了五年的发展，公司已经研发出</w:t>
      </w:r>
      <w:r>
        <w:rPr>
          <w:rFonts w:ascii="Times New Roman" w:hAnsi="Times New Roman" w:cs="Times New Roman" w:eastAsia="Times New Roman" w:hint="default"/>
        </w:rPr>
        <w:t>500</w:t>
      </w:r>
      <w:r>
        <w:rPr/>
        <w:t>余个人参</w:t>
      </w:r>
      <w:r>
        <w:rPr>
          <w:spacing w:val="-27"/>
        </w:rPr>
        <w:t> </w:t>
      </w:r>
      <w:r>
        <w:rPr>
          <w:spacing w:val="-27"/>
        </w:rPr>
      </w:r>
      <w:r>
        <w:rPr/>
        <w:t>食品、保健品、化妆品等品种，目前已将数十款人参产品推向市场，以人参果蔬发酵饮料、参呼吸饮料、 玉红颜红参阿胶糕、鲜人参蜜片等为代表的产品已经在得到了消费者的好评。公司将会以长春为中心，广</w:t>
      </w:r>
      <w:r>
        <w:rPr/>
        <w:t> </w:t>
      </w:r>
      <w:r>
        <w:rPr>
          <w:spacing w:val="-1"/>
        </w:rPr>
        <w:t>告投入辐射东北三省，同时在南方省份打造</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10</w:t>
      </w:r>
      <w:r>
        <w:rPr>
          <w:spacing w:val="-1"/>
        </w:rPr>
        <w:t>个样板市场，将公司人参深加工产品逐渐推向全国市场。</w:t>
      </w:r>
    </w:p>
    <w:p>
      <w:pPr>
        <w:pStyle w:val="BodyText"/>
        <w:spacing w:line="393" w:lineRule="auto" w:before="21"/>
        <w:ind w:left="154" w:right="1023" w:firstLine="336"/>
        <w:jc w:val="left"/>
      </w:pPr>
      <w:r>
        <w:rPr/>
        <w:t>未来人参产业作为企业的主要利润增长点，公司将采用研发</w:t>
      </w:r>
      <w:r>
        <w:rPr>
          <w:rFonts w:ascii="Times New Roman" w:hAnsi="Times New Roman" w:cs="Times New Roman" w:eastAsia="Times New Roman" w:hint="default"/>
        </w:rPr>
        <w:t>—</w:t>
      </w:r>
      <w:r>
        <w:rPr/>
        <w:t>生产</w:t>
      </w:r>
      <w:r>
        <w:rPr>
          <w:rFonts w:ascii="Times New Roman" w:hAnsi="Times New Roman" w:cs="Times New Roman" w:eastAsia="Times New Roman" w:hint="default"/>
        </w:rPr>
        <w:t>—</w:t>
      </w:r>
      <w:r>
        <w:rPr/>
        <w:t>销售全程无缝对接的模式，以销 </w:t>
      </w:r>
      <w:r>
        <w:rPr>
          <w:spacing w:val="-3"/>
        </w:rPr>
        <w:t>售为导向，研发出更多适合消费者的人参品种。公司的战略是将研发出全系列的人参品种，根据市场需求，</w:t>
      </w:r>
      <w:r>
        <w:rPr>
          <w:spacing w:val="-90"/>
        </w:rPr>
        <w:t> </w:t>
      </w:r>
      <w:r>
        <w:rPr>
          <w:spacing w:val="-90"/>
        </w:rPr>
      </w:r>
      <w:r>
        <w:rPr/>
        <w:t>将不同的人参品种在未来</w:t>
      </w:r>
      <w:r>
        <w:rPr>
          <w:rFonts w:ascii="Times New Roman" w:hAnsi="Times New Roman" w:cs="Times New Roman" w:eastAsia="Times New Roman" w:hint="default"/>
        </w:rPr>
        <w:t>5</w:t>
      </w:r>
      <w:r>
        <w:rPr/>
        <w:t>年内全部推向市场，进一步提高人参产业在市场的占有率，进一步巩固人参产</w:t>
      </w:r>
      <w:r>
        <w:rPr>
          <w:spacing w:val="-32"/>
        </w:rPr>
        <w:t> </w:t>
      </w:r>
      <w:r>
        <w:rPr>
          <w:spacing w:val="-32"/>
        </w:rPr>
      </w:r>
      <w:r>
        <w:rPr/>
        <w:t>业龙头企业的地位。</w:t>
      </w:r>
    </w:p>
    <w:p>
      <w:pPr>
        <w:pStyle w:val="BodyText"/>
        <w:spacing w:line="386" w:lineRule="auto" w:before="58"/>
        <w:ind w:left="490" w:right="0"/>
        <w:jc w:val="left"/>
      </w:pPr>
      <w:r>
        <w:rPr>
          <w:rFonts w:ascii="Times New Roman" w:hAnsi="Times New Roman" w:cs="Times New Roman" w:eastAsia="Times New Roman" w:hint="default"/>
        </w:rPr>
        <w:t>3</w:t>
      </w:r>
      <w:r>
        <w:rPr/>
        <w:t>、基因测序产业发展目标 目前公司研发的基因测序仪是国内第一台能够达到和部分超越国际主流设备技术指标的国产化第二代</w:t>
      </w:r>
    </w:p>
    <w:p>
      <w:pPr>
        <w:pStyle w:val="BodyText"/>
        <w:spacing w:line="386" w:lineRule="auto" w:before="65"/>
        <w:ind w:left="490" w:right="0" w:hanging="336"/>
        <w:jc w:val="left"/>
      </w:pPr>
      <w:r>
        <w:rPr/>
        <w:t>测序仪，且成本低于进口设备的</w:t>
      </w:r>
      <w:r>
        <w:rPr>
          <w:rFonts w:ascii="Times New Roman" w:hAnsi="Times New Roman" w:cs="Times New Roman" w:eastAsia="Times New Roman" w:hint="default"/>
        </w:rPr>
        <w:t>1/2</w:t>
      </w:r>
      <w:r>
        <w:rPr/>
        <w:t>以上，应用成本低于进口设备的</w:t>
      </w:r>
      <w:r>
        <w:rPr>
          <w:rFonts w:ascii="Times New Roman" w:hAnsi="Times New Roman" w:cs="Times New Roman" w:eastAsia="Times New Roman" w:hint="default"/>
        </w:rPr>
        <w:t>1/3</w:t>
      </w:r>
      <w:r>
        <w:rPr/>
        <w:t>以上。 基因测序的技术团队为中科院北京基因组研究所核心团队，多年来从事基因组学与生物信息学基础研</w:t>
      </w:r>
    </w:p>
    <w:p>
      <w:pPr>
        <w:pStyle w:val="BodyText"/>
        <w:spacing w:line="408" w:lineRule="auto" w:before="65"/>
        <w:ind w:left="490" w:right="0" w:hanging="336"/>
        <w:jc w:val="left"/>
      </w:pPr>
      <w:r>
        <w:rPr/>
        <w:t>究和应用开发工作，具备充分的技术服务专业基础，技术已经达到国际一流水平。 基因测序仪的用途：传染性疾病的预防、控制和诊疗，生物恐怖因子、食源性致病因子和转基因成分</w:t>
      </w:r>
    </w:p>
    <w:p>
      <w:pPr>
        <w:pStyle w:val="BodyText"/>
        <w:spacing w:line="408" w:lineRule="auto"/>
        <w:ind w:left="154" w:right="1131"/>
        <w:jc w:val="both"/>
      </w:pPr>
      <w:r>
        <w:rPr>
          <w:spacing w:val="-1"/>
        </w:rPr>
        <w:t>鉴定，口岸卫生和有害生物防御性检疫，以及针对人类遗传多样性而产生的疾病早期预警和个体化用药相</w:t>
      </w:r>
      <w:r>
        <w:rPr>
          <w:spacing w:val="-81"/>
        </w:rPr>
        <w:t> </w:t>
      </w:r>
      <w:r>
        <w:rPr>
          <w:spacing w:val="-81"/>
        </w:rPr>
      </w:r>
      <w:r>
        <w:rPr>
          <w:spacing w:val="-1"/>
        </w:rPr>
        <w:t>关基因的检测分析等。该系统的国产化可以极大程度降低相关科研机构在设备试剂上的投入，减轻对国外</w:t>
      </w:r>
      <w:r>
        <w:rPr>
          <w:spacing w:val="-81"/>
        </w:rPr>
        <w:t> </w:t>
      </w:r>
      <w:r>
        <w:rPr>
          <w:spacing w:val="-81"/>
        </w:rPr>
      </w:r>
      <w:r>
        <w:rPr/>
        <w:t>厂商的依赖和高额资金负担，提高科研经费利用效率。</w:t>
      </w:r>
    </w:p>
    <w:p>
      <w:pPr>
        <w:pStyle w:val="BodyText"/>
        <w:spacing w:line="240" w:lineRule="auto"/>
        <w:ind w:left="490" w:right="0"/>
        <w:jc w:val="left"/>
      </w:pPr>
      <w:r>
        <w:rPr/>
        <w:t>（三）公司未来发展计划</w:t>
      </w:r>
    </w:p>
    <w:p>
      <w:pPr>
        <w:spacing w:line="240" w:lineRule="auto" w:before="10"/>
        <w:rPr>
          <w:rFonts w:ascii="宋体" w:hAnsi="宋体" w:cs="宋体" w:eastAsia="宋体" w:hint="default"/>
          <w:sz w:val="14"/>
          <w:szCs w:val="14"/>
        </w:rPr>
      </w:pPr>
    </w:p>
    <w:p>
      <w:pPr>
        <w:pStyle w:val="BodyText"/>
        <w:spacing w:line="386" w:lineRule="auto" w:before="0"/>
        <w:ind w:left="490" w:right="0"/>
        <w:jc w:val="left"/>
      </w:pPr>
      <w:r>
        <w:rPr/>
        <w:t>（</w:t>
      </w:r>
      <w:r>
        <w:rPr>
          <w:rFonts w:ascii="Times New Roman" w:hAnsi="Times New Roman" w:cs="Times New Roman" w:eastAsia="Times New Roman" w:hint="default"/>
        </w:rPr>
        <w:t>1</w:t>
      </w:r>
      <w:r>
        <w:rPr/>
        <w:t>）技术开发和创新 公司将通过持续开展技术开发和创新以保证产品的技术和质量优势。公司将利用新工艺、新技术、新</w:t>
      </w:r>
    </w:p>
    <w:p>
      <w:pPr>
        <w:pStyle w:val="BodyText"/>
        <w:spacing w:line="400" w:lineRule="auto" w:before="65"/>
        <w:ind w:right="1131"/>
        <w:jc w:val="both"/>
      </w:pPr>
      <w:r>
        <w:rPr>
          <w:spacing w:val="-1"/>
        </w:rPr>
        <w:t>材料、新设备对现有产品不断的进行改造升级，严格按照</w:t>
      </w:r>
      <w:r>
        <w:rPr>
          <w:rFonts w:ascii="Times New Roman" w:hAnsi="Times New Roman" w:cs="Times New Roman" w:eastAsia="Times New Roman" w:hint="default"/>
          <w:spacing w:val="-1"/>
        </w:rPr>
        <w:t>GMP</w:t>
      </w:r>
      <w:r>
        <w:rPr>
          <w:spacing w:val="-1"/>
        </w:rPr>
        <w:t>、</w:t>
      </w:r>
      <w:r>
        <w:rPr>
          <w:rFonts w:ascii="Times New Roman" w:hAnsi="Times New Roman" w:cs="Times New Roman" w:eastAsia="Times New Roman" w:hint="default"/>
          <w:spacing w:val="-1"/>
        </w:rPr>
        <w:t>GSP</w:t>
      </w:r>
      <w:r>
        <w:rPr>
          <w:spacing w:val="-1"/>
        </w:rPr>
        <w:t>要求进行生产，提高产品质量、降低</w:t>
      </w:r>
      <w:r>
        <w:rPr>
          <w:spacing w:val="-85"/>
        </w:rPr>
        <w:t> </w:t>
      </w:r>
      <w:r>
        <w:rPr>
          <w:spacing w:val="-85"/>
        </w:rPr>
      </w:r>
      <w:r>
        <w:rPr>
          <w:spacing w:val="-1"/>
        </w:rPr>
        <w:t>原材料和能源的消耗，提高生产过程的自动化水平，优化和更新生产工艺。公司将加大科研队伍的建设力</w:t>
      </w:r>
      <w:r>
        <w:rPr>
          <w:spacing w:val="-82"/>
        </w:rPr>
        <w:t> </w:t>
      </w:r>
      <w:r>
        <w:rPr>
          <w:spacing w:val="-82"/>
        </w:rPr>
      </w:r>
      <w:r>
        <w:rPr>
          <w:spacing w:val="-1"/>
        </w:rPr>
        <w:t>度，从资金、政策给以极大的扶持力度，注重提升现有科研人员的质素，同时加大引进高素质人才充实到</w:t>
      </w:r>
      <w:r>
        <w:rPr>
          <w:spacing w:val="-86"/>
        </w:rPr>
        <w:t> </w:t>
      </w:r>
      <w:r>
        <w:rPr>
          <w:spacing w:val="-86"/>
        </w:rPr>
      </w:r>
      <w:r>
        <w:rPr>
          <w:spacing w:val="-1"/>
        </w:rPr>
        <w:t>科研人员队伍中。公司将加强与外部科研机构的合作，充分利用外脑的优势，提高科研技术开发水平，实</w:t>
      </w:r>
    </w:p>
    <w:p>
      <w:pPr>
        <w:spacing w:after="0" w:line="4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现公司可持续快速的发展。在开展技术开发和创新的同时，公司将注重保护和完善知识产品体系，通过申</w:t>
      </w:r>
      <w:r>
        <w:rPr>
          <w:spacing w:val="-83"/>
        </w:rPr>
        <w:t> </w:t>
      </w:r>
      <w:r>
        <w:rPr>
          <w:spacing w:val="-83"/>
        </w:rPr>
      </w:r>
      <w:r>
        <w:rPr/>
        <w:t>请专利、签订《保密协议》和提高科研人员薪酬待遇等激励方法进行对技术开发和创新成果的保密性。</w:t>
      </w:r>
    </w:p>
    <w:p>
      <w:pPr>
        <w:pStyle w:val="BodyText"/>
        <w:spacing w:line="386" w:lineRule="auto"/>
        <w:ind w:left="490" w:right="0"/>
        <w:jc w:val="left"/>
      </w:pPr>
      <w:r>
        <w:rPr/>
        <w:t>（</w:t>
      </w:r>
      <w:r>
        <w:rPr>
          <w:rFonts w:ascii="Times New Roman" w:hAnsi="Times New Roman" w:cs="Times New Roman" w:eastAsia="Times New Roman" w:hint="default"/>
        </w:rPr>
        <w:t>2</w:t>
      </w:r>
      <w:r>
        <w:rPr/>
        <w:t>）产品的开发计划 公司仍将坚持规划一代、研发一代、储备一代、生产一代的原则，坚持中成药发展、人参产业发展、</w:t>
      </w:r>
    </w:p>
    <w:p>
      <w:pPr>
        <w:pStyle w:val="BodyText"/>
        <w:spacing w:line="400" w:lineRule="auto" w:before="65"/>
        <w:ind w:left="154" w:right="1130"/>
        <w:jc w:val="both"/>
      </w:pPr>
      <w:r>
        <w:rPr>
          <w:spacing w:val="-1"/>
        </w:rPr>
        <w:t>基因测序仪产业发展三条主线同时走路的方式。加大处方药研发力度，争取在未来</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w:t>
      </w:r>
      <w:r>
        <w:rPr>
          <w:spacing w:val="-1"/>
        </w:rPr>
        <w:t>年内研发出</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w:t>
      </w:r>
      <w:r>
        <w:rPr>
          <w:spacing w:val="-1"/>
        </w:rPr>
        <w:t>个</w:t>
      </w:r>
      <w:r>
        <w:rPr>
          <w:spacing w:val="-81"/>
        </w:rPr>
        <w:t> </w:t>
      </w:r>
      <w:r>
        <w:rPr>
          <w:spacing w:val="-1"/>
        </w:rPr>
        <w:t>国家一类新药。深挖人参的药用、食用功效，对人参食品要坚持以市场为导向，建立快速反应机制，在推</w:t>
      </w:r>
      <w:r>
        <w:rPr>
          <w:spacing w:val="-83"/>
        </w:rPr>
        <w:t> </w:t>
      </w:r>
      <w:r>
        <w:rPr>
          <w:spacing w:val="-83"/>
        </w:rPr>
      </w:r>
      <w:r>
        <w:rPr>
          <w:spacing w:val="-1"/>
        </w:rPr>
        <w:t>出产品之前，要建立好流通网络渠道。基因测序方面，将已经研发成功的二代基因测序仪进行批量生产的</w:t>
      </w:r>
      <w:r>
        <w:rPr>
          <w:spacing w:val="-83"/>
        </w:rPr>
        <w:t> </w:t>
      </w:r>
      <w:r>
        <w:rPr>
          <w:spacing w:val="-83"/>
        </w:rPr>
      </w:r>
      <w:r>
        <w:rPr/>
        <w:t>同时，组织技术人员对三代测序仪的技术攻关，力争在</w:t>
      </w:r>
      <w:r>
        <w:rPr>
          <w:rFonts w:ascii="Times New Roman" w:hAnsi="Times New Roman" w:cs="Times New Roman" w:eastAsia="Times New Roman" w:hint="default"/>
        </w:rPr>
        <w:t>3</w:t>
      </w:r>
      <w:r>
        <w:rPr/>
        <w:t>年内成功研发出第三代测序仪，抢占国际市场。</w:t>
      </w:r>
    </w:p>
    <w:p>
      <w:pPr>
        <w:pStyle w:val="BodyText"/>
        <w:spacing w:line="386" w:lineRule="auto" w:before="21"/>
        <w:ind w:left="490" w:right="0"/>
        <w:jc w:val="left"/>
      </w:pPr>
      <w:r>
        <w:rPr/>
        <w:t>（</w:t>
      </w:r>
      <w:r>
        <w:rPr>
          <w:rFonts w:ascii="Times New Roman" w:hAnsi="Times New Roman" w:cs="Times New Roman" w:eastAsia="Times New Roman" w:hint="default"/>
        </w:rPr>
        <w:t>3</w:t>
      </w:r>
      <w:r>
        <w:rPr/>
        <w:t>）市场开拓计划 在市场开拓方面，公司一直坚持采取</w:t>
      </w:r>
      <w:r>
        <w:rPr>
          <w:rFonts w:ascii="Times New Roman" w:hAnsi="Times New Roman" w:cs="Times New Roman" w:eastAsia="Times New Roman" w:hint="default"/>
        </w:rPr>
        <w:t>“</w:t>
      </w:r>
      <w:r>
        <w:rPr/>
        <w:t>品种树立品牌、品牌带动品种</w:t>
      </w:r>
      <w:r>
        <w:rPr>
          <w:rFonts w:ascii="Times New Roman" w:hAnsi="Times New Roman" w:cs="Times New Roman" w:eastAsia="Times New Roman" w:hint="default"/>
        </w:rPr>
        <w:t>”</w:t>
      </w:r>
      <w:r>
        <w:rPr/>
        <w:t>的策略。公司中成药的市场已经</w:t>
      </w:r>
    </w:p>
    <w:p>
      <w:pPr>
        <w:pStyle w:val="BodyText"/>
        <w:spacing w:line="408" w:lineRule="auto" w:before="35"/>
        <w:ind w:right="1110"/>
        <w:jc w:val="both"/>
      </w:pPr>
      <w:r>
        <w:rPr/>
        <w:t>形成了较为完善的销售渠道，紫鑫品牌已经得到了市场的认可。未来几年公司将大力巩固药品销售市场， 积极参加各地方政府、医院组织的招标会，进一步提高公司的市场占有率。</w:t>
      </w:r>
    </w:p>
    <w:p>
      <w:pPr>
        <w:pStyle w:val="BodyText"/>
        <w:spacing w:line="403" w:lineRule="auto"/>
        <w:ind w:right="0" w:firstLine="336"/>
        <w:jc w:val="left"/>
      </w:pPr>
      <w:r>
        <w:rPr/>
        <w:t>人参产品在初期发展过程中，公司将利用几个科技含量高、易取得消费者认可的主力品种提升企业的 知名度，在品牌形象初步树立后，带动公司已经研发出的</w:t>
      </w:r>
      <w:r>
        <w:rPr>
          <w:rFonts w:ascii="Times New Roman" w:hAnsi="Times New Roman" w:cs="Times New Roman" w:eastAsia="Times New Roman" w:hint="default"/>
        </w:rPr>
        <w:t>500</w:t>
      </w:r>
      <w:r>
        <w:rPr/>
        <w:t>多个人参食品、保健品品种按照市场的需求</w:t>
      </w:r>
      <w:r>
        <w:rPr>
          <w:spacing w:val="-30"/>
        </w:rPr>
        <w:t> </w:t>
      </w:r>
      <w:r>
        <w:rPr>
          <w:spacing w:val="-30"/>
        </w:rPr>
      </w:r>
      <w:r>
        <w:rPr/>
        <w:t>分批次的推向市场。人参产品的销售模式针对不同的产品，相应采用灵活的销售方式。目前，公司人参专</w:t>
      </w:r>
      <w:r>
        <w:rPr/>
        <w:t> </w:t>
      </w:r>
      <w:r>
        <w:rPr>
          <w:spacing w:val="3"/>
        </w:rPr>
        <w:t>卖店基本形成了以在吉林省内重点城市和旅游景点开设专卖店和拓展全国重点城市机场专卖店渠道的开</w:t>
      </w:r>
      <w:r>
        <w:rPr>
          <w:spacing w:val="-76"/>
        </w:rPr>
        <w:t> </w:t>
      </w:r>
      <w:r>
        <w:rPr>
          <w:spacing w:val="-76"/>
        </w:rPr>
      </w:r>
      <w:r>
        <w:rPr/>
        <w:t>拓思路，并且已基本完成省内专卖店的布局，正积极推进全国机场专卖店的相关工作。省外市场则以全国</w:t>
      </w:r>
      <w:r>
        <w:rPr/>
        <w:t> 专卖店渠道的开拓为主，外加参呼吸产品在省内和省外的招商来实现销售目标，目前已经在长三角等经济 发达的南方地区基本完成了参呼吸产品经销商和专卖店渠道意向客户的布局工作，在大连等北方发达城市 </w:t>
      </w:r>
      <w:r>
        <w:rPr>
          <w:spacing w:val="2"/>
        </w:rPr>
        <w:t>也已经完成了招商建店工作，并以此为样板开始在北方重点地区的布局。未来，公司将坚持</w:t>
      </w:r>
      <w:r>
        <w:rPr>
          <w:rFonts w:ascii="Times New Roman" w:hAnsi="Times New Roman" w:cs="Times New Roman" w:eastAsia="Times New Roman" w:hint="default"/>
          <w:spacing w:val="2"/>
        </w:rPr>
        <w:t>“</w:t>
      </w:r>
      <w:r>
        <w:rPr>
          <w:spacing w:val="2"/>
        </w:rPr>
        <w:t>立足吉林，</w:t>
      </w:r>
      <w:r>
        <w:rPr>
          <w:spacing w:val="-103"/>
        </w:rPr>
        <w:t> </w:t>
      </w:r>
      <w:r>
        <w:rPr>
          <w:spacing w:val="-1"/>
        </w:rPr>
        <w:t>经略东北，辐射全国</w:t>
      </w:r>
      <w:r>
        <w:rPr>
          <w:rFonts w:ascii="Times New Roman" w:hAnsi="Times New Roman" w:cs="Times New Roman" w:eastAsia="Times New Roman" w:hint="default"/>
          <w:spacing w:val="-1"/>
        </w:rPr>
        <w:t>”</w:t>
      </w:r>
      <w:r>
        <w:rPr>
          <w:spacing w:val="-1"/>
        </w:rPr>
        <w:t>策略，以长春作为核心市场进行精耕细作，打造成样板市场进行示范推广；将吉林、</w:t>
      </w:r>
      <w:r>
        <w:rPr>
          <w:spacing w:val="-70"/>
        </w:rPr>
        <w:t> </w:t>
      </w:r>
      <w:r>
        <w:rPr>
          <w:spacing w:val="-70"/>
        </w:rPr>
      </w:r>
      <w:r>
        <w:rPr/>
        <w:t>松原、延吉等省内外阜城市作为重点市场进行运作，集中资源以点带面循序渐进，力求扎实稳妥推进，夯</w:t>
      </w:r>
      <w:r>
        <w:rPr/>
        <w:t> 实本省市场基础；将沈阳、大连、哈尔滨等东北重点城市作为潜力市场积极拓展，挖掘东北三省的市场潜 力；将杭州、上海、苏州等南方城市和天津、银川、西安等北方城市作为开拓市场，通过经销商资源进行 分渠道的推广拓展，结合相关区域的重要展会招商等方式进行全国重点区域的辐射和开拓。</w:t>
      </w:r>
    </w:p>
    <w:p>
      <w:pPr>
        <w:pStyle w:val="BodyText"/>
        <w:spacing w:line="408" w:lineRule="auto" w:before="50"/>
        <w:ind w:right="1024" w:firstLine="336"/>
        <w:jc w:val="left"/>
      </w:pPr>
      <w:r>
        <w:rPr/>
        <w:t>基因测序仪产业的市场主要是面向国家三甲医院、体检中心以及科研机构，测序仪的销售不是单纯销 </w:t>
      </w:r>
      <w:r>
        <w:rPr>
          <w:spacing w:val="-3"/>
        </w:rPr>
        <w:t>售仪器，而是售后的一系列保证服务，公司将有针对性的培训专业人才，为客户提供良好的售后保证服务，</w:t>
      </w:r>
      <w:r>
        <w:rPr>
          <w:spacing w:val="-89"/>
        </w:rPr>
        <w:t> </w:t>
      </w:r>
      <w:r>
        <w:rPr>
          <w:spacing w:val="-89"/>
        </w:rPr>
      </w:r>
      <w:r>
        <w:rPr/>
        <w:t>让公司的服务成为口碑。</w:t>
      </w:r>
    </w:p>
    <w:p>
      <w:pPr>
        <w:pStyle w:val="BodyText"/>
        <w:spacing w:line="386" w:lineRule="auto"/>
        <w:ind w:left="490" w:right="0"/>
        <w:jc w:val="left"/>
      </w:pPr>
      <w:r>
        <w:rPr/>
        <w:t>（</w:t>
      </w:r>
      <w:r>
        <w:rPr>
          <w:rFonts w:ascii="Times New Roman" w:hAnsi="Times New Roman" w:cs="Times New Roman" w:eastAsia="Times New Roman" w:hint="default"/>
        </w:rPr>
        <w:t>4</w:t>
      </w:r>
      <w:r>
        <w:rPr/>
        <w:t>）人力资源发展计划 根据公司发展规划，未来两年公司将增强处方药的研发，积极开拓人参销售渠道，大力研制基因测序</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3"/>
        <w:jc w:val="both"/>
      </w:pPr>
      <w:r>
        <w:rPr>
          <w:spacing w:val="-1"/>
        </w:rPr>
        <w:t>仪，为保证上述项目的顺利实施和满足正常生产运营的需要，公司计划加大对生产、销售、管理、研发等</w:t>
      </w:r>
      <w:r>
        <w:rPr>
          <w:spacing w:val="-83"/>
        </w:rPr>
        <w:t> </w:t>
      </w:r>
      <w:r>
        <w:rPr>
          <w:spacing w:val="-83"/>
        </w:rPr>
      </w:r>
      <w:r>
        <w:rPr>
          <w:spacing w:val="-1"/>
        </w:rPr>
        <w:t>人员的引进，并通过在职培训、脱产学习等多种方式，加强公司后备生产经营管理、技术研发等人才的培</w:t>
      </w:r>
      <w:r>
        <w:rPr>
          <w:spacing w:val="-86"/>
        </w:rPr>
        <w:t> </w:t>
      </w:r>
      <w:r>
        <w:rPr>
          <w:spacing w:val="-86"/>
        </w:rPr>
      </w:r>
      <w:r>
        <w:rPr/>
        <w:t>养，满足公司快速发展中对相关人才的迫切需求。</w:t>
      </w:r>
    </w:p>
    <w:p>
      <w:pPr>
        <w:pStyle w:val="BodyText"/>
        <w:spacing w:line="240" w:lineRule="auto"/>
        <w:ind w:left="573" w:right="0"/>
        <w:jc w:val="left"/>
      </w:pPr>
      <w:r>
        <w:rPr/>
        <w:t>（四）、可能面对的风险</w:t>
      </w:r>
    </w:p>
    <w:p>
      <w:pPr>
        <w:spacing w:line="240" w:lineRule="auto" w:before="10"/>
        <w:rPr>
          <w:rFonts w:ascii="宋体" w:hAnsi="宋体" w:cs="宋体" w:eastAsia="宋体" w:hint="default"/>
          <w:sz w:val="14"/>
          <w:szCs w:val="14"/>
        </w:rPr>
      </w:pPr>
    </w:p>
    <w:p>
      <w:pPr>
        <w:pStyle w:val="BodyText"/>
        <w:spacing w:line="386" w:lineRule="auto" w:before="0"/>
        <w:ind w:left="489" w:right="0"/>
        <w:jc w:val="left"/>
      </w:pPr>
      <w:r>
        <w:rPr>
          <w:rFonts w:ascii="Times New Roman" w:hAnsi="Times New Roman" w:cs="Times New Roman" w:eastAsia="Times New Roman" w:hint="default"/>
        </w:rPr>
        <w:t>1</w:t>
      </w:r>
      <w:r>
        <w:rPr/>
        <w:t>、新产品开发风险 由于新药产品开发从研制、临床试验报批到投产的周期长、环节多、投入大，新药研发风险较大。根</w:t>
      </w:r>
    </w:p>
    <w:p>
      <w:pPr>
        <w:pStyle w:val="BodyText"/>
        <w:spacing w:line="408" w:lineRule="auto" w:before="65"/>
        <w:ind w:right="1110"/>
        <w:jc w:val="both"/>
      </w:pPr>
      <w:r>
        <w:rPr/>
        <w:t>据《药品注册管理办法》等法规的相关规定，新药注册一般需经过临床前基础工作、新药临床研究审批、 </w:t>
      </w:r>
      <w:r>
        <w:rPr>
          <w:spacing w:val="-1"/>
        </w:rPr>
        <w:t>新药生产审批等阶段，如果最终未能通过新药注册审批，则可能导致新药研发失败，进而影响到公司前期</w:t>
      </w:r>
      <w:r>
        <w:rPr>
          <w:spacing w:val="-83"/>
        </w:rPr>
        <w:t> </w:t>
      </w:r>
      <w:r>
        <w:rPr>
          <w:spacing w:val="-83"/>
        </w:rPr>
      </w:r>
      <w:r>
        <w:rPr/>
        <w:t>投入的回收和经济效益的实现。</w:t>
      </w:r>
      <w:r>
        <w:rPr>
          <w:spacing w:val="-14"/>
        </w:rPr>
        <w:t> </w:t>
      </w:r>
      <w:r>
        <w:rPr/>
        <w:t>另外，</w:t>
      </w:r>
      <w:r>
        <w:rPr>
          <w:spacing w:val="-15"/>
        </w:rPr>
        <w:t> </w:t>
      </w:r>
      <w:r>
        <w:rPr/>
        <w:t>如果公司新药不能很好适应不断变化的市场需求，或者开发的新</w:t>
      </w:r>
      <w:r>
        <w:rPr>
          <w:spacing w:val="-103"/>
        </w:rPr>
        <w:t> </w:t>
      </w:r>
      <w:r>
        <w:rPr>
          <w:spacing w:val="-103"/>
        </w:rPr>
      </w:r>
      <w:r>
        <w:rPr/>
        <w:t>药未能很快被市场接受，将加大公司的运营成本，对公司的盈利水平和未来发展产生一定影响。</w:t>
      </w:r>
    </w:p>
    <w:p>
      <w:pPr>
        <w:pStyle w:val="BodyText"/>
        <w:spacing w:line="386" w:lineRule="auto"/>
        <w:ind w:left="489" w:right="0"/>
        <w:jc w:val="left"/>
      </w:pPr>
      <w:r>
        <w:rPr>
          <w:rFonts w:ascii="Times New Roman" w:hAnsi="Times New Roman" w:cs="Times New Roman" w:eastAsia="Times New Roman" w:hint="default"/>
        </w:rPr>
        <w:t>2</w:t>
      </w:r>
      <w:r>
        <w:rPr/>
        <w:t>、规模快速扩张带来的管理风险 公司在历经十五年的发展过程中，已积累了一定的管理经验并培养出一批管理人员。随着募集资金投</w:t>
      </w:r>
    </w:p>
    <w:p>
      <w:pPr>
        <w:pStyle w:val="BodyText"/>
        <w:spacing w:line="408" w:lineRule="auto" w:before="65"/>
        <w:ind w:right="1110"/>
        <w:jc w:val="both"/>
      </w:pPr>
      <w:r>
        <w:rPr/>
        <w:t>资项目的逐步实施，公司的资产和业务规模都将迅速扩大。规模快速扩张将使管理任务加重、 管理难度</w:t>
      </w:r>
      <w:r>
        <w:rPr>
          <w:spacing w:val="-37"/>
        </w:rPr>
        <w:t> </w:t>
      </w:r>
      <w:r>
        <w:rPr>
          <w:spacing w:val="-37"/>
        </w:rPr>
      </w:r>
      <w:r>
        <w:rPr/>
        <w:t>加大。若公司的组织模式、管理制度和人员不能适应公司的快速发展，将会给公司的发展带来不利影响。</w:t>
      </w:r>
    </w:p>
    <w:p>
      <w:pPr>
        <w:pStyle w:val="BodyText"/>
        <w:spacing w:line="386" w:lineRule="auto"/>
        <w:ind w:left="489" w:right="0"/>
        <w:jc w:val="left"/>
      </w:pPr>
      <w:r>
        <w:rPr>
          <w:rFonts w:ascii="Times New Roman" w:hAnsi="Times New Roman" w:cs="Times New Roman" w:eastAsia="Times New Roman" w:hint="default"/>
        </w:rPr>
        <w:t>3</w:t>
      </w:r>
      <w:r>
        <w:rPr/>
        <w:t>、新增固定资产折旧及净资产收益率下降的风险 募集资金投资项目完工后，公司固定资产将有较大幅度的增加，产生的折旧费用将会有所增加，从而</w:t>
      </w:r>
    </w:p>
    <w:p>
      <w:pPr>
        <w:pStyle w:val="BodyText"/>
        <w:spacing w:line="408" w:lineRule="auto" w:before="65"/>
        <w:ind w:right="1132"/>
        <w:jc w:val="both"/>
      </w:pPr>
      <w:r>
        <w:rPr>
          <w:spacing w:val="-1"/>
        </w:rPr>
        <w:t>增加公司生产经营的成本。如果市场出现变化或者出现其他事先无法预期的情况导致新增产能的效益情况</w:t>
      </w:r>
      <w:r>
        <w:rPr>
          <w:spacing w:val="-81"/>
        </w:rPr>
        <w:t> </w:t>
      </w:r>
      <w:r>
        <w:rPr>
          <w:spacing w:val="-81"/>
        </w:rPr>
      </w:r>
      <w:r>
        <w:rPr/>
        <w:t>未达到预期目标，折旧费用的增加将对公司未来整体经营业绩造成一定影响。</w:t>
      </w:r>
    </w:p>
    <w:p>
      <w:pPr>
        <w:pStyle w:val="BodyText"/>
        <w:spacing w:line="386" w:lineRule="auto"/>
        <w:ind w:left="489" w:right="0"/>
        <w:jc w:val="left"/>
      </w:pPr>
      <w:r>
        <w:rPr>
          <w:rFonts w:ascii="Times New Roman" w:hAnsi="Times New Roman" w:cs="Times New Roman" w:eastAsia="Times New Roman" w:hint="default"/>
        </w:rPr>
        <w:t>4</w:t>
      </w:r>
      <w:r>
        <w:rPr/>
        <w:t>、原材料风险 如果公司不能保证充足的原材料供应，将导致公司总产能无法完全释放，给公司的主营业务收入和募</w:t>
      </w:r>
    </w:p>
    <w:p>
      <w:pPr>
        <w:pStyle w:val="BodyText"/>
        <w:spacing w:line="408" w:lineRule="auto" w:before="65"/>
        <w:ind w:right="1131"/>
        <w:jc w:val="both"/>
      </w:pPr>
      <w:r>
        <w:rPr>
          <w:spacing w:val="-1"/>
        </w:rPr>
        <w:t>投项目的预期效益带来不利影响。而原材料供应不足导致的价格波动将造成公司采购成本的攀升，进而影</w:t>
      </w:r>
      <w:r>
        <w:rPr>
          <w:spacing w:val="-81"/>
        </w:rPr>
        <w:t> </w:t>
      </w:r>
      <w:r>
        <w:rPr>
          <w:spacing w:val="-81"/>
        </w:rPr>
      </w:r>
      <w:r>
        <w:rPr/>
        <w:t>响公司的经营业绩。</w:t>
      </w:r>
    </w:p>
    <w:p>
      <w:pPr>
        <w:pStyle w:val="BodyText"/>
        <w:spacing w:line="386" w:lineRule="auto"/>
        <w:ind w:left="489" w:right="1118"/>
        <w:jc w:val="left"/>
      </w:pPr>
      <w:r>
        <w:rPr>
          <w:rFonts w:ascii="Times New Roman" w:hAnsi="Times New Roman" w:cs="Times New Roman" w:eastAsia="Times New Roman" w:hint="default"/>
        </w:rPr>
        <w:t>5</w:t>
      </w:r>
      <w:r>
        <w:rPr/>
        <w:t>、销售风险 随着公司人参食品新品种不断推出，产品种类的增加和整体产能的扩张也将为公司的销售能力带来新</w:t>
      </w:r>
    </w:p>
    <w:p>
      <w:pPr>
        <w:pStyle w:val="BodyText"/>
        <w:spacing w:line="408" w:lineRule="auto" w:before="65"/>
        <w:ind w:right="1130"/>
        <w:jc w:val="both"/>
      </w:pPr>
      <w:r>
        <w:rPr>
          <w:spacing w:val="-1"/>
        </w:rPr>
        <w:t>的挑战，部分产品在市场投放方式、销售渠道、销售模式上与公司现有的中成药存在一定的区别，销售额</w:t>
      </w:r>
      <w:r>
        <w:rPr>
          <w:spacing w:val="-86"/>
        </w:rPr>
        <w:t> </w:t>
      </w:r>
      <w:r>
        <w:rPr>
          <w:spacing w:val="-86"/>
        </w:rPr>
      </w:r>
      <w:r>
        <w:rPr>
          <w:spacing w:val="-1"/>
        </w:rPr>
        <w:t>能否同步增长面临着营销投入和网络建设的制约。公司如果不能在产品品质、资金投入、销售策略等方面</w:t>
      </w:r>
      <w:r>
        <w:rPr>
          <w:spacing w:val="-83"/>
        </w:rPr>
        <w:t> </w:t>
      </w:r>
      <w:r>
        <w:rPr>
          <w:spacing w:val="-83"/>
        </w:rPr>
      </w:r>
      <w:r>
        <w:rPr/>
        <w:t>取得竞争优势，将影响到公司的营业收入和整体业绩。</w:t>
      </w:r>
    </w:p>
    <w:p>
      <w:pPr>
        <w:pStyle w:val="BodyText"/>
        <w:spacing w:line="386" w:lineRule="auto"/>
        <w:ind w:left="489" w:right="0"/>
        <w:jc w:val="left"/>
      </w:pPr>
      <w:r>
        <w:rPr>
          <w:rFonts w:ascii="Times New Roman" w:hAnsi="Times New Roman" w:cs="Times New Roman" w:eastAsia="Times New Roman" w:hint="default"/>
        </w:rPr>
        <w:t>6</w:t>
      </w:r>
      <w:r>
        <w:rPr/>
        <w:t>、人才储备风险 随着公司发展过程中产品多样化的逐步体现及产能的不断扩张，对人才队伍的数量、质量与专业构成</w:t>
      </w:r>
    </w:p>
    <w:p>
      <w:pPr>
        <w:pStyle w:val="BodyText"/>
        <w:spacing w:line="240" w:lineRule="auto" w:before="65"/>
        <w:ind w:right="0"/>
        <w:jc w:val="both"/>
      </w:pPr>
      <w:r>
        <w:rPr/>
        <w:t>等方面都提出了更高的要求。另外，随着中药产业的发展以及行业内竞争的加剧，对企业技术研发能力将</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推出更高要求。如果公司不能采取有效的措施进一步充实人才队伍并提高科技实力，将对公司未来的发展</w:t>
      </w:r>
      <w:r>
        <w:rPr>
          <w:spacing w:val="-81"/>
        </w:rPr>
        <w:t> </w:t>
      </w:r>
      <w:r>
        <w:rPr>
          <w:spacing w:val="-81"/>
        </w:rPr>
      </w:r>
      <w:r>
        <w:rPr/>
        <w:t>带来一定制约。</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557"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55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基因测序项目、人参食品进展</w:t>
            </w:r>
          </w:p>
        </w:tc>
      </w:tr>
      <w:tr>
        <w:trPr>
          <w:trHeight w:val="55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非公开发行股票、员工持股计划进展</w:t>
            </w:r>
          </w:p>
        </w:tc>
      </w:tr>
      <w:tr>
        <w:trPr>
          <w:trHeight w:val="55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非公开发行股票、员工持股计划进展</w:t>
            </w:r>
          </w:p>
        </w:tc>
      </w:tr>
      <w:tr>
        <w:trPr>
          <w:trHeight w:val="55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员工持股计划、基因测序项目进展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right="97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40"/>
          <w:szCs w:val="40"/>
        </w:rPr>
      </w:pPr>
    </w:p>
    <w:p>
      <w:pPr>
        <w:pStyle w:val="Heading3"/>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240" w:lineRule="auto" w:before="10"/>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pStyle w:val="BodyText"/>
        <w:spacing w:line="408" w:lineRule="auto" w:before="0"/>
        <w:ind w:right="1025" w:firstLine="336"/>
        <w:jc w:val="both"/>
      </w:pPr>
      <w:r>
        <w:rPr/>
        <w:t>公司认真贯彻落实中国证监会《关于进一步落实上市公司现金分红有关事项的通知》精神，不断完善 利润分配决策程序及监督机制，明确合理的利润分配方案，规范公司利润分配行为，积极回报股东尤其是 公众投资者，增强公司现金分红的透明度。公司将在制定和实施分红方案的过程中综合考虑公司发展所处 阶段、经营状况、盈利规模、项目投资资金需求和长远发展规划，按照公司《章程》有关分红规定和股东 </w:t>
      </w:r>
      <w:r>
        <w:rPr>
          <w:spacing w:val="-3"/>
        </w:rPr>
        <w:t>大会决议要求，考虑中小股东意见和诉求，充分听取和征求独立董事的意见，给予投资者合理的投资回报。</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55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56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12"/>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12"/>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5"/>
          <w:szCs w:val="5"/>
        </w:rPr>
      </w:pPr>
    </w:p>
    <w:p>
      <w:pPr>
        <w:spacing w:line="441" w:lineRule="auto" w:before="44"/>
        <w:ind w:left="574" w:right="1197" w:hanging="420"/>
        <w:jc w:val="left"/>
        <w:rPr>
          <w:rFonts w:ascii="宋体" w:hAnsi="宋体" w:cs="宋体" w:eastAsia="宋体" w:hint="default"/>
          <w:sz w:val="21"/>
          <w:szCs w:val="21"/>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Times New Roman" w:hAnsi="Times New Roman" w:cs="Times New Roman" w:eastAsia="Times New Roman" w:hint="default"/>
          <w:sz w:val="21"/>
          <w:szCs w:val="21"/>
        </w:rPr>
        <w:t>1</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年利润分配方案： 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年度股东大会审议通过了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年度利润分配方案，公司对</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年度不</w:t>
      </w:r>
    </w:p>
    <w:p>
      <w:pPr>
        <w:pStyle w:val="BodyText"/>
        <w:spacing w:line="258" w:lineRule="exact" w:before="0"/>
        <w:ind w:left="154" w:right="0"/>
        <w:jc w:val="left"/>
      </w:pPr>
      <w:r>
        <w:rPr/>
        <w:t>进行利润分配，也不进行资本公积金转增股本。</w:t>
      </w:r>
    </w:p>
    <w:p>
      <w:pPr>
        <w:spacing w:line="240" w:lineRule="auto" w:before="10"/>
        <w:rPr>
          <w:rFonts w:ascii="宋体" w:hAnsi="宋体" w:cs="宋体" w:eastAsia="宋体" w:hint="default"/>
          <w:sz w:val="17"/>
          <w:szCs w:val="17"/>
        </w:rPr>
      </w:pPr>
    </w:p>
    <w:p>
      <w:pPr>
        <w:pStyle w:val="BodyText"/>
        <w:spacing w:line="420" w:lineRule="auto" w:before="0"/>
        <w:ind w:left="574" w:right="1197"/>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年利润分配方案： 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日召开的</w:t>
      </w:r>
      <w:r>
        <w:rPr>
          <w:rFonts w:ascii="Times New Roman" w:hAnsi="Times New Roman" w:cs="Times New Roman" w:eastAsia="Times New Roman" w:hint="default"/>
        </w:rPr>
        <w:t>2014</w:t>
      </w:r>
      <w:r>
        <w:rPr/>
        <w:t>年年度股东大会审议通过了</w:t>
      </w:r>
      <w:r>
        <w:rPr>
          <w:rFonts w:ascii="Times New Roman" w:hAnsi="Times New Roman" w:cs="Times New Roman" w:eastAsia="Times New Roman" w:hint="default"/>
        </w:rPr>
        <w:t>2014</w:t>
      </w:r>
      <w:r>
        <w:rPr/>
        <w:t>年度利润分配方案，以公司</w:t>
      </w:r>
      <w:r>
        <w:rPr>
          <w:rFonts w:ascii="Times New Roman" w:hAnsi="Times New Roman" w:cs="Times New Roman" w:eastAsia="Times New Roman" w:hint="default"/>
        </w:rPr>
        <w:t>2014</w:t>
      </w:r>
      <w:r>
        <w:rPr/>
        <w:t>年末</w:t>
      </w:r>
    </w:p>
    <w:p>
      <w:pPr>
        <w:pStyle w:val="BodyText"/>
        <w:spacing w:line="240" w:lineRule="auto" w:before="3"/>
        <w:ind w:right="0"/>
        <w:jc w:val="left"/>
      </w:pPr>
      <w:r>
        <w:rPr/>
        <w:t>的总股本</w:t>
      </w:r>
      <w:r>
        <w:rPr>
          <w:rFonts w:ascii="Times New Roman" w:hAnsi="Times New Roman" w:cs="Times New Roman" w:eastAsia="Times New Roman" w:hint="default"/>
        </w:rPr>
        <w:t>512,991,382</w:t>
      </w:r>
      <w:r>
        <w:rPr>
          <w:rFonts w:ascii="Times New Roman" w:hAnsi="Times New Roman" w:cs="Times New Roman" w:eastAsia="Times New Roman" w:hint="default"/>
          <w:spacing w:val="27"/>
        </w:rPr>
        <w:t> </w:t>
      </w:r>
      <w:r>
        <w:rPr/>
        <w:t>股为基数</w:t>
      </w:r>
      <w:r>
        <w:rPr>
          <w:rFonts w:ascii="Times New Roman" w:hAnsi="Times New Roman" w:cs="Times New Roman" w:eastAsia="Times New Roman" w:hint="default"/>
        </w:rPr>
        <w:t>,</w:t>
      </w:r>
      <w:r>
        <w:rPr/>
        <w:t>以未分配利润向全体股东每</w:t>
      </w:r>
      <w:r>
        <w:rPr>
          <w:rFonts w:ascii="Times New Roman" w:hAnsi="Times New Roman" w:cs="Times New Roman" w:eastAsia="Times New Roman" w:hint="default"/>
        </w:rPr>
        <w:t>10</w:t>
      </w:r>
      <w:r>
        <w:rPr/>
        <w:t>股派现金红利</w:t>
      </w:r>
      <w:r>
        <w:rPr>
          <w:rFonts w:ascii="Times New Roman" w:hAnsi="Times New Roman" w:cs="Times New Roman" w:eastAsia="Times New Roman" w:hint="default"/>
        </w:rPr>
        <w:t>0.38</w:t>
      </w:r>
      <w:r>
        <w:rPr/>
        <w:t>元（含税），共分配利润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154" w:right="1132"/>
        <w:jc w:val="both"/>
      </w:pPr>
      <w:r>
        <w:rPr>
          <w:rFonts w:ascii="Times New Roman" w:hAnsi="Times New Roman" w:cs="Times New Roman" w:eastAsia="Times New Roman" w:hint="default"/>
          <w:spacing w:val="-1"/>
        </w:rPr>
        <w:t>19,493,672.52</w:t>
      </w:r>
      <w:r>
        <w:rPr>
          <w:spacing w:val="-1"/>
        </w:rPr>
        <w:t>元，尚余未分配利润</w:t>
      </w:r>
      <w:r>
        <w:rPr>
          <w:rFonts w:ascii="Times New Roman" w:hAnsi="Times New Roman" w:cs="Times New Roman" w:eastAsia="Times New Roman" w:hint="default"/>
          <w:spacing w:val="-1"/>
        </w:rPr>
        <w:t>400,287,342.19</w:t>
      </w:r>
      <w:r>
        <w:rPr>
          <w:spacing w:val="-1"/>
        </w:rPr>
        <w:t>元留待以后年度分配，</w:t>
      </w:r>
      <w:r>
        <w:rPr>
          <w:rFonts w:ascii="Times New Roman" w:hAnsi="Times New Roman" w:cs="Times New Roman" w:eastAsia="Times New Roman" w:hint="default"/>
          <w:spacing w:val="-1"/>
        </w:rPr>
        <w:t>2014</w:t>
      </w:r>
      <w:r>
        <w:rPr>
          <w:spacing w:val="-1"/>
        </w:rPr>
        <w:t>年度不进行送股和资本公积金</w:t>
      </w:r>
      <w:r>
        <w:rPr>
          <w:spacing w:val="-68"/>
        </w:rPr>
        <w:t> </w:t>
      </w:r>
      <w:r>
        <w:rPr>
          <w:spacing w:val="-68"/>
        </w:rPr>
      </w:r>
      <w:r>
        <w:rPr/>
        <w:t>转增股本。</w:t>
      </w:r>
    </w:p>
    <w:p>
      <w:pPr>
        <w:pStyle w:val="BodyText"/>
        <w:spacing w:line="468" w:lineRule="auto" w:before="104"/>
        <w:ind w:left="634" w:right="0" w:hanging="6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2015</w:t>
      </w:r>
      <w:r>
        <w:rPr/>
        <w:t>年利润分配方案： </w:t>
      </w:r>
      <w:r>
        <w:rPr>
          <w:spacing w:val="-1"/>
        </w:rPr>
        <w:t>根据中准会计师事务所（特殊普通合伙）出具的中准审字</w:t>
      </w:r>
      <w:r>
        <w:rPr>
          <w:rFonts w:ascii="Times New Roman" w:hAnsi="Times New Roman" w:cs="Times New Roman" w:eastAsia="Times New Roman" w:hint="default"/>
          <w:spacing w:val="-1"/>
        </w:rPr>
        <w:t>[2016]1523</w:t>
      </w:r>
      <w:r>
        <w:rPr>
          <w:spacing w:val="-1"/>
        </w:rPr>
        <w:t>号审计报告，</w:t>
      </w:r>
      <w:r>
        <w:rPr>
          <w:rFonts w:ascii="Times New Roman" w:hAnsi="Times New Roman" w:cs="Times New Roman" w:eastAsia="Times New Roman" w:hint="default"/>
          <w:spacing w:val="-1"/>
        </w:rPr>
        <w:t>2015</w:t>
      </w:r>
      <w:r>
        <w:rPr>
          <w:spacing w:val="-1"/>
        </w:rPr>
        <w:t>年度公司合并</w:t>
      </w:r>
    </w:p>
    <w:p>
      <w:pPr>
        <w:pStyle w:val="BodyText"/>
        <w:spacing w:line="247" w:lineRule="exact" w:before="0"/>
        <w:ind w:right="0"/>
        <w:jc w:val="both"/>
      </w:pPr>
      <w:r>
        <w:rPr/>
        <w:t>报表归属于上市公司股东的净利润为</w:t>
      </w:r>
      <w:r>
        <w:rPr>
          <w:rFonts w:ascii="Times New Roman" w:hAnsi="Times New Roman" w:cs="Times New Roman" w:eastAsia="Times New Roman" w:hint="default"/>
        </w:rPr>
        <w:t>39,591,514.07</w:t>
      </w:r>
      <w:r>
        <w:rPr/>
        <w:t>元，母公司实现税后利润</w:t>
      </w:r>
      <w:r>
        <w:rPr>
          <w:rFonts w:ascii="Times New Roman" w:hAnsi="Times New Roman" w:cs="Times New Roman" w:eastAsia="Times New Roman" w:hint="default"/>
        </w:rPr>
        <w:t>35,964,190.81</w:t>
      </w:r>
      <w:r>
        <w:rPr/>
        <w:t>元，提取</w:t>
      </w:r>
      <w:r>
        <w:rPr>
          <w:rFonts w:ascii="Times New Roman" w:hAnsi="Times New Roman" w:cs="Times New Roman" w:eastAsia="Times New Roman" w:hint="default"/>
        </w:rPr>
        <w:t>10%</w:t>
      </w:r>
      <w:r>
        <w:rPr/>
        <w:t>法定</w:t>
      </w:r>
    </w:p>
    <w:p>
      <w:pPr>
        <w:pStyle w:val="BodyText"/>
        <w:spacing w:line="240" w:lineRule="auto" w:before="177"/>
        <w:ind w:right="0"/>
        <w:jc w:val="both"/>
      </w:pPr>
      <w:r>
        <w:rPr/>
        <w:t>盈余公积</w:t>
      </w:r>
      <w:r>
        <w:rPr>
          <w:rFonts w:ascii="Times New Roman" w:hAnsi="Times New Roman" w:cs="Times New Roman" w:eastAsia="Times New Roman" w:hint="default"/>
        </w:rPr>
        <w:t>3,596,419.08</w:t>
      </w:r>
      <w:r>
        <w:rPr/>
        <w:t>元及扣除当年已分配普通股股利</w:t>
      </w:r>
      <w:r>
        <w:rPr>
          <w:rFonts w:ascii="Times New Roman" w:hAnsi="Times New Roman" w:cs="Times New Roman" w:eastAsia="Times New Roman" w:hint="default"/>
        </w:rPr>
        <w:t>19,493,672.49</w:t>
      </w:r>
      <w:r>
        <w:rPr/>
        <w:t>后，本年可供股东分配利润为</w:t>
      </w:r>
    </w:p>
    <w:p>
      <w:pPr>
        <w:pStyle w:val="BodyText"/>
        <w:spacing w:line="386" w:lineRule="auto" w:before="177"/>
        <w:ind w:left="490" w:right="0" w:hanging="336"/>
        <w:jc w:val="left"/>
      </w:pPr>
      <w:r>
        <w:rPr>
          <w:rFonts w:ascii="Times New Roman" w:hAnsi="Times New Roman" w:cs="Times New Roman" w:eastAsia="Times New Roman" w:hint="default"/>
        </w:rPr>
        <w:t>12,874,099.24</w:t>
      </w:r>
      <w:r>
        <w:rPr/>
        <w:t>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日，母公司累计可供股东分配的利润为</w:t>
      </w:r>
      <w:r>
        <w:rPr>
          <w:rFonts w:ascii="Times New Roman" w:hAnsi="Times New Roman" w:cs="Times New Roman" w:eastAsia="Times New Roman" w:hint="default"/>
        </w:rPr>
        <w:t>432,655,113.95</w:t>
      </w:r>
      <w:r>
        <w:rPr/>
        <w:t>元。 由于公司</w:t>
      </w:r>
      <w:r>
        <w:rPr>
          <w:rFonts w:ascii="Times New Roman" w:hAnsi="Times New Roman" w:cs="Times New Roman" w:eastAsia="Times New Roman" w:hint="default"/>
        </w:rPr>
        <w:t>OTC</w:t>
      </w:r>
      <w:r>
        <w:rPr/>
        <w:t>市场目前正处于投入期，人参深加工产品、基因测序仪项目尚处发展阶段，且各分子公</w:t>
      </w:r>
    </w:p>
    <w:p>
      <w:pPr>
        <w:pStyle w:val="BodyText"/>
        <w:spacing w:line="398" w:lineRule="auto" w:before="35"/>
        <w:ind w:left="154" w:right="1131"/>
        <w:jc w:val="both"/>
      </w:pPr>
      <w:r>
        <w:rPr>
          <w:spacing w:val="-1"/>
        </w:rPr>
        <w:t>司与人参产品相关厂房、设备等均已建设完毕，业务投入所需的资金较大，为保证公司的可持续发展，降</w:t>
      </w:r>
      <w:r>
        <w:rPr>
          <w:spacing w:val="-85"/>
        </w:rPr>
        <w:t> </w:t>
      </w:r>
      <w:r>
        <w:rPr>
          <w:spacing w:val="-85"/>
        </w:rPr>
      </w:r>
      <w:r>
        <w:rPr>
          <w:spacing w:val="-1"/>
        </w:rPr>
        <w:t>低公司融资成本，公司拟对</w:t>
      </w:r>
      <w:r>
        <w:rPr>
          <w:rFonts w:ascii="Times New Roman" w:hAnsi="Times New Roman" w:cs="Times New Roman" w:eastAsia="Times New Roman" w:hint="default"/>
          <w:spacing w:val="-1"/>
        </w:rPr>
        <w:t>2015</w:t>
      </w:r>
      <w:r>
        <w:rPr>
          <w:spacing w:val="-1"/>
        </w:rPr>
        <w:t>年度不进行利润分配，也不进行资本公积金转增股本。本议案尚需提交公</w:t>
      </w:r>
      <w:r>
        <w:rPr>
          <w:spacing w:val="-82"/>
        </w:rPr>
        <w:t> </w:t>
      </w:r>
      <w:r>
        <w:rPr>
          <w:spacing w:val="-82"/>
        </w:rPr>
      </w:r>
      <w:r>
        <w:rPr/>
        <w:t>司</w:t>
      </w:r>
      <w:r>
        <w:rPr>
          <w:rFonts w:ascii="Times New Roman" w:hAnsi="Times New Roman" w:cs="Times New Roman" w:eastAsia="Times New Roman" w:hint="default"/>
        </w:rPr>
        <w:t>2015</w:t>
      </w:r>
      <w:r>
        <w:rPr/>
        <w:t>年度股东大会审议。</w:t>
      </w:r>
    </w:p>
    <w:p>
      <w:pPr>
        <w:spacing w:before="90"/>
        <w:ind w:left="154" w:right="0" w:firstLine="0"/>
        <w:jc w:val="both"/>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line="240" w:lineRule="auto" w:before="10"/>
        <w:rPr>
          <w:rFonts w:ascii="宋体" w:hAnsi="宋体" w:cs="宋体" w:eastAsia="宋体" w:hint="default"/>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7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73" w:right="71" w:hanging="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4"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548"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234"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47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39,591,514.07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19,493,672.52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47,193,156.40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50,480,288.62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49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465"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由于公司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OTC</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市场目前正处于投入期，人参深加工产品、基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因测序仪项目尚处发展阶段，且各分子公司与人参产品相关 厂房、设备等均已建设完毕，业务投入所需的资金较大。</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24"/>
              <w:jc w:val="left"/>
              <w:rPr>
                <w:rFonts w:ascii="宋体" w:hAnsi="宋体" w:cs="宋体" w:eastAsia="宋体" w:hint="default"/>
                <w:sz w:val="18"/>
                <w:szCs w:val="18"/>
              </w:rPr>
            </w:pPr>
            <w:r>
              <w:rPr>
                <w:rFonts w:ascii="宋体" w:hAnsi="宋体" w:cs="宋体" w:eastAsia="宋体" w:hint="default"/>
                <w:sz w:val="18"/>
                <w:szCs w:val="18"/>
              </w:rPr>
              <w:t>将投入到中成药产品、</w:t>
            </w:r>
            <w:r>
              <w:rPr>
                <w:rFonts w:ascii="Times New Roman" w:hAnsi="Times New Roman" w:cs="Times New Roman" w:eastAsia="Times New Roman" w:hint="default"/>
                <w:sz w:val="18"/>
                <w:szCs w:val="18"/>
              </w:rPr>
              <w:t>OTC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市场开发、人参深加工产品、基 因测序仪项目等。</w:t>
            </w:r>
          </w:p>
        </w:tc>
      </w:tr>
    </w:tbl>
    <w:p>
      <w:pPr>
        <w:spacing w:after="0" w:line="451"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0"/>
        <w:rPr>
          <w:rFonts w:ascii="宋体" w:hAnsi="宋体" w:cs="宋体" w:eastAsia="宋体" w:hint="default"/>
          <w:b/>
          <w:bCs/>
          <w:sz w:val="24"/>
          <w:szCs w:val="24"/>
        </w:rPr>
      </w:pPr>
    </w:p>
    <w:p>
      <w:pPr>
        <w:pStyle w:val="Heading4"/>
        <w:spacing w:line="386" w:lineRule="auto" w:before="161"/>
        <w:ind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12"/>
        <w:rPr>
          <w:rFonts w:ascii="宋体" w:hAnsi="宋体" w:cs="宋体" w:eastAsia="宋体" w:hint="default"/>
          <w:b/>
          <w:bCs/>
          <w:sz w:val="29"/>
          <w:szCs w:val="2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02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vMerge w:val="restart"/>
            <w:tcBorders>
              <w:top w:val="single" w:sz="4" w:space="0" w:color="000000"/>
              <w:left w:val="single" w:sz="4" w:space="0" w:color="000000"/>
              <w:right w:val="single" w:sz="4" w:space="0" w:color="000000"/>
            </w:tcBorders>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2"/>
                <w:sz w:val="18"/>
                <w:szCs w:val="18"/>
              </w:rPr>
              <w:t>承诺：一、不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会违反《证券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发行与承销 </w:t>
            </w:r>
            <w:r>
              <w:rPr>
                <w:rFonts w:ascii="宋体" w:hAnsi="宋体" w:cs="宋体" w:eastAsia="宋体" w:hint="default"/>
                <w:spacing w:val="-2"/>
                <w:sz w:val="18"/>
                <w:szCs w:val="18"/>
              </w:rPr>
              <w:t>管理办法》第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十六条等有 关法规的规 </w:t>
            </w:r>
            <w:r>
              <w:rPr>
                <w:rFonts w:ascii="宋体" w:hAnsi="宋体" w:cs="宋体" w:eastAsia="宋体" w:hint="default"/>
                <w:spacing w:val="-2"/>
                <w:sz w:val="18"/>
                <w:szCs w:val="18"/>
              </w:rPr>
              <w:t>定，直接或间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接对认购对 </w:t>
            </w:r>
            <w:r>
              <w:rPr>
                <w:rFonts w:ascii="宋体" w:hAnsi="宋体" w:cs="宋体" w:eastAsia="宋体" w:hint="default"/>
                <w:spacing w:val="-2"/>
                <w:sz w:val="18"/>
                <w:szCs w:val="18"/>
              </w:rPr>
              <w:t>象仲桂兰、郭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华、李自英及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北京富徳昊 邦投资中心</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（有限合</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、上海红</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477" w:lineRule="auto"/>
              <w:ind w:left="22" w:right="6"/>
              <w:jc w:val="left"/>
              <w:rPr>
                <w:rFonts w:ascii="宋体" w:hAnsi="宋体" w:cs="宋体" w:eastAsia="宋体" w:hint="default"/>
                <w:sz w:val="18"/>
                <w:szCs w:val="18"/>
              </w:rPr>
            </w:pPr>
            <w:r>
              <w:rPr>
                <w:rFonts w:ascii="宋体" w:hAnsi="宋体" w:cs="宋体" w:eastAsia="宋体" w:hint="default"/>
                <w:sz w:val="18"/>
                <w:szCs w:val="18"/>
              </w:rPr>
              <w:t>紫鑫药业非 公开发行股 票事项完毕。</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477" w:lineRule="auto"/>
              <w:ind w:left="22" w:right="173"/>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r>
        <w:trPr>
          <w:trHeight w:val="548"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28"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樱资产管理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有限公司、佛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山市科技孵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化合伙企业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及其合伙人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或股东提供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财务资助或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者补偿。二、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自紫鑫药业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票定价基准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日）前六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个月期间及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自定价基准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日之后至本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承诺出具日，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本人不存在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指示或授意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敦化市康平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投资有限责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任公司购买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或减持紫鑫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药业股票的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情况，也不存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在指示或授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意仲桂兰、郭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荣转让所持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有敦化市康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平投资有限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责任公司股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权的情形。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三、自紫鑫药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股票定价基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pacing w:val="-8"/>
                <w:sz w:val="18"/>
                <w:szCs w:val="18"/>
              </w:rPr>
              <w:t>准日（</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至本次发行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完成后六个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月内，本人不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存在指示或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授意敦化市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康平投资有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作出购买或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减持紫鑫药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业股票的计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划或安排，也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不存在指示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或授意仲桂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兰、郭荣转让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所持有敦化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市康平投资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有限责任公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司股权的计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划或安排。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8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51" w:lineRule="auto" w:before="148"/>
              <w:ind w:left="23" w:right="89"/>
              <w:jc w:val="both"/>
              <w:rPr>
                <w:rFonts w:ascii="宋体" w:hAnsi="宋体" w:cs="宋体" w:eastAsia="宋体" w:hint="default"/>
                <w:sz w:val="18"/>
                <w:szCs w:val="18"/>
              </w:rPr>
            </w:pPr>
            <w:r>
              <w:rPr>
                <w:rFonts w:ascii="宋体" w:hAnsi="宋体" w:cs="宋体" w:eastAsia="宋体" w:hint="default"/>
                <w:sz w:val="18"/>
                <w:szCs w:val="18"/>
              </w:rPr>
              <w:t>郭春林</w:t>
            </w:r>
            <w:r>
              <w:rPr>
                <w:rFonts w:ascii="Times New Roman" w:hAnsi="Times New Roman" w:cs="Times New Roman" w:eastAsia="Times New Roman" w:hint="default"/>
                <w:sz w:val="18"/>
                <w:szCs w:val="18"/>
              </w:rPr>
              <w:t>;</w:t>
            </w:r>
            <w:r>
              <w:rPr>
                <w:rFonts w:ascii="宋体" w:hAnsi="宋体" w:cs="宋体" w:eastAsia="宋体" w:hint="default"/>
                <w:sz w:val="18"/>
                <w:szCs w:val="18"/>
              </w:rPr>
              <w:t>李宝 芝</w:t>
            </w:r>
            <w:r>
              <w:rPr>
                <w:rFonts w:ascii="Times New Roman" w:hAnsi="Times New Roman" w:cs="Times New Roman" w:eastAsia="Times New Roman" w:hint="default"/>
                <w:sz w:val="18"/>
                <w:szCs w:val="18"/>
              </w:rPr>
              <w:t>;</w:t>
            </w:r>
            <w:r>
              <w:rPr>
                <w:rFonts w:ascii="宋体" w:hAnsi="宋体" w:cs="宋体" w:eastAsia="宋体" w:hint="default"/>
                <w:sz w:val="18"/>
                <w:szCs w:val="18"/>
              </w:rPr>
              <w:t>钟云香</w:t>
            </w:r>
            <w:r>
              <w:rPr>
                <w:rFonts w:ascii="Times New Roman" w:hAnsi="Times New Roman" w:cs="Times New Roman" w:eastAsia="Times New Roman" w:hint="default"/>
                <w:sz w:val="18"/>
                <w:szCs w:val="18"/>
              </w:rPr>
              <w:t>;</w:t>
            </w:r>
            <w:r>
              <w:rPr>
                <w:rFonts w:ascii="宋体" w:hAnsi="宋体" w:cs="宋体" w:eastAsia="宋体" w:hint="default"/>
                <w:sz w:val="18"/>
                <w:szCs w:val="18"/>
              </w:rPr>
              <w:t>孙 莉莉</w:t>
            </w:r>
            <w:r>
              <w:rPr>
                <w:rFonts w:ascii="Times New Roman" w:hAnsi="Times New Roman" w:cs="Times New Roman" w:eastAsia="Times New Roman" w:hint="default"/>
                <w:sz w:val="18"/>
                <w:szCs w:val="18"/>
              </w:rPr>
              <w:t>;</w:t>
            </w:r>
            <w:r>
              <w:rPr>
                <w:rFonts w:ascii="宋体" w:hAnsi="宋体" w:cs="宋体" w:eastAsia="宋体" w:hint="default"/>
                <w:sz w:val="18"/>
                <w:szCs w:val="18"/>
              </w:rPr>
              <w:t>傅穹</w:t>
            </w:r>
            <w:r>
              <w:rPr>
                <w:rFonts w:ascii="Times New Roman" w:hAnsi="Times New Roman" w:cs="Times New Roman" w:eastAsia="Times New Roman" w:hint="default"/>
                <w:sz w:val="18"/>
                <w:szCs w:val="18"/>
              </w:rPr>
              <w:t>;</w:t>
            </w:r>
            <w:r>
              <w:rPr>
                <w:rFonts w:ascii="宋体" w:hAnsi="宋体" w:cs="宋体" w:eastAsia="宋体" w:hint="default"/>
                <w:sz w:val="18"/>
                <w:szCs w:val="18"/>
              </w:rPr>
              <w:t>王 旭</w:t>
            </w:r>
            <w:r>
              <w:rPr>
                <w:rFonts w:ascii="Times New Roman" w:hAnsi="Times New Roman" w:cs="Times New Roman" w:eastAsia="Times New Roman" w:hint="default"/>
                <w:sz w:val="18"/>
                <w:szCs w:val="18"/>
              </w:rPr>
              <w:t>;</w:t>
            </w:r>
            <w:r>
              <w:rPr>
                <w:rFonts w:ascii="宋体" w:hAnsi="宋体" w:cs="宋体" w:eastAsia="宋体" w:hint="default"/>
                <w:sz w:val="18"/>
                <w:szCs w:val="18"/>
              </w:rPr>
              <w:t>张连学</w:t>
            </w:r>
            <w:r>
              <w:rPr>
                <w:rFonts w:ascii="Times New Roman" w:hAnsi="Times New Roman" w:cs="Times New Roman" w:eastAsia="Times New Roman" w:hint="default"/>
                <w:sz w:val="18"/>
                <w:szCs w:val="18"/>
              </w:rPr>
              <w:t>;</w:t>
            </w:r>
            <w:r>
              <w:rPr>
                <w:rFonts w:ascii="宋体" w:hAnsi="宋体" w:cs="宋体" w:eastAsia="宋体" w:hint="default"/>
                <w:sz w:val="18"/>
                <w:szCs w:val="18"/>
              </w:rPr>
              <w:t>田 丰</w:t>
            </w:r>
            <w:r>
              <w:rPr>
                <w:rFonts w:ascii="Times New Roman" w:hAnsi="Times New Roman" w:cs="Times New Roman" w:eastAsia="Times New Roman" w:hint="default"/>
                <w:sz w:val="18"/>
                <w:szCs w:val="18"/>
              </w:rPr>
              <w:t>;</w:t>
            </w:r>
            <w:r>
              <w:rPr>
                <w:rFonts w:ascii="宋体" w:hAnsi="宋体" w:cs="宋体" w:eastAsia="宋体" w:hint="default"/>
                <w:sz w:val="18"/>
                <w:szCs w:val="18"/>
              </w:rPr>
              <w:t>张洪发</w:t>
            </w:r>
            <w:r>
              <w:rPr>
                <w:rFonts w:ascii="Times New Roman" w:hAnsi="Times New Roman" w:cs="Times New Roman" w:eastAsia="Times New Roman" w:hint="default"/>
                <w:sz w:val="18"/>
                <w:szCs w:val="18"/>
              </w:rPr>
              <w:t>;</w:t>
            </w:r>
            <w:r>
              <w:rPr>
                <w:rFonts w:ascii="宋体" w:hAnsi="宋体" w:cs="宋体" w:eastAsia="宋体" w:hint="default"/>
                <w:sz w:val="18"/>
                <w:szCs w:val="18"/>
              </w:rPr>
              <w:t>白 玉彪</w:t>
            </w:r>
            <w:r>
              <w:rPr>
                <w:rFonts w:ascii="Times New Roman" w:hAnsi="Times New Roman" w:cs="Times New Roman" w:eastAsia="Times New Roman" w:hint="default"/>
                <w:sz w:val="18"/>
                <w:szCs w:val="18"/>
              </w:rPr>
              <w:t>;</w:t>
            </w:r>
            <w:r>
              <w:rPr>
                <w:rFonts w:ascii="宋体" w:hAnsi="宋体" w:cs="宋体" w:eastAsia="宋体" w:hint="default"/>
                <w:sz w:val="18"/>
                <w:szCs w:val="18"/>
              </w:rPr>
              <w:t>徐大庆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
              <w:jc w:val="left"/>
              <w:rPr>
                <w:rFonts w:ascii="宋体" w:hAnsi="宋体" w:cs="宋体" w:eastAsia="宋体" w:hint="default"/>
                <w:sz w:val="18"/>
                <w:szCs w:val="18"/>
              </w:rPr>
            </w:pPr>
            <w:r>
              <w:rPr>
                <w:rFonts w:ascii="宋体" w:hAnsi="宋体" w:cs="宋体" w:eastAsia="宋体" w:hint="default"/>
                <w:sz w:val="18"/>
                <w:szCs w:val="18"/>
              </w:rPr>
              <w:t>承诺：不会违 反《证券发行 与承销管理 办法》第十六 条等有关法 规的规定，直 接或间接对 认购对象仲 桂兰、郭华、 李自英及北 京富徳昊邦 投资中心（有 </w:t>
            </w:r>
            <w:r>
              <w:rPr>
                <w:rFonts w:ascii="宋体" w:hAnsi="宋体" w:cs="宋体" w:eastAsia="宋体" w:hint="default"/>
                <w:spacing w:val="-15"/>
                <w:sz w:val="18"/>
                <w:szCs w:val="18"/>
              </w:rPr>
              <w:t>限合伙）、上</w:t>
            </w:r>
            <w:r>
              <w:rPr>
                <w:rFonts w:ascii="宋体" w:hAnsi="宋体" w:cs="宋体" w:eastAsia="宋体" w:hint="default"/>
                <w:sz w:val="18"/>
                <w:szCs w:val="18"/>
              </w:rPr>
              <w:t> 海红樱资产 管理有限公 司、佛山市科 技孵化合伙 企业（有限合 伙）及其合伙 人或股东提 供财务资助 或者补偿。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477" w:lineRule="auto"/>
              <w:ind w:left="22" w:right="6"/>
              <w:jc w:val="left"/>
              <w:rPr>
                <w:rFonts w:ascii="宋体" w:hAnsi="宋体" w:cs="宋体" w:eastAsia="宋体" w:hint="default"/>
                <w:sz w:val="18"/>
                <w:szCs w:val="18"/>
              </w:rPr>
            </w:pPr>
            <w:r>
              <w:rPr>
                <w:rFonts w:ascii="宋体" w:hAnsi="宋体" w:cs="宋体" w:eastAsia="宋体" w:hint="default"/>
                <w:sz w:val="18"/>
                <w:szCs w:val="18"/>
              </w:rPr>
              <w:t>紫鑫药业非 公开发行股 票事项完毕。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477" w:lineRule="auto"/>
              <w:ind w:left="22" w:right="175"/>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郭荣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2"/>
                <w:sz w:val="18"/>
                <w:szCs w:val="18"/>
              </w:rPr>
              <w:t>承诺：不会违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反《证券发行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与承销管理 </w:t>
            </w:r>
            <w:r>
              <w:rPr>
                <w:rFonts w:ascii="宋体" w:hAnsi="宋体" w:cs="宋体" w:eastAsia="宋体" w:hint="default"/>
                <w:spacing w:val="-2"/>
                <w:sz w:val="18"/>
                <w:szCs w:val="18"/>
              </w:rPr>
              <w:t>办法》第十六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条等有关法</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规的规定，直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477" w:lineRule="auto"/>
              <w:ind w:left="22" w:right="6"/>
              <w:jc w:val="left"/>
              <w:rPr>
                <w:rFonts w:ascii="宋体" w:hAnsi="宋体" w:cs="宋体" w:eastAsia="宋体" w:hint="default"/>
                <w:sz w:val="18"/>
                <w:szCs w:val="18"/>
              </w:rPr>
            </w:pPr>
            <w:r>
              <w:rPr>
                <w:rFonts w:ascii="宋体" w:hAnsi="宋体" w:cs="宋体" w:eastAsia="宋体" w:hint="default"/>
                <w:sz w:val="18"/>
                <w:szCs w:val="18"/>
              </w:rPr>
              <w:t>紫鑫药业非 公开发行股 票事项完毕。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477" w:lineRule="auto"/>
              <w:ind w:left="22" w:right="175"/>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接或间接对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除仲桂兰之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外的其他认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购对象郭华、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李自英及北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京富徳昊邦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投资中心（有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90"/>
                <w:sz w:val="18"/>
                <w:szCs w:val="18"/>
              </w:rPr>
              <w:t>）</w:t>
            </w:r>
            <w:r>
              <w:rPr>
                <w:rFonts w:ascii="宋体" w:hAnsi="宋体" w:cs="宋体" w:eastAsia="宋体" w:hint="default"/>
                <w:sz w:val="18"/>
                <w:szCs w:val="18"/>
              </w:rPr>
              <w:t>、上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海红樱资产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司、佛山市科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技孵化合伙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伙）及其合伙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人或股东提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供财务资助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或者补偿。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一、自紫鑫药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度非公开发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行股票定价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基准日</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前六个月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期间及之后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至本承诺出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具日，本人不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存在购买或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减持紫鑫药</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68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88"/>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业股票的情 况，不存在购 买或转让所 持有敦化市 康平投资有 限责任公司 股权的情形。 二、自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年度非公开 发行股票定 价基准日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p>
          <w:p>
            <w:pPr>
              <w:pStyle w:val="TableParagraph"/>
              <w:spacing w:line="475" w:lineRule="auto" w:before="23"/>
              <w:ind w:left="22" w:right="21"/>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起至 本次发行完 成后六个月 </w:t>
            </w:r>
            <w:r>
              <w:rPr>
                <w:rFonts w:ascii="宋体" w:hAnsi="宋体" w:cs="宋体" w:eastAsia="宋体" w:hint="default"/>
                <w:spacing w:val="-2"/>
                <w:sz w:val="18"/>
                <w:szCs w:val="18"/>
              </w:rPr>
              <w:t>内，本人不存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在购买或减 持紫鑫药业 股票的计划 </w:t>
            </w:r>
            <w:r>
              <w:rPr>
                <w:rFonts w:ascii="宋体" w:hAnsi="宋体" w:cs="宋体" w:eastAsia="宋体" w:hint="default"/>
                <w:spacing w:val="-2"/>
                <w:sz w:val="18"/>
                <w:szCs w:val="18"/>
              </w:rPr>
              <w:t>或安排，也不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存在购买或 转让所持有 敦化市康平 投资有限责 任公司股权</w:t>
            </w:r>
          </w:p>
          <w:p>
            <w:pPr>
              <w:pStyle w:val="TableParagraph"/>
              <w:spacing w:line="477" w:lineRule="auto" w:before="56"/>
              <w:ind w:left="22" w:right="192"/>
              <w:jc w:val="left"/>
              <w:rPr>
                <w:rFonts w:ascii="宋体" w:hAnsi="宋体" w:cs="宋体" w:eastAsia="宋体" w:hint="default"/>
                <w:sz w:val="18"/>
                <w:szCs w:val="18"/>
              </w:rPr>
            </w:pPr>
            <w:r>
              <w:rPr>
                <w:rFonts w:ascii="宋体" w:hAnsi="宋体" w:cs="宋体" w:eastAsia="宋体" w:hint="default"/>
                <w:sz w:val="18"/>
                <w:szCs w:val="18"/>
              </w:rPr>
              <w:t>的计划或安 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仲桂兰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12"/>
              <w:jc w:val="left"/>
              <w:rPr>
                <w:rFonts w:ascii="宋体" w:hAnsi="宋体" w:cs="宋体" w:eastAsia="宋体" w:hint="default"/>
                <w:sz w:val="18"/>
                <w:szCs w:val="18"/>
              </w:rPr>
            </w:pPr>
            <w:r>
              <w:rPr>
                <w:rFonts w:ascii="宋体" w:hAnsi="宋体" w:cs="宋体" w:eastAsia="宋体" w:hint="default"/>
                <w:sz w:val="18"/>
                <w:szCs w:val="18"/>
              </w:rPr>
              <w:t>承诺： 一、 自紫鑫药业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186"/>
              <w:jc w:val="left"/>
              <w:rPr>
                <w:rFonts w:ascii="宋体" w:hAnsi="宋体" w:cs="宋体" w:eastAsia="宋体" w:hint="default"/>
                <w:sz w:val="18"/>
                <w:szCs w:val="18"/>
              </w:rPr>
            </w:pPr>
            <w:r>
              <w:rPr>
                <w:rFonts w:ascii="宋体" w:hAnsi="宋体" w:cs="宋体" w:eastAsia="宋体" w:hint="default"/>
                <w:sz w:val="18"/>
                <w:szCs w:val="18"/>
              </w:rPr>
              <w:t>紫鑫药业非 公开发行股</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175"/>
              <w:jc w:val="left"/>
              <w:rPr>
                <w:rFonts w:ascii="宋体" w:hAnsi="宋体" w:cs="宋体" w:eastAsia="宋体" w:hint="default"/>
                <w:sz w:val="18"/>
                <w:szCs w:val="18"/>
              </w:rPr>
            </w:pPr>
            <w:r>
              <w:rPr>
                <w:rFonts w:ascii="宋体" w:hAnsi="宋体" w:cs="宋体" w:eastAsia="宋体" w:hint="default"/>
                <w:sz w:val="18"/>
                <w:szCs w:val="18"/>
              </w:rPr>
              <w:t>该承诺目前 正在严格履</w:t>
            </w:r>
          </w:p>
        </w:tc>
      </w:tr>
    </w:tbl>
    <w:p>
      <w:pPr>
        <w:spacing w:after="0" w:line="475"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5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68" w:lineRule="auto" w:before="88"/>
              <w:ind w:left="22" w:right="14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 公开发行股 票定价基准 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475" w:lineRule="auto" w:before="29"/>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日前六个 月期间及自 定价基准日 之后至本承 </w:t>
            </w:r>
            <w:r>
              <w:rPr>
                <w:rFonts w:ascii="宋体" w:hAnsi="宋体" w:cs="宋体" w:eastAsia="宋体" w:hint="default"/>
                <w:spacing w:val="-2"/>
                <w:sz w:val="18"/>
                <w:szCs w:val="18"/>
              </w:rPr>
              <w:t>诺出具日，本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人不存在购 买或减持紫 鑫药业股票 </w:t>
            </w:r>
            <w:r>
              <w:rPr>
                <w:rFonts w:ascii="宋体" w:hAnsi="宋体" w:cs="宋体" w:eastAsia="宋体" w:hint="default"/>
                <w:spacing w:val="-2"/>
                <w:sz w:val="18"/>
                <w:szCs w:val="18"/>
              </w:rPr>
              <w:t>的情况，不存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在购买或转 让所持有敦 化市康平投</w:t>
            </w:r>
          </w:p>
          <w:p>
            <w:pPr>
              <w:pStyle w:val="TableParagraph"/>
              <w:spacing w:line="472" w:lineRule="auto" w:before="56"/>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资有限责任 公司股权的 </w:t>
            </w:r>
            <w:r>
              <w:rPr>
                <w:rFonts w:ascii="宋体" w:hAnsi="宋体" w:cs="宋体" w:eastAsia="宋体" w:hint="default"/>
                <w:spacing w:val="-2"/>
                <w:sz w:val="18"/>
                <w:szCs w:val="18"/>
              </w:rPr>
              <w:t>情形。二、自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 公开发行股 票定价基准 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470" w:lineRule="auto" w:before="25"/>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起至 本次发行完 成后六个月 </w:t>
            </w:r>
            <w:r>
              <w:rPr>
                <w:rFonts w:ascii="宋体" w:hAnsi="宋体" w:cs="宋体" w:eastAsia="宋体" w:hint="default"/>
                <w:spacing w:val="-2"/>
                <w:sz w:val="18"/>
                <w:szCs w:val="18"/>
              </w:rPr>
              <w:t>内，本人不存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在减持紫鑫</w:t>
            </w:r>
          </w:p>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药业股票的</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票事项完毕。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计划或安排，</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也不存在转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让所持有敦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化市康平投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资有限责任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公司股权的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计划或安排。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三、本人与紫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鑫药业及其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际控制人及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其关联方存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在关联关系；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本人与紫鑫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药业本次发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行的其他认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购对象郭华、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李自英、上海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红樱资产管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北京富徳昊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邦投资中心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、佛山市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科技孵化合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伙企业（有限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合伙）不存在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四、本人承诺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并保证，在紫</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鑫药业本次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获得中国证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监会核准后、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发行方案于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备案前，确保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认购紫鑫药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股份的资金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全部到位。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五、在中国证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监会核准紫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鑫药业本次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发行股份后、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发行方案于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备案前，若本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人未能按照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本人与紫鑫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药业签订的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《股份认购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合同》的约定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履行股份认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购及出资义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务，本人将依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据《股份认购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合同》的约定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9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1"/>
              <w:jc w:val="left"/>
              <w:rPr>
                <w:rFonts w:ascii="宋体" w:hAnsi="宋体" w:cs="宋体" w:eastAsia="宋体" w:hint="default"/>
                <w:sz w:val="18"/>
                <w:szCs w:val="18"/>
              </w:rPr>
            </w:pPr>
            <w:r>
              <w:rPr>
                <w:rFonts w:ascii="宋体" w:hAnsi="宋体" w:cs="宋体" w:eastAsia="宋体" w:hint="default"/>
                <w:sz w:val="18"/>
                <w:szCs w:val="18"/>
              </w:rPr>
              <w:t>承担违约责 </w:t>
            </w:r>
            <w:r>
              <w:rPr>
                <w:rFonts w:ascii="宋体" w:hAnsi="宋体" w:cs="宋体" w:eastAsia="宋体" w:hint="default"/>
                <w:spacing w:val="-2"/>
                <w:sz w:val="18"/>
                <w:szCs w:val="18"/>
              </w:rPr>
              <w:t>任。六、本人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以自有资金 或合法筹集 的资金认购 紫鑫药业本 次发行的股 </w:t>
            </w:r>
            <w:r>
              <w:rPr>
                <w:rFonts w:ascii="宋体" w:hAnsi="宋体" w:cs="宋体" w:eastAsia="宋体" w:hint="default"/>
                <w:spacing w:val="-2"/>
                <w:sz w:val="18"/>
                <w:szCs w:val="18"/>
              </w:rPr>
              <w:t>份，不存在紫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鑫药业违反</w:t>
            </w:r>
          </w:p>
          <w:p>
            <w:pPr>
              <w:pStyle w:val="TableParagraph"/>
              <w:spacing w:line="477" w:lineRule="auto" w:before="54"/>
              <w:ind w:left="22" w:right="21"/>
              <w:jc w:val="left"/>
              <w:rPr>
                <w:rFonts w:ascii="宋体" w:hAnsi="宋体" w:cs="宋体" w:eastAsia="宋体" w:hint="default"/>
                <w:sz w:val="18"/>
                <w:szCs w:val="18"/>
              </w:rPr>
            </w:pPr>
            <w:r>
              <w:rPr>
                <w:rFonts w:ascii="宋体" w:hAnsi="宋体" w:cs="宋体" w:eastAsia="宋体" w:hint="default"/>
                <w:sz w:val="18"/>
                <w:szCs w:val="18"/>
              </w:rPr>
              <w:t>《证券发行 与承销管理 </w:t>
            </w:r>
            <w:r>
              <w:rPr>
                <w:rFonts w:ascii="宋体" w:hAnsi="宋体" w:cs="宋体" w:eastAsia="宋体" w:hint="default"/>
                <w:spacing w:val="-2"/>
                <w:sz w:val="18"/>
                <w:szCs w:val="18"/>
              </w:rPr>
              <w:t>办法》第十六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条等有关法 </w:t>
            </w:r>
            <w:r>
              <w:rPr>
                <w:rFonts w:ascii="宋体" w:hAnsi="宋体" w:cs="宋体" w:eastAsia="宋体" w:hint="default"/>
                <w:spacing w:val="-2"/>
                <w:sz w:val="18"/>
                <w:szCs w:val="18"/>
              </w:rPr>
              <w:t>规的规定，通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过直接或间 接方式对本 人提供财务 资助或者补 偿的情形。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477" w:lineRule="auto"/>
              <w:ind w:left="23" w:right="190"/>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
              <w:jc w:val="left"/>
              <w:rPr>
                <w:rFonts w:ascii="宋体" w:hAnsi="宋体" w:cs="宋体" w:eastAsia="宋体" w:hint="default"/>
                <w:sz w:val="18"/>
                <w:szCs w:val="18"/>
              </w:rPr>
            </w:pPr>
            <w:r>
              <w:rPr>
                <w:rFonts w:ascii="宋体" w:hAnsi="宋体" w:cs="宋体" w:eastAsia="宋体" w:hint="default"/>
                <w:sz w:val="18"/>
                <w:szCs w:val="18"/>
              </w:rPr>
              <w:t>承诺：不会违 反《证券发行 与承销管理 办法》第十六 条等有关法 规的规定，不 存在直接或 间接对认购 对象仲桂兰、</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郭华、李自英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477" w:lineRule="auto"/>
              <w:ind w:left="22" w:right="6"/>
              <w:jc w:val="left"/>
              <w:rPr>
                <w:rFonts w:ascii="宋体" w:hAnsi="宋体" w:cs="宋体" w:eastAsia="宋体" w:hint="default"/>
                <w:sz w:val="18"/>
                <w:szCs w:val="18"/>
              </w:rPr>
            </w:pPr>
            <w:r>
              <w:rPr>
                <w:rFonts w:ascii="宋体" w:hAnsi="宋体" w:cs="宋体" w:eastAsia="宋体" w:hint="default"/>
                <w:sz w:val="18"/>
                <w:szCs w:val="18"/>
              </w:rPr>
              <w:t>紫鑫药业非 公开发行股 票事项完毕。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477" w:lineRule="auto"/>
              <w:ind w:left="22" w:right="175"/>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1"/>
              <w:jc w:val="left"/>
              <w:rPr>
                <w:rFonts w:ascii="宋体" w:hAnsi="宋体" w:cs="宋体" w:eastAsia="宋体" w:hint="default"/>
                <w:sz w:val="18"/>
                <w:szCs w:val="18"/>
              </w:rPr>
            </w:pPr>
            <w:r>
              <w:rPr>
                <w:rFonts w:ascii="宋体" w:hAnsi="宋体" w:cs="宋体" w:eastAsia="宋体" w:hint="default"/>
                <w:sz w:val="18"/>
                <w:szCs w:val="18"/>
              </w:rPr>
              <w:t>及北京富徳 昊邦投资中 心（有限合 </w:t>
            </w:r>
            <w:r>
              <w:rPr>
                <w:rFonts w:ascii="宋体" w:hAnsi="宋体" w:cs="宋体" w:eastAsia="宋体" w:hint="default"/>
                <w:spacing w:val="-15"/>
                <w:sz w:val="18"/>
                <w:szCs w:val="18"/>
              </w:rPr>
              <w:t>伙）、上海红</w:t>
            </w:r>
            <w:r>
              <w:rPr>
                <w:rFonts w:ascii="宋体" w:hAnsi="宋体" w:cs="宋体" w:eastAsia="宋体" w:hint="default"/>
                <w:sz w:val="18"/>
                <w:szCs w:val="18"/>
              </w:rPr>
              <w:t> 樱资产管理 </w:t>
            </w:r>
            <w:r>
              <w:rPr>
                <w:rFonts w:ascii="宋体" w:hAnsi="宋体" w:cs="宋体" w:eastAsia="宋体" w:hint="default"/>
                <w:spacing w:val="-2"/>
                <w:sz w:val="18"/>
                <w:szCs w:val="18"/>
              </w:rPr>
              <w:t>有限公司、佛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山市科技孵 化合伙企业</w:t>
            </w:r>
          </w:p>
          <w:p>
            <w:pPr>
              <w:pStyle w:val="TableParagraph"/>
              <w:spacing w:line="477" w:lineRule="auto" w:before="54"/>
              <w:ind w:left="22" w:right="12"/>
              <w:jc w:val="left"/>
              <w:rPr>
                <w:rFonts w:ascii="宋体" w:hAnsi="宋体" w:cs="宋体" w:eastAsia="宋体" w:hint="default"/>
                <w:sz w:val="18"/>
                <w:szCs w:val="18"/>
              </w:rPr>
            </w:pPr>
            <w:r>
              <w:rPr>
                <w:rFonts w:ascii="宋体" w:hAnsi="宋体" w:cs="宋体" w:eastAsia="宋体" w:hint="default"/>
                <w:sz w:val="18"/>
                <w:szCs w:val="18"/>
              </w:rPr>
              <w:t>（有限合伙） 及其合伙人 或股东，提供 财务资助或 者补偿的情 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0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477" w:lineRule="auto"/>
              <w:ind w:left="23" w:right="190"/>
              <w:jc w:val="both"/>
              <w:rPr>
                <w:rFonts w:ascii="宋体" w:hAnsi="宋体" w:cs="宋体" w:eastAsia="宋体" w:hint="default"/>
                <w:sz w:val="18"/>
                <w:szCs w:val="18"/>
              </w:rPr>
            </w:pPr>
            <w:r>
              <w:rPr>
                <w:rFonts w:ascii="宋体" w:hAnsi="宋体" w:cs="宋体" w:eastAsia="宋体" w:hint="default"/>
                <w:sz w:val="18"/>
                <w:szCs w:val="18"/>
              </w:rPr>
              <w:t>敦化市康平 投资有限责 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2"/>
                <w:sz w:val="18"/>
                <w:szCs w:val="18"/>
              </w:rPr>
              <w:t>承诺：一、本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公司及其控 制的企业不 </w:t>
            </w:r>
            <w:r>
              <w:rPr>
                <w:rFonts w:ascii="宋体" w:hAnsi="宋体" w:cs="宋体" w:eastAsia="宋体" w:hint="default"/>
                <w:spacing w:val="-2"/>
                <w:sz w:val="18"/>
                <w:szCs w:val="18"/>
              </w:rPr>
              <w:t>会违反《证券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发行与承销 </w:t>
            </w:r>
            <w:r>
              <w:rPr>
                <w:rFonts w:ascii="宋体" w:hAnsi="宋体" w:cs="宋体" w:eastAsia="宋体" w:hint="default"/>
                <w:spacing w:val="-2"/>
                <w:sz w:val="18"/>
                <w:szCs w:val="18"/>
              </w:rPr>
              <w:t>管理办法》第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十六条等有 关法规的规 </w:t>
            </w:r>
            <w:r>
              <w:rPr>
                <w:rFonts w:ascii="宋体" w:hAnsi="宋体" w:cs="宋体" w:eastAsia="宋体" w:hint="default"/>
                <w:spacing w:val="-2"/>
                <w:sz w:val="18"/>
                <w:szCs w:val="18"/>
              </w:rPr>
              <w:t>定，直接或间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接对认购对 </w:t>
            </w:r>
            <w:r>
              <w:rPr>
                <w:rFonts w:ascii="宋体" w:hAnsi="宋体" w:cs="宋体" w:eastAsia="宋体" w:hint="default"/>
                <w:spacing w:val="-2"/>
                <w:sz w:val="18"/>
                <w:szCs w:val="18"/>
              </w:rPr>
              <w:t>象仲桂兰、郭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华、李自英及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北京富徳昊 邦投资中心</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477" w:lineRule="auto"/>
              <w:ind w:left="22" w:right="6"/>
              <w:jc w:val="left"/>
              <w:rPr>
                <w:rFonts w:ascii="宋体" w:hAnsi="宋体" w:cs="宋体" w:eastAsia="宋体" w:hint="default"/>
                <w:sz w:val="18"/>
                <w:szCs w:val="18"/>
              </w:rPr>
            </w:pPr>
            <w:r>
              <w:rPr>
                <w:rFonts w:ascii="宋体" w:hAnsi="宋体" w:cs="宋体" w:eastAsia="宋体" w:hint="default"/>
                <w:sz w:val="18"/>
                <w:szCs w:val="18"/>
              </w:rPr>
              <w:t>紫鑫药业非 公开发行股 票事项完毕。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477" w:lineRule="auto"/>
              <w:ind w:left="22" w:right="175"/>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、上海红</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樱资产管理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有限公司、佛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山市科技孵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化合伙企业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及其合伙人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或股东提供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财务资助或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者补偿。二、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本公司自紫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鑫药业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年度非公开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发行股票定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价基准日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月期间及自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定价基准日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之后至本承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诺出具日，不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存在购买或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减持紫鑫药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业股票的情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形。三、自紫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鑫药业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年度非公开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发行股票定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价基准日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88"/>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日）起至本 次发行完成 后六个月内， 本公司不存 在减持紫鑫 药业股票的 计划或安排。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8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477" w:lineRule="auto"/>
              <w:ind w:left="23" w:right="190"/>
              <w:jc w:val="both"/>
              <w:rPr>
                <w:rFonts w:ascii="宋体" w:hAnsi="宋体" w:cs="宋体" w:eastAsia="宋体" w:hint="default"/>
                <w:sz w:val="18"/>
                <w:szCs w:val="18"/>
              </w:rPr>
            </w:pPr>
            <w:r>
              <w:rPr>
                <w:rFonts w:ascii="宋体" w:hAnsi="宋体" w:cs="宋体" w:eastAsia="宋体" w:hint="default"/>
                <w:sz w:val="18"/>
                <w:szCs w:val="18"/>
              </w:rPr>
              <w:t>敦化市康平 投资有限责 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129"/>
              <w:ind w:left="22" w:right="21"/>
              <w:jc w:val="left"/>
              <w:rPr>
                <w:rFonts w:ascii="宋体" w:hAnsi="宋体" w:cs="宋体" w:eastAsia="宋体" w:hint="default"/>
                <w:sz w:val="18"/>
                <w:szCs w:val="18"/>
              </w:rPr>
            </w:pPr>
            <w:r>
              <w:rPr>
                <w:rFonts w:ascii="宋体" w:hAnsi="宋体" w:cs="宋体" w:eastAsia="宋体" w:hint="default"/>
                <w:spacing w:val="-2"/>
                <w:sz w:val="18"/>
                <w:szCs w:val="18"/>
              </w:rPr>
              <w:t>一、敦化市华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韵工贸有限 </w:t>
            </w:r>
            <w:r>
              <w:rPr>
                <w:rFonts w:ascii="宋体" w:hAnsi="宋体" w:cs="宋体" w:eastAsia="宋体" w:hint="default"/>
                <w:spacing w:val="-2"/>
                <w:sz w:val="18"/>
                <w:szCs w:val="18"/>
              </w:rPr>
              <w:t>责任公司（以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华韵 </w:t>
            </w:r>
            <w:r>
              <w:rPr>
                <w:rFonts w:ascii="宋体" w:hAnsi="宋体" w:cs="宋体" w:eastAsia="宋体" w:hint="default"/>
                <w:spacing w:val="-13"/>
                <w:w w:val="100"/>
                <w:sz w:val="18"/>
                <w:szCs w:val="18"/>
              </w:rPr>
              <w:t>工贸</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）系本公</w:t>
            </w:r>
            <w:r>
              <w:rPr>
                <w:rFonts w:ascii="宋体" w:hAnsi="宋体" w:cs="宋体" w:eastAsia="宋体" w:hint="default"/>
                <w:sz w:val="18"/>
                <w:szCs w:val="18"/>
              </w:rPr>
              <w:t> 司的全资子 </w:t>
            </w:r>
            <w:r>
              <w:rPr>
                <w:rFonts w:ascii="宋体" w:hAnsi="宋体" w:cs="宋体" w:eastAsia="宋体" w:hint="default"/>
                <w:spacing w:val="-2"/>
                <w:sz w:val="18"/>
                <w:szCs w:val="18"/>
              </w:rPr>
              <w:t>公司，与本公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司为一致行 动人。 二、 自紫鑫药业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 公开发行股 票定价基准 日（</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 前六个月期 间及其之后 至本承诺出 </w:t>
            </w:r>
            <w:r>
              <w:rPr>
                <w:rFonts w:ascii="宋体" w:hAnsi="宋体" w:cs="宋体" w:eastAsia="宋体" w:hint="default"/>
                <w:spacing w:val="-2"/>
                <w:sz w:val="18"/>
                <w:szCs w:val="18"/>
              </w:rPr>
              <w:t>具日，本公司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及华韵工贸</w:t>
            </w:r>
          </w:p>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不存在减持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477" w:lineRule="auto"/>
              <w:ind w:left="22" w:right="6"/>
              <w:jc w:val="left"/>
              <w:rPr>
                <w:rFonts w:ascii="宋体" w:hAnsi="宋体" w:cs="宋体" w:eastAsia="宋体" w:hint="default"/>
                <w:sz w:val="18"/>
                <w:szCs w:val="18"/>
              </w:rPr>
            </w:pPr>
            <w:r>
              <w:rPr>
                <w:rFonts w:ascii="宋体" w:hAnsi="宋体" w:cs="宋体" w:eastAsia="宋体" w:hint="default"/>
                <w:sz w:val="18"/>
                <w:szCs w:val="18"/>
              </w:rPr>
              <w:t>紫鑫药业非 公开发行股 票事项完毕。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477" w:lineRule="auto"/>
              <w:ind w:left="22" w:right="175"/>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88"/>
              <w:ind w:left="22" w:right="102"/>
              <w:jc w:val="left"/>
              <w:rPr>
                <w:rFonts w:ascii="宋体" w:hAnsi="宋体" w:cs="宋体" w:eastAsia="宋体" w:hint="default"/>
                <w:sz w:val="18"/>
                <w:szCs w:val="18"/>
              </w:rPr>
            </w:pPr>
            <w:r>
              <w:rPr>
                <w:rFonts w:ascii="宋体" w:hAnsi="宋体" w:cs="宋体" w:eastAsia="宋体" w:hint="default"/>
                <w:sz w:val="18"/>
                <w:szCs w:val="18"/>
              </w:rPr>
              <w:t>紫鑫药业股 票的情况。 三、自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年度非公开 发行股票定 价基准日</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472" w:lineRule="auto"/>
              <w:ind w:left="22" w:right="21"/>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日）起 至本次发行 完成后六个 </w:t>
            </w:r>
            <w:r>
              <w:rPr>
                <w:rFonts w:ascii="宋体" w:hAnsi="宋体" w:cs="宋体" w:eastAsia="宋体" w:hint="default"/>
                <w:spacing w:val="-2"/>
                <w:sz w:val="18"/>
                <w:szCs w:val="18"/>
              </w:rPr>
              <w:t>月内，本公司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及华韵工贸 也不存在减 持紫鑫药业 股票的计划 或安排。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1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再融资承诺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
              <w:jc w:val="left"/>
              <w:rPr>
                <w:rFonts w:ascii="宋体" w:hAnsi="宋体" w:cs="宋体" w:eastAsia="宋体" w:hint="default"/>
                <w:sz w:val="18"/>
                <w:szCs w:val="18"/>
              </w:rPr>
            </w:pPr>
            <w:r>
              <w:rPr>
                <w:rFonts w:ascii="宋体" w:hAnsi="宋体" w:cs="宋体" w:eastAsia="宋体" w:hint="default"/>
                <w:sz w:val="18"/>
                <w:szCs w:val="18"/>
              </w:rPr>
              <w:t>承诺：不会违 反《证券发行 与承销管理 办法》第十六 条等有关法 规的规定，直 接或间接对 认购对象仲 桂兰、郭华、 李自英及北 京富徳昊邦 投资中心（有</w:t>
            </w:r>
          </w:p>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90"/>
                <w:sz w:val="18"/>
                <w:szCs w:val="18"/>
              </w:rPr>
              <w:t>）</w:t>
            </w:r>
            <w:r>
              <w:rPr>
                <w:rFonts w:ascii="宋体" w:hAnsi="宋体" w:cs="宋体" w:eastAsia="宋体" w:hint="default"/>
                <w:sz w:val="18"/>
                <w:szCs w:val="18"/>
              </w:rPr>
              <w:t>、上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477" w:lineRule="auto"/>
              <w:ind w:left="22" w:right="6"/>
              <w:jc w:val="left"/>
              <w:rPr>
                <w:rFonts w:ascii="宋体" w:hAnsi="宋体" w:cs="宋体" w:eastAsia="宋体" w:hint="default"/>
                <w:sz w:val="18"/>
                <w:szCs w:val="18"/>
              </w:rPr>
            </w:pPr>
            <w:r>
              <w:rPr>
                <w:rFonts w:ascii="宋体" w:hAnsi="宋体" w:cs="宋体" w:eastAsia="宋体" w:hint="default"/>
                <w:sz w:val="18"/>
                <w:szCs w:val="18"/>
              </w:rPr>
              <w:t>紫鑫药业非 公开发行股 票事项完毕。</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477" w:lineRule="auto"/>
              <w:ind w:left="22" w:right="175"/>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bl>
    <w:p>
      <w:pPr>
        <w:spacing w:after="0" w:line="477"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海红樱资产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管理有限公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司、佛山市科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技孵化合伙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企业（有限合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伙）及其合伙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人或股东提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供财务资助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或者补偿。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一、自紫鑫药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度非公开发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行股票定价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基准日（</w:t>
            </w:r>
            <w:r>
              <w:rPr>
                <w:rFonts w:ascii="Times New Roman" w:hAnsi="Times New Roman" w:cs="Times New Roman" w:eastAsia="Times New Roman" w:hint="default"/>
                <w:sz w:val="18"/>
                <w:szCs w:val="18"/>
              </w:rPr>
              <w:t>2014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日）前六个月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及自定价基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准日后至本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承诺出具日，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本人不存在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减持紫鑫药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业股票的情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况。 二、自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票定价基准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7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8"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6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left="22" w:right="0"/>
              <w:jc w:val="left"/>
              <w:rPr>
                <w:rFonts w:ascii="宋体" w:hAnsi="宋体" w:cs="宋体" w:eastAsia="宋体" w:hint="default"/>
                <w:sz w:val="18"/>
                <w:szCs w:val="18"/>
              </w:rPr>
            </w:pPr>
            <w:r>
              <w:rPr>
                <w:rFonts w:ascii="宋体" w:hAnsi="宋体" w:cs="宋体" w:eastAsia="宋体" w:hint="default"/>
                <w:sz w:val="18"/>
                <w:szCs w:val="18"/>
              </w:rPr>
              <w:t>起至本次发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8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21"/>
              <w:jc w:val="left"/>
              <w:rPr>
                <w:rFonts w:ascii="宋体" w:hAnsi="宋体" w:cs="宋体" w:eastAsia="宋体" w:hint="default"/>
                <w:sz w:val="18"/>
                <w:szCs w:val="18"/>
              </w:rPr>
            </w:pPr>
            <w:r>
              <w:rPr>
                <w:rFonts w:ascii="宋体" w:hAnsi="宋体" w:cs="宋体" w:eastAsia="宋体" w:hint="default"/>
                <w:sz w:val="18"/>
                <w:szCs w:val="18"/>
              </w:rPr>
              <w:t>行完成后六 </w:t>
            </w:r>
            <w:r>
              <w:rPr>
                <w:rFonts w:ascii="宋体" w:hAnsi="宋体" w:cs="宋体" w:eastAsia="宋体" w:hint="default"/>
                <w:spacing w:val="-2"/>
                <w:sz w:val="18"/>
                <w:szCs w:val="18"/>
              </w:rPr>
              <w:t>个月内，本人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不存在减持 紫鑫药业股 票的计划或 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430"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477" w:lineRule="auto"/>
              <w:ind w:left="23" w:right="190"/>
              <w:jc w:val="both"/>
              <w:rPr>
                <w:rFonts w:ascii="宋体" w:hAnsi="宋体" w:cs="宋体" w:eastAsia="宋体" w:hint="default"/>
                <w:sz w:val="18"/>
                <w:szCs w:val="18"/>
              </w:rPr>
            </w:pPr>
            <w:r>
              <w:rPr>
                <w:rFonts w:ascii="宋体" w:hAnsi="宋体" w:cs="宋体" w:eastAsia="宋体" w:hint="default"/>
                <w:sz w:val="18"/>
                <w:szCs w:val="18"/>
              </w:rPr>
              <w:t>敦化市康平 投资有限责 任公司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477" w:lineRule="auto"/>
              <w:ind w:left="22" w:right="191"/>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129"/>
              <w:ind w:left="22" w:right="88"/>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以上股东所 做出的避免 同业竞争的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长期承诺</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68"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该承诺期限 为长期</w:t>
            </w:r>
            <w:r>
              <w:rPr>
                <w:rFonts w:ascii="Times New Roman" w:hAnsi="Times New Roman" w:cs="Times New Roman" w:eastAsia="Times New Roman" w:hint="default"/>
                <w:sz w:val="18"/>
                <w:szCs w:val="18"/>
              </w:rPr>
              <w:t>,</w:t>
            </w:r>
            <w:r>
              <w:rPr>
                <w:rFonts w:ascii="宋体" w:hAnsi="宋体" w:cs="宋体" w:eastAsia="宋体" w:hint="default"/>
                <w:sz w:val="18"/>
                <w:szCs w:val="18"/>
              </w:rPr>
              <w:t>该承 诺目前正在 严格履行。</w:t>
            </w:r>
          </w:p>
        </w:tc>
      </w:tr>
      <w:tr>
        <w:trPr>
          <w:trHeight w:val="80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477" w:lineRule="auto"/>
              <w:ind w:left="23" w:right="190"/>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477"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129"/>
              <w:ind w:left="22" w:right="21"/>
              <w:jc w:val="left"/>
              <w:rPr>
                <w:rFonts w:ascii="宋体" w:hAnsi="宋体" w:cs="宋体" w:eastAsia="宋体" w:hint="default"/>
                <w:sz w:val="18"/>
                <w:szCs w:val="18"/>
              </w:rPr>
            </w:pPr>
            <w:r>
              <w:rPr>
                <w:rFonts w:ascii="宋体" w:hAnsi="宋体" w:cs="宋体" w:eastAsia="宋体" w:hint="default"/>
                <w:spacing w:val="-2"/>
                <w:sz w:val="18"/>
                <w:szCs w:val="18"/>
              </w:rPr>
              <w:t>承诺：延吉厂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区已完工募 投项目应付 未付款项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约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475" w:lineRule="auto" w:before="27"/>
              <w:ind w:left="22" w:right="21"/>
              <w:jc w:val="left"/>
              <w:rPr>
                <w:rFonts w:ascii="宋体" w:hAnsi="宋体" w:cs="宋体" w:eastAsia="宋体" w:hint="default"/>
                <w:sz w:val="18"/>
                <w:szCs w:val="18"/>
              </w:rPr>
            </w:pPr>
            <w:r>
              <w:rPr>
                <w:rFonts w:ascii="宋体" w:hAnsi="宋体" w:cs="宋体" w:eastAsia="宋体" w:hint="default"/>
                <w:sz w:val="18"/>
                <w:szCs w:val="18"/>
              </w:rPr>
              <w:t>元质保金</w:t>
            </w:r>
            <w:r>
              <w:rPr>
                <w:rFonts w:ascii="Times New Roman" w:hAnsi="Times New Roman" w:cs="Times New Roman" w:eastAsia="Times New Roman" w:hint="default"/>
                <w:sz w:val="18"/>
                <w:szCs w:val="18"/>
              </w:rPr>
              <w:t>)</w:t>
            </w:r>
            <w:r>
              <w:rPr>
                <w:rFonts w:ascii="宋体" w:hAnsi="宋体" w:cs="宋体" w:eastAsia="宋体" w:hint="default"/>
                <w:sz w:val="18"/>
                <w:szCs w:val="18"/>
              </w:rPr>
              <w:t>在 满足付款条 件时将使用 公司自有资 </w:t>
            </w:r>
            <w:r>
              <w:rPr>
                <w:rFonts w:ascii="宋体" w:hAnsi="宋体" w:cs="宋体" w:eastAsia="宋体" w:hint="default"/>
                <w:spacing w:val="-2"/>
                <w:sz w:val="18"/>
                <w:szCs w:val="18"/>
              </w:rPr>
              <w:t>金支付。公司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过去十二个 月内未进行 </w:t>
            </w:r>
            <w:r>
              <w:rPr>
                <w:rFonts w:ascii="宋体" w:hAnsi="宋体" w:cs="宋体" w:eastAsia="宋体" w:hint="default"/>
                <w:spacing w:val="-2"/>
                <w:sz w:val="18"/>
                <w:szCs w:val="18"/>
              </w:rPr>
              <w:t>风险投资，同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时，公司承诺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永久补充流 动资金后十</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二个月内不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477" w:lineRule="auto"/>
              <w:ind w:left="22" w:right="173"/>
              <w:jc w:val="left"/>
              <w:rPr>
                <w:rFonts w:ascii="宋体" w:hAnsi="宋体" w:cs="宋体" w:eastAsia="宋体" w:hint="default"/>
                <w:sz w:val="18"/>
                <w:szCs w:val="18"/>
              </w:rPr>
            </w:pPr>
            <w:r>
              <w:rPr>
                <w:rFonts w:ascii="宋体" w:hAnsi="宋体" w:cs="宋体" w:eastAsia="宋体" w:hint="default"/>
                <w:sz w:val="18"/>
                <w:szCs w:val="18"/>
              </w:rPr>
              <w:t>该承诺已履 行完毕。</w:t>
            </w:r>
          </w:p>
        </w:tc>
      </w:tr>
    </w:tbl>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23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92"/>
              <w:jc w:val="both"/>
              <w:rPr>
                <w:rFonts w:ascii="宋体" w:hAnsi="宋体" w:cs="宋体" w:eastAsia="宋体" w:hint="default"/>
                <w:sz w:val="18"/>
                <w:szCs w:val="18"/>
              </w:rPr>
            </w:pPr>
            <w:r>
              <w:rPr>
                <w:rFonts w:ascii="宋体" w:hAnsi="宋体" w:cs="宋体" w:eastAsia="宋体" w:hint="default"/>
                <w:sz w:val="18"/>
                <w:szCs w:val="18"/>
              </w:rPr>
              <w:t>进行证券投 资等高风险 投资及为他 人提供财务 资助。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38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477" w:lineRule="auto"/>
              <w:ind w:left="23" w:right="190"/>
              <w:jc w:val="both"/>
              <w:rPr>
                <w:rFonts w:ascii="宋体" w:hAnsi="宋体" w:cs="宋体" w:eastAsia="宋体" w:hint="default"/>
                <w:sz w:val="18"/>
                <w:szCs w:val="18"/>
              </w:rPr>
            </w:pPr>
            <w:r>
              <w:rPr>
                <w:rFonts w:ascii="宋体" w:hAnsi="宋体" w:cs="宋体" w:eastAsia="宋体" w:hint="default"/>
                <w:sz w:val="18"/>
                <w:szCs w:val="18"/>
              </w:rPr>
              <w:t>吉林紫鑫药 业股份有限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477" w:lineRule="auto"/>
              <w:ind w:left="22" w:right="191"/>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129"/>
              <w:ind w:left="22" w:right="21"/>
              <w:jc w:val="left"/>
              <w:rPr>
                <w:rFonts w:ascii="宋体" w:hAnsi="宋体" w:cs="宋体" w:eastAsia="宋体" w:hint="default"/>
                <w:sz w:val="18"/>
                <w:szCs w:val="18"/>
              </w:rPr>
            </w:pPr>
            <w:r>
              <w:rPr>
                <w:rFonts w:ascii="宋体" w:hAnsi="宋体" w:cs="宋体" w:eastAsia="宋体" w:hint="default"/>
                <w:spacing w:val="-2"/>
                <w:sz w:val="18"/>
                <w:szCs w:val="18"/>
              </w:rPr>
              <w:t>承诺：通化厂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区已完工募 投项目应付 未付款项</w:t>
            </w:r>
            <w:r>
              <w:rPr>
                <w:rFonts w:ascii="Times New Roman" w:hAnsi="Times New Roman" w:cs="Times New Roman" w:eastAsia="Times New Roman" w:hint="default"/>
                <w:sz w:val="18"/>
                <w:szCs w:val="18"/>
              </w:rPr>
              <w:t>(</w:t>
            </w:r>
            <w:r>
              <w:rPr>
                <w:rFonts w:ascii="宋体" w:hAnsi="宋体" w:cs="宋体" w:eastAsia="宋体" w:hint="default"/>
                <w:sz w:val="18"/>
                <w:szCs w:val="18"/>
              </w:rPr>
              <w:t>约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429.06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475" w:lineRule="auto" w:before="27"/>
              <w:ind w:left="22" w:right="21"/>
              <w:jc w:val="left"/>
              <w:rPr>
                <w:rFonts w:ascii="宋体" w:hAnsi="宋体" w:cs="宋体" w:eastAsia="宋体" w:hint="default"/>
                <w:sz w:val="18"/>
                <w:szCs w:val="18"/>
              </w:rPr>
            </w:pPr>
            <w:r>
              <w:rPr>
                <w:rFonts w:ascii="宋体" w:hAnsi="宋体" w:cs="宋体" w:eastAsia="宋体" w:hint="default"/>
                <w:sz w:val="18"/>
                <w:szCs w:val="18"/>
              </w:rPr>
              <w:t>元质保金</w:t>
            </w:r>
            <w:r>
              <w:rPr>
                <w:rFonts w:ascii="Times New Roman" w:hAnsi="Times New Roman" w:cs="Times New Roman" w:eastAsia="Times New Roman" w:hint="default"/>
                <w:sz w:val="18"/>
                <w:szCs w:val="18"/>
              </w:rPr>
              <w:t>)</w:t>
            </w:r>
            <w:r>
              <w:rPr>
                <w:rFonts w:ascii="宋体" w:hAnsi="宋体" w:cs="宋体" w:eastAsia="宋体" w:hint="default"/>
                <w:sz w:val="18"/>
                <w:szCs w:val="18"/>
              </w:rPr>
              <w:t>在 满足付款条 件时将使用 公司自有资 </w:t>
            </w:r>
            <w:r>
              <w:rPr>
                <w:rFonts w:ascii="宋体" w:hAnsi="宋体" w:cs="宋体" w:eastAsia="宋体" w:hint="default"/>
                <w:spacing w:val="-2"/>
                <w:sz w:val="18"/>
                <w:szCs w:val="18"/>
              </w:rPr>
              <w:t>金支付。公司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过去十二个 月内未进行 </w:t>
            </w:r>
            <w:r>
              <w:rPr>
                <w:rFonts w:ascii="宋体" w:hAnsi="宋体" w:cs="宋体" w:eastAsia="宋体" w:hint="default"/>
                <w:spacing w:val="-2"/>
                <w:sz w:val="18"/>
                <w:szCs w:val="18"/>
              </w:rPr>
              <w:t>风险投资，同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时，公司承诺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永久补充流 动资金后十 二个月内不 进行证券投</w:t>
            </w:r>
          </w:p>
          <w:p>
            <w:pPr>
              <w:pStyle w:val="TableParagraph"/>
              <w:spacing w:line="477" w:lineRule="auto" w:before="56"/>
              <w:ind w:left="22" w:right="192"/>
              <w:jc w:val="both"/>
              <w:rPr>
                <w:rFonts w:ascii="宋体" w:hAnsi="宋体" w:cs="宋体" w:eastAsia="宋体" w:hint="default"/>
                <w:sz w:val="18"/>
                <w:szCs w:val="18"/>
              </w:rPr>
            </w:pPr>
            <w:r>
              <w:rPr>
                <w:rFonts w:ascii="宋体" w:hAnsi="宋体" w:cs="宋体" w:eastAsia="宋体" w:hint="default"/>
                <w:sz w:val="18"/>
                <w:szCs w:val="18"/>
              </w:rPr>
              <w:t>资等高风险 投资及为他 人提供财务 资助。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477" w:lineRule="auto"/>
              <w:ind w:left="22" w:right="175"/>
              <w:jc w:val="both"/>
              <w:rPr>
                <w:rFonts w:ascii="宋体" w:hAnsi="宋体" w:cs="宋体" w:eastAsia="宋体" w:hint="default"/>
                <w:sz w:val="18"/>
                <w:szCs w:val="18"/>
              </w:rPr>
            </w:pPr>
            <w:r>
              <w:rPr>
                <w:rFonts w:ascii="宋体" w:hAnsi="宋体" w:cs="宋体" w:eastAsia="宋体" w:hint="default"/>
                <w:sz w:val="18"/>
                <w:szCs w:val="18"/>
              </w:rPr>
              <w:t>该承诺目前 正在严格履 行。</w:t>
            </w:r>
          </w:p>
        </w:tc>
      </w:tr>
      <w:tr>
        <w:trPr>
          <w:trHeight w:val="102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3" w:right="190"/>
              <w:jc w:val="left"/>
              <w:rPr>
                <w:rFonts w:ascii="宋体" w:hAnsi="宋体" w:cs="宋体" w:eastAsia="宋体" w:hint="default"/>
                <w:sz w:val="18"/>
                <w:szCs w:val="18"/>
              </w:rPr>
            </w:pPr>
            <w:r>
              <w:rPr>
                <w:rFonts w:ascii="宋体" w:hAnsi="宋体" w:cs="宋体" w:eastAsia="宋体" w:hint="default"/>
                <w:sz w:val="18"/>
                <w:szCs w:val="18"/>
              </w:rPr>
              <w:t>敦化市康平 投资有限责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21"/>
              <w:jc w:val="left"/>
              <w:rPr>
                <w:rFonts w:ascii="宋体" w:hAnsi="宋体" w:cs="宋体" w:eastAsia="宋体" w:hint="default"/>
                <w:sz w:val="18"/>
                <w:szCs w:val="18"/>
              </w:rPr>
            </w:pPr>
            <w:r>
              <w:rPr>
                <w:rFonts w:ascii="宋体" w:hAnsi="宋体" w:cs="宋体" w:eastAsia="宋体" w:hint="default"/>
                <w:spacing w:val="-2"/>
                <w:sz w:val="18"/>
                <w:szCs w:val="18"/>
              </w:rPr>
              <w:t>承诺：紫鑫药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业若因投资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186"/>
              <w:jc w:val="left"/>
              <w:rPr>
                <w:rFonts w:ascii="宋体" w:hAnsi="宋体" w:cs="宋体" w:eastAsia="宋体" w:hint="default"/>
                <w:sz w:val="18"/>
                <w:szCs w:val="18"/>
              </w:rPr>
            </w:pPr>
            <w:r>
              <w:rPr>
                <w:rFonts w:ascii="宋体" w:hAnsi="宋体" w:cs="宋体" w:eastAsia="宋体" w:hint="default"/>
                <w:sz w:val="18"/>
                <w:szCs w:val="18"/>
              </w:rPr>
              <w:t>紫鑫药业涉 及证券诉讼</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175"/>
              <w:jc w:val="left"/>
              <w:rPr>
                <w:rFonts w:ascii="宋体" w:hAnsi="宋体" w:cs="宋体" w:eastAsia="宋体" w:hint="default"/>
                <w:sz w:val="18"/>
                <w:szCs w:val="18"/>
              </w:rPr>
            </w:pPr>
            <w:r>
              <w:rPr>
                <w:rFonts w:ascii="宋体" w:hAnsi="宋体" w:cs="宋体" w:eastAsia="宋体" w:hint="default"/>
                <w:sz w:val="18"/>
                <w:szCs w:val="18"/>
              </w:rPr>
              <w:t>该承诺目前 正在严格履</w:t>
            </w:r>
          </w:p>
        </w:tc>
      </w:tr>
    </w:tbl>
    <w:p>
      <w:pPr>
        <w:spacing w:after="0" w:line="475"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94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88"/>
              <w:ind w:left="22" w:right="21"/>
              <w:jc w:val="left"/>
              <w:rPr>
                <w:rFonts w:ascii="宋体" w:hAnsi="宋体" w:cs="宋体" w:eastAsia="宋体" w:hint="default"/>
                <w:sz w:val="18"/>
                <w:szCs w:val="18"/>
              </w:rPr>
            </w:pPr>
            <w:r>
              <w:rPr>
                <w:rFonts w:ascii="宋体" w:hAnsi="宋体" w:cs="宋体" w:eastAsia="宋体" w:hint="default"/>
                <w:spacing w:val="-2"/>
                <w:sz w:val="18"/>
                <w:szCs w:val="18"/>
              </w:rPr>
              <w:t>人刘光礼、肖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丽等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 然人股东或 其他投资人 以紫鑫药业 存在证券虚 假陈述责任 为由提起民 事诉讼并被 人民法院判 决承担民事 </w:t>
            </w:r>
            <w:r>
              <w:rPr>
                <w:rFonts w:ascii="宋体" w:hAnsi="宋体" w:cs="宋体" w:eastAsia="宋体" w:hint="default"/>
                <w:spacing w:val="-2"/>
                <w:sz w:val="18"/>
                <w:szCs w:val="18"/>
              </w:rPr>
              <w:t>赔偿责任，本</w:t>
            </w:r>
          </w:p>
          <w:p>
            <w:pPr>
              <w:pStyle w:val="TableParagraph"/>
              <w:spacing w:line="477" w:lineRule="auto" w:before="56"/>
              <w:ind w:left="22" w:right="12"/>
              <w:jc w:val="left"/>
              <w:rPr>
                <w:rFonts w:ascii="宋体" w:hAnsi="宋体" w:cs="宋体" w:eastAsia="宋体" w:hint="default"/>
                <w:sz w:val="18"/>
                <w:szCs w:val="18"/>
              </w:rPr>
            </w:pPr>
            <w:r>
              <w:rPr>
                <w:rFonts w:ascii="宋体" w:hAnsi="宋体" w:cs="宋体" w:eastAsia="宋体" w:hint="default"/>
                <w:sz w:val="18"/>
                <w:szCs w:val="18"/>
              </w:rPr>
              <w:t>公司自愿根 据人民法院 生效判决代 替紫鑫药业 向投资人承 担相关的民 事赔偿责任。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事项完毕。</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5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9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Times New Roman" w:hAnsi="Times New Roman" w:cs="Times New Roman" w:eastAsia="Times New Roman" w:hint="default"/>
          <w:sz w:val="28"/>
          <w:szCs w:val="28"/>
        </w:rPr>
      </w:pPr>
    </w:p>
    <w:p>
      <w:pPr>
        <w:pStyle w:val="Heading4"/>
        <w:spacing w:line="386" w:lineRule="auto" w:before="35"/>
        <w:ind w:left="154"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13"/>
        <w:rPr>
          <w:rFonts w:ascii="宋体" w:hAnsi="宋体" w:cs="宋体" w:eastAsia="宋体" w:hint="default"/>
          <w:b/>
          <w:bCs/>
          <w:sz w:val="29"/>
          <w:szCs w:val="2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0"/>
        <w:rPr>
          <w:rFonts w:ascii="宋体" w:hAnsi="宋体" w:cs="宋体" w:eastAsia="宋体" w:hint="default"/>
          <w:b/>
          <w:bCs/>
          <w:sz w:val="24"/>
          <w:szCs w:val="24"/>
        </w:rPr>
      </w:pPr>
    </w:p>
    <w:p>
      <w:pPr>
        <w:spacing w:before="17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0"/>
        <w:rPr>
          <w:rFonts w:ascii="宋体" w:hAnsi="宋体" w:cs="宋体" w:eastAsia="宋体" w:hint="default"/>
          <w:b/>
          <w:bCs/>
          <w:sz w:val="24"/>
          <w:szCs w:val="24"/>
        </w:rPr>
      </w:pPr>
    </w:p>
    <w:p>
      <w:pPr>
        <w:spacing w:line="489" w:lineRule="auto" w:before="188"/>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8"/>
        <w:rPr>
          <w:rFonts w:ascii="宋体" w:hAnsi="宋体" w:cs="宋体" w:eastAsia="宋体" w:hint="default"/>
          <w:sz w:val="22"/>
          <w:szCs w:val="22"/>
        </w:rPr>
      </w:pPr>
    </w:p>
    <w:p>
      <w:pPr>
        <w:pStyle w:val="Heading3"/>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22"/>
          <w:szCs w:val="22"/>
        </w:rPr>
      </w:pPr>
    </w:p>
    <w:p>
      <w:pPr>
        <w:pStyle w:val="Heading3"/>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公司报告期无合并报表范围发生变化的情况。</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0"/>
        <w:rPr>
          <w:rFonts w:ascii="宋体" w:hAnsi="宋体" w:cs="宋体" w:eastAsia="宋体" w:hint="default"/>
          <w:b/>
          <w:bCs/>
          <w:sz w:val="24"/>
          <w:szCs w:val="24"/>
        </w:rPr>
      </w:pPr>
    </w:p>
    <w:p>
      <w:pPr>
        <w:spacing w:before="188"/>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刘昆、常明</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91" w:right="0"/>
              <w:jc w:val="lef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4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74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240" w:lineRule="auto" w:before="12"/>
        <w:rPr>
          <w:rFonts w:ascii="宋体" w:hAnsi="宋体" w:cs="宋体" w:eastAsia="宋体" w:hint="default"/>
          <w:sz w:val="20"/>
          <w:szCs w:val="20"/>
        </w:rPr>
      </w:pPr>
    </w:p>
    <w:p>
      <w:pPr>
        <w:spacing w:line="489" w:lineRule="auto" w:before="0"/>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8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468"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日接到吉林省长 春市中级人民法院 传票，涉及原告共 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5"/>
                <w:sz w:val="18"/>
                <w:szCs w:val="18"/>
              </w:rPr>
              <w:t>人，以证券虚</w:t>
            </w:r>
            <w:r>
              <w:rPr>
                <w:rFonts w:ascii="宋体" w:hAnsi="宋体" w:cs="宋体" w:eastAsia="宋体" w:hint="default"/>
                <w:sz w:val="18"/>
                <w:szCs w:val="18"/>
              </w:rPr>
              <w:t> 假陈述责任纠纷为 由，分别向吉林省 长春市中级人民法</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83" w:right="0"/>
              <w:jc w:val="left"/>
              <w:rPr>
                <w:rFonts w:ascii="Times New Roman" w:hAnsi="Times New Roman" w:cs="Times New Roman" w:eastAsia="Times New Roman" w:hint="default"/>
                <w:sz w:val="18"/>
                <w:szCs w:val="18"/>
              </w:rPr>
            </w:pPr>
            <w:r>
              <w:rPr>
                <w:rFonts w:ascii="Times New Roman"/>
                <w:sz w:val="18"/>
              </w:rPr>
              <w:t>182.76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20"/>
              <w:jc w:val="left"/>
              <w:rPr>
                <w:rFonts w:ascii="宋体" w:hAnsi="宋体" w:cs="宋体" w:eastAsia="宋体" w:hint="default"/>
                <w:sz w:val="18"/>
                <w:szCs w:val="18"/>
              </w:rPr>
            </w:pPr>
            <w:r>
              <w:rPr>
                <w:rFonts w:ascii="宋体" w:hAnsi="宋体" w:cs="宋体" w:eastAsia="宋体" w:hint="default"/>
                <w:spacing w:val="-4"/>
                <w:sz w:val="18"/>
                <w:szCs w:val="18"/>
              </w:rPr>
              <w:t>目前，上述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案件已进 入诉讼程 </w:t>
            </w:r>
            <w:r>
              <w:rPr>
                <w:rFonts w:ascii="宋体" w:hAnsi="宋体" w:cs="宋体" w:eastAsia="宋体" w:hint="default"/>
                <w:spacing w:val="-4"/>
                <w:sz w:val="18"/>
                <w:szCs w:val="18"/>
              </w:rPr>
              <w:t>序，但未开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始审理，本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公司将积 极参加诉</w:t>
            </w:r>
          </w:p>
          <w:p>
            <w:pPr>
              <w:pStyle w:val="TableParagraph"/>
              <w:spacing w:line="240" w:lineRule="auto" w:before="5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讼。</w:t>
            </w:r>
            <w:r>
              <w:rPr>
                <w:rFonts w:ascii="Times New Roman" w:hAnsi="Times New Roman" w:cs="Times New Roman" w:eastAsia="Times New Roman" w:hint="default"/>
                <w:sz w:val="18"/>
                <w:szCs w:val="18"/>
              </w:rPr>
              <w:t>.</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9"/>
              <w:ind w:left="22" w:right="79"/>
              <w:jc w:val="both"/>
              <w:rPr>
                <w:rFonts w:ascii="宋体" w:hAnsi="宋体" w:cs="宋体" w:eastAsia="宋体" w:hint="default"/>
                <w:sz w:val="18"/>
                <w:szCs w:val="18"/>
              </w:rPr>
            </w:pPr>
            <w:r>
              <w:rPr>
                <w:rFonts w:ascii="宋体" w:hAnsi="宋体" w:cs="宋体" w:eastAsia="宋体" w:hint="default"/>
                <w:sz w:val="18"/>
                <w:szCs w:val="18"/>
              </w:rPr>
              <w:t>因案件未开始审 理，涉案人数及 金额存在不确定 因素，且涉案金 额数目较小，对 公司生产经营、 本期利润或期后 利润不构成重大</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pacing w:val="-10"/>
                <w:sz w:val="18"/>
                <w:szCs w:val="18"/>
              </w:rPr>
              <w:t>未开庭、未判决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63"/>
        <w:gridCol w:w="1072"/>
        <w:gridCol w:w="1248"/>
        <w:gridCol w:w="938"/>
        <w:gridCol w:w="1374"/>
        <w:gridCol w:w="1248"/>
        <w:gridCol w:w="1064"/>
        <w:gridCol w:w="1063"/>
      </w:tblGrid>
      <w:tr>
        <w:trPr>
          <w:trHeight w:val="1923" w:hRule="exact"/>
        </w:trPr>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88"/>
              <w:jc w:val="left"/>
              <w:rPr>
                <w:rFonts w:ascii="宋体" w:hAnsi="宋体" w:cs="宋体" w:eastAsia="宋体" w:hint="default"/>
                <w:sz w:val="18"/>
                <w:szCs w:val="18"/>
              </w:rPr>
            </w:pPr>
            <w:r>
              <w:rPr>
                <w:rFonts w:ascii="宋体" w:hAnsi="宋体" w:cs="宋体" w:eastAsia="宋体" w:hint="default"/>
                <w:sz w:val="18"/>
                <w:szCs w:val="18"/>
              </w:rPr>
              <w:t>院提起诉讼，要求 本公司就前述事项 承担民事赔偿责 任。</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4"/>
          <w:szCs w:val="24"/>
        </w:rPr>
      </w:pPr>
    </w:p>
    <w:p>
      <w:pPr>
        <w:pStyle w:val="Heading3"/>
        <w:spacing w:line="240" w:lineRule="auto" w:before="26"/>
        <w:ind w:left="154"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0"/>
        <w:rPr>
          <w:rFonts w:ascii="宋体" w:hAnsi="宋体" w:cs="宋体" w:eastAsia="宋体" w:hint="default"/>
          <w:b/>
          <w:bCs/>
          <w:sz w:val="24"/>
          <w:szCs w:val="24"/>
        </w:rPr>
      </w:pPr>
    </w:p>
    <w:p>
      <w:pPr>
        <w:spacing w:line="489" w:lineRule="auto" w:before="189"/>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0"/>
        <w:rPr>
          <w:rFonts w:ascii="宋体" w:hAnsi="宋体" w:cs="宋体" w:eastAsia="宋体" w:hint="default"/>
          <w:b/>
          <w:bCs/>
          <w:sz w:val="24"/>
          <w:szCs w:val="24"/>
        </w:rPr>
      </w:pPr>
    </w:p>
    <w:p>
      <w:pPr>
        <w:spacing w:line="489" w:lineRule="auto" w:before="188"/>
        <w:ind w:left="153" w:right="17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报告期内，公司及其控股股东、实际控制人不存在未履行法院生效判决、所负数额较大的债务到期未清偿等情况。</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0"/>
        <w:rPr>
          <w:rFonts w:ascii="宋体" w:hAnsi="宋体" w:cs="宋体" w:eastAsia="宋体" w:hint="default"/>
          <w:b/>
          <w:bCs/>
          <w:sz w:val="24"/>
          <w:szCs w:val="24"/>
        </w:rPr>
      </w:pPr>
    </w:p>
    <w:p>
      <w:pPr>
        <w:spacing w:before="19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386" w:lineRule="auto" w:before="0"/>
        <w:ind w:right="1130" w:firstLine="460"/>
        <w:jc w:val="left"/>
      </w:pPr>
      <w:r>
        <w:rPr/>
        <w:t>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日召开的第五届董事会第二十九次会议</w:t>
      </w:r>
      <w:r>
        <w:rPr>
          <w:rFonts w:ascii="Times New Roman" w:hAnsi="Times New Roman" w:cs="Times New Roman" w:eastAsia="Times New Roman" w:hint="default"/>
        </w:rPr>
        <w:t>(</w:t>
      </w:r>
      <w:r>
        <w:rPr/>
        <w:t>临时）以及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日召开的 </w:t>
      </w:r>
      <w:r>
        <w:rPr>
          <w:rFonts w:ascii="Times New Roman" w:hAnsi="Times New Roman" w:cs="Times New Roman" w:eastAsia="Times New Roman" w:hint="default"/>
        </w:rPr>
        <w:t>2015</w:t>
      </w:r>
      <w:r>
        <w:rPr/>
        <w:t>年第二次临时股东大会审议通过了《</w:t>
      </w:r>
      <w:r>
        <w:rPr>
          <w:rFonts w:ascii="Times New Roman" w:hAnsi="Times New Roman" w:cs="Times New Roman" w:eastAsia="Times New Roman" w:hint="default"/>
        </w:rPr>
        <w:t>2015</w:t>
      </w:r>
      <w:r>
        <w:rPr/>
        <w:t>年度员工持股计划（草案）</w:t>
      </w:r>
      <w:r>
        <w:rPr>
          <w:rFonts w:ascii="Times New Roman" w:hAnsi="Times New Roman" w:cs="Times New Roman" w:eastAsia="Times New Roman" w:hint="default"/>
        </w:rPr>
        <w:t>&gt;</w:t>
      </w:r>
      <w:r>
        <w:rPr/>
        <w:t>及摘要》</w:t>
      </w:r>
      <w:r>
        <w:rPr>
          <w:spacing w:val="-37"/>
        </w:rPr>
        <w:t> </w:t>
      </w:r>
      <w:r>
        <w:rPr/>
        <w:t>，《</w:t>
      </w:r>
      <w:r>
        <w:rPr>
          <w:rFonts w:ascii="Times New Roman" w:hAnsi="Times New Roman" w:cs="Times New Roman" w:eastAsia="Times New Roman" w:hint="default"/>
        </w:rPr>
        <w:t>2015</w:t>
      </w:r>
      <w:r>
        <w:rPr/>
        <w:t>年员工持股 </w:t>
      </w:r>
      <w:r>
        <w:rPr>
          <w:spacing w:val="-2"/>
        </w:rPr>
        <w:t>计划（草案）摘要》</w:t>
      </w:r>
      <w:r>
        <w:rPr>
          <w:rFonts w:ascii="Times New Roman" w:hAnsi="Times New Roman" w:cs="Times New Roman" w:eastAsia="Times New Roman" w:hint="default"/>
          <w:spacing w:val="-2"/>
        </w:rPr>
        <w:t>(</w:t>
      </w:r>
      <w:r>
        <w:rPr>
          <w:spacing w:val="-2"/>
        </w:rPr>
        <w:t>公告编号：</w:t>
      </w:r>
      <w:r>
        <w:rPr>
          <w:rFonts w:ascii="Times New Roman" w:hAnsi="Times New Roman" w:cs="Times New Roman" w:eastAsia="Times New Roman" w:hint="default"/>
          <w:spacing w:val="-2"/>
        </w:rPr>
        <w:t>2015-054</w:t>
      </w:r>
      <w:r>
        <w:rPr>
          <w:spacing w:val="-2"/>
        </w:rPr>
        <w:t>）全文刊登在巨潮资讯网（</w:t>
      </w:r>
      <w:hyperlink r:id="rId11">
        <w:r>
          <w:rPr>
            <w:rFonts w:ascii="Times New Roman" w:hAnsi="Times New Roman" w:cs="Times New Roman" w:eastAsia="Times New Roman" w:hint="default"/>
            <w:spacing w:val="-2"/>
          </w:rPr>
          <w:t>www.cninfo.com.cn</w:t>
        </w:r>
      </w:hyperlink>
      <w:r>
        <w:rPr>
          <w:spacing w:val="-2"/>
        </w:rPr>
        <w:t>）及公司指定信息</w:t>
      </w:r>
      <w:r>
        <w:rPr>
          <w:spacing w:val="-75"/>
        </w:rPr>
        <w:t> </w:t>
      </w:r>
      <w:r>
        <w:rPr>
          <w:spacing w:val="-75"/>
        </w:rPr>
      </w:r>
      <w:r>
        <w:rPr/>
        <w:t>披露媒体。</w:t>
      </w:r>
    </w:p>
    <w:p>
      <w:pPr>
        <w:pStyle w:val="BodyText"/>
        <w:spacing w:line="386" w:lineRule="auto" w:before="65"/>
        <w:ind w:right="1131"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日，公司员工持股计划已通过二级市场购买的方式完成股票购买，购买均价约为</w:t>
      </w:r>
      <w:r>
        <w:rPr>
          <w:rFonts w:ascii="Times New Roman" w:hAnsi="Times New Roman" w:cs="Times New Roman" w:eastAsia="Times New Roman" w:hint="default"/>
        </w:rPr>
        <w:t>13.1938 </w:t>
      </w:r>
      <w:r>
        <w:rPr>
          <w:spacing w:val="-3"/>
        </w:rPr>
        <w:t>元</w:t>
      </w:r>
      <w:r>
        <w:rPr>
          <w:rFonts w:ascii="Times New Roman" w:hAnsi="Times New Roman" w:cs="Times New Roman" w:eastAsia="Times New Roman" w:hint="default"/>
          <w:spacing w:val="-3"/>
        </w:rPr>
        <w:t>/</w:t>
      </w:r>
      <w:r>
        <w:rPr>
          <w:spacing w:val="-3"/>
        </w:rPr>
        <w:t>股，购买数量为</w:t>
      </w:r>
      <w:r>
        <w:rPr>
          <w:rFonts w:ascii="Times New Roman" w:hAnsi="Times New Roman" w:cs="Times New Roman" w:eastAsia="Times New Roman" w:hint="default"/>
          <w:spacing w:val="-3"/>
        </w:rPr>
        <w:t>2,272,846</w:t>
      </w:r>
      <w:r>
        <w:rPr>
          <w:spacing w:val="-3"/>
        </w:rPr>
        <w:t>股，约占公司总股本的比例为</w:t>
      </w:r>
      <w:r>
        <w:rPr>
          <w:rFonts w:ascii="Times New Roman" w:hAnsi="Times New Roman" w:cs="Times New Roman" w:eastAsia="Times New Roman" w:hint="default"/>
          <w:spacing w:val="-3"/>
        </w:rPr>
        <w:t>0.4431%</w:t>
      </w:r>
      <w:r>
        <w:rPr>
          <w:spacing w:val="-3"/>
        </w:rPr>
        <w:t>，成交总额为</w:t>
      </w:r>
      <w:r>
        <w:rPr>
          <w:rFonts w:ascii="Times New Roman" w:hAnsi="Times New Roman" w:cs="Times New Roman" w:eastAsia="Times New Roman" w:hint="default"/>
          <w:spacing w:val="-3"/>
        </w:rPr>
        <w:t>29,987,365.10</w:t>
      </w:r>
      <w:r>
        <w:rPr>
          <w:spacing w:val="-3"/>
        </w:rPr>
        <w:t>元。公司</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1"/>
        </w:rPr>
        <w:t>年员工持股计划已完成股票购买，所购买的股票锁定期为自本公告日起</w:t>
      </w:r>
      <w:r>
        <w:rPr>
          <w:rFonts w:ascii="Times New Roman" w:hAnsi="Times New Roman" w:cs="Times New Roman" w:eastAsia="Times New Roman" w:hint="default"/>
          <w:spacing w:val="-1"/>
        </w:rPr>
        <w:t>12</w:t>
      </w:r>
      <w:r>
        <w:rPr>
          <w:spacing w:val="-1"/>
        </w:rPr>
        <w:t>个月。《关于员工持股计划完成</w:t>
      </w:r>
      <w:r>
        <w:rPr>
          <w:spacing w:val="-82"/>
        </w:rPr>
        <w:t> </w:t>
      </w:r>
      <w:r>
        <w:rPr>
          <w:spacing w:val="-82"/>
        </w:rPr>
      </w:r>
      <w:r>
        <w:rPr>
          <w:spacing w:val="-2"/>
        </w:rPr>
        <w:t>股票购买的公告》</w:t>
      </w:r>
      <w:r>
        <w:rPr>
          <w:rFonts w:ascii="Times New Roman" w:hAnsi="Times New Roman" w:cs="Times New Roman" w:eastAsia="Times New Roman" w:hint="default"/>
          <w:spacing w:val="-2"/>
        </w:rPr>
        <w:t>(</w:t>
      </w:r>
      <w:r>
        <w:rPr>
          <w:spacing w:val="-2"/>
        </w:rPr>
        <w:t>公告编号：</w:t>
      </w:r>
      <w:r>
        <w:rPr>
          <w:rFonts w:ascii="Times New Roman" w:hAnsi="Times New Roman" w:cs="Times New Roman" w:eastAsia="Times New Roman" w:hint="default"/>
          <w:spacing w:val="-2"/>
        </w:rPr>
        <w:t>2016-007</w:t>
      </w:r>
      <w:r>
        <w:rPr>
          <w:spacing w:val="-2"/>
        </w:rPr>
        <w:t>）全文刊登在巨潮资讯网（</w:t>
      </w:r>
      <w:hyperlink r:id="rId11">
        <w:r>
          <w:rPr>
            <w:rFonts w:ascii="Times New Roman" w:hAnsi="Times New Roman" w:cs="Times New Roman" w:eastAsia="Times New Roman" w:hint="default"/>
            <w:spacing w:val="-2"/>
          </w:rPr>
          <w:t>www.cninfo.com.cn</w:t>
        </w:r>
      </w:hyperlink>
      <w:r>
        <w:rPr>
          <w:spacing w:val="-2"/>
        </w:rPr>
        <w:t>）及公司指定信息披</w:t>
      </w:r>
      <w:r>
        <w:rPr>
          <w:spacing w:val="-80"/>
        </w:rPr>
        <w:t> </w:t>
      </w:r>
      <w:r>
        <w:rPr>
          <w:spacing w:val="-80"/>
        </w:rPr>
      </w:r>
      <w:r>
        <w:rPr/>
        <w:t>露媒体。</w:t>
      </w:r>
    </w:p>
    <w:p>
      <w:pPr>
        <w:spacing w:after="0" w:line="386"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89"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4"/>
          <w:szCs w:val="24"/>
        </w:rPr>
      </w:pPr>
    </w:p>
    <w:p>
      <w:pPr>
        <w:pStyle w:val="Heading4"/>
        <w:spacing w:line="240" w:lineRule="auto"/>
        <w:ind w:left="154"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89"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公司报告期不存在托管情况。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89"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396" w:lineRule="auto" w:before="58"/>
        <w:ind w:right="0" w:firstLine="48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5</w:t>
      </w:r>
      <w:r>
        <w:rPr>
          <w:spacing w:val="-2"/>
        </w:rPr>
        <w:t>日，公司第五届董事会第三十次会议审议通过了《关于全资子公司开展售后回租融资租赁</w:t>
      </w:r>
      <w:r>
        <w:rPr/>
        <w:t> 业务的议案》，公司全资子公司吉林紫鑫般若药业有限公司将其部分生产设备及设施与无锡金控融资租赁 有限公司开展售后回租融资租赁业务，融资金额为</w:t>
      </w:r>
      <w:r>
        <w:rPr>
          <w:rFonts w:ascii="Times New Roman" w:hAnsi="Times New Roman" w:cs="Times New Roman" w:eastAsia="Times New Roman" w:hint="default"/>
        </w:rPr>
        <w:t>5,000.00</w:t>
      </w:r>
      <w:r>
        <w:rPr/>
        <w:t>万元，融资期限为</w:t>
      </w:r>
      <w:r>
        <w:rPr>
          <w:rFonts w:ascii="Times New Roman" w:hAnsi="Times New Roman" w:cs="Times New Roman" w:eastAsia="Times New Roman" w:hint="default"/>
        </w:rPr>
        <w:t>1</w:t>
      </w:r>
      <w:r>
        <w:rPr/>
        <w:t>年。在租赁期间，般若药业 以回租方式继续占有并使用该部分生产设备及设施，同时按双方约定向无锡金控融资租赁有限公司支付租 </w:t>
      </w:r>
      <w:r>
        <w:rPr>
          <w:spacing w:val="-3"/>
        </w:rPr>
        <w:t>金和费用，租赁期满，般若药业以留购价格人民币</w:t>
      </w:r>
      <w:r>
        <w:rPr>
          <w:rFonts w:ascii="Times New Roman" w:hAnsi="Times New Roman" w:cs="Times New Roman" w:eastAsia="Times New Roman" w:hint="default"/>
          <w:spacing w:val="-3"/>
        </w:rPr>
        <w:t>1,000.00</w:t>
      </w:r>
      <w:r>
        <w:rPr>
          <w:spacing w:val="-3"/>
        </w:rPr>
        <w:t>元回购此融资租赁资产所有权。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w:t>
      </w:r>
      <w:r>
        <w:rPr>
          <w:spacing w:val="-71"/>
        </w:rPr>
        <w:t> </w:t>
      </w:r>
      <w:r>
        <w:rPr/>
        <w:t>般若药业融资工作结束完成回购。</w:t>
      </w:r>
    </w:p>
    <w:p>
      <w:pPr>
        <w:spacing w:before="123"/>
        <w:ind w:left="15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558"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49"/>
              <w:ind w:left="99"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3"/>
        <w:gridCol w:w="916"/>
        <w:gridCol w:w="929"/>
        <w:gridCol w:w="1301"/>
        <w:gridCol w:w="1050"/>
        <w:gridCol w:w="1042"/>
        <w:gridCol w:w="1055"/>
        <w:gridCol w:w="786"/>
        <w:gridCol w:w="783"/>
      </w:tblGrid>
      <w:tr>
        <w:trPr>
          <w:trHeight w:val="518"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494"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92"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432"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56"/>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吉林紫鑫红石种养殖 有限公司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33"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33"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33"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2"/>
                <w:sz w:val="18"/>
              </w:rPr>
              <w:t>11,000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33"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33"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宋体" w:hAnsi="宋体" w:cs="宋体" w:eastAsia="宋体" w:hint="default"/>
                <w:sz w:val="18"/>
                <w:szCs w:val="18"/>
              </w:rPr>
              <w:t>二年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8"/>
              <w:jc w:val="left"/>
              <w:rPr>
                <w:rFonts w:ascii="宋体" w:hAnsi="宋体" w:cs="宋体" w:eastAsia="宋体" w:hint="default"/>
                <w:sz w:val="18"/>
                <w:szCs w:val="18"/>
              </w:rPr>
            </w:pPr>
            <w:r>
              <w:rPr>
                <w:rFonts w:ascii="宋体" w:hAnsi="宋体" w:cs="宋体" w:eastAsia="宋体" w:hint="default"/>
                <w:sz w:val="18"/>
                <w:szCs w:val="18"/>
              </w:rPr>
              <w:t>吉林草还丹药业有限 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3,000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33"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报告期内对子公司担保实</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w:t>
            </w:r>
          </w:p>
        </w:tc>
      </w:tr>
      <w:tr>
        <w:trPr>
          <w:trHeight w:val="1031"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48,800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 w:right="0"/>
              <w:jc w:val="left"/>
              <w:rPr>
                <w:rFonts w:ascii="宋体" w:hAnsi="宋体" w:cs="宋体" w:eastAsia="宋体" w:hint="default"/>
                <w:sz w:val="18"/>
                <w:szCs w:val="18"/>
              </w:rPr>
            </w:pPr>
            <w:r>
              <w:rPr>
                <w:rFonts w:ascii="宋体" w:hAnsi="宋体" w:cs="宋体" w:eastAsia="宋体" w:hint="default"/>
                <w:sz w:val="18"/>
                <w:szCs w:val="18"/>
              </w:rPr>
              <w:t>报告期末对子公司实际担</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48,800</w:t>
            </w:r>
          </w:p>
        </w:tc>
      </w:tr>
      <w:tr>
        <w:trPr>
          <w:trHeight w:val="54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244"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4"/>
              <w:ind w:left="88"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4"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0"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423"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201"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48"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0"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234"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1" w:type="dxa"/>
            <w:vMerge/>
            <w:tcBorders>
              <w:left w:val="single" w:sz="4" w:space="0" w:color="000000"/>
              <w:bottom w:val="nil" w:sz="6" w:space="0" w:color="auto"/>
              <w:right w:val="single" w:sz="4" w:space="0" w:color="000000"/>
            </w:tcBorders>
            <w:shd w:val="clear" w:color="auto" w:fill="D2D2D2"/>
          </w:tcPr>
          <w:p>
            <w:pPr/>
          </w:p>
        </w:tc>
        <w:tc>
          <w:tcPr>
            <w:tcW w:w="1050"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244"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4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63"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28,800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报告期内担保实际发生额</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6"/>
        <w:gridCol w:w="2633"/>
      </w:tblGrid>
      <w:tr>
        <w:trPr>
          <w:trHeight w:val="518"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1026"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48,800</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48,800</w:t>
            </w:r>
          </w:p>
        </w:tc>
      </w:tr>
      <w:tr>
        <w:trPr>
          <w:trHeight w:val="563"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24.24%</w:t>
            </w:r>
          </w:p>
        </w:tc>
      </w:tr>
      <w:tr>
        <w:trPr>
          <w:trHeight w:val="548"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563"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558"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r>
      <w:tr>
        <w:trPr>
          <w:trHeight w:val="1026"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58"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Times New Roman" w:hAnsi="Times New Roman" w:cs="Times New Roman" w:eastAsia="Times New Roman" w:hint="default"/>
          <w:sz w:val="7"/>
          <w:szCs w:val="7"/>
        </w:rPr>
      </w:pPr>
    </w:p>
    <w:p>
      <w:pPr>
        <w:spacing w:line="518" w:lineRule="auto" w:before="44"/>
        <w:ind w:left="154" w:right="8052"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9"/>
        <w:rPr>
          <w:rFonts w:ascii="宋体" w:hAnsi="宋体" w:cs="宋体" w:eastAsia="宋体" w:hint="default"/>
          <w:sz w:val="22"/>
          <w:szCs w:val="22"/>
        </w:rPr>
      </w:pPr>
    </w:p>
    <w:p>
      <w:pPr>
        <w:pStyle w:val="Heading4"/>
        <w:spacing w:line="240" w:lineRule="auto"/>
        <w:ind w:left="154"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489"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89"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583"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关于通过高新技术企业重新认定的公告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第五届董事会第二十三次会议决议公告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关于全资子公司取得药品生产许可证的公告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关于控股股东股权质押解除和再次质押公告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关于控股股东股权质押解除和再次质押公告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关于变更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年年度报告披露时间的公告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第五届董事会第二十四次会议决议公告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第五届监事会第十三次会议决议公告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吉林紫鑫药业股份有限公司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年年度报告摘要</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关于聘任证券事务代表的公告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140"/>
              <w:ind w:left="2" w:right="111"/>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年年度报告网上说明会的公告</w:t>
            </w:r>
            <w:r>
              <w:rPr>
                <w:rFonts w:ascii="Times New Roman" w:hAnsi="Times New Roman" w:cs="Times New Roman" w:eastAsia="Times New Roman" w:hint="default"/>
                <w:sz w:val="18"/>
                <w:szCs w:val="18"/>
              </w:rPr>
              <w:t>(</w:t>
            </w:r>
            <w:r>
              <w:rPr>
                <w:rFonts w:ascii="宋体" w:hAnsi="宋体" w:cs="宋体" w:eastAsia="宋体" w:hint="default"/>
                <w:sz w:val="18"/>
                <w:szCs w:val="18"/>
              </w:rPr>
              <w:t>更正 后）</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关于单项节余募集资金永久补充流动资金的公告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关于调整公司经营范围和修订《公司章程》的公告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关于会计政策变更的公告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年年度报告网上说明会的更正公告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年年度股东大会决议公告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关于全资子公司获得《药品</w:t>
            </w:r>
            <w:r>
              <w:rPr>
                <w:rFonts w:ascii="Times New Roman" w:hAnsi="Times New Roman" w:cs="Times New Roman" w:eastAsia="Times New Roman" w:hint="default"/>
                <w:sz w:val="18"/>
                <w:szCs w:val="18"/>
              </w:rPr>
              <w:t>GMP</w:t>
            </w:r>
            <w:r>
              <w:rPr>
                <w:rFonts w:ascii="宋体" w:hAnsi="宋体" w:cs="宋体" w:eastAsia="宋体" w:hint="default"/>
                <w:sz w:val="18"/>
                <w:szCs w:val="18"/>
              </w:rPr>
              <w:t>证书》的公告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年年度权益分派实施公告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关于董事、监事辞职的公告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关于财务总监辞职的公告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第五届董事会第二十五次会议决议公告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第五届监事会第十四次会议决议公告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关于补选董事、监事的公告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关于公司控股子公司吉林环境能源交易所增资扩 股的公告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140"/>
              <w:ind w:left="2" w:right="27"/>
              <w:jc w:val="left"/>
              <w:rPr>
                <w:rFonts w:ascii="宋体" w:hAnsi="宋体" w:cs="宋体" w:eastAsia="宋体" w:hint="default"/>
                <w:sz w:val="18"/>
                <w:szCs w:val="18"/>
              </w:rPr>
            </w:pPr>
            <w:r>
              <w:rPr>
                <w:rFonts w:ascii="宋体" w:hAnsi="宋体" w:cs="宋体" w:eastAsia="宋体" w:hint="default"/>
                <w:sz w:val="18"/>
                <w:szCs w:val="18"/>
              </w:rPr>
              <w:t>关于实施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年年度权益分派方案后调整非公开 发行股票发行底价和发行数量的公告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140"/>
              <w:ind w:left="2" w:right="27"/>
              <w:jc w:val="left"/>
              <w:rPr>
                <w:rFonts w:ascii="宋体" w:hAnsi="宋体" w:cs="宋体" w:eastAsia="宋体" w:hint="default"/>
                <w:sz w:val="18"/>
                <w:szCs w:val="18"/>
              </w:rPr>
            </w:pPr>
            <w:r>
              <w:rPr>
                <w:rFonts w:ascii="宋体" w:hAnsi="宋体" w:cs="宋体" w:eastAsia="宋体" w:hint="default"/>
                <w:sz w:val="18"/>
                <w:szCs w:val="18"/>
              </w:rPr>
              <w:t>关于深圳证券交易所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年年报问询函的回复公 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7"/>
              <w:jc w:val="left"/>
              <w:rPr>
                <w:rFonts w:ascii="宋体" w:hAnsi="宋体" w:cs="宋体" w:eastAsia="宋体" w:hint="default"/>
                <w:sz w:val="18"/>
                <w:szCs w:val="18"/>
              </w:rPr>
            </w:pPr>
            <w:r>
              <w:rPr>
                <w:rFonts w:ascii="宋体" w:hAnsi="宋体" w:cs="宋体" w:eastAsia="宋体" w:hint="default"/>
                <w:sz w:val="18"/>
                <w:szCs w:val="18"/>
              </w:rPr>
              <w:t>关于收到《中国证监会行政许可申请受理通知书》 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第五届董事会第二十六次会议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临时）决议公告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关于聘任财务总监的公告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年第一季度报告正文</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第五届董事会第二十八次会议（临时）决议公告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关于设立全资孙公司的公告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关于控股股东股票质押式回购交易完成购回和办 理股票质押式回购交易的公告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2"/>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关于收到《中国证监会行政许可项目审查反馈意见 通知书》的公告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关于非公开发行股票申请文件反馈意见回复的公 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关于非公开发行股票摊薄即期回报对公司主要财 务指标影响及采取措施的公告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关于最近五年被证券监管部门和交易所采取监管 措施或处罚及整改情况的公告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关于非公开发行股票相关承诺事项的公告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关于董事、高级管理人员增持公司股份计划的公告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重大事项停牌公告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重大事项继续停牌公告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第五届董事会第二十九次会议</w:t>
            </w:r>
            <w:r>
              <w:rPr>
                <w:rFonts w:ascii="Times New Roman" w:hAnsi="Times New Roman" w:cs="Times New Roman" w:eastAsia="Times New Roman" w:hint="default"/>
                <w:sz w:val="18"/>
                <w:szCs w:val="18"/>
              </w:rPr>
              <w:t>(</w:t>
            </w:r>
            <w:r>
              <w:rPr>
                <w:rFonts w:ascii="宋体" w:hAnsi="宋体" w:cs="宋体" w:eastAsia="宋体" w:hint="default"/>
                <w:sz w:val="18"/>
                <w:szCs w:val="18"/>
              </w:rPr>
              <w:t>临时）决议公告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第五届监事会第十六次会议（临时）决议公告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年第二次临时股东大会的公告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关于维护公司股价稳定方案的公告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年员工持股计划（草案）摘要</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关于公司股票复牌公告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关于控股股东股权质押解除和再次质押公告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年第二次临时股东大会决议公告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第五届董事会第三十次会议决议公告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关于全资子公司开展售后回租融资租赁业务的公 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关于为全资子公司开展售后回租融资租赁业务提 供担保的公告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第五届董事会第三十一次会议决议公告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第五届监事会第十七次会议决议公告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年半年度报告摘要</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关于延长公司非公开发行股票有效期的公告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关于员工持股计划实施进展的公告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关于涉及诉讼的公告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关于控股股东股权质押解除和再次质押公告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99"/>
              <w:jc w:val="left"/>
              <w:rPr>
                <w:rFonts w:ascii="宋体" w:hAnsi="宋体" w:cs="宋体" w:eastAsia="宋体" w:hint="default"/>
                <w:sz w:val="18"/>
                <w:szCs w:val="18"/>
              </w:rPr>
            </w:pPr>
            <w:r>
              <w:rPr>
                <w:rFonts w:ascii="宋体" w:hAnsi="宋体" w:cs="宋体" w:eastAsia="宋体" w:hint="default"/>
                <w:sz w:val="18"/>
                <w:szCs w:val="18"/>
              </w:rPr>
              <w:t>关于非公开发行股票获得</w:t>
            </w:r>
            <w:r>
              <w:rPr>
                <w:rFonts w:ascii="宋体" w:hAnsi="宋体" w:cs="宋体" w:eastAsia="宋体" w:hint="default"/>
                <w:spacing w:val="-19"/>
                <w:sz w:val="18"/>
                <w:szCs w:val="18"/>
              </w:rPr>
              <w:t> </w:t>
            </w:r>
            <w:r>
              <w:rPr>
                <w:rFonts w:ascii="宋体" w:hAnsi="宋体" w:cs="宋体" w:eastAsia="宋体" w:hint="default"/>
                <w:sz w:val="18"/>
                <w:szCs w:val="18"/>
              </w:rPr>
              <w:t>中国证券监督管理委员</w:t>
            </w:r>
            <w:r>
              <w:rPr>
                <w:rFonts w:ascii="宋体" w:hAnsi="宋体" w:cs="宋体" w:eastAsia="宋体" w:hint="default"/>
                <w:sz w:val="18"/>
                <w:szCs w:val="18"/>
              </w:rPr>
              <w:t> 会发行审核委员会</w:t>
            </w:r>
            <w:r>
              <w:rPr>
                <w:rFonts w:ascii="宋体" w:hAnsi="宋体" w:cs="宋体" w:eastAsia="宋体" w:hint="default"/>
                <w:spacing w:val="-19"/>
                <w:sz w:val="18"/>
                <w:szCs w:val="18"/>
              </w:rPr>
              <w:t> </w:t>
            </w:r>
            <w:r>
              <w:rPr>
                <w:rFonts w:ascii="宋体" w:hAnsi="宋体" w:cs="宋体" w:eastAsia="宋体" w:hint="default"/>
                <w:sz w:val="18"/>
                <w:szCs w:val="18"/>
              </w:rPr>
              <w:t>审核通过的公告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关于控股股东自愿承担公司涉及证券诉讼民事赔 偿责任的公告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第五届董事会第三十二次会议决议公告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806" w:right="87" w:hanging="721"/>
              <w:jc w:val="left"/>
              <w:rPr>
                <w:rFonts w:ascii="宋体" w:hAnsi="宋体" w:cs="宋体" w:eastAsia="宋体" w:hint="default"/>
                <w:sz w:val="18"/>
                <w:szCs w:val="18"/>
              </w:rPr>
            </w:pPr>
            <w:r>
              <w:rPr>
                <w:rFonts w:ascii="宋体" w:hAnsi="宋体" w:cs="宋体" w:eastAsia="宋体" w:hint="default"/>
                <w:sz w:val="18"/>
                <w:szCs w:val="18"/>
              </w:rPr>
              <w:t>关于控股股东约定购回式证券交易完成购回和进 行约定购回式证券交易的公告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46" w:right="0"/>
              <w:jc w:val="left"/>
              <w:rPr>
                <w:rFonts w:ascii="宋体" w:hAnsi="宋体" w:cs="宋体" w:eastAsia="宋体" w:hint="default"/>
                <w:sz w:val="18"/>
                <w:szCs w:val="18"/>
              </w:rPr>
            </w:pPr>
            <w:r>
              <w:rPr>
                <w:rFonts w:ascii="宋体" w:hAnsi="宋体" w:cs="宋体" w:eastAsia="宋体" w:hint="default"/>
                <w:sz w:val="18"/>
                <w:szCs w:val="18"/>
              </w:rPr>
              <w:t>关于股东股权质押解除和再次质押公告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626" w:right="0"/>
              <w:jc w:val="left"/>
              <w:rPr>
                <w:rFonts w:ascii="宋体" w:hAnsi="宋体" w:cs="宋体" w:eastAsia="宋体" w:hint="default"/>
                <w:sz w:val="18"/>
                <w:szCs w:val="18"/>
              </w:rPr>
            </w:pPr>
            <w:r>
              <w:rPr>
                <w:rFonts w:ascii="宋体" w:hAnsi="宋体" w:cs="宋体" w:eastAsia="宋体" w:hint="default"/>
                <w:sz w:val="18"/>
                <w:szCs w:val="18"/>
              </w:rPr>
              <w:t>关于员工持股计划实施进展的公告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1-9</w:t>
            </w:r>
            <w:r>
              <w:rPr>
                <w:rFonts w:ascii="宋体" w:hAnsi="宋体" w:cs="宋体" w:eastAsia="宋体" w:hint="default"/>
                <w:sz w:val="18"/>
                <w:szCs w:val="18"/>
              </w:rPr>
              <w:t>月业绩预告修正公告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sz w:val="18"/>
                <w:szCs w:val="18"/>
              </w:rPr>
              <w:t>第五届董事会第三十三次会议决议公告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484" w:right="0"/>
              <w:jc w:val="left"/>
              <w:rPr>
                <w:rFonts w:ascii="宋体" w:hAnsi="宋体" w:cs="宋体" w:eastAsia="宋体" w:hint="default"/>
                <w:sz w:val="18"/>
                <w:szCs w:val="18"/>
              </w:rPr>
            </w:pPr>
            <w:r>
              <w:rPr>
                <w:rFonts w:ascii="宋体" w:hAnsi="宋体" w:cs="宋体" w:eastAsia="宋体" w:hint="default"/>
                <w:sz w:val="18"/>
                <w:szCs w:val="18"/>
              </w:rPr>
              <w:t>第五届董事会第三十四次会议决议公告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574" w:right="0"/>
              <w:jc w:val="left"/>
              <w:rPr>
                <w:rFonts w:ascii="宋体" w:hAnsi="宋体" w:cs="宋体" w:eastAsia="宋体" w:hint="default"/>
                <w:sz w:val="18"/>
                <w:szCs w:val="18"/>
              </w:rPr>
            </w:pPr>
            <w:r>
              <w:rPr>
                <w:rFonts w:ascii="宋体" w:hAnsi="宋体" w:cs="宋体" w:eastAsia="宋体" w:hint="default"/>
                <w:sz w:val="18"/>
                <w:szCs w:val="18"/>
              </w:rPr>
              <w:t>第五届监事会第十八次会议决议公告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03" w:right="0"/>
              <w:jc w:val="left"/>
              <w:rPr>
                <w:rFonts w:ascii="宋体" w:hAnsi="宋体" w:cs="宋体" w:eastAsia="宋体" w:hint="default"/>
                <w:sz w:val="18"/>
                <w:szCs w:val="18"/>
              </w:rPr>
            </w:pPr>
            <w:r>
              <w:rPr>
                <w:rFonts w:ascii="宋体" w:hAnsi="宋体" w:cs="宋体" w:eastAsia="宋体" w:hint="default"/>
                <w:sz w:val="18"/>
                <w:szCs w:val="18"/>
              </w:rPr>
              <w:t>关于全资孙公司吸收合并全资子公司的公告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140"/>
              <w:ind w:left="1796" w:right="51" w:hanging="1674"/>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年第三季度报告 正文</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1796" w:right="51" w:hanging="1674"/>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关于非公开发行股票申请获得中国证监会核准的 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84" w:right="0"/>
              <w:jc w:val="left"/>
              <w:rPr>
                <w:rFonts w:ascii="宋体" w:hAnsi="宋体" w:cs="宋体" w:eastAsia="宋体" w:hint="default"/>
                <w:sz w:val="18"/>
                <w:szCs w:val="18"/>
              </w:rPr>
            </w:pPr>
            <w:r>
              <w:rPr>
                <w:rFonts w:ascii="宋体" w:hAnsi="宋体" w:cs="宋体" w:eastAsia="宋体" w:hint="default"/>
                <w:sz w:val="18"/>
                <w:szCs w:val="18"/>
              </w:rPr>
              <w:t>第五届董事会第三十五次会议决议公告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97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8" w:right="0"/>
              <w:jc w:val="left"/>
              <w:rPr>
                <w:rFonts w:ascii="宋体" w:hAnsi="宋体" w:cs="宋体" w:eastAsia="宋体" w:hint="default"/>
                <w:sz w:val="18"/>
                <w:szCs w:val="18"/>
              </w:rPr>
            </w:pPr>
            <w:r>
              <w:rPr>
                <w:rFonts w:ascii="宋体" w:hAnsi="宋体" w:cs="宋体" w:eastAsia="宋体" w:hint="default"/>
                <w:sz w:val="18"/>
                <w:szCs w:val="18"/>
              </w:rPr>
              <w:t>关于控股股东股票质押式回购交易完成购回和进</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行约定购回式证券交易的公告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46" w:right="0"/>
              <w:jc w:val="left"/>
              <w:rPr>
                <w:rFonts w:ascii="宋体" w:hAnsi="宋体" w:cs="宋体" w:eastAsia="宋体" w:hint="default"/>
                <w:sz w:val="18"/>
                <w:szCs w:val="18"/>
              </w:rPr>
            </w:pPr>
            <w:r>
              <w:rPr>
                <w:rFonts w:ascii="宋体" w:hAnsi="宋体" w:cs="宋体" w:eastAsia="宋体" w:hint="default"/>
                <w:sz w:val="18"/>
                <w:szCs w:val="18"/>
              </w:rPr>
              <w:t>第五届董事会第三十六次会议决议公告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86" w:right="0"/>
              <w:jc w:val="left"/>
              <w:rPr>
                <w:rFonts w:ascii="宋体" w:hAnsi="宋体" w:cs="宋体" w:eastAsia="宋体" w:hint="default"/>
                <w:sz w:val="18"/>
                <w:szCs w:val="18"/>
              </w:rPr>
            </w:pPr>
            <w:r>
              <w:rPr>
                <w:rFonts w:ascii="宋体" w:hAnsi="宋体" w:cs="宋体" w:eastAsia="宋体" w:hint="default"/>
                <w:sz w:val="18"/>
                <w:szCs w:val="18"/>
              </w:rPr>
              <w:t>关于取消全资孙公司吸收合并全资子公司的公告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13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477" w:lineRule="auto"/>
              <w:ind w:left="1706" w:right="31" w:hanging="1564"/>
              <w:jc w:val="left"/>
              <w:rPr>
                <w:rFonts w:ascii="宋体" w:hAnsi="宋体" w:cs="宋体" w:eastAsia="宋体" w:hint="default"/>
                <w:sz w:val="18"/>
                <w:szCs w:val="18"/>
              </w:rPr>
            </w:pPr>
            <w:r>
              <w:rPr>
                <w:rFonts w:ascii="宋体" w:hAnsi="宋体" w:cs="宋体" w:eastAsia="宋体" w:hint="default"/>
                <w:sz w:val="18"/>
                <w:szCs w:val="18"/>
              </w:rPr>
              <w:t>关于北京中科紫鑫科技有限责任公司设立子公司 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1130"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477" w:lineRule="auto"/>
              <w:ind w:left="1526" w:right="31" w:hanging="1384"/>
              <w:jc w:val="left"/>
              <w:rPr>
                <w:rFonts w:ascii="宋体" w:hAnsi="宋体" w:cs="宋体" w:eastAsia="宋体" w:hint="default"/>
                <w:sz w:val="18"/>
                <w:szCs w:val="18"/>
              </w:rPr>
            </w:pPr>
            <w:r>
              <w:rPr>
                <w:rFonts w:ascii="宋体" w:hAnsi="宋体" w:cs="宋体" w:eastAsia="宋体" w:hint="default"/>
                <w:sz w:val="18"/>
                <w:szCs w:val="18"/>
              </w:rPr>
              <w:t>关于北京中科紫鑫科技有限责任公司拟购买土地 房产的公告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4"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关于为全资子公司提供担保的公告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5" w:right="0"/>
              <w:jc w:val="left"/>
              <w:rPr>
                <w:rFonts w:ascii="宋体" w:hAnsi="宋体" w:cs="宋体" w:eastAsia="宋体" w:hint="default"/>
                <w:sz w:val="18"/>
                <w:szCs w:val="18"/>
              </w:rPr>
            </w:pPr>
            <w:r>
              <w:rPr>
                <w:rFonts w:ascii="宋体" w:hAnsi="宋体" w:cs="宋体" w:eastAsia="宋体" w:hint="default"/>
                <w:sz w:val="18"/>
                <w:szCs w:val="18"/>
              </w:rPr>
              <w:t>关于公司收到政府补助的公告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5" w:right="0"/>
              <w:jc w:val="left"/>
              <w:rPr>
                <w:rFonts w:ascii="宋体" w:hAnsi="宋体" w:cs="宋体" w:eastAsia="宋体" w:hint="default"/>
                <w:sz w:val="18"/>
                <w:szCs w:val="18"/>
              </w:rPr>
            </w:pPr>
            <w:r>
              <w:rPr>
                <w:rFonts w:ascii="宋体" w:hAnsi="宋体" w:cs="宋体" w:eastAsia="宋体" w:hint="default"/>
                <w:sz w:val="18"/>
                <w:szCs w:val="18"/>
              </w:rPr>
              <w:t>第五届董事会第三十七次会议（临时）决议公告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pStyle w:val="BodyText"/>
        <w:spacing w:line="408" w:lineRule="auto" w:before="63"/>
        <w:ind w:right="1024" w:firstLine="420"/>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w:t>
      </w:r>
      <w:r>
        <w:rPr/>
        <w:t>日，公司第五届董事会第十八次会议审议通过了公司非公开发行股票相关议案；</w:t>
      </w:r>
      <w:r>
        <w:rPr>
          <w:rFonts w:ascii="宋体" w:hAnsi="宋体" w:cs="宋体" w:eastAsia="宋体" w:hint="default"/>
        </w:rPr>
        <w:t>2014</w:t>
      </w:r>
      <w:r>
        <w:rPr/>
        <w:t>年</w:t>
      </w:r>
      <w:r>
        <w:rPr>
          <w:rFonts w:ascii="宋体" w:hAnsi="宋体" w:cs="宋体" w:eastAsia="宋体" w:hint="default"/>
        </w:rPr>
        <w:t>9 </w:t>
      </w:r>
      <w:r>
        <w:rPr/>
        <w:t>月</w:t>
      </w:r>
      <w:r>
        <w:rPr>
          <w:rFonts w:ascii="宋体" w:hAnsi="宋体" w:cs="宋体" w:eastAsia="宋体" w:hint="default"/>
        </w:rPr>
        <w:t>19</w:t>
      </w:r>
      <w:r>
        <w:rPr/>
        <w:t>日，公司</w:t>
      </w:r>
      <w:r>
        <w:rPr>
          <w:rFonts w:ascii="宋体" w:hAnsi="宋体" w:cs="宋体" w:eastAsia="宋体" w:hint="default"/>
        </w:rPr>
        <w:t>2014</w:t>
      </w:r>
      <w:r>
        <w:rPr/>
        <w:t>年第三次临时股东大会审议通过了公司非公开发行股票相关议案。</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13</w:t>
      </w:r>
      <w:r>
        <w:rPr/>
        <w:t>日，公</w:t>
      </w:r>
      <w:r>
        <w:rPr>
          <w:spacing w:val="-29"/>
        </w:rPr>
        <w:t> </w:t>
      </w:r>
      <w:r>
        <w:rPr>
          <w:spacing w:val="-29"/>
        </w:rPr>
      </w:r>
      <w:r>
        <w:rPr/>
        <w:t>司收到中国证券监督管理委员会（以下简称“中国证监会”）出具的《中国证监会行政许可申请受理通知</w:t>
      </w:r>
      <w:r>
        <w:rPr/>
        <w:t> 书》（</w:t>
      </w:r>
      <w:r>
        <w:rPr>
          <w:rFonts w:ascii="宋体" w:hAnsi="宋体" w:cs="宋体" w:eastAsia="宋体" w:hint="default"/>
        </w:rPr>
        <w:t>150651</w:t>
      </w:r>
      <w:r>
        <w:rPr/>
        <w:t>号）。中国证监会依法对公司提交的《上市公司非公开发行股票》行政许可申请材料进行了 审查。认为申请材料齐全，符合法定形式，决定对行政许可申请予以受理。</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23</w:t>
      </w:r>
      <w:r>
        <w:rPr/>
        <w:t>日，中国证监会</w:t>
      </w:r>
      <w:r>
        <w:rPr>
          <w:spacing w:val="-28"/>
        </w:rPr>
        <w:t> </w:t>
      </w:r>
      <w:r>
        <w:rPr>
          <w:spacing w:val="-28"/>
        </w:rPr>
      </w:r>
      <w:r>
        <w:rPr/>
        <w:t>发行审核委员会对公司非公开发行股票的申请进行了审核。根据会议审核结果，公司本次非公开发行股票</w:t>
      </w:r>
      <w:r>
        <w:rPr/>
        <w:t> 的申请获得审核通过。</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2</w:t>
      </w:r>
      <w:r>
        <w:rPr/>
        <w:t>日，中国证监会向公司下发了《关于核准吉林紫鑫药业股份有限公司</w:t>
      </w:r>
      <w:r>
        <w:rPr>
          <w:spacing w:val="-34"/>
        </w:rPr>
        <w:t> </w:t>
      </w:r>
      <w:r>
        <w:rPr>
          <w:spacing w:val="-34"/>
        </w:rPr>
      </w:r>
      <w:r>
        <w:rPr/>
        <w:t>非公开发行股票的批复》（证监许可【</w:t>
      </w:r>
      <w:r>
        <w:rPr>
          <w:rFonts w:ascii="宋体" w:hAnsi="宋体" w:cs="宋体" w:eastAsia="宋体" w:hint="default"/>
        </w:rPr>
        <w:t>2015</w:t>
      </w:r>
      <w:r>
        <w:rPr/>
        <w:t>】</w:t>
      </w:r>
      <w:r>
        <w:rPr>
          <w:rFonts w:ascii="宋体" w:hAnsi="宋体" w:cs="宋体" w:eastAsia="宋体" w:hint="default"/>
        </w:rPr>
        <w:t>2409</w:t>
      </w:r>
      <w:r>
        <w:rPr/>
        <w:t>号）。</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13</w:t>
      </w:r>
      <w:r>
        <w:rPr/>
        <w:t>日，公司与东吴证券依据《股份认</w:t>
      </w:r>
      <w:r>
        <w:rPr>
          <w:spacing w:val="-34"/>
        </w:rPr>
        <w:t> </w:t>
      </w:r>
      <w:r>
        <w:rPr>
          <w:spacing w:val="-34"/>
        </w:rPr>
      </w:r>
      <w:r>
        <w:rPr>
          <w:spacing w:val="-3"/>
        </w:rPr>
        <w:t>购合同》向认购对象仲桂兰、上海红樱资产管理有限公司、北京富徳昊邦投资中心（有限合伙）、李自英、</w:t>
      </w:r>
      <w:r>
        <w:rPr>
          <w:spacing w:val="-94"/>
        </w:rPr>
        <w:t> </w:t>
      </w:r>
      <w:r>
        <w:rPr>
          <w:spacing w:val="-94"/>
        </w:rPr>
      </w:r>
      <w:r>
        <w:rPr/>
        <w:t>佛山市科技孵化合伙企业（有限合伙）、郭华发出了《缴款通知书》，通知各认购对象于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14</w:t>
      </w:r>
      <w:r>
        <w:rPr/>
        <w:t>日</w:t>
      </w:r>
      <w:r>
        <w:rPr>
          <w:spacing w:val="-25"/>
        </w:rPr>
        <w:t> </w:t>
      </w:r>
      <w:r>
        <w:rPr>
          <w:rFonts w:ascii="宋体" w:hAnsi="宋体" w:cs="宋体" w:eastAsia="宋体" w:hint="default"/>
        </w:rPr>
        <w:t>15:00</w:t>
      </w:r>
      <w:r>
        <w:rPr/>
        <w:t>之前将应缴纳的认购款足额汇入发行人与东吴证券指定的收款银行账户。截至</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14</w:t>
      </w:r>
      <w:r>
        <w:rPr/>
        <w:t>日</w:t>
      </w:r>
      <w:r>
        <w:rPr>
          <w:rFonts w:ascii="宋体" w:hAnsi="宋体" w:cs="宋体" w:eastAsia="宋体" w:hint="default"/>
        </w:rPr>
        <w:t>15</w:t>
      </w:r>
      <w:r>
        <w:rPr/>
        <w:t>时， 东吴证券已实际收到认购人仲桂兰、上海红樱资产管理有限公司、北京富徳昊邦投资中心（有限合伙）、 佛山市科技孵化合伙企业（有限合伙）、郭华在指定账户缴存的认购资金累计</w:t>
      </w:r>
      <w:r>
        <w:rPr>
          <w:rFonts w:ascii="宋体" w:hAnsi="宋体" w:cs="宋体" w:eastAsia="宋体" w:hint="default"/>
        </w:rPr>
        <w:t>1,599,999,949.36</w:t>
      </w:r>
      <w:r>
        <w:rPr/>
        <w:t>元。根据</w:t>
      </w:r>
    </w:p>
    <w:p>
      <w:pPr>
        <w:pStyle w:val="BodyText"/>
        <w:spacing w:line="408" w:lineRule="auto"/>
        <w:ind w:right="0"/>
        <w:jc w:val="left"/>
      </w:pPr>
      <w:r>
        <w:rPr>
          <w:spacing w:val="-1"/>
        </w:rPr>
        <w:t>《股份认购合同》，本次发行认购人李自英应认购数量</w:t>
      </w:r>
      <w:r>
        <w:rPr>
          <w:rFonts w:ascii="宋体" w:hAnsi="宋体" w:cs="宋体" w:eastAsia="宋体" w:hint="default"/>
          <w:spacing w:val="-1"/>
        </w:rPr>
        <w:t>31,847,133</w:t>
      </w:r>
      <w:r>
        <w:rPr>
          <w:spacing w:val="-1"/>
        </w:rPr>
        <w:t>股</w:t>
      </w:r>
      <w:r>
        <w:rPr>
          <w:rFonts w:ascii="宋体" w:hAnsi="宋体" w:cs="宋体" w:eastAsia="宋体" w:hint="default"/>
          <w:spacing w:val="-1"/>
        </w:rPr>
        <w:t>,</w:t>
      </w:r>
      <w:r>
        <w:rPr>
          <w:spacing w:val="-1"/>
        </w:rPr>
        <w:t>实际认购数量</w:t>
      </w:r>
      <w:r>
        <w:rPr>
          <w:rFonts w:ascii="宋体" w:hAnsi="宋体" w:cs="宋体" w:eastAsia="宋体" w:hint="default"/>
          <w:spacing w:val="-1"/>
        </w:rPr>
        <w:t>0</w:t>
      </w:r>
      <w:r>
        <w:rPr>
          <w:spacing w:val="-1"/>
        </w:rPr>
        <w:t>股。</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16</w:t>
      </w:r>
      <w:r>
        <w:rPr>
          <w:spacing w:val="-1"/>
        </w:rPr>
        <w:t>日，</w:t>
      </w:r>
      <w:r>
        <w:rPr>
          <w:spacing w:val="-77"/>
        </w:rPr>
        <w:t> </w:t>
      </w:r>
      <w:r>
        <w:rPr>
          <w:spacing w:val="-1"/>
        </w:rPr>
        <w:t>中准会计师事务所（特殊普通合伙）以中准验字</w:t>
      </w:r>
      <w:r>
        <w:rPr>
          <w:rFonts w:ascii="宋体" w:hAnsi="宋体" w:cs="宋体" w:eastAsia="宋体" w:hint="default"/>
          <w:spacing w:val="-1"/>
        </w:rPr>
        <w:t>[2016]</w:t>
      </w:r>
      <w:r>
        <w:rPr>
          <w:spacing w:val="-1"/>
        </w:rPr>
        <w:t>第</w:t>
      </w:r>
      <w:r>
        <w:rPr>
          <w:rFonts w:ascii="宋体" w:hAnsi="宋体" w:cs="宋体" w:eastAsia="宋体" w:hint="default"/>
          <w:spacing w:val="-1"/>
        </w:rPr>
        <w:t>1068</w:t>
      </w:r>
      <w:r>
        <w:rPr>
          <w:spacing w:val="-1"/>
        </w:rPr>
        <w:t>号《验证报告》验证，截至</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15</w:t>
      </w:r>
      <w:r>
        <w:rPr>
          <w:spacing w:val="-1"/>
        </w:rPr>
        <w:t>日，</w:t>
      </w:r>
      <w:r>
        <w:rPr>
          <w:spacing w:val="-76"/>
        </w:rPr>
        <w:t> </w:t>
      </w:r>
      <w:r>
        <w:rPr/>
        <w:t>公司本次非公开发行（</w:t>
      </w:r>
      <w:r>
        <w:rPr>
          <w:rFonts w:ascii="宋体" w:hAnsi="宋体" w:cs="宋体" w:eastAsia="宋体" w:hint="default"/>
        </w:rPr>
        <w:t>A</w:t>
      </w:r>
      <w:r>
        <w:rPr/>
        <w:t>股）股票实际发行人民币普通股</w:t>
      </w:r>
      <w:r>
        <w:rPr>
          <w:rFonts w:ascii="宋体" w:hAnsi="宋体" w:cs="宋体" w:eastAsia="宋体" w:hint="default"/>
        </w:rPr>
        <w:t>127,388,531</w:t>
      </w:r>
      <w:r>
        <w:rPr/>
        <w:t>股，每股发行价格</w:t>
      </w:r>
      <w:r>
        <w:rPr>
          <w:rFonts w:ascii="宋体" w:hAnsi="宋体" w:cs="宋体" w:eastAsia="宋体" w:hint="default"/>
        </w:rPr>
        <w:t>12.56</w:t>
      </w:r>
      <w:r>
        <w:rPr/>
        <w:t>元，共计募</w:t>
      </w:r>
      <w:r>
        <w:rPr>
          <w:spacing w:val="-25"/>
        </w:rPr>
        <w:t> </w:t>
      </w:r>
      <w:r>
        <w:rPr>
          <w:spacing w:val="-25"/>
        </w:rPr>
      </w:r>
      <w:r>
        <w:rPr>
          <w:spacing w:val="-3"/>
        </w:rPr>
        <w:t>集货币资金人民币</w:t>
      </w:r>
      <w:r>
        <w:rPr>
          <w:rFonts w:ascii="宋体" w:hAnsi="宋体" w:cs="宋体" w:eastAsia="宋体" w:hint="default"/>
          <w:spacing w:val="-3"/>
        </w:rPr>
        <w:t>1,599,999,949.36</w:t>
      </w:r>
      <w:r>
        <w:rPr>
          <w:spacing w:val="-3"/>
        </w:rPr>
        <w:t>元，扣除各项发行费用</w:t>
      </w:r>
      <w:r>
        <w:rPr>
          <w:rFonts w:ascii="宋体" w:hAnsi="宋体" w:cs="宋体" w:eastAsia="宋体" w:hint="default"/>
          <w:spacing w:val="-3"/>
        </w:rPr>
        <w:t>33,247,387.52</w:t>
      </w:r>
      <w:r>
        <w:rPr>
          <w:spacing w:val="-3"/>
        </w:rPr>
        <w:t>元且不包括人民币普通股（</w:t>
      </w:r>
      <w:r>
        <w:rPr>
          <w:rFonts w:ascii="宋体" w:hAnsi="宋体" w:cs="宋体" w:eastAsia="宋体" w:hint="default"/>
          <w:spacing w:val="-3"/>
        </w:rPr>
        <w:t>A</w:t>
      </w:r>
      <w:r>
        <w:rPr>
          <w:spacing w:val="-3"/>
        </w:rPr>
        <w:t>股）</w:t>
      </w:r>
      <w:r>
        <w:rPr>
          <w:spacing w:val="-48"/>
        </w:rPr>
        <w:t> </w:t>
      </w:r>
      <w:r>
        <w:rPr/>
        <w:t>发行申购资金于冻结期间产生的利息收入，实际募集资金净额为</w:t>
      </w:r>
      <w:r>
        <w:rPr>
          <w:rFonts w:ascii="宋体" w:hAnsi="宋体" w:cs="宋体" w:eastAsia="宋体" w:hint="default"/>
        </w:rPr>
        <w:t>1,566,752,561.84</w:t>
      </w:r>
      <w:r>
        <w:rPr/>
        <w:t>元。其中新增注册资本 </w:t>
      </w:r>
      <w:r>
        <w:rPr>
          <w:rFonts w:ascii="宋体" w:hAnsi="宋体" w:cs="宋体" w:eastAsia="宋体" w:hint="default"/>
        </w:rPr>
        <w:t>127,388,531.00</w:t>
      </w:r>
      <w:r>
        <w:rPr/>
        <w:t>元整，增加资本公积</w:t>
      </w:r>
      <w:r>
        <w:rPr>
          <w:rFonts w:ascii="宋体" w:hAnsi="宋体" w:cs="宋体" w:eastAsia="宋体" w:hint="default"/>
        </w:rPr>
        <w:t>1,439,364,030.84</w:t>
      </w:r>
      <w:r>
        <w:rPr/>
        <w:t>元。</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19</w:t>
      </w:r>
      <w:r>
        <w:rPr/>
        <w:t>日，公司对本次发行的股权在中</w:t>
      </w:r>
      <w:r>
        <w:rPr>
          <w:spacing w:val="-36"/>
        </w:rPr>
        <w:t> </w:t>
      </w:r>
      <w:r>
        <w:rPr>
          <w:spacing w:val="-36"/>
        </w:rPr>
      </w:r>
      <w:r>
        <w:rPr/>
        <w:t>国证券登记结算有限责任公司深圳分公司办理了股份登记托管手续。新增股份上市日为</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29</w:t>
      </w:r>
      <w:r>
        <w:rPr/>
        <w:t>日。</w:t>
      </w:r>
    </w:p>
    <w:p>
      <w:pPr>
        <w:pStyle w:val="BodyText"/>
        <w:spacing w:line="398" w:lineRule="auto"/>
        <w:ind w:left="154" w:right="1131" w:firstLine="336"/>
        <w:jc w:val="both"/>
      </w:pPr>
      <w:r>
        <w:rPr>
          <w:rFonts w:ascii="Times New Roman" w:hAnsi="Times New Roman" w:cs="Times New Roman" w:eastAsia="Times New Roman" w:hint="default"/>
          <w:spacing w:val="-2"/>
          <w:w w:val="99"/>
        </w:rPr>
        <w:t>2015</w:t>
      </w:r>
      <w:r>
        <w:rPr>
          <w:spacing w:val="-2"/>
          <w:w w:val="99"/>
        </w:rPr>
        <w:t>年下半年</w:t>
      </w:r>
      <w:r>
        <w:rPr>
          <w:rFonts w:ascii="Times New Roman" w:hAnsi="Times New Roman" w:cs="Times New Roman" w:eastAsia="Times New Roman" w:hint="default"/>
          <w:spacing w:val="-2"/>
          <w:w w:val="99"/>
        </w:rPr>
        <w:t>A</w:t>
      </w:r>
      <w:r>
        <w:rPr>
          <w:spacing w:val="-2"/>
          <w:w w:val="99"/>
        </w:rPr>
        <w:t>股市场出现非理性波动和系统性风险，同时基于对公司未来发展前景的信心以及对公司</w:t>
      </w:r>
      <w:r>
        <w:rPr/>
        <w:t> </w:t>
      </w:r>
      <w:r>
        <w:rPr>
          <w:spacing w:val="-1"/>
        </w:rPr>
        <w:t>价值的认可，为促进公司持续、稳定、健康发展和维护公司全体股东的利益，公司、实际控制人及公司部</w:t>
      </w:r>
      <w:r>
        <w:rPr>
          <w:spacing w:val="-83"/>
        </w:rPr>
        <w:t> </w:t>
      </w:r>
      <w:r>
        <w:rPr>
          <w:spacing w:val="-83"/>
        </w:rPr>
      </w:r>
      <w:r>
        <w:rPr/>
        <w:t>分董事、高级管理人员拟采取以下措施，维护公司股价稳定、树立良好的市场形象。</w:t>
      </w:r>
    </w:p>
    <w:p>
      <w:pPr>
        <w:spacing w:after="0" w:line="39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28" w:firstLine="336"/>
        <w:jc w:val="left"/>
      </w:pPr>
      <w:r>
        <w:rPr/>
        <w:t>（</w:t>
      </w:r>
      <w:r>
        <w:rPr>
          <w:rFonts w:ascii="Times New Roman" w:hAnsi="Times New Roman" w:cs="Times New Roman" w:eastAsia="Times New Roman" w:hint="default"/>
        </w:rPr>
        <w:t>1</w:t>
      </w:r>
      <w:r>
        <w:rPr/>
        <w:t>）公司部分董事、高级管理人员增持公司股票计划 </w:t>
      </w:r>
      <w:r>
        <w:rPr>
          <w:spacing w:val="-5"/>
        </w:rPr>
        <w:t>公司董事、董事会秘书兼副总经理钟云香；公司董事兼财务总监孙莉莉；公司销售副总经理徐大庆。自</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日起一个月内分别通过二级市场购买方式合计增持</w:t>
      </w:r>
      <w:r>
        <w:rPr>
          <w:rFonts w:ascii="Times New Roman" w:hAnsi="Times New Roman" w:cs="Times New Roman" w:eastAsia="Times New Roman" w:hint="default"/>
        </w:rPr>
        <w:t>198,500</w:t>
      </w:r>
      <w:r>
        <w:rPr/>
        <w:t>股。</w:t>
      </w:r>
    </w:p>
    <w:p>
      <w:pPr>
        <w:pStyle w:val="BodyText"/>
        <w:spacing w:line="386" w:lineRule="auto" w:before="36"/>
        <w:ind w:left="490" w:right="0"/>
        <w:jc w:val="left"/>
      </w:pPr>
      <w:r>
        <w:rPr/>
        <w:t>（</w:t>
      </w:r>
      <w:r>
        <w:rPr>
          <w:rFonts w:ascii="Times New Roman" w:hAnsi="Times New Roman" w:cs="Times New Roman" w:eastAsia="Times New Roman" w:hint="default"/>
        </w:rPr>
        <w:t>2</w:t>
      </w:r>
      <w:r>
        <w:rPr/>
        <w:t>）员工持股计划 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日第五届董事会第二十九次会议、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2015</w:t>
      </w:r>
      <w:r>
        <w:rPr/>
        <w:t>年第二次临时股东大会</w:t>
      </w:r>
    </w:p>
    <w:p>
      <w:pPr>
        <w:pStyle w:val="BodyText"/>
        <w:spacing w:line="386" w:lineRule="auto" w:before="35"/>
        <w:ind w:right="0"/>
        <w:jc w:val="left"/>
      </w:pPr>
      <w:r>
        <w:rPr/>
        <w:t>审议通过了员工持股计划的相关议案，并于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日通过二级市场购买的方式完成股票购买，购买</w:t>
      </w:r>
      <w:r>
        <w:rPr>
          <w:spacing w:val="-32"/>
        </w:rPr>
        <w:t> </w:t>
      </w:r>
      <w:r>
        <w:rPr>
          <w:spacing w:val="-32"/>
        </w:rPr>
      </w:r>
      <w:r>
        <w:rPr/>
        <w:t>数量为</w:t>
      </w:r>
      <w:r>
        <w:rPr>
          <w:rFonts w:ascii="Times New Roman" w:hAnsi="Times New Roman" w:cs="Times New Roman" w:eastAsia="Times New Roman" w:hint="default"/>
        </w:rPr>
        <w:t>2,272,846</w:t>
      </w:r>
      <w:r>
        <w:rPr/>
        <w:t>股，本次员工持股计划所购买的股票锁定期为起</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bookmarkStart w:name="十九、公司子公司重大事项" w:id="99"/>
      <w:bookmarkEnd w:id="99"/>
      <w:r>
        <w:rPr>
          <w:b w:val="0"/>
          <w:bCs w:val="0"/>
        </w:rPr>
      </w:r>
      <w:r>
        <w:rPr/>
        <w:t>十九、公司子公司重大事项</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583"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7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关于全资子公司取得药品生产许可证的公告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关于全资子公司获得《药品</w:t>
            </w:r>
            <w:r>
              <w:rPr>
                <w:rFonts w:ascii="Times New Roman" w:hAnsi="Times New Roman" w:cs="Times New Roman" w:eastAsia="Times New Roman" w:hint="default"/>
                <w:sz w:val="18"/>
                <w:szCs w:val="18"/>
              </w:rPr>
              <w:t>GMP</w:t>
            </w:r>
            <w:r>
              <w:rPr>
                <w:rFonts w:ascii="宋体" w:hAnsi="宋体" w:cs="宋体" w:eastAsia="宋体" w:hint="default"/>
                <w:sz w:val="18"/>
                <w:szCs w:val="18"/>
              </w:rPr>
              <w:t>证书》的公告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关于公司控股子公司吉林环境能源交易所增资扩 股的公告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关于设立全资孙公司的公告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关于全资子公司收到政府补助的公告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71"/>
              <w:jc w:val="left"/>
              <w:rPr>
                <w:rFonts w:ascii="宋体" w:hAnsi="宋体" w:cs="宋体" w:eastAsia="宋体" w:hint="default"/>
                <w:sz w:val="18"/>
                <w:szCs w:val="18"/>
              </w:rPr>
            </w:pPr>
            <w:r>
              <w:rPr>
                <w:rFonts w:ascii="宋体" w:hAnsi="宋体" w:cs="宋体" w:eastAsia="宋体" w:hint="default"/>
                <w:sz w:val="18"/>
                <w:szCs w:val="18"/>
              </w:rPr>
              <w:t>关于全资子公司开展售后回租融资租赁业务的公 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3"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303" w:right="0"/>
              <w:jc w:val="left"/>
              <w:rPr>
                <w:rFonts w:ascii="宋体" w:hAnsi="宋体" w:cs="宋体" w:eastAsia="宋体" w:hint="default"/>
                <w:sz w:val="18"/>
                <w:szCs w:val="18"/>
              </w:rPr>
            </w:pPr>
            <w:r>
              <w:rPr>
                <w:rFonts w:ascii="宋体" w:hAnsi="宋体" w:cs="宋体" w:eastAsia="宋体" w:hint="default"/>
                <w:sz w:val="18"/>
                <w:szCs w:val="18"/>
              </w:rPr>
              <w:t>关于全资孙公司吸收合并全资子公司的公告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8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86" w:right="0"/>
              <w:jc w:val="left"/>
              <w:rPr>
                <w:rFonts w:ascii="宋体" w:hAnsi="宋体" w:cs="宋体" w:eastAsia="宋体" w:hint="default"/>
                <w:sz w:val="18"/>
                <w:szCs w:val="18"/>
              </w:rPr>
            </w:pPr>
            <w:r>
              <w:rPr>
                <w:rFonts w:ascii="宋体" w:hAnsi="宋体" w:cs="宋体" w:eastAsia="宋体" w:hint="default"/>
                <w:sz w:val="18"/>
                <w:szCs w:val="18"/>
              </w:rPr>
              <w:t>关于取消全资孙公司吸收合并全资子公司的公告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13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477" w:lineRule="auto"/>
              <w:ind w:left="1706" w:right="31" w:hanging="1564"/>
              <w:jc w:val="left"/>
              <w:rPr>
                <w:rFonts w:ascii="宋体" w:hAnsi="宋体" w:cs="宋体" w:eastAsia="宋体" w:hint="default"/>
                <w:sz w:val="18"/>
                <w:szCs w:val="18"/>
              </w:rPr>
            </w:pPr>
            <w:r>
              <w:rPr>
                <w:rFonts w:ascii="宋体" w:hAnsi="宋体" w:cs="宋体" w:eastAsia="宋体" w:hint="default"/>
                <w:sz w:val="18"/>
                <w:szCs w:val="18"/>
              </w:rPr>
              <w:t>关于北京中科紫鑫科技有限责任公司设立子公司 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7"/>
              <w:jc w:val="center"/>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970"/>
        <w:gridCol w:w="2834"/>
        <w:gridCol w:w="2764"/>
      </w:tblGrid>
      <w:tr>
        <w:trPr>
          <w:trHeight w:val="1132" w:hRule="exact"/>
        </w:trPr>
        <w:tc>
          <w:tcPr>
            <w:tcW w:w="3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477" w:lineRule="auto"/>
              <w:ind w:left="1526" w:right="31" w:hanging="1384"/>
              <w:jc w:val="left"/>
              <w:rPr>
                <w:rFonts w:ascii="宋体" w:hAnsi="宋体" w:cs="宋体" w:eastAsia="宋体" w:hint="default"/>
                <w:sz w:val="18"/>
                <w:szCs w:val="18"/>
              </w:rPr>
            </w:pPr>
            <w:r>
              <w:rPr>
                <w:rFonts w:ascii="宋体" w:hAnsi="宋体" w:cs="宋体" w:eastAsia="宋体" w:hint="default"/>
                <w:sz w:val="18"/>
                <w:szCs w:val="18"/>
              </w:rPr>
              <w:t>关于北京中科紫鑫科技有限责任公司拟购买土地 房产的公告</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0"/>
        <w:rPr>
          <w:rFonts w:ascii="宋体" w:hAnsi="宋体" w:cs="宋体" w:eastAsia="宋体" w:hint="default"/>
          <w:sz w:val="24"/>
          <w:szCs w:val="24"/>
        </w:rPr>
      </w:pPr>
    </w:p>
    <w:p>
      <w:pPr>
        <w:pStyle w:val="Heading3"/>
        <w:spacing w:line="240" w:lineRule="auto" w:before="26"/>
        <w:ind w:left="154" w:right="0"/>
        <w:jc w:val="left"/>
        <w:rPr>
          <w:b w:val="0"/>
          <w:bCs w:val="0"/>
        </w:rPr>
      </w:pPr>
      <w:bookmarkStart w:name="二十、社会责任情况" w:id="100"/>
      <w:bookmarkEnd w:id="100"/>
      <w:r>
        <w:rPr>
          <w:b w:val="0"/>
          <w:bCs w:val="0"/>
        </w:rPr>
      </w:r>
      <w:r>
        <w:rPr/>
        <w:t>二十、社会责任情况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pStyle w:val="BodyText"/>
        <w:spacing w:line="400" w:lineRule="auto" w:before="0"/>
        <w:ind w:right="1026" w:firstLine="439"/>
        <w:jc w:val="left"/>
      </w:pPr>
      <w:r>
        <w:rPr/>
        <w:t>紫鑫药业一直本着</w:t>
      </w:r>
      <w:r>
        <w:rPr>
          <w:rFonts w:ascii="Times New Roman" w:hAnsi="Times New Roman" w:cs="Times New Roman" w:eastAsia="Times New Roman" w:hint="default"/>
        </w:rPr>
        <w:t>“</w:t>
      </w:r>
      <w:r>
        <w:rPr/>
        <w:t>产品质量关系企业生命，药品质量关系患者生命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两个生命观</w:t>
      </w:r>
      <w:r>
        <w:rPr>
          <w:rFonts w:ascii="Times New Roman" w:hAnsi="Times New Roman" w:cs="Times New Roman" w:eastAsia="Times New Roman" w:hint="default"/>
        </w:rPr>
        <w:t>”</w:t>
      </w:r>
      <w:r>
        <w:rPr/>
        <w:t>的质量意识进行 着生产经营活动。狠抓中药材的种植质量关。从选种、育苗、种植、除草、施肥，到采收加工、贮藏严格 按照</w:t>
      </w:r>
      <w:r>
        <w:rPr>
          <w:rFonts w:ascii="Times New Roman" w:hAnsi="Times New Roman" w:cs="Times New Roman" w:eastAsia="Times New Roman" w:hint="default"/>
        </w:rPr>
        <w:t>GAP</w:t>
      </w:r>
      <w:r>
        <w:rPr/>
        <w:t>标准执行。所产药材均无重金属超标、农药残留等现象，确保了在生产源头上原料质量上乘。采 用新型药材种植合作方式。采用</w:t>
      </w:r>
      <w:r>
        <w:rPr>
          <w:rFonts w:ascii="Times New Roman" w:hAnsi="Times New Roman" w:cs="Times New Roman" w:eastAsia="Times New Roman" w:hint="default"/>
        </w:rPr>
        <w:t>“</w:t>
      </w:r>
      <w:r>
        <w:rPr/>
        <w:t>农户</w:t>
      </w:r>
      <w:r>
        <w:rPr>
          <w:rFonts w:ascii="Times New Roman" w:hAnsi="Times New Roman" w:cs="Times New Roman" w:eastAsia="Times New Roman" w:hint="default"/>
        </w:rPr>
        <w:t>-</w:t>
      </w:r>
      <w:r>
        <w:rPr/>
        <w:t>政府</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研究所</w:t>
      </w:r>
      <w:r>
        <w:rPr>
          <w:rFonts w:ascii="Times New Roman" w:hAnsi="Times New Roman" w:cs="Times New Roman" w:eastAsia="Times New Roman" w:hint="default"/>
        </w:rPr>
        <w:t>”</w:t>
      </w:r>
      <w:r>
        <w:rPr/>
        <w:t>四位一体的方式培育自己的药材基地，这种方式 不仅为公司的原料供应和科研开发提供坚实的质量保障，也带动了当地农村产业化发展，为周边地区提供 了上千个就业机会。坚持</w:t>
      </w:r>
      <w:r>
        <w:rPr>
          <w:rFonts w:ascii="Times New Roman" w:hAnsi="Times New Roman" w:cs="Times New Roman" w:eastAsia="Times New Roman" w:hint="default"/>
        </w:rPr>
        <w:t>“</w:t>
      </w:r>
      <w:r>
        <w:rPr/>
        <w:t>挚真质纯</w:t>
      </w:r>
      <w:r>
        <w:rPr>
          <w:rFonts w:ascii="Times New Roman" w:hAnsi="Times New Roman" w:cs="Times New Roman" w:eastAsia="Times New Roman" w:hint="default"/>
        </w:rPr>
        <w:t>”</w:t>
      </w:r>
      <w:r>
        <w:rPr/>
        <w:t>的经营理念。从设备的选型、人才的招揽到技术的使用和原材料的购 进都做到了最先进、最好、最精。每批次产品从中药材的投料到半成品、成品及留样观察都按高于国家法 定标准来监控，不让一粒不合格的产品出厂。应用先进的生产技术和设备。采用高效液相色谱仪、紫外可 见分光光度仪、片剂碎度仪、全自动喷码机等先进检验设备进行质量检测，并把超细粉碎酶技术、二氧化 碳超临界萃取技术、薄膜包衣技术、大孔树脂吸附分离技术等高科技制药工艺应用到生产中，引进国外现 代化生产线，将浸膏烘干、制粒、包衣一步完成，提高了产品科技含量。秉承</w:t>
      </w:r>
      <w:r>
        <w:rPr>
          <w:rFonts w:ascii="Times New Roman" w:hAnsi="Times New Roman" w:cs="Times New Roman" w:eastAsia="Times New Roman" w:hint="default"/>
        </w:rPr>
        <w:t>“</w:t>
      </w:r>
      <w:r>
        <w:rPr/>
        <w:t>销售是企业生存的命脉</w:t>
      </w:r>
      <w:r>
        <w:rPr>
          <w:rFonts w:ascii="Times New Roman" w:hAnsi="Times New Roman" w:cs="Times New Roman" w:eastAsia="Times New Roman" w:hint="default"/>
        </w:rPr>
        <w:t>”</w:t>
      </w:r>
      <w:r>
        <w:rPr/>
        <w:t>的 销售理念。公司在经营战略上一直把销售摆在重要位置上，明确提出了大力实施品牌战略的销售策略，建 设一流的销售队伍，完善一体化的销售体制，实现了产品定位、物流调度、分配考核、价格管理、市场划 分等五个统一，优化了资源配置，全面开创销售工作新局面。坚持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的原则。公司在研发激励机 制、人力资源配备、技术管理方面制定了切实有效的制度和实施程序。每个员工在公司里都有一个自己的 成长和表演的舞台，机会面前人人平等，对于优秀人才和对公司有突出贡献的员工给予重用和重奖，充分 </w:t>
      </w:r>
      <w:r>
        <w:rPr>
          <w:spacing w:val="-3"/>
        </w:rPr>
        <w:t>调动了全体员工的积极性。义不容辞地担负着社会责任。公司自成立之时起本着造福于社会民众为出发点，</w:t>
      </w:r>
      <w:r>
        <w:rPr>
          <w:spacing w:val="-91"/>
        </w:rPr>
        <w:t> </w:t>
      </w:r>
      <w:r>
        <w:rPr>
          <w:spacing w:val="-91"/>
        </w:rPr>
      </w:r>
      <w:r>
        <w:rPr/>
        <w:t>积极投身捐助、修路等社会公益事业中，创造近千个就业机会。全身心地履行着社会责任。</w:t>
      </w:r>
    </w:p>
    <w:p>
      <w:pPr>
        <w:spacing w:before="118"/>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left="154" w:right="0"/>
        <w:jc w:val="left"/>
        <w:rPr>
          <w:b w:val="0"/>
          <w:bCs w:val="0"/>
        </w:rPr>
      </w:pPr>
      <w:bookmarkStart w:name="二十一、公司债券相关情况" w:id="101"/>
      <w:bookmarkEnd w:id="101"/>
      <w:r>
        <w:rPr>
          <w:b w:val="0"/>
          <w:bCs w:val="0"/>
        </w:rPr>
      </w:r>
      <w:r>
        <w:rPr/>
        <w:t>二十一、公司债券相关情况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2965" w:right="0"/>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3"/>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559"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3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69"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78"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239"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317,116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-41,641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275,475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r>
      <w:tr>
        <w:trPr>
          <w:trHeight w:val="55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317,116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-41,641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275,475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r>
      <w:tr>
        <w:trPr>
          <w:trHeight w:val="55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317,116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-41,641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275,475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r>
      <w:tr>
        <w:trPr>
          <w:trHeight w:val="240"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512,674,2</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99.94%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41,641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41,641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512,715,9</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99.95%</w:t>
            </w:r>
          </w:p>
        </w:tc>
      </w:tr>
      <w:tr>
        <w:trPr>
          <w:trHeight w:val="548"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40"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512,674,2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99.94%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41,641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41,641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512,715,9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99.95%</w:t>
            </w:r>
          </w:p>
        </w:tc>
      </w:tr>
      <w:tr>
        <w:trPr>
          <w:trHeight w:val="547"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39"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40"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512,991,3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512,991,3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547"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240"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10"/>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p>
      <w:pPr>
        <w:spacing w:line="3945" w:lineRule="exact"/>
        <w:ind w:left="105"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7096125" cy="25050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7096125" cy="2505075"/>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98" w:lineRule="auto" w:before="35"/>
        <w:ind w:left="873" w:right="0" w:firstLine="420"/>
        <w:jc w:val="left"/>
      </w:pPr>
      <w:r>
        <w:rPr>
          <w:spacing w:val="-4"/>
        </w:rPr>
        <w:t>报告期初公司限售股份为</w:t>
      </w:r>
      <w:r>
        <w:rPr>
          <w:rFonts w:ascii="Times New Roman" w:hAnsi="Times New Roman" w:cs="Times New Roman" w:eastAsia="Times New Roman" w:hint="default"/>
          <w:spacing w:val="-4"/>
        </w:rPr>
        <w:t>317,116</w:t>
      </w:r>
      <w:r>
        <w:rPr>
          <w:spacing w:val="-4"/>
        </w:rPr>
        <w:t>股，均为高管锁定股，公司前董事长曹恩辉；前董事祖春香、殷金龙；</w:t>
      </w:r>
      <w:r>
        <w:rPr/>
        <w:t> 前监事范水波、前高级管理人员韩明、徐吉峰辞职离任，上述人员所持本公司股份根据《公司法》、《公 司章程》等相关法律法规规定，报告期末上述人员离任满十二个月，于本报告期锁定期满解除锁定。</w:t>
      </w:r>
    </w:p>
    <w:p>
      <w:pPr>
        <w:pStyle w:val="BodyText"/>
        <w:spacing w:line="393" w:lineRule="auto" w:before="54"/>
        <w:ind w:left="873" w:right="1076" w:firstLine="420"/>
        <w:jc w:val="both"/>
      </w:pP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7</w:t>
      </w:r>
      <w:r>
        <w:rPr>
          <w:spacing w:val="-7"/>
        </w:rPr>
        <w:t>日公司发布《关于董事、高级管理人员增持公司股份计划的公告》（公告编号：</w:t>
      </w:r>
      <w:r>
        <w:rPr>
          <w:rFonts w:ascii="Times New Roman" w:hAnsi="Times New Roman" w:cs="Times New Roman" w:eastAsia="Times New Roman" w:hint="default"/>
          <w:spacing w:val="-7"/>
        </w:rPr>
        <w:t>2015-046</w:t>
      </w:r>
      <w:r>
        <w:rPr>
          <w:spacing w:val="-7"/>
        </w:rPr>
        <w:t>），</w:t>
      </w:r>
      <w:r>
        <w:rPr>
          <w:spacing w:val="-51"/>
        </w:rPr>
        <w:t> </w:t>
      </w:r>
      <w:r>
        <w:rPr/>
        <w:t>公司董事、董事会秘书兼副总经理钟云香女士；公司董事兼财务总监孙莉莉女士；公司销售副总经理徐大</w:t>
      </w:r>
      <w:r>
        <w:rPr/>
        <w:t> </w:t>
      </w:r>
      <w:r>
        <w:rPr>
          <w:spacing w:val="-2"/>
        </w:rPr>
        <w:t>庆先生在报告期内增持公司股票，共增持公司股票</w:t>
      </w:r>
      <w:r>
        <w:rPr>
          <w:rFonts w:ascii="Times New Roman" w:hAnsi="Times New Roman" w:cs="Times New Roman" w:eastAsia="Times New Roman" w:hint="default"/>
          <w:spacing w:val="-2"/>
        </w:rPr>
        <w:t>198,500</w:t>
      </w:r>
      <w:r>
        <w:rPr>
          <w:spacing w:val="-2"/>
        </w:rPr>
        <w:t>股，根据《公司法》、《公司章程》等相关法律</w:t>
      </w:r>
      <w:r>
        <w:rPr>
          <w:spacing w:val="-83"/>
        </w:rPr>
        <w:t> </w:t>
      </w:r>
      <w:r>
        <w:rPr>
          <w:spacing w:val="-83"/>
        </w:rPr>
      </w:r>
      <w:r>
        <w:rPr/>
        <w:t>法规规定，其所持有的本公司股份锁定比例为</w:t>
      </w:r>
      <w:r>
        <w:rPr>
          <w:rFonts w:ascii="Times New Roman" w:hAnsi="Times New Roman" w:cs="Times New Roman" w:eastAsia="Times New Roman" w:hint="default"/>
        </w:rPr>
        <w:t>75%</w:t>
      </w:r>
      <w:r>
        <w:rPr/>
        <w:t>，锁定股数为</w:t>
      </w:r>
      <w:r>
        <w:rPr>
          <w:rFonts w:ascii="Times New Roman" w:hAnsi="Times New Roman" w:cs="Times New Roman" w:eastAsia="Times New Roman" w:hint="default"/>
        </w:rPr>
        <w:t>148,875</w:t>
      </w:r>
      <w:r>
        <w:rPr/>
        <w:t>股。</w:t>
      </w:r>
    </w:p>
    <w:p>
      <w:pPr>
        <w:pStyle w:val="BodyText"/>
        <w:spacing w:line="240" w:lineRule="auto" w:before="28"/>
        <w:ind w:left="1293" w:right="0"/>
        <w:jc w:val="left"/>
      </w:pPr>
      <w:r>
        <w:rPr/>
        <w:t>综上，报告期末限售股份为</w:t>
      </w:r>
      <w:r>
        <w:rPr>
          <w:rFonts w:ascii="Times New Roman" w:hAnsi="Times New Roman" w:cs="Times New Roman" w:eastAsia="Times New Roman" w:hint="default"/>
        </w:rPr>
        <w:t>275,475</w:t>
      </w:r>
      <w:r>
        <w:rPr/>
        <w:t>股；无限售流通股为</w:t>
      </w:r>
      <w:r>
        <w:rPr>
          <w:rFonts w:ascii="Times New Roman" w:hAnsi="Times New Roman" w:cs="Times New Roman" w:eastAsia="Times New Roman" w:hint="default"/>
        </w:rPr>
        <w:t>512,715,907</w:t>
      </w:r>
      <w:r>
        <w:rPr/>
        <w:t>股。</w:t>
      </w:r>
    </w:p>
    <w:p>
      <w:pPr>
        <w:spacing w:line="240" w:lineRule="auto" w:before="8"/>
        <w:rPr>
          <w:rFonts w:ascii="宋体" w:hAnsi="宋体" w:cs="宋体" w:eastAsia="宋体" w:hint="default"/>
          <w:sz w:val="18"/>
          <w:szCs w:val="18"/>
        </w:rPr>
      </w:pPr>
    </w:p>
    <w:p>
      <w:pPr>
        <w:spacing w:before="0"/>
        <w:ind w:left="87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12"/>
        <w:rPr>
          <w:rFonts w:ascii="宋体" w:hAnsi="宋体" w:cs="宋体" w:eastAsia="宋体" w:hint="default"/>
          <w:sz w:val="20"/>
          <w:szCs w:val="20"/>
        </w:rPr>
      </w:pPr>
    </w:p>
    <w:p>
      <w:pPr>
        <w:spacing w:line="489" w:lineRule="auto" w:before="0"/>
        <w:ind w:left="87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489" w:lineRule="auto" w:before="86"/>
        <w:ind w:left="87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489" w:lineRule="auto" w:before="85"/>
        <w:ind w:left="87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85"/>
        <w:ind w:left="8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left="873"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8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2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曹恩辉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祖春香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74,775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840" w:right="0"/>
              <w:jc w:val="left"/>
              <w:rPr>
                <w:rFonts w:ascii="Times New Roman" w:hAnsi="Times New Roman" w:cs="Times New Roman" w:eastAsia="Times New Roman" w:hint="default"/>
                <w:sz w:val="18"/>
                <w:szCs w:val="18"/>
              </w:rPr>
            </w:pPr>
            <w:r>
              <w:rPr>
                <w:rFonts w:ascii="Times New Roman"/>
                <w:sz w:val="18"/>
              </w:rPr>
              <w:t>52,500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127,275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130"/>
              <w:ind w:left="22" w:right="29"/>
              <w:jc w:val="both"/>
              <w:rPr>
                <w:rFonts w:ascii="宋体" w:hAnsi="宋体" w:cs="宋体" w:eastAsia="宋体" w:hint="default"/>
                <w:sz w:val="18"/>
                <w:szCs w:val="18"/>
              </w:rPr>
            </w:pPr>
            <w:r>
              <w:rPr>
                <w:rFonts w:ascii="宋体" w:hAnsi="宋体" w:cs="宋体" w:eastAsia="宋体" w:hint="default"/>
                <w:sz w:val="18"/>
                <w:szCs w:val="18"/>
              </w:rPr>
              <w:t>在任职期间每年 转让的股份不得 超过其所持有本 公司股份总数的 百分之二十五</w:t>
            </w:r>
            <w:r>
              <w:rPr>
                <w:rFonts w:ascii="Times New Roman" w:hAnsi="Times New Roman" w:cs="Times New Roman" w:eastAsia="Times New Roman" w:hint="default"/>
                <w:sz w:val="18"/>
                <w:szCs w:val="18"/>
              </w:rPr>
              <w:t>,</w:t>
            </w:r>
            <w:r>
              <w:rPr>
                <w:rFonts w:ascii="宋体" w:hAnsi="宋体" w:cs="宋体" w:eastAsia="宋体" w:hint="default"/>
                <w:sz w:val="18"/>
                <w:szCs w:val="18"/>
              </w:rPr>
              <w:t>离 职后半年内，不 得转让其所持有 的本公司股份。</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51,825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z w:val="18"/>
              </w:rPr>
              <w:t>51,825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130"/>
              <w:ind w:left="22" w:right="29"/>
              <w:jc w:val="both"/>
              <w:rPr>
                <w:rFonts w:ascii="宋体" w:hAnsi="宋体" w:cs="宋体" w:eastAsia="宋体" w:hint="default"/>
                <w:sz w:val="18"/>
                <w:szCs w:val="18"/>
              </w:rPr>
            </w:pPr>
            <w:r>
              <w:rPr>
                <w:rFonts w:ascii="宋体" w:hAnsi="宋体" w:cs="宋体" w:eastAsia="宋体" w:hint="default"/>
                <w:sz w:val="18"/>
                <w:szCs w:val="18"/>
              </w:rPr>
              <w:t>在任职期间每年 转让的股份不得 超过其所持有本 公司股份总数的 百分之二十五</w:t>
            </w:r>
            <w:r>
              <w:rPr>
                <w:rFonts w:ascii="Times New Roman" w:hAnsi="Times New Roman" w:cs="Times New Roman" w:eastAsia="Times New Roman" w:hint="default"/>
                <w:sz w:val="18"/>
                <w:szCs w:val="18"/>
              </w:rPr>
              <w:t>,</w:t>
            </w:r>
            <w:r>
              <w:rPr>
                <w:rFonts w:ascii="宋体" w:hAnsi="宋体" w:cs="宋体" w:eastAsia="宋体" w:hint="default"/>
                <w:sz w:val="18"/>
                <w:szCs w:val="18"/>
              </w:rPr>
              <w:t>离 职后半年内，不 得转让其所持有 的本公司股份。</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韩明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5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6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18"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51,000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51,000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129"/>
              <w:ind w:left="22" w:right="29"/>
              <w:jc w:val="both"/>
              <w:rPr>
                <w:rFonts w:ascii="宋体" w:hAnsi="宋体" w:cs="宋体" w:eastAsia="宋体" w:hint="default"/>
                <w:sz w:val="18"/>
                <w:szCs w:val="18"/>
              </w:rPr>
            </w:pPr>
            <w:r>
              <w:rPr>
                <w:rFonts w:ascii="宋体" w:hAnsi="宋体" w:cs="宋体" w:eastAsia="宋体" w:hint="default"/>
                <w:sz w:val="18"/>
                <w:szCs w:val="18"/>
              </w:rPr>
              <w:t>在任职期间每年 转让的股份不得 超过其所持有本 公司股份总数的 百分之二十五</w:t>
            </w:r>
            <w:r>
              <w:rPr>
                <w:rFonts w:ascii="Times New Roman" w:hAnsi="Times New Roman" w:cs="Times New Roman" w:eastAsia="Times New Roman" w:hint="default"/>
                <w:sz w:val="18"/>
                <w:szCs w:val="18"/>
              </w:rPr>
              <w:t>,</w:t>
            </w:r>
            <w:r>
              <w:rPr>
                <w:rFonts w:ascii="宋体" w:hAnsi="宋体" w:cs="宋体" w:eastAsia="宋体" w:hint="default"/>
                <w:sz w:val="18"/>
                <w:szCs w:val="18"/>
              </w:rPr>
              <w:t>离 职后半年内，不 得转让其所持有 的本公司股份。</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15,125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60,500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45,375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2" w:lineRule="auto" w:before="129"/>
              <w:ind w:left="22" w:right="29"/>
              <w:jc w:val="both"/>
              <w:rPr>
                <w:rFonts w:ascii="宋体" w:hAnsi="宋体" w:cs="宋体" w:eastAsia="宋体" w:hint="default"/>
                <w:sz w:val="18"/>
                <w:szCs w:val="18"/>
              </w:rPr>
            </w:pPr>
            <w:r>
              <w:rPr>
                <w:rFonts w:ascii="宋体" w:hAnsi="宋体" w:cs="宋体" w:eastAsia="宋体" w:hint="default"/>
                <w:sz w:val="18"/>
                <w:szCs w:val="18"/>
              </w:rPr>
              <w:t>在任职期间每年 转让的股份不得 超过其所持有本 公司股份总数的 百分之二十五</w:t>
            </w:r>
            <w:r>
              <w:rPr>
                <w:rFonts w:ascii="Times New Roman" w:hAnsi="Times New Roman" w:cs="Times New Roman" w:eastAsia="Times New Roman" w:hint="default"/>
                <w:sz w:val="18"/>
                <w:szCs w:val="18"/>
              </w:rPr>
              <w:t>,</w:t>
            </w:r>
            <w:r>
              <w:rPr>
                <w:rFonts w:ascii="宋体" w:hAnsi="宋体" w:cs="宋体" w:eastAsia="宋体" w:hint="default"/>
                <w:sz w:val="18"/>
                <w:szCs w:val="18"/>
              </w:rPr>
              <w:t>离 职后半年内，不 得转让其所持有 的本公司股份。</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317,116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275,475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4"/>
          <w:szCs w:val="24"/>
        </w:rPr>
      </w:pPr>
    </w:p>
    <w:p>
      <w:pPr>
        <w:pStyle w:val="Heading3"/>
        <w:spacing w:line="240" w:lineRule="auto" w:before="26"/>
        <w:ind w:left="154"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240"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41,072</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40,708</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11" w:right="8"/>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p>
          <w:p>
            <w:pPr>
              <w:pStyle w:val="TableParagraph"/>
              <w:spacing w:line="240" w:lineRule="auto" w:before="55"/>
              <w:ind w:left="11" w:right="0"/>
              <w:jc w:val="both"/>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234"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475" w:lineRule="auto" w:before="129"/>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40" w:lineRule="auto" w:before="56"/>
              <w:ind w:left="11" w:right="0"/>
              <w:jc w:val="both"/>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21"/>
                <w:sz w:val="18"/>
                <w:szCs w:val="18"/>
              </w:rPr>
              <w:t>）</w:t>
            </w:r>
            <w:r>
              <w:rPr>
                <w:rFonts w:ascii="宋体" w:hAnsi="宋体" w:cs="宋体" w:eastAsia="宋体" w:hint="default"/>
                <w:sz w:val="18"/>
                <w:szCs w:val="18"/>
              </w:rPr>
              <w:t>（参见</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468"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015"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477" w:lineRule="auto" w:before="129"/>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468"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234"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245"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548"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45"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5"/>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5"/>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5"/>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5"/>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3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48"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69"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57"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bottom w:val="nil" w:sz="6" w:space="0" w:color="auto"/>
              <w:right w:val="single" w:sz="4" w:space="0" w:color="000000"/>
            </w:tcBorders>
            <w:shd w:val="clear" w:color="auto" w:fill="D2D2D2"/>
          </w:tcPr>
          <w:p>
            <w:pPr/>
          </w:p>
        </w:tc>
        <w:tc>
          <w:tcPr>
            <w:tcW w:w="1348" w:type="dxa"/>
            <w:gridSpan w:val="2"/>
            <w:vMerge/>
            <w:tcBorders>
              <w:left w:val="single" w:sz="4" w:space="0" w:color="000000"/>
              <w:bottom w:val="nil" w:sz="6" w:space="0" w:color="auto"/>
              <w:right w:val="single" w:sz="4" w:space="0" w:color="000000"/>
            </w:tcBorders>
            <w:shd w:val="clear" w:color="auto" w:fill="D2D2D2"/>
          </w:tcPr>
          <w:p>
            <w:pPr/>
          </w:p>
        </w:tc>
      </w:tr>
      <w:tr>
        <w:trPr>
          <w:trHeight w:val="21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48"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174"/>
              <w:jc w:val="left"/>
              <w:rPr>
                <w:rFonts w:ascii="宋体" w:hAnsi="宋体" w:cs="宋体" w:eastAsia="宋体" w:hint="default"/>
                <w:sz w:val="18"/>
                <w:szCs w:val="18"/>
              </w:rPr>
            </w:pPr>
            <w:r>
              <w:rPr>
                <w:rFonts w:ascii="宋体" w:hAnsi="宋体" w:cs="宋体" w:eastAsia="宋体" w:hint="default"/>
                <w:sz w:val="18"/>
                <w:szCs w:val="18"/>
              </w:rPr>
              <w:t>敦化市康平投资 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43.17%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221,475,0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221,475,0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221,010,000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30,961,27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30,961,27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30,000,000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何雪萍</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3.66%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174"/>
              <w:jc w:val="both"/>
              <w:rPr>
                <w:rFonts w:ascii="宋体" w:hAnsi="宋体" w:cs="宋体" w:eastAsia="宋体" w:hint="default"/>
                <w:sz w:val="18"/>
                <w:szCs w:val="18"/>
              </w:rPr>
            </w:pPr>
            <w:r>
              <w:rPr>
                <w:rFonts w:ascii="宋体" w:hAnsi="宋体" w:cs="宋体" w:eastAsia="宋体" w:hint="default"/>
                <w:sz w:val="18"/>
                <w:szCs w:val="18"/>
              </w:rPr>
              <w:t>东吴证券股份有 限公司约定购回 专用账户</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2.92%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国泰君安证券股</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2.92%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15,000,00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15,000,00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75.4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9"/>
                    <w:gridCol w:w="786"/>
                    <w:gridCol w:w="788"/>
                    <w:gridCol w:w="787"/>
                    <w:gridCol w:w="840"/>
                    <w:gridCol w:w="1350"/>
                    <w:gridCol w:w="1348"/>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74"/>
                          <w:jc w:val="left"/>
                          <w:rPr>
                            <w:rFonts w:ascii="宋体" w:hAnsi="宋体" w:cs="宋体" w:eastAsia="宋体" w:hint="default"/>
                            <w:sz w:val="18"/>
                            <w:szCs w:val="18"/>
                          </w:rPr>
                        </w:pPr>
                        <w:r>
                          <w:rPr>
                            <w:rFonts w:ascii="宋体" w:hAnsi="宋体" w:cs="宋体" w:eastAsia="宋体" w:hint="default"/>
                            <w:sz w:val="18"/>
                            <w:szCs w:val="18"/>
                          </w:rPr>
                          <w:t>份有限公司约定 购回专用账户</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74"/>
                          <w:jc w:val="left"/>
                          <w:rPr>
                            <w:rFonts w:ascii="宋体" w:hAnsi="宋体" w:cs="宋体" w:eastAsia="宋体" w:hint="default"/>
                            <w:sz w:val="18"/>
                            <w:szCs w:val="18"/>
                          </w:rPr>
                        </w:pPr>
                        <w:r>
                          <w:rPr>
                            <w:rFonts w:ascii="宋体" w:hAnsi="宋体" w:cs="宋体" w:eastAsia="宋体" w:hint="default"/>
                            <w:sz w:val="18"/>
                            <w:szCs w:val="18"/>
                          </w:rPr>
                          <w:t>全国社保基金四 零六组合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4,990,617</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4,990,617</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43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份有限公司－嘉 实新机遇灵活配 置混合型发起式 证券投资基金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2,311,738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2,311,738</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陆贵新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74"/>
                          <w:jc w:val="left"/>
                          <w:rPr>
                            <w:rFonts w:ascii="宋体" w:hAnsi="宋体" w:cs="宋体" w:eastAsia="宋体" w:hint="default"/>
                            <w:sz w:val="18"/>
                            <w:szCs w:val="18"/>
                          </w:rPr>
                        </w:pPr>
                        <w:r>
                          <w:rPr>
                            <w:rFonts w:ascii="宋体" w:hAnsi="宋体" w:cs="宋体" w:eastAsia="宋体" w:hint="default"/>
                            <w:sz w:val="18"/>
                            <w:szCs w:val="18"/>
                          </w:rPr>
                          <w:t>中原证券股份有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1,308,860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1,308,860</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243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交易型开放 式指数证券投资 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1,261,261</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1,261,261</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22"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8"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10" w:space="0" w:color="D2D2D2"/>
                          <w:right w:val="single" w:sz="4" w:space="0" w:color="000000"/>
                        </w:tcBorders>
                      </w:tcPr>
                      <w:p>
                        <w:pPr>
                          <w:pStyle w:val="TableParagraph"/>
                          <w:spacing w:line="458" w:lineRule="auto" w:before="129"/>
                          <w:ind w:left="15" w:right="20"/>
                          <w:jc w:val="left"/>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43.17%</w:t>
                        </w:r>
                        <w:r>
                          <w:rPr>
                            <w:rFonts w:ascii="宋体" w:hAnsi="宋体" w:cs="宋体" w:eastAsia="宋体" w:hint="default"/>
                            <w:sz w:val="18"/>
                            <w:szCs w:val="18"/>
                          </w:rPr>
                          <w:t>的 </w:t>
                        </w:r>
                        <w:r>
                          <w:rPr>
                            <w:rFonts w:ascii="宋体" w:hAnsi="宋体" w:cs="宋体" w:eastAsia="宋体" w:hint="default"/>
                            <w:spacing w:val="-5"/>
                            <w:sz w:val="18"/>
                            <w:szCs w:val="18"/>
                          </w:rPr>
                          <w:t>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w:t>
                        </w:r>
                        <w:r>
                          <w:rPr>
                            <w:rFonts w:ascii="宋体" w:hAnsi="宋体" w:cs="宋体" w:eastAsia="宋体" w:hint="default"/>
                            <w:sz w:val="18"/>
                            <w:szCs w:val="18"/>
                          </w:rPr>
                          <w:t>股份的自然人股东仲维光为郭春生先生的亲属</w:t>
                        </w:r>
                        <w:r>
                          <w:rPr>
                            <w:rFonts w:ascii="Times New Roman" w:hAnsi="Times New Roman" w:cs="Times New Roman" w:eastAsia="Times New Roman" w:hint="default"/>
                            <w:sz w:val="18"/>
                            <w:szCs w:val="18"/>
                          </w:rPr>
                          <w:t>,</w:t>
                        </w:r>
                        <w:r>
                          <w:rPr>
                            <w:rFonts w:ascii="宋体" w:hAnsi="宋体" w:cs="宋体" w:eastAsia="宋体" w:hint="default"/>
                            <w:sz w:val="18"/>
                            <w:szCs w:val="18"/>
                          </w:rPr>
                          <w:t>所以康平公 司与仲维光先生存在关联关系。除上述情况外，其他前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w:t>
                        </w:r>
                        <w:r>
                          <w:rPr>
                            <w:rFonts w:ascii="宋体" w:hAnsi="宋体" w:cs="宋体" w:eastAsia="宋体" w:hint="default"/>
                            <w:spacing w:val="-4"/>
                            <w:sz w:val="18"/>
                            <w:szCs w:val="18"/>
                          </w:rPr>
                          <w:t>未知是否存在关联关系，也未知是否属于《上市公司股东持股变动信息披露管理办法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规定的一致行动人。</w:t>
                        </w:r>
                      </w:p>
                    </w:tc>
                  </w:tr>
                  <w:tr>
                    <w:trPr>
                      <w:trHeight w:val="101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477" w:lineRule="auto" w:before="129"/>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10" w:space="0" w:color="D2D2D2"/>
                          <w:right w:val="single" w:sz="4" w:space="0" w:color="000000"/>
                        </w:tcBorders>
                      </w:tcPr>
                      <w:p>
                        <w:pPr/>
                      </w:p>
                    </w:tc>
                  </w:tr>
                  <w:tr>
                    <w:trPr>
                      <w:trHeight w:val="70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10" w:space="0" w:color="D2D2D2"/>
                          <w:bottom w:val="single" w:sz="4" w:space="0" w:color="000000"/>
                          <w:right w:val="single" w:sz="4" w:space="0" w:color="000000"/>
                        </w:tcBorders>
                      </w:tcPr>
                      <w:p>
                        <w:pPr/>
                      </w:p>
                    </w:tc>
                  </w:tr>
                  <w:tr>
                    <w:trPr>
                      <w:trHeight w:val="554"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56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0" w:right="1141" w:firstLine="0"/>
        <w:jc w:val="right"/>
        <w:rPr>
          <w:rFonts w:ascii="宋体" w:hAnsi="宋体" w:cs="宋体" w:eastAsia="宋体" w:hint="default"/>
          <w:sz w:val="18"/>
          <w:szCs w:val="18"/>
        </w:rPr>
      </w:pPr>
      <w:r>
        <w:rPr/>
        <w:pict>
          <v:shape style="position:absolute;margin-left:56.459999pt;margin-top:-501.088287pt;width:479.2pt;height:620.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990"/>
                    <w:gridCol w:w="1349"/>
                    <w:gridCol w:w="1348"/>
                  </w:tblGrid>
                  <w:tr>
                    <w:trPr>
                      <w:trHeight w:val="55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55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221,475,016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221,475,016</w:t>
                        </w:r>
                      </w:p>
                    </w:tc>
                  </w:tr>
                  <w:tr>
                    <w:trPr>
                      <w:trHeight w:val="55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30,961,276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30,961,276</w:t>
                        </w:r>
                      </w:p>
                    </w:tc>
                  </w:tr>
                  <w:tr>
                    <w:trPr>
                      <w:trHeight w:val="55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何雪萍</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18,800,000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47"/>
                          <w:jc w:val="left"/>
                          <w:rPr>
                            <w:rFonts w:ascii="宋体" w:hAnsi="宋体" w:cs="宋体" w:eastAsia="宋体" w:hint="default"/>
                            <w:sz w:val="18"/>
                            <w:szCs w:val="18"/>
                          </w:rPr>
                        </w:pPr>
                        <w:r>
                          <w:rPr>
                            <w:rFonts w:ascii="宋体" w:hAnsi="宋体" w:cs="宋体" w:eastAsia="宋体" w:hint="default"/>
                            <w:sz w:val="18"/>
                            <w:szCs w:val="18"/>
                          </w:rPr>
                          <w:t>东吴证券股份有限公司约定购回专 用账户</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47"/>
                          <w:jc w:val="left"/>
                          <w:rPr>
                            <w:rFonts w:ascii="宋体" w:hAnsi="宋体" w:cs="宋体" w:eastAsia="宋体" w:hint="default"/>
                            <w:sz w:val="18"/>
                            <w:szCs w:val="18"/>
                          </w:rPr>
                        </w:pPr>
                        <w:r>
                          <w:rPr>
                            <w:rFonts w:ascii="宋体" w:hAnsi="宋体" w:cs="宋体" w:eastAsia="宋体" w:hint="default"/>
                            <w:sz w:val="18"/>
                            <w:szCs w:val="18"/>
                          </w:rPr>
                          <w:t>国泰君安证券股份有限公司约定购 回专用账户</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55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4,990,617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4,990,617</w:t>
                        </w:r>
                      </w:p>
                    </w:tc>
                  </w:tr>
                  <w:tr>
                    <w:trPr>
                      <w:trHeight w:val="149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中国工商银行股份有限公司－嘉实 新机遇灵活配置混合型发起式证券 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2,311,738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2,311,738</w:t>
                        </w:r>
                      </w:p>
                    </w:tc>
                  </w:tr>
                  <w:tr>
                    <w:trPr>
                      <w:trHeight w:val="55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陆贵新</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r>
                  <w:tr>
                    <w:trPr>
                      <w:trHeight w:val="558"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中原证券股份有限公司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1,308,860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1,308,860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交易型开放式指数证券投资基金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1,261,261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1,261,261</w:t>
                        </w:r>
                      </w:p>
                    </w:tc>
                  </w:tr>
                  <w:tr>
                    <w:trPr>
                      <w:trHeight w:val="243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9"/>
                          <w:ind w:right="0"/>
                          <w:jc w:val="left"/>
                          <w:rPr>
                            <w:rFonts w:ascii="宋体" w:hAnsi="宋体" w:cs="宋体" w:eastAsia="宋体" w:hint="default"/>
                            <w:sz w:val="16"/>
                            <w:szCs w:val="16"/>
                          </w:rPr>
                        </w:pPr>
                      </w:p>
                      <w:p>
                        <w:pPr>
                          <w:pStyle w:val="TableParagraph"/>
                          <w:spacing w:line="465" w:lineRule="auto"/>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458"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郭春生先生通过其亲属持有康平公司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宋体" w:hAnsi="宋体" w:cs="宋体" w:eastAsia="宋体" w:hint="default"/>
                            <w:sz w:val="18"/>
                            <w:szCs w:val="18"/>
                          </w:rPr>
                          <w:t>的股份，康平公司持有本公司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43.17%</w:t>
                        </w:r>
                        <w:r>
                          <w:rPr>
                            <w:rFonts w:ascii="宋体" w:hAnsi="宋体" w:cs="宋体" w:eastAsia="宋体" w:hint="default"/>
                            <w:sz w:val="18"/>
                            <w:szCs w:val="18"/>
                          </w:rPr>
                          <w:t>的 </w:t>
                        </w:r>
                        <w:r>
                          <w:rPr>
                            <w:rFonts w:ascii="宋体" w:hAnsi="宋体" w:cs="宋体" w:eastAsia="宋体" w:hint="default"/>
                            <w:spacing w:val="-5"/>
                            <w:sz w:val="18"/>
                            <w:szCs w:val="18"/>
                          </w:rPr>
                          <w:t>股份，而持有本公司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6.04%</w:t>
                        </w:r>
                        <w:r>
                          <w:rPr>
                            <w:rFonts w:ascii="宋体" w:hAnsi="宋体" w:cs="宋体" w:eastAsia="宋体" w:hint="default"/>
                            <w:sz w:val="18"/>
                            <w:szCs w:val="18"/>
                          </w:rPr>
                          <w:t>股份的自然人股东仲维光为郭春生先生的亲属</w:t>
                        </w:r>
                        <w:r>
                          <w:rPr>
                            <w:rFonts w:ascii="Times New Roman" w:hAnsi="Times New Roman" w:cs="Times New Roman" w:eastAsia="Times New Roman" w:hint="default"/>
                            <w:sz w:val="18"/>
                            <w:szCs w:val="18"/>
                          </w:rPr>
                          <w:t>,</w:t>
                        </w:r>
                        <w:r>
                          <w:rPr>
                            <w:rFonts w:ascii="宋体" w:hAnsi="宋体" w:cs="宋体" w:eastAsia="宋体" w:hint="default"/>
                            <w:sz w:val="18"/>
                            <w:szCs w:val="18"/>
                          </w:rPr>
                          <w:t>所以康平公 司与仲维光先生存在关联关系。除上述情况外，其他前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 </w:t>
                        </w:r>
                        <w:r>
                          <w:rPr>
                            <w:rFonts w:ascii="宋体" w:hAnsi="宋体" w:cs="宋体" w:eastAsia="宋体" w:hint="default"/>
                            <w:spacing w:val="-4"/>
                            <w:sz w:val="18"/>
                            <w:szCs w:val="18"/>
                          </w:rPr>
                          <w:t>未知是否存在关联关系，也未知是否属于《上市公司股东持股变动信息披露管理办法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规定的一致行动人。</w:t>
                        </w:r>
                      </w:p>
                    </w:tc>
                  </w:tr>
                  <w:tr>
                    <w:trPr>
                      <w:trHeight w:val="149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51" w:lineRule="auto" w:before="128"/>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国泰君安证券股份有限公司客户信用交易担保证券账户持有本公司无限售流通股 </w:t>
                        </w:r>
                        <w:r>
                          <w:rPr>
                            <w:rFonts w:ascii="Times New Roman" w:hAnsi="Times New Roman" w:cs="Times New Roman" w:eastAsia="Times New Roman" w:hint="default"/>
                            <w:sz w:val="18"/>
                            <w:szCs w:val="18"/>
                          </w:rPr>
                          <w:t>23,601,751 </w:t>
                        </w:r>
                        <w:r>
                          <w:rPr>
                            <w:rFonts w:ascii="宋体" w:hAnsi="宋体" w:cs="宋体" w:eastAsia="宋体" w:hint="default"/>
                            <w:spacing w:val="-5"/>
                            <w:sz w:val="18"/>
                            <w:szCs w:val="18"/>
                          </w:rPr>
                          <w:t>股，占持股比例</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4.60%</w:t>
                        </w:r>
                        <w:r>
                          <w:rPr>
                            <w:rFonts w:ascii="宋体" w:hAnsi="宋体" w:cs="宋体" w:eastAsia="宋体" w:hint="default"/>
                            <w:sz w:val="18"/>
                            <w:szCs w:val="18"/>
                          </w:rPr>
                          <w:t>，其中自然人何雪萍普通证券账户</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投资者信用账户 合计持有无限售流通股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3.66%</w:t>
                        </w:r>
                        <w:r>
                          <w:rPr>
                            <w:rFonts w:ascii="宋体" w:hAnsi="宋体" w:cs="宋体" w:eastAsia="宋体" w:hint="default"/>
                            <w:sz w:val="18"/>
                            <w:szCs w:val="18"/>
                          </w:rPr>
                          <w:t>，位列第三大股东。</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17"/>
          <w:szCs w:val="17"/>
        </w:rPr>
      </w:pPr>
    </w:p>
    <w:p>
      <w:pPr>
        <w:pStyle w:val="BodyText"/>
        <w:spacing w:line="240" w:lineRule="auto" w:before="0"/>
        <w:ind w:left="490" w:right="0"/>
        <w:jc w:val="left"/>
      </w:pPr>
      <w:r>
        <w:rPr/>
        <w:t>敦化市康平投资有限责任公司（以下简称</w:t>
      </w:r>
      <w:r>
        <w:rPr>
          <w:rFonts w:ascii="Times New Roman" w:hAnsi="Times New Roman" w:cs="Times New Roman" w:eastAsia="Times New Roman" w:hint="default"/>
        </w:rPr>
        <w:t>“</w:t>
      </w:r>
      <w:r>
        <w:rPr/>
        <w:t>康平公司</w:t>
      </w:r>
      <w:r>
        <w:rPr>
          <w:rFonts w:ascii="Times New Roman" w:hAnsi="Times New Roman" w:cs="Times New Roman" w:eastAsia="Times New Roman" w:hint="default"/>
        </w:rPr>
        <w:t>”</w:t>
      </w:r>
      <w:r>
        <w:rPr/>
        <w:t>）持有本公司无限售流通股</w:t>
      </w:r>
      <w:r>
        <w:rPr>
          <w:rFonts w:ascii="Times New Roman" w:hAnsi="Times New Roman" w:cs="Times New Roman" w:eastAsia="Times New Roman" w:hint="default"/>
        </w:rPr>
        <w:t>221,475,016</w:t>
      </w:r>
      <w:r>
        <w:rPr/>
        <w:t>股（占总</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026"/>
        <w:jc w:val="left"/>
      </w:pPr>
      <w:r>
        <w:rPr>
          <w:spacing w:val="-12"/>
        </w:rPr>
        <w:t>股本比例</w:t>
      </w:r>
      <w:r>
        <w:rPr>
          <w:rFonts w:ascii="Times New Roman" w:hAnsi="Times New Roman" w:cs="Times New Roman" w:eastAsia="Times New Roman" w:hint="default"/>
          <w:spacing w:val="-12"/>
        </w:rPr>
        <w:t>43.17%</w:t>
      </w:r>
      <w:r>
        <w:rPr>
          <w:spacing w:val="-12"/>
        </w:rPr>
        <w:t>），（另</w:t>
      </w:r>
      <w:r>
        <w:rPr/>
        <w:t> </w:t>
      </w:r>
      <w:r>
        <w:rPr>
          <w:rFonts w:ascii="Times New Roman" w:hAnsi="Times New Roman" w:cs="Times New Roman" w:eastAsia="Times New Roman" w:hint="default"/>
        </w:rPr>
        <w:t>30,000,000 </w:t>
      </w:r>
      <w:r>
        <w:rPr>
          <w:spacing w:val="-4"/>
        </w:rPr>
        <w:t>股股份进行了约定购回式交易</w:t>
      </w:r>
      <w:r>
        <w:rPr>
          <w:rFonts w:ascii="Times New Roman" w:hAnsi="Times New Roman" w:cs="Times New Roman" w:eastAsia="Times New Roman" w:hint="default"/>
          <w:spacing w:val="-4"/>
        </w:rPr>
        <w:t>,</w:t>
      </w:r>
      <w:r>
        <w:rPr>
          <w:spacing w:val="-4"/>
        </w:rPr>
        <w:t>占公司总股本</w:t>
      </w:r>
      <w:r>
        <w:rPr>
          <w:rFonts w:ascii="Times New Roman" w:hAnsi="Times New Roman" w:cs="Times New Roman" w:eastAsia="Times New Roman" w:hint="default"/>
          <w:spacing w:val="-4"/>
        </w:rPr>
        <w:t>5.85%</w:t>
      </w:r>
      <w:r>
        <w:rPr>
          <w:spacing w:val="-4"/>
        </w:rPr>
        <w:t>），康平公司在</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15"/>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日将其持有的本公司无限售流通股</w:t>
      </w:r>
      <w:r>
        <w:rPr>
          <w:rFonts w:ascii="Times New Roman" w:hAnsi="Times New Roman" w:cs="Times New Roman" w:eastAsia="Times New Roman" w:hint="default"/>
        </w:rPr>
        <w:t>15,000,000</w:t>
      </w:r>
      <w:r>
        <w:rPr/>
        <w:t>股（占公司总股本</w:t>
      </w:r>
      <w:r>
        <w:rPr>
          <w:rFonts w:ascii="Times New Roman" w:hAnsi="Times New Roman" w:cs="Times New Roman" w:eastAsia="Times New Roman" w:hint="default"/>
        </w:rPr>
        <w:t>2.92%</w:t>
      </w:r>
      <w:r>
        <w:rPr/>
        <w:t>）与国泰君安证券股份有限</w:t>
      </w:r>
      <w:r>
        <w:rPr>
          <w:spacing w:val="-51"/>
        </w:rPr>
        <w:t> </w:t>
      </w:r>
      <w:r>
        <w:rPr>
          <w:spacing w:val="-51"/>
        </w:rPr>
      </w:r>
      <w:r>
        <w:rPr/>
        <w:t>公司进行了约定购回式证券交易，康平公司于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日将上述股份交易完成购回，</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日康平公司将其持有的本公司无限售流通股</w:t>
      </w:r>
      <w:r>
        <w:rPr>
          <w:rFonts w:ascii="Times New Roman" w:hAnsi="Times New Roman" w:cs="Times New Roman" w:eastAsia="Times New Roman" w:hint="default"/>
          <w:spacing w:val="2"/>
        </w:rPr>
        <w:t>15,000,000</w:t>
      </w:r>
      <w:r>
        <w:rPr>
          <w:spacing w:val="2"/>
        </w:rPr>
        <w:t>股</w:t>
      </w:r>
      <w:r>
        <w:rPr>
          <w:rFonts w:ascii="Times New Roman" w:hAnsi="Times New Roman" w:cs="Times New Roman" w:eastAsia="Times New Roman" w:hint="default"/>
          <w:spacing w:val="2"/>
        </w:rPr>
        <w:t>,</w:t>
      </w:r>
      <w:r>
        <w:rPr>
          <w:spacing w:val="2"/>
        </w:rPr>
        <w:t>分别与国泰君安证券股份有限公司</w:t>
      </w:r>
      <w:r>
        <w:rPr>
          <w:spacing w:val="-95"/>
        </w:rPr>
        <w:t> </w:t>
      </w:r>
      <w:r>
        <w:rPr>
          <w:spacing w:val="-95"/>
        </w:rPr>
      </w:r>
      <w:r>
        <w:rPr>
          <w:spacing w:val="-1"/>
        </w:rPr>
        <w:t>进行了约定购回式证券交易</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9,000,000</w:t>
      </w:r>
      <w:r>
        <w:rPr>
          <w:spacing w:val="-1"/>
        </w:rPr>
        <w:t>股</w:t>
      </w:r>
      <w:r>
        <w:rPr>
          <w:rFonts w:ascii="Times New Roman" w:hAnsi="Times New Roman" w:cs="Times New Roman" w:eastAsia="Times New Roman" w:hint="default"/>
          <w:spacing w:val="-1"/>
        </w:rPr>
        <w:t>,</w:t>
      </w:r>
      <w:r>
        <w:rPr>
          <w:spacing w:val="-1"/>
        </w:rPr>
        <w:t>初始交易日为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23</w:t>
      </w:r>
      <w:r>
        <w:rPr>
          <w:spacing w:val="-1"/>
        </w:rPr>
        <w:t>日，购回交易日为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22</w:t>
      </w:r>
      <w:r>
        <w:rPr>
          <w:spacing w:val="-1"/>
        </w:rPr>
        <w:t>日，</w:t>
      </w:r>
      <w:r>
        <w:rPr>
          <w:spacing w:val="-74"/>
        </w:rPr>
        <w:t> </w:t>
      </w:r>
      <w:r>
        <w:rPr/>
        <w:t>另外</w:t>
      </w:r>
      <w:r>
        <w:rPr>
          <w:rFonts w:ascii="Times New Roman" w:hAnsi="Times New Roman" w:cs="Times New Roman" w:eastAsia="Times New Roman" w:hint="default"/>
        </w:rPr>
        <w:t>6,000,000</w:t>
      </w:r>
      <w:r>
        <w:rPr/>
        <w:t>股初始交易日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日，购回交易日为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日。本次购回完成后康平公司共持 有公司股份</w:t>
      </w:r>
      <w:r>
        <w:rPr>
          <w:rFonts w:ascii="Times New Roman" w:hAnsi="Times New Roman" w:cs="Times New Roman" w:eastAsia="Times New Roman" w:hint="default"/>
        </w:rPr>
        <w:t>221,475,016</w:t>
      </w:r>
      <w:r>
        <w:rPr/>
        <w:t>股，占公司总股本</w:t>
      </w:r>
      <w:r>
        <w:rPr>
          <w:rFonts w:ascii="Times New Roman" w:hAnsi="Times New Roman" w:cs="Times New Roman" w:eastAsia="Times New Roman" w:hint="default"/>
        </w:rPr>
        <w:t>43.17%</w:t>
      </w:r>
      <w:r>
        <w:rPr/>
        <w:t>。</w:t>
      </w:r>
      <w:r>
        <w:rPr>
          <w:spacing w:val="-36"/>
        </w:rPr>
        <w:t> </w:t>
      </w:r>
      <w:r>
        <w:rPr/>
        <w:t>详见在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日在公司指定媒体披露的《关于控 股股东股权质押解除及再次质押和质押式回购交易、约定购回式交易的公告》（公告编号：</w:t>
      </w:r>
      <w:r>
        <w:rPr>
          <w:rFonts w:ascii="Times New Roman" w:hAnsi="Times New Roman" w:cs="Times New Roman" w:eastAsia="Times New Roman" w:hint="default"/>
        </w:rPr>
        <w:t>2015-077</w:t>
      </w:r>
      <w:r>
        <w:rPr/>
        <w:t>）</w:t>
      </w:r>
    </w:p>
    <w:p>
      <w:pPr>
        <w:spacing w:line="355" w:lineRule="auto" w:before="20"/>
        <w:ind w:left="153" w:right="1130" w:firstLine="280"/>
        <w:jc w:val="left"/>
        <w:rPr>
          <w:rFonts w:ascii="宋体" w:hAnsi="宋体" w:cs="宋体" w:eastAsia="宋体" w:hint="default"/>
          <w:sz w:val="21"/>
          <w:szCs w:val="21"/>
        </w:rPr>
      </w:pPr>
      <w:r>
        <w:rPr>
          <w:rFonts w:ascii="宋体" w:hAnsi="宋体" w:cs="宋体" w:eastAsia="宋体" w:hint="default"/>
          <w:sz w:val="23"/>
          <w:szCs w:val="23"/>
        </w:rPr>
        <w:t>康平公司于</w:t>
      </w:r>
      <w:r>
        <w:rPr>
          <w:rFonts w:ascii="Times New Roman" w:hAnsi="Times New Roman" w:cs="Times New Roman" w:eastAsia="Times New Roman" w:hint="default"/>
          <w:sz w:val="23"/>
          <w:szCs w:val="23"/>
        </w:rPr>
        <w:t>2014</w:t>
      </w:r>
      <w:r>
        <w:rPr>
          <w:rFonts w:ascii="宋体" w:hAnsi="宋体" w:cs="宋体" w:eastAsia="宋体" w:hint="default"/>
          <w:sz w:val="23"/>
          <w:szCs w:val="23"/>
        </w:rPr>
        <w:t>年</w:t>
      </w:r>
      <w:r>
        <w:rPr>
          <w:rFonts w:ascii="Times New Roman" w:hAnsi="Times New Roman" w:cs="Times New Roman" w:eastAsia="Times New Roman" w:hint="default"/>
          <w:sz w:val="23"/>
          <w:szCs w:val="23"/>
        </w:rPr>
        <w:t>12</w:t>
      </w:r>
      <w:r>
        <w:rPr>
          <w:rFonts w:ascii="宋体" w:hAnsi="宋体" w:cs="宋体" w:eastAsia="宋体" w:hint="default"/>
          <w:sz w:val="23"/>
          <w:szCs w:val="23"/>
        </w:rPr>
        <w:t>月</w:t>
      </w:r>
      <w:r>
        <w:rPr>
          <w:rFonts w:ascii="Times New Roman" w:hAnsi="Times New Roman" w:cs="Times New Roman" w:eastAsia="Times New Roman" w:hint="default"/>
          <w:sz w:val="23"/>
          <w:szCs w:val="23"/>
        </w:rPr>
        <w:t>4</w:t>
      </w:r>
      <w:r>
        <w:rPr>
          <w:rFonts w:ascii="宋体" w:hAnsi="宋体" w:cs="宋体" w:eastAsia="宋体" w:hint="default"/>
          <w:sz w:val="23"/>
          <w:szCs w:val="23"/>
        </w:rPr>
        <w:t>日将其持有本公司的无限售流通股</w:t>
      </w:r>
      <w:r>
        <w:rPr>
          <w:rFonts w:ascii="Times New Roman" w:hAnsi="Times New Roman" w:cs="Times New Roman" w:eastAsia="Times New Roman" w:hint="default"/>
          <w:sz w:val="23"/>
          <w:szCs w:val="23"/>
        </w:rPr>
        <w:t>15,000,000</w:t>
      </w:r>
      <w:r>
        <w:rPr>
          <w:rFonts w:ascii="宋体" w:hAnsi="宋体" w:cs="宋体" w:eastAsia="宋体" w:hint="default"/>
          <w:sz w:val="23"/>
          <w:szCs w:val="23"/>
        </w:rPr>
        <w:t>股股份（占公司总股本</w:t>
      </w:r>
      <w:r>
        <w:rPr>
          <w:rFonts w:ascii="宋体" w:hAnsi="宋体" w:cs="宋体" w:eastAsia="宋体" w:hint="default"/>
          <w:w w:val="100"/>
          <w:sz w:val="23"/>
          <w:szCs w:val="23"/>
        </w:rPr>
        <w:t> </w:t>
      </w:r>
      <w:r>
        <w:rPr>
          <w:rFonts w:ascii="Times New Roman" w:hAnsi="Times New Roman" w:cs="Times New Roman" w:eastAsia="Times New Roman" w:hint="default"/>
          <w:sz w:val="23"/>
          <w:szCs w:val="23"/>
        </w:rPr>
        <w:t>2.92%</w:t>
      </w:r>
      <w:r>
        <w:rPr>
          <w:rFonts w:ascii="宋体" w:hAnsi="宋体" w:cs="宋体" w:eastAsia="宋体" w:hint="default"/>
          <w:sz w:val="23"/>
          <w:szCs w:val="23"/>
        </w:rPr>
        <w:t>）与华融证券股份有限公司进行了股票质押式回购交易；康平公司于</w:t>
      </w:r>
      <w:r>
        <w:rPr>
          <w:rFonts w:ascii="Times New Roman" w:hAnsi="Times New Roman" w:cs="Times New Roman" w:eastAsia="Times New Roman" w:hint="default"/>
          <w:sz w:val="23"/>
          <w:szCs w:val="23"/>
        </w:rPr>
        <w:t>2015</w:t>
      </w:r>
      <w:r>
        <w:rPr>
          <w:rFonts w:ascii="宋体" w:hAnsi="宋体" w:cs="宋体" w:eastAsia="宋体" w:hint="default"/>
          <w:sz w:val="23"/>
          <w:szCs w:val="23"/>
        </w:rPr>
        <w:t>年</w:t>
      </w:r>
      <w:r>
        <w:rPr>
          <w:rFonts w:ascii="Times New Roman" w:hAnsi="Times New Roman" w:cs="Times New Roman" w:eastAsia="Times New Roman" w:hint="default"/>
          <w:sz w:val="23"/>
          <w:szCs w:val="23"/>
        </w:rPr>
        <w:t>11</w:t>
      </w:r>
      <w:r>
        <w:rPr>
          <w:rFonts w:ascii="宋体" w:hAnsi="宋体" w:cs="宋体" w:eastAsia="宋体" w:hint="default"/>
          <w:sz w:val="23"/>
          <w:szCs w:val="23"/>
        </w:rPr>
        <w:t>月</w:t>
      </w:r>
      <w:r>
        <w:rPr>
          <w:rFonts w:ascii="Times New Roman" w:hAnsi="Times New Roman" w:cs="Times New Roman" w:eastAsia="Times New Roman" w:hint="default"/>
          <w:sz w:val="23"/>
          <w:szCs w:val="23"/>
        </w:rPr>
        <w:t>30</w:t>
      </w:r>
      <w:r>
        <w:rPr>
          <w:rFonts w:ascii="宋体" w:hAnsi="宋体" w:cs="宋体" w:eastAsia="宋体" w:hint="default"/>
          <w:sz w:val="23"/>
          <w:szCs w:val="23"/>
        </w:rPr>
        <w:t>日将上</w:t>
      </w:r>
      <w:r>
        <w:rPr>
          <w:rFonts w:ascii="宋体" w:hAnsi="宋体" w:cs="宋体" w:eastAsia="宋体" w:hint="default"/>
          <w:w w:val="100"/>
          <w:sz w:val="23"/>
          <w:szCs w:val="23"/>
        </w:rPr>
        <w:t> </w:t>
      </w:r>
      <w:r>
        <w:rPr>
          <w:rFonts w:ascii="宋体" w:hAnsi="宋体" w:cs="宋体" w:eastAsia="宋体" w:hint="default"/>
          <w:spacing w:val="-1"/>
          <w:sz w:val="23"/>
          <w:szCs w:val="23"/>
        </w:rPr>
        <w:t>述交易完成购回。</w:t>
      </w:r>
      <w:r>
        <w:rPr>
          <w:rFonts w:ascii="Times New Roman" w:hAnsi="Times New Roman" w:cs="Times New Roman" w:eastAsia="Times New Roman" w:hint="default"/>
          <w:spacing w:val="-1"/>
          <w:sz w:val="23"/>
          <w:szCs w:val="23"/>
        </w:rPr>
        <w:t>2015</w:t>
      </w:r>
      <w:r>
        <w:rPr>
          <w:rFonts w:ascii="宋体" w:hAnsi="宋体" w:cs="宋体" w:eastAsia="宋体" w:hint="default"/>
          <w:spacing w:val="-1"/>
          <w:sz w:val="23"/>
          <w:szCs w:val="23"/>
        </w:rPr>
        <w:t>年</w:t>
      </w:r>
      <w:r>
        <w:rPr>
          <w:rFonts w:ascii="Times New Roman" w:hAnsi="Times New Roman" w:cs="Times New Roman" w:eastAsia="Times New Roman" w:hint="default"/>
          <w:spacing w:val="-1"/>
          <w:sz w:val="23"/>
          <w:szCs w:val="23"/>
        </w:rPr>
        <w:t>12</w:t>
      </w:r>
      <w:r>
        <w:rPr>
          <w:rFonts w:ascii="宋体" w:hAnsi="宋体" w:cs="宋体" w:eastAsia="宋体" w:hint="default"/>
          <w:spacing w:val="-1"/>
          <w:sz w:val="23"/>
          <w:szCs w:val="23"/>
        </w:rPr>
        <w:t>月</w:t>
      </w:r>
      <w:r>
        <w:rPr>
          <w:rFonts w:ascii="Times New Roman" w:hAnsi="Times New Roman" w:cs="Times New Roman" w:eastAsia="Times New Roman" w:hint="default"/>
          <w:spacing w:val="-1"/>
          <w:sz w:val="23"/>
          <w:szCs w:val="23"/>
        </w:rPr>
        <w:t>2</w:t>
      </w:r>
      <w:r>
        <w:rPr>
          <w:rFonts w:ascii="宋体" w:hAnsi="宋体" w:cs="宋体" w:eastAsia="宋体" w:hint="default"/>
          <w:spacing w:val="-1"/>
          <w:sz w:val="23"/>
          <w:szCs w:val="23"/>
        </w:rPr>
        <w:t>日康平公司将其持有的本公司无限售流通股</w:t>
      </w:r>
      <w:r>
        <w:rPr>
          <w:rFonts w:ascii="Times New Roman" w:hAnsi="Times New Roman" w:cs="Times New Roman" w:eastAsia="Times New Roman" w:hint="default"/>
          <w:spacing w:val="-1"/>
          <w:sz w:val="23"/>
          <w:szCs w:val="23"/>
        </w:rPr>
        <w:t>15,000,000</w:t>
      </w:r>
      <w:r>
        <w:rPr>
          <w:rFonts w:ascii="宋体" w:hAnsi="宋体" w:cs="宋体" w:eastAsia="宋体" w:hint="default"/>
          <w:spacing w:val="-1"/>
          <w:sz w:val="23"/>
          <w:szCs w:val="23"/>
        </w:rPr>
        <w:t>股（占公司</w:t>
      </w:r>
      <w:r>
        <w:rPr>
          <w:rFonts w:ascii="宋体" w:hAnsi="宋体" w:cs="宋体" w:eastAsia="宋体" w:hint="default"/>
          <w:spacing w:val="-99"/>
          <w:sz w:val="23"/>
          <w:szCs w:val="23"/>
        </w:rPr>
        <w:t> </w:t>
      </w:r>
      <w:r>
        <w:rPr>
          <w:rFonts w:ascii="宋体" w:hAnsi="宋体" w:cs="宋体" w:eastAsia="宋体" w:hint="default"/>
          <w:spacing w:val="-99"/>
          <w:sz w:val="23"/>
          <w:szCs w:val="23"/>
        </w:rPr>
      </w:r>
      <w:r>
        <w:rPr>
          <w:rFonts w:ascii="宋体" w:hAnsi="宋体" w:cs="宋体" w:eastAsia="宋体" w:hint="default"/>
          <w:sz w:val="23"/>
          <w:szCs w:val="23"/>
        </w:rPr>
        <w:t>总股本</w:t>
      </w:r>
      <w:r>
        <w:rPr>
          <w:rFonts w:ascii="Times New Roman" w:hAnsi="Times New Roman" w:cs="Times New Roman" w:eastAsia="Times New Roman" w:hint="default"/>
          <w:sz w:val="23"/>
          <w:szCs w:val="23"/>
        </w:rPr>
        <w:t>2.92%</w:t>
      </w:r>
      <w:r>
        <w:rPr>
          <w:rFonts w:ascii="宋体" w:hAnsi="宋体" w:cs="宋体" w:eastAsia="宋体" w:hint="default"/>
          <w:sz w:val="23"/>
          <w:szCs w:val="23"/>
        </w:rPr>
        <w:t>）与东吴证券股份有限公司进行了约定购回式证券交易，初始交易日为</w:t>
      </w:r>
      <w:r>
        <w:rPr>
          <w:rFonts w:ascii="Times New Roman" w:hAnsi="Times New Roman" w:cs="Times New Roman" w:eastAsia="Times New Roman" w:hint="default"/>
          <w:sz w:val="23"/>
          <w:szCs w:val="23"/>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 </w:t>
      </w:r>
      <w:r>
        <w:rPr>
          <w:rFonts w:ascii="宋体" w:hAnsi="宋体" w:cs="宋体" w:eastAsia="宋体" w:hint="default"/>
          <w:sz w:val="21"/>
          <w:szCs w:val="21"/>
        </w:rPr>
        <w:t>日，购回交易日为</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r>
        <w:rPr>
          <w:rFonts w:ascii="宋体" w:hAnsi="宋体" w:cs="宋体" w:eastAsia="宋体" w:hint="default"/>
          <w:sz w:val="23"/>
          <w:szCs w:val="23"/>
        </w:rPr>
        <w:t>详见在</w:t>
      </w:r>
      <w:r>
        <w:rPr>
          <w:rFonts w:ascii="Times New Roman" w:hAnsi="Times New Roman" w:cs="Times New Roman" w:eastAsia="Times New Roman" w:hint="default"/>
          <w:sz w:val="23"/>
          <w:szCs w:val="23"/>
        </w:rPr>
        <w:t>2015</w:t>
      </w:r>
      <w:r>
        <w:rPr>
          <w:rFonts w:ascii="宋体" w:hAnsi="宋体" w:cs="宋体" w:eastAsia="宋体" w:hint="default"/>
          <w:sz w:val="23"/>
          <w:szCs w:val="23"/>
        </w:rPr>
        <w:t>年</w:t>
      </w:r>
      <w:r>
        <w:rPr>
          <w:rFonts w:ascii="Times New Roman" w:hAnsi="Times New Roman" w:cs="Times New Roman" w:eastAsia="Times New Roman" w:hint="default"/>
          <w:sz w:val="23"/>
          <w:szCs w:val="23"/>
        </w:rPr>
        <w:t>12</w:t>
      </w:r>
      <w:r>
        <w:rPr>
          <w:rFonts w:ascii="宋体" w:hAnsi="宋体" w:cs="宋体" w:eastAsia="宋体" w:hint="default"/>
          <w:sz w:val="23"/>
          <w:szCs w:val="23"/>
        </w:rPr>
        <w:t>月</w:t>
      </w:r>
      <w:r>
        <w:rPr>
          <w:rFonts w:ascii="Times New Roman" w:hAnsi="Times New Roman" w:cs="Times New Roman" w:eastAsia="Times New Roman" w:hint="default"/>
          <w:sz w:val="23"/>
          <w:szCs w:val="23"/>
        </w:rPr>
        <w:t>5</w:t>
      </w:r>
      <w:r>
        <w:rPr>
          <w:rFonts w:ascii="宋体" w:hAnsi="宋体" w:cs="宋体" w:eastAsia="宋体" w:hint="default"/>
          <w:sz w:val="23"/>
          <w:szCs w:val="23"/>
        </w:rPr>
        <w:t>日在公司指定媒体披露的《关于控股股东股</w:t>
      </w:r>
      <w:r>
        <w:rPr>
          <w:rFonts w:ascii="宋体" w:hAnsi="宋体" w:cs="宋体" w:eastAsia="宋体" w:hint="default"/>
          <w:w w:val="100"/>
          <w:sz w:val="23"/>
          <w:szCs w:val="23"/>
        </w:rPr>
        <w:t> </w:t>
      </w:r>
      <w:r>
        <w:rPr>
          <w:rFonts w:ascii="宋体" w:hAnsi="宋体" w:cs="宋体" w:eastAsia="宋体" w:hint="default"/>
          <w:sz w:val="23"/>
          <w:szCs w:val="23"/>
        </w:rPr>
        <w:t>票质押式回购交易完成购回和进行约定购回式证券交易的公告》，（公告编号：</w:t>
      </w:r>
      <w:r>
        <w:rPr>
          <w:rFonts w:ascii="Times New Roman" w:hAnsi="Times New Roman" w:cs="Times New Roman" w:eastAsia="Times New Roman" w:hint="default"/>
          <w:sz w:val="23"/>
          <w:szCs w:val="23"/>
        </w:rPr>
        <w:t>2015-088</w:t>
      </w:r>
      <w:r>
        <w:rPr>
          <w:rFonts w:ascii="宋体" w:hAnsi="宋体" w:cs="宋体" w:eastAsia="宋体" w:hint="default"/>
          <w:sz w:val="23"/>
          <w:szCs w:val="23"/>
        </w:rPr>
        <w:t>）</w:t>
      </w:r>
      <w:r>
        <w:rPr>
          <w:rFonts w:ascii="宋体" w:hAnsi="宋体" w:cs="宋体" w:eastAsia="宋体" w:hint="default"/>
          <w:spacing w:val="-72"/>
          <w:sz w:val="23"/>
          <w:szCs w:val="23"/>
        </w:rPr>
        <w:t> </w:t>
      </w:r>
      <w:r>
        <w:rPr>
          <w:rFonts w:ascii="宋体" w:hAnsi="宋体" w:cs="宋体" w:eastAsia="宋体" w:hint="default"/>
          <w:spacing w:val="-5"/>
          <w:sz w:val="23"/>
          <w:szCs w:val="23"/>
        </w:rPr>
        <w:t>，</w:t>
      </w:r>
      <w:r>
        <w:rPr>
          <w:rFonts w:ascii="宋体" w:hAnsi="宋体" w:cs="宋体" w:eastAsia="宋体" w:hint="default"/>
          <w:spacing w:val="-5"/>
          <w:sz w:val="21"/>
          <w:szCs w:val="21"/>
        </w:rPr>
        <w:t>本</w:t>
      </w:r>
      <w:r>
        <w:rPr>
          <w:rFonts w:ascii="宋体" w:hAnsi="宋体" w:cs="宋体" w:eastAsia="宋体" w:hint="default"/>
          <w:sz w:val="21"/>
          <w:szCs w:val="21"/>
        </w:rPr>
        <w:t> 次购回完成后康平公司共持有公司股份</w:t>
      </w:r>
      <w:r>
        <w:rPr>
          <w:rFonts w:ascii="Times New Roman" w:hAnsi="Times New Roman" w:cs="Times New Roman" w:eastAsia="Times New Roman" w:hint="default"/>
          <w:sz w:val="21"/>
          <w:szCs w:val="21"/>
        </w:rPr>
        <w:t>221,475,016</w:t>
      </w:r>
      <w:r>
        <w:rPr>
          <w:rFonts w:ascii="宋体" w:hAnsi="宋体" w:cs="宋体" w:eastAsia="宋体" w:hint="default"/>
          <w:sz w:val="21"/>
          <w:szCs w:val="21"/>
        </w:rPr>
        <w:t>股，占公司总股本</w:t>
      </w:r>
      <w:r>
        <w:rPr>
          <w:rFonts w:ascii="Times New Roman" w:hAnsi="Times New Roman" w:cs="Times New Roman" w:eastAsia="Times New Roman" w:hint="default"/>
          <w:sz w:val="21"/>
          <w:szCs w:val="21"/>
        </w:rPr>
        <w:t>43.17%</w:t>
      </w:r>
      <w:r>
        <w:rPr>
          <w:rFonts w:ascii="宋体" w:hAnsi="宋体" w:cs="宋体" w:eastAsia="宋体" w:hint="default"/>
          <w:sz w:val="21"/>
          <w:szCs w:val="21"/>
        </w:rPr>
        <w:t>。</w:t>
      </w:r>
    </w:p>
    <w:p>
      <w:pPr>
        <w:spacing w:line="240" w:lineRule="auto" w:before="13"/>
        <w:rPr>
          <w:rFonts w:ascii="宋体" w:hAnsi="宋体" w:cs="宋体" w:eastAsia="宋体" w:hint="default"/>
          <w:sz w:val="27"/>
          <w:szCs w:val="27"/>
        </w:rPr>
      </w:pPr>
    </w:p>
    <w:p>
      <w:pPr>
        <w:pStyle w:val="Heading4"/>
        <w:spacing w:line="240" w:lineRule="auto"/>
        <w:ind w:left="154"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516" w:lineRule="auto" w:before="0"/>
        <w:ind w:left="154" w:right="8592" w:firstLine="0"/>
        <w:jc w:val="left"/>
        <w:rPr>
          <w:rFonts w:ascii="宋体" w:hAnsi="宋体" w:cs="宋体" w:eastAsia="宋体" w:hint="default"/>
          <w:sz w:val="18"/>
          <w:szCs w:val="18"/>
        </w:rPr>
      </w:pPr>
      <w:r>
        <w:rPr/>
        <w:pict>
          <v:shape style="position:absolute;margin-left:56.459999pt;margin-top:46.33173pt;width:479.2pt;height:177.8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5"/>
                    <w:gridCol w:w="1914"/>
                  </w:tblGrid>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62"/>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郭春辉</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91222403244835987T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149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控股股东报告期内无控股和参股其他境内外上市公司的股权情况</w:t>
                        </w:r>
                      </w:p>
                    </w:tc>
                  </w:tr>
                </w:tbl>
                <w:p>
                  <w:pPr/>
                </w:p>
              </w:txbxContent>
            </v:textbox>
            <w10:wrap type="none"/>
          </v:shape>
        </w:pict>
      </w:r>
      <w:r>
        <w:rPr>
          <w:rFonts w:ascii="宋体" w:hAnsi="宋体" w:cs="宋体" w:eastAsia="宋体" w:hint="default"/>
          <w:sz w:val="18"/>
          <w:szCs w:val="18"/>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公司报告期控股股东未发生变更。</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516" w:lineRule="auto" w:before="0"/>
        <w:ind w:left="153" w:right="8413" w:firstLine="0"/>
        <w:jc w:val="left"/>
        <w:rPr>
          <w:rFonts w:ascii="宋体" w:hAnsi="宋体" w:cs="宋体" w:eastAsia="宋体" w:hint="default"/>
          <w:sz w:val="18"/>
          <w:szCs w:val="18"/>
        </w:rPr>
      </w:pPr>
      <w:r>
        <w:rPr/>
        <w:pict>
          <v:shape style="position:absolute;margin-left:56.459999pt;margin-top:46.331696pt;width:479.2pt;height:158.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303"/>
                    <w:gridCol w:w="3848"/>
                  </w:tblGrid>
                  <w:tr>
                    <w:trPr>
                      <w:trHeight w:val="55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55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郭春生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9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月起任通化紫金药业有限责任公司（本公司前身）董事长兼总经理，</w:t>
                        </w: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月辞去吉林紫鑫药业股份有限公司董事长及总经理职务，继续担任董</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日董事任期届满后，不再公司担任任何职务。</w:t>
                        </w:r>
                      </w:p>
                    </w:tc>
                  </w:tr>
                  <w:tr>
                    <w:trPr>
                      <w:trHeight w:val="55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240" w:lineRule="auto" w:before="12"/>
        <w:rPr>
          <w:rFonts w:ascii="宋体" w:hAnsi="宋体" w:cs="宋体" w:eastAsia="宋体" w:hint="default"/>
          <w:sz w:val="20"/>
          <w:szCs w:val="20"/>
        </w:rPr>
      </w:pPr>
    </w:p>
    <w:p>
      <w:pPr>
        <w:spacing w:line="504"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15"/>
          <w:szCs w:val="15"/>
        </w:rPr>
      </w:pPr>
    </w:p>
    <w:p>
      <w:pPr>
        <w:spacing w:line="5490" w:lineRule="exact"/>
        <w:ind w:left="1356"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4591081" cy="348615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4591081" cy="3486150"/>
                    </a:xfrm>
                    <a:prstGeom prst="rect">
                      <a:avLst/>
                    </a:prstGeom>
                  </pic:spPr>
                </pic:pic>
              </a:graphicData>
            </a:graphic>
          </wp:inline>
        </w:drawing>
      </w:r>
      <w:r>
        <w:rPr>
          <w:rFonts w:ascii="宋体" w:hAnsi="宋体" w:cs="宋体" w:eastAsia="宋体" w:hint="default"/>
          <w:position w:val="-109"/>
          <w:sz w:val="20"/>
          <w:szCs w:val="20"/>
        </w:rPr>
      </w:r>
    </w:p>
    <w:p>
      <w:pPr>
        <w:spacing w:after="0" w:line="549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1"/>
        <w:rPr>
          <w:rFonts w:ascii="宋体" w:hAnsi="宋体" w:cs="宋体" w:eastAsia="宋体" w:hint="default"/>
          <w:sz w:val="30"/>
          <w:szCs w:val="3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3286" w:right="0"/>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spacing w:line="489"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left="1680" w:right="0"/>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6"/>
        </w:rPr>
        <w:t> </w:t>
      </w:r>
      <w:r>
        <w:rPr/>
        <w:t>董事、监事、高级管理人员和员工情况</w:t>
      </w:r>
      <w:r>
        <w:rPr>
          <w:b w:val="0"/>
          <w:bCs w:val="0"/>
        </w:rPr>
      </w:r>
    </w:p>
    <w:p>
      <w:pPr>
        <w:spacing w:line="240" w:lineRule="auto" w:before="0"/>
        <w:rPr>
          <w:rFonts w:ascii="宋体" w:hAnsi="宋体" w:cs="宋体" w:eastAsia="宋体" w:hint="default"/>
          <w:b/>
          <w:bCs/>
          <w:sz w:val="40"/>
          <w:szCs w:val="40"/>
        </w:rPr>
      </w:pPr>
    </w:p>
    <w:p>
      <w:pPr>
        <w:pStyle w:val="Heading3"/>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49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55"/>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55"/>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49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69,100</w:t>
            </w:r>
          </w:p>
        </w:tc>
      </w:tr>
      <w:tr>
        <w:trPr>
          <w:trHeight w:val="149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169,700</w:t>
            </w:r>
          </w:p>
        </w:tc>
      </w:tr>
      <w:tr>
        <w:trPr>
          <w:trHeight w:val="149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60,500</w:t>
            </w:r>
          </w:p>
        </w:tc>
      </w:tr>
      <w:tr>
        <w:trPr>
          <w:trHeight w:val="149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68,000</w:t>
            </w:r>
          </w:p>
        </w:tc>
      </w:tr>
      <w:tr>
        <w:trPr>
          <w:trHeight w:val="55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367,300</w:t>
            </w:r>
          </w:p>
        </w:tc>
      </w:tr>
    </w:tbl>
    <w:p>
      <w:pPr>
        <w:spacing w:line="240" w:lineRule="auto" w:before="0"/>
        <w:rPr>
          <w:rFonts w:ascii="宋体" w:hAnsi="宋体" w:cs="宋体" w:eastAsia="宋体" w:hint="default"/>
          <w:b/>
          <w:bCs/>
          <w:sz w:val="24"/>
          <w:szCs w:val="24"/>
        </w:rPr>
      </w:pPr>
    </w:p>
    <w:p>
      <w:pPr>
        <w:pStyle w:val="Heading3"/>
        <w:spacing w:line="240" w:lineRule="auto" w:before="26"/>
        <w:ind w:left="154"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55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张忠伟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辞职留在公司</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张忠伟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辞职留在公司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辞职留在公司</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被聘任</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白玉彪</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bl>
    <w:p>
      <w:pPr>
        <w:spacing w:line="240" w:lineRule="auto" w:before="0"/>
        <w:rPr>
          <w:rFonts w:ascii="宋体" w:hAnsi="宋体" w:cs="宋体" w:eastAsia="宋体" w:hint="default"/>
          <w:b/>
          <w:bCs/>
          <w:sz w:val="24"/>
          <w:szCs w:val="24"/>
        </w:rPr>
      </w:pPr>
    </w:p>
    <w:p>
      <w:pPr>
        <w:pStyle w:val="Heading3"/>
        <w:spacing w:line="240" w:lineRule="auto" w:before="26"/>
        <w:ind w:left="154" w:right="0"/>
        <w:jc w:val="both"/>
        <w:rPr>
          <w:b w:val="0"/>
          <w:bCs w:val="0"/>
        </w:rPr>
      </w:pPr>
      <w:bookmarkStart w:name="三、任职情况" w:id="123"/>
      <w:bookmarkEnd w:id="123"/>
      <w:r>
        <w:rPr>
          <w:b w:val="0"/>
          <w:bCs w:val="0"/>
        </w:rPr>
      </w:r>
      <w:r>
        <w:rPr/>
        <w:t>三、任职情况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r>
        <w:rPr/>
        <w:t>（一）董事</w:t>
      </w:r>
      <w:r>
        <w:rPr>
          <w:b w:val="0"/>
          <w:bCs w:val="0"/>
        </w:rPr>
      </w:r>
    </w:p>
    <w:p>
      <w:pPr>
        <w:spacing w:line="240" w:lineRule="auto" w:before="4"/>
        <w:rPr>
          <w:rFonts w:ascii="宋体" w:hAnsi="宋体" w:cs="宋体" w:eastAsia="宋体" w:hint="default"/>
          <w:b/>
          <w:bCs/>
          <w:sz w:val="22"/>
          <w:szCs w:val="22"/>
        </w:rPr>
      </w:pPr>
    </w:p>
    <w:p>
      <w:pPr>
        <w:pStyle w:val="BodyText"/>
        <w:spacing w:line="388" w:lineRule="auto" w:before="0"/>
        <w:ind w:right="1134" w:firstLine="480"/>
        <w:jc w:val="both"/>
      </w:pPr>
      <w:r>
        <w:rPr>
          <w:rFonts w:ascii="Times New Roman" w:hAnsi="Times New Roman" w:cs="Times New Roman" w:eastAsia="Times New Roman" w:hint="default"/>
        </w:rPr>
        <w:t>1</w:t>
      </w:r>
      <w:r>
        <w:rPr/>
        <w:t>、郭春林先生，汉族，</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10</w:t>
      </w:r>
      <w:r>
        <w:rPr/>
        <w:t>月出生，中共党员，大学本科。曾任进步网（北京）信息服务有限 公司副总经理，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月进入紫鑫药业工作，历任公司总经理助理，现任公司董事长兼总经理。</w:t>
      </w:r>
    </w:p>
    <w:p>
      <w:pPr>
        <w:pStyle w:val="BodyText"/>
        <w:spacing w:line="240" w:lineRule="auto" w:before="131"/>
        <w:ind w:left="634" w:right="0"/>
        <w:jc w:val="left"/>
      </w:pPr>
      <w:r>
        <w:rPr>
          <w:rFonts w:ascii="Times New Roman" w:hAnsi="Times New Roman" w:cs="Times New Roman" w:eastAsia="Times New Roman" w:hint="default"/>
        </w:rPr>
        <w:t>2</w:t>
      </w:r>
      <w:r>
        <w:rPr/>
        <w:t>、孙莉莉女士，汉族，</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月出生，高级经济师。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月在本公司任职出纳员；</w:t>
      </w:r>
    </w:p>
    <w:p>
      <w:pPr>
        <w:pStyle w:val="BodyText"/>
        <w:spacing w:line="386" w:lineRule="auto" w:before="177"/>
        <w:ind w:right="1128"/>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月在本公司任职销售主管会计；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月在本公司任职财务部长、财务经</w:t>
      </w:r>
      <w:r>
        <w:rPr>
          <w:spacing w:val="-65"/>
        </w:rPr>
        <w:t> </w:t>
      </w:r>
      <w:r>
        <w:rPr>
          <w:spacing w:val="-2"/>
        </w:rPr>
        <w:t>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月在本公司任职母公司财务负责人；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在本公司任职母公司负</w:t>
      </w:r>
      <w:r>
        <w:rPr>
          <w:spacing w:val="-91"/>
        </w:rPr>
        <w:t> </w:t>
      </w:r>
      <w:r>
        <w:rPr>
          <w:spacing w:val="-91"/>
        </w:rPr>
      </w:r>
      <w:r>
        <w:rPr/>
        <w:t>责人。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日，任为公司监事。现任公司董事兼财务总监。</w:t>
      </w:r>
    </w:p>
    <w:p>
      <w:pPr>
        <w:pStyle w:val="BodyText"/>
        <w:spacing w:line="386" w:lineRule="auto" w:before="135"/>
        <w:ind w:right="1110" w:firstLine="480"/>
        <w:jc w:val="both"/>
      </w:pPr>
      <w:r>
        <w:rPr>
          <w:rFonts w:ascii="Times New Roman" w:hAnsi="Times New Roman" w:cs="Times New Roman" w:eastAsia="Times New Roman" w:hint="default"/>
          <w:spacing w:val="-2"/>
        </w:rPr>
        <w:t>3</w:t>
      </w:r>
      <w:r>
        <w:rPr>
          <w:spacing w:val="-2"/>
        </w:rPr>
        <w:t>、钟云香女士，汉族，</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w:t>
      </w:r>
      <w:r>
        <w:rPr>
          <w:spacing w:val="-2"/>
        </w:rPr>
        <w:t>月出生，本科学历，中国注册会计师。曾任农标普瑞纳（抚顺）饲料</w:t>
      </w:r>
      <w:r>
        <w:rPr/>
        <w:t> 有限公司会计、中磊会计师事务所吉林分所项目经理，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月进入紫鑫药业工作，历任证券部部长， 现任公司董事、副总经理兼董事会秘书、控股子公司吉林环境能源交易所董事。</w:t>
      </w:r>
    </w:p>
    <w:p>
      <w:pPr>
        <w:pStyle w:val="BodyText"/>
        <w:spacing w:line="386" w:lineRule="auto" w:before="163"/>
        <w:ind w:left="154" w:right="1133" w:firstLine="435"/>
        <w:jc w:val="both"/>
      </w:pPr>
      <w:r>
        <w:rPr>
          <w:rFonts w:ascii="Times New Roman" w:hAnsi="Times New Roman" w:cs="Times New Roman" w:eastAsia="Times New Roman" w:hint="default"/>
        </w:rPr>
        <w:t>4</w:t>
      </w:r>
      <w:r>
        <w:rPr/>
        <w:t>、李宝芝女士，汉族，</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11</w:t>
      </w:r>
      <w:r>
        <w:rPr/>
        <w:t>月出生，高级经济师，曾任柳河制药厂技术员、吉林友康药业有限 </w:t>
      </w:r>
      <w:r>
        <w:rPr>
          <w:spacing w:val="-1"/>
        </w:rPr>
        <w:t>责任公司质量厂长，</w:t>
      </w:r>
      <w:r>
        <w:rPr>
          <w:rFonts w:ascii="Times New Roman" w:hAnsi="Times New Roman" w:cs="Times New Roman" w:eastAsia="Times New Roman" w:hint="default"/>
          <w:spacing w:val="-1"/>
        </w:rPr>
        <w:t>2001</w:t>
      </w:r>
      <w:r>
        <w:rPr>
          <w:spacing w:val="-1"/>
        </w:rPr>
        <w:t>年进入紫鑫药业工作，历任生产经理、副总经理，现任公司董事兼全资子公司吉</w:t>
      </w:r>
      <w:r>
        <w:rPr>
          <w:spacing w:val="-84"/>
        </w:rPr>
        <w:t> </w:t>
      </w:r>
      <w:r>
        <w:rPr>
          <w:spacing w:val="-84"/>
        </w:rPr>
      </w:r>
      <w:r>
        <w:rPr/>
        <w:t>林紫鑫禺拙药业有限公司总经理。</w:t>
      </w:r>
    </w:p>
    <w:p>
      <w:pPr>
        <w:pStyle w:val="BodyText"/>
        <w:spacing w:line="386" w:lineRule="auto" w:before="164"/>
        <w:ind w:left="154" w:right="1135" w:firstLine="435"/>
        <w:jc w:val="both"/>
      </w:pPr>
      <w:r>
        <w:rPr>
          <w:rFonts w:ascii="Times New Roman" w:hAnsi="Times New Roman" w:cs="Times New Roman" w:eastAsia="Times New Roman" w:hint="default"/>
        </w:rPr>
        <w:t>5</w:t>
      </w:r>
      <w:r>
        <w:rPr/>
        <w:t>、张连学先生，汉族，</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11</w:t>
      </w:r>
      <w:r>
        <w:rPr/>
        <w:t>月出生，中共党员，曾任中国农业科学院特产研究所研究员、吉林 农业大学中药材学院院长，现任公司独立董事、吉林农业大学教授。</w:t>
      </w:r>
    </w:p>
    <w:p>
      <w:pPr>
        <w:pStyle w:val="BodyText"/>
        <w:spacing w:line="240" w:lineRule="auto" w:before="164"/>
        <w:ind w:left="633" w:right="0"/>
        <w:jc w:val="left"/>
      </w:pPr>
      <w:r>
        <w:rPr>
          <w:rFonts w:ascii="Times New Roman" w:hAnsi="Times New Roman" w:cs="Times New Roman" w:eastAsia="Times New Roman" w:hint="default"/>
        </w:rPr>
        <w:t>6</w:t>
      </w:r>
      <w:r>
        <w:rPr/>
        <w:t>、傅穹先生，汉族，</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12</w:t>
      </w:r>
      <w:r>
        <w:rPr/>
        <w:t>月出生，中共党员，曾任吉林大学法学院教授、美国哥伦比亚大学法</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0"/>
        <w:jc w:val="left"/>
      </w:pPr>
      <w:r>
        <w:rPr>
          <w:spacing w:val="-1"/>
        </w:rPr>
        <w:t>学院访问学者，现任公司独立董事、中国全聚德（集团）股份有限公司独立董事、江苏奥赛康药业股份有</w:t>
      </w:r>
      <w:r>
        <w:rPr>
          <w:spacing w:val="-83"/>
        </w:rPr>
        <w:t> </w:t>
      </w:r>
      <w:r>
        <w:rPr>
          <w:spacing w:val="-83"/>
        </w:rPr>
      </w:r>
      <w:r>
        <w:rPr/>
        <w:t>限公司独立董事。</w:t>
      </w:r>
    </w:p>
    <w:p>
      <w:pPr>
        <w:pStyle w:val="BodyText"/>
        <w:spacing w:line="391" w:lineRule="auto" w:before="142"/>
        <w:ind w:right="1110" w:firstLine="480"/>
        <w:jc w:val="both"/>
      </w:pPr>
      <w:r>
        <w:rPr>
          <w:rFonts w:ascii="Times New Roman" w:hAnsi="Times New Roman" w:cs="Times New Roman" w:eastAsia="Times New Roman" w:hint="default"/>
        </w:rPr>
        <w:t>7</w:t>
      </w:r>
      <w:r>
        <w:rPr/>
        <w:t>、王旭女士，汉族，</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月出生，博士后，吉林大学管理学院会计学教授、硕士生导师、会计 系学术带头人、吉林省会计领军人才（企业类）指导老师，中国会计学会高级会员。主持和参加国家级、 </w:t>
      </w:r>
      <w:r>
        <w:rPr>
          <w:spacing w:val="-1"/>
        </w:rPr>
        <w:t>省部级科研项目及企业咨询类项目三十余项，公开发表学术论文</w:t>
      </w:r>
      <w:r>
        <w:rPr>
          <w:rFonts w:ascii="Times New Roman" w:hAnsi="Times New Roman" w:cs="Times New Roman" w:eastAsia="Times New Roman" w:hint="default"/>
          <w:spacing w:val="-1"/>
        </w:rPr>
        <w:t>28</w:t>
      </w:r>
      <w:r>
        <w:rPr>
          <w:spacing w:val="-1"/>
        </w:rPr>
        <w:t>篇，出版学术专著一部，主讲会计学专</w:t>
      </w:r>
      <w:r>
        <w:rPr>
          <w:spacing w:val="-84"/>
        </w:rPr>
        <w:t> </w:t>
      </w:r>
      <w:r>
        <w:rPr>
          <w:spacing w:val="-84"/>
        </w:rPr>
      </w:r>
      <w:r>
        <w:rPr>
          <w:spacing w:val="-1"/>
        </w:rPr>
        <w:t>业本科生、硕士研究生及会计专业硕士（</w:t>
      </w:r>
      <w:r>
        <w:rPr>
          <w:rFonts w:ascii="Times New Roman" w:hAnsi="Times New Roman" w:cs="Times New Roman" w:eastAsia="Times New Roman" w:hint="default"/>
          <w:spacing w:val="-1"/>
        </w:rPr>
        <w:t>MPAcc</w:t>
      </w:r>
      <w:r>
        <w:rPr>
          <w:spacing w:val="-1"/>
        </w:rPr>
        <w:t>）课程五门，主要研究领域为公司治理、企业财务决策与</w:t>
      </w:r>
      <w:r>
        <w:rPr>
          <w:spacing w:val="-97"/>
        </w:rPr>
        <w:t> </w:t>
      </w:r>
      <w:r>
        <w:rPr>
          <w:spacing w:val="-97"/>
        </w:rPr>
      </w:r>
      <w:r>
        <w:rPr/>
        <w:t>控制等。现任公司独立董事、吉林大学管理学院会计学教授。</w:t>
      </w:r>
    </w:p>
    <w:p>
      <w:pPr>
        <w:pStyle w:val="Heading4"/>
        <w:spacing w:line="240" w:lineRule="auto" w:before="161"/>
        <w:ind w:right="0"/>
        <w:jc w:val="left"/>
        <w:rPr>
          <w:b w:val="0"/>
          <w:bCs w:val="0"/>
        </w:rPr>
      </w:pPr>
      <w:r>
        <w:rPr/>
        <w:t>（二）监事</w:t>
      </w:r>
      <w:r>
        <w:rPr>
          <w:b w:val="0"/>
          <w:bCs w:val="0"/>
        </w:rPr>
      </w:r>
    </w:p>
    <w:p>
      <w:pPr>
        <w:spacing w:line="240" w:lineRule="auto" w:before="4"/>
        <w:rPr>
          <w:rFonts w:ascii="宋体" w:hAnsi="宋体" w:cs="宋体" w:eastAsia="宋体" w:hint="default"/>
          <w:b/>
          <w:bCs/>
          <w:sz w:val="22"/>
          <w:szCs w:val="22"/>
        </w:rPr>
      </w:pPr>
    </w:p>
    <w:p>
      <w:pPr>
        <w:pStyle w:val="BodyText"/>
        <w:spacing w:line="386" w:lineRule="auto" w:before="0"/>
        <w:ind w:left="154" w:right="1135" w:firstLine="480"/>
        <w:jc w:val="both"/>
      </w:pPr>
      <w:r>
        <w:rPr>
          <w:rFonts w:ascii="Times New Roman" w:hAnsi="Times New Roman" w:cs="Times New Roman" w:eastAsia="Times New Roman" w:hint="default"/>
        </w:rPr>
        <w:t>1</w:t>
      </w:r>
      <w:r>
        <w:rPr/>
        <w:t>、田丰先生，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月出生，大学本科学历，中国注册会计师，曾任北京京都天华会计师事务所 有限公司项目经理，</w:t>
      </w:r>
      <w:r>
        <w:rPr>
          <w:rFonts w:ascii="Times New Roman" w:hAnsi="Times New Roman" w:cs="Times New Roman" w:eastAsia="Times New Roman" w:hint="default"/>
        </w:rPr>
        <w:t>2010</w:t>
      </w:r>
      <w:r>
        <w:rPr/>
        <w:t>年进入紫鑫药业工作，现任公司监事长。</w:t>
      </w:r>
    </w:p>
    <w:p>
      <w:pPr>
        <w:pStyle w:val="BodyText"/>
        <w:spacing w:line="386" w:lineRule="auto" w:before="134"/>
        <w:ind w:left="154" w:right="1132" w:firstLine="480"/>
        <w:jc w:val="both"/>
      </w:pPr>
      <w:r>
        <w:rPr>
          <w:rFonts w:ascii="Times New Roman" w:hAnsi="Times New Roman" w:cs="Times New Roman" w:eastAsia="Times New Roman" w:hint="default"/>
          <w:spacing w:val="-2"/>
        </w:rPr>
        <w:t>2</w:t>
      </w:r>
      <w:r>
        <w:rPr>
          <w:spacing w:val="-2"/>
        </w:rPr>
        <w:t>、张洪发先生，</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2</w:t>
      </w:r>
      <w:r>
        <w:rPr>
          <w:spacing w:val="-2"/>
        </w:rPr>
        <w:t>月出生，经济学学士、会计师。</w:t>
      </w:r>
      <w:r>
        <w:rPr>
          <w:rFonts w:ascii="Times New Roman" w:hAnsi="Times New Roman" w:cs="Times New Roman" w:eastAsia="Times New Roman" w:hint="default"/>
          <w:spacing w:val="-2"/>
        </w:rPr>
        <w:t>2001</w:t>
      </w:r>
      <w:r>
        <w:rPr>
          <w:spacing w:val="-2"/>
        </w:rPr>
        <w:t>年至今历任吉林紫鑫药业股份有限公司</w:t>
      </w:r>
      <w:r>
        <w:rPr/>
        <w:t> 会计、主管会计、审计部副部长、财务部长，现任公司监事。</w:t>
      </w:r>
    </w:p>
    <w:p>
      <w:pPr>
        <w:pStyle w:val="BodyText"/>
        <w:spacing w:line="386" w:lineRule="auto" w:before="164"/>
        <w:ind w:right="1132" w:firstLine="480"/>
        <w:jc w:val="both"/>
      </w:pPr>
      <w:r>
        <w:rPr>
          <w:rFonts w:ascii="Times New Roman" w:hAnsi="Times New Roman" w:cs="Times New Roman" w:eastAsia="Times New Roman" w:hint="default"/>
        </w:rPr>
        <w:t>3</w:t>
      </w:r>
      <w:r>
        <w:rPr/>
        <w:t>、白玉彪，汉族，</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2</w:t>
      </w:r>
      <w:r>
        <w:rPr/>
        <w:t>月出生，中国注册会计师。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月在国富浩华会计师事 </w:t>
      </w:r>
      <w:r>
        <w:rPr>
          <w:spacing w:val="-3"/>
        </w:rPr>
        <w:t>务所任项目经理，</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2</w:t>
      </w:r>
      <w:r>
        <w:rPr>
          <w:spacing w:val="-3"/>
        </w:rPr>
        <w:t>月加入公司任财务部助理，</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月任公司资金管理部部长，</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9"/>
        </w:rPr>
        <w:t> </w:t>
      </w:r>
      <w:r>
        <w:rPr/>
        <w:t>年</w:t>
      </w:r>
      <w:r>
        <w:rPr>
          <w:rFonts w:ascii="Times New Roman" w:hAnsi="Times New Roman" w:cs="Times New Roman" w:eastAsia="Times New Roman" w:hint="default"/>
        </w:rPr>
        <w:t>4</w:t>
      </w:r>
      <w:r>
        <w:rPr/>
        <w:t>月起至今任公司监事。</w:t>
      </w:r>
    </w:p>
    <w:p>
      <w:pPr>
        <w:pStyle w:val="Heading4"/>
        <w:spacing w:line="240" w:lineRule="auto" w:before="135"/>
        <w:ind w:left="154" w:right="0"/>
        <w:jc w:val="left"/>
        <w:rPr>
          <w:b w:val="0"/>
          <w:bCs w:val="0"/>
        </w:rPr>
      </w:pPr>
      <w:r>
        <w:rPr/>
        <w:t>（三）高级管理人员</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0"/>
        <w:ind w:left="63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、总经理郭春林，参见</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24"/>
          <w:szCs w:val="24"/>
        </w:rPr>
      </w:pPr>
    </w:p>
    <w:p>
      <w:pPr>
        <w:pStyle w:val="BodyText"/>
        <w:spacing w:line="240" w:lineRule="auto" w:before="0"/>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、副总经理、董事会秘书钟云香，参见</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24"/>
          <w:szCs w:val="24"/>
        </w:rPr>
      </w:pPr>
    </w:p>
    <w:p>
      <w:pPr>
        <w:pStyle w:val="BodyText"/>
        <w:spacing w:line="240" w:lineRule="auto" w:before="0"/>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、财务总监孙莉莉，参见</w:t>
      </w:r>
      <w:r>
        <w:rPr>
          <w:rFonts w:ascii="Times New Roman" w:hAnsi="Times New Roman" w:cs="Times New Roman" w:eastAsia="Times New Roman" w:hint="default"/>
        </w:rPr>
        <w:t>“</w:t>
      </w:r>
      <w:r>
        <w:rPr/>
        <w:t>（一）董事</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3"/>
          <w:szCs w:val="23"/>
        </w:rPr>
      </w:pPr>
    </w:p>
    <w:p>
      <w:pPr>
        <w:pStyle w:val="BodyText"/>
        <w:spacing w:line="386" w:lineRule="auto" w:before="0"/>
        <w:ind w:right="1130" w:firstLine="480"/>
        <w:jc w:val="both"/>
      </w:pPr>
      <w:r>
        <w:rPr>
          <w:rFonts w:ascii="Times New Roman" w:hAnsi="Times New Roman" w:cs="Times New Roman" w:eastAsia="Times New Roman" w:hint="default"/>
          <w:spacing w:val="-2"/>
        </w:rPr>
        <w:t>4</w:t>
      </w:r>
      <w:r>
        <w:rPr>
          <w:spacing w:val="-2"/>
        </w:rPr>
        <w:t>、副总经理徐大庆：徐大庆先生，朝鲜族，</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5</w:t>
      </w:r>
      <w:r>
        <w:rPr>
          <w:spacing w:val="-2"/>
        </w:rPr>
        <w:t>月出生，本科学历。曾任吉林省敦化市长白山生</w:t>
      </w:r>
      <w:r>
        <w:rPr/>
        <w:t> </w:t>
      </w:r>
      <w:r>
        <w:rPr>
          <w:spacing w:val="-1"/>
        </w:rPr>
        <w:t>物制品有限公司会计、吉林天三奇药业股份有限公司区域经理，</w:t>
      </w:r>
      <w:r>
        <w:rPr>
          <w:rFonts w:ascii="Times New Roman" w:hAnsi="Times New Roman" w:cs="Times New Roman" w:eastAsia="Times New Roman" w:hint="default"/>
          <w:spacing w:val="-1"/>
        </w:rPr>
        <w:t>2005</w:t>
      </w:r>
      <w:r>
        <w:rPr>
          <w:spacing w:val="-1"/>
        </w:rPr>
        <w:t>年进入紫鑫药业工作，担任公司药品</w:t>
      </w:r>
      <w:r>
        <w:rPr>
          <w:spacing w:val="-80"/>
        </w:rPr>
        <w:t> </w:t>
      </w:r>
      <w:r>
        <w:rPr>
          <w:spacing w:val="-80"/>
        </w:rPr>
      </w:r>
      <w:r>
        <w:rPr/>
        <w:t>销售总监，现任公司副总经理。</w:t>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240" w:lineRule="auto" w:before="10"/>
        <w:rPr>
          <w:rFonts w:ascii="宋体" w:hAnsi="宋体" w:cs="宋体" w:eastAsia="宋体" w:hint="default"/>
          <w:sz w:val="20"/>
          <w:szCs w:val="20"/>
        </w:rPr>
      </w:pPr>
    </w:p>
    <w:p>
      <w:pPr>
        <w:spacing w:line="489"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8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93.759995pt;margin-top:665.859985pt;width:67.9pt;height:39.65pt;mso-position-horizontal-relative:page;mso-position-vertical-relative:page;z-index:-1045672" coordorigin="3875,13317" coordsize="1358,793">
            <v:group style="position:absolute;left:3875;top:13317;width:1358;height:234" coordorigin="3875,13317" coordsize="1358,234">
              <v:shape style="position:absolute;left:3875;top:13317;width:1358;height:234" coordorigin="3875,13317" coordsize="1358,234" path="m3875,13551l5233,13551,5233,13317,3875,13317,3875,13551xe" filled="true" fillcolor="#ffffff" stroked="false">
                <v:path arrowok="t"/>
                <v:fill type="solid"/>
              </v:shape>
            </v:group>
            <v:group style="position:absolute;left:3887;top:13551;width:2;height:548" coordorigin="3887,13551" coordsize="2,548">
              <v:shape style="position:absolute;left:3887;top:13551;width:2;height:548" coordorigin="3887,13551" coordsize="0,548" path="m3887,13551l3887,14099e" filled="false" stroked="true" strokeweight="1.140pt" strokecolor="#ffffff">
                <v:path arrowok="t"/>
              </v:shape>
            </v:group>
            <v:group style="position:absolute;left:3898;top:13551;width:1312;height:548" coordorigin="3898,13551" coordsize="1312,548">
              <v:shape style="position:absolute;left:3898;top:13551;width:1312;height:548" coordorigin="3898,13551" coordsize="1312,548" path="m3898,14099l5210,14099,5210,13551,3898,13551,3898,1409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55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中国全聚德（集团）股份有限公司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江苏奥赛康药业股份有限公司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吉林大学管理学院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35"/>
              <w:jc w:val="left"/>
              <w:rPr>
                <w:rFonts w:ascii="宋体" w:hAnsi="宋体" w:cs="宋体" w:eastAsia="宋体" w:hint="default"/>
                <w:sz w:val="18"/>
                <w:szCs w:val="18"/>
              </w:rPr>
            </w:pPr>
            <w:r>
              <w:rPr>
                <w:rFonts w:ascii="宋体" w:hAnsi="宋体" w:cs="宋体" w:eastAsia="宋体" w:hint="default"/>
                <w:sz w:val="18"/>
                <w:szCs w:val="18"/>
              </w:rPr>
              <w:t>傅穹先生于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日起担任中国全聚德（集团）股份有限公司独立董事；于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 担任江苏奥赛康药业股份有限公司独立董事。</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8"/>
          <w:szCs w:val="18"/>
        </w:rPr>
      </w:pPr>
    </w:p>
    <w:p>
      <w:pPr>
        <w:pStyle w:val="BodyText"/>
        <w:spacing w:line="408" w:lineRule="auto" w:before="0"/>
        <w:ind w:right="1012" w:firstLine="336"/>
        <w:jc w:val="left"/>
      </w:pPr>
      <w:r>
        <w:rPr>
          <w:spacing w:val="-1"/>
        </w:rPr>
        <w:t>由公司董事会按年度对公司高级管理人员的业绩和履职情况进行考评，并根据工作业绩决定年度薪酬，</w:t>
      </w:r>
      <w:r>
        <w:rPr/>
        <w:t> 以考核结果作为下一年度的岗位安排、年薪档次、是否续聘及职位升降和下一届任免的依据。年初，董事 会根据公司的经营计划和个人的岗位职责，确定年度工资额；年终董事会根据高级管理人员本年度的工作 业绩进行考评后确定对高管人员的奖金总额。</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日公司召开的</w:t>
      </w:r>
      <w:r>
        <w:rPr>
          <w:rFonts w:ascii="Times New Roman" w:hAnsi="Times New Roman" w:cs="Times New Roman" w:eastAsia="Times New Roman" w:hint="default"/>
        </w:rPr>
        <w:t>2010</w:t>
      </w:r>
      <w:r>
        <w:rPr/>
        <w:t>年年度股东大会审议通过了</w:t>
      </w:r>
    </w:p>
    <w:p>
      <w:pPr>
        <w:pStyle w:val="BodyText"/>
        <w:spacing w:line="240" w:lineRule="auto" w:before="14"/>
        <w:ind w:right="0"/>
        <w:jc w:val="left"/>
      </w:pPr>
      <w:r>
        <w:rPr/>
        <w:t>《关于调整董事、监事、高级管理人员薪酬的议案》，为现任董事、监事、高级管理人员报酬确定依据。</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2"/>
        <w:rPr>
          <w:rFonts w:ascii="宋体" w:hAnsi="宋体" w:cs="宋体" w:eastAsia="宋体" w:hint="default"/>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郭春林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孙莉莉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钟云香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3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张洪发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张忠伟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徐大庆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白玉彪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148.28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1,420</w:t>
            </w:r>
          </w:p>
        </w:tc>
      </w:tr>
      <w:tr>
        <w:trPr>
          <w:trHeight w:val="56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w:t>
            </w:r>
          </w:p>
        </w:tc>
      </w:tr>
      <w:tr>
        <w:trPr>
          <w:trHeight w:val="54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56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r>
      <w:tr>
        <w:trPr>
          <w:trHeight w:val="55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55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w:t>
            </w:r>
          </w:p>
        </w:tc>
      </w:tr>
      <w:tr>
        <w:trPr>
          <w:trHeight w:val="55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w:t>
            </w:r>
          </w:p>
        </w:tc>
      </w:tr>
      <w:tr>
        <w:trPr>
          <w:trHeight w:val="56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w:t>
            </w:r>
          </w:p>
        </w:tc>
      </w:tr>
      <w:tr>
        <w:trPr>
          <w:trHeight w:val="548"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56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4"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558"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r>
      <w:tr>
        <w:trPr>
          <w:trHeight w:val="558"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w:t>
            </w:r>
          </w:p>
        </w:tc>
      </w:tr>
      <w:tr>
        <w:trPr>
          <w:trHeight w:val="558"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大中专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w:t>
            </w:r>
          </w:p>
        </w:tc>
      </w:tr>
      <w:tr>
        <w:trPr>
          <w:trHeight w:val="558"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w:t>
            </w:r>
          </w:p>
        </w:tc>
      </w:tr>
      <w:tr>
        <w:trPr>
          <w:trHeight w:val="55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023" w:firstLine="460"/>
        <w:jc w:val="left"/>
      </w:pPr>
      <w:r>
        <w:rPr/>
        <w:t>公司建立并完善了绩效考评体系和薪酬管理办法。根据公司年度经营计划和目标，对其工作绩效和管 理指标进行考评，与当期收入挂钩。公司董事、监事薪酬方案由薪酬与考核委员会提出，报经董事会批准 后，提交股东大会审议通过后实施；公司高级管理人员的薪酬方案报董事会批准后根据公司薪酬管理制度 </w:t>
      </w:r>
      <w:r>
        <w:rPr>
          <w:spacing w:val="-3"/>
        </w:rPr>
        <w:t>及考核指标按期支付。本公司实行劳动合同制，员工按照《劳动法》的有关规定与公司签订《劳动合同》，</w:t>
      </w:r>
      <w:r>
        <w:rPr>
          <w:spacing w:val="-95"/>
        </w:rPr>
        <w:t> </w:t>
      </w:r>
      <w:r>
        <w:rPr>
          <w:spacing w:val="-95"/>
        </w:rPr>
      </w:r>
      <w:r>
        <w:rPr/>
        <w:t>享受权利并承担义务。</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110" w:firstLine="369"/>
        <w:jc w:val="both"/>
      </w:pPr>
      <w:r>
        <w:rPr/>
        <w:t>公司重视对员工业务技能的培训，并为之搭建了一个健全的职业发展平台，让每一位员工明确自身发 展的方向，实现自我价值。针对各管理人员及员工进行分岗、分级培训，实现岗位责任制，培训的重点： </w:t>
      </w:r>
      <w:r>
        <w:rPr>
          <w:rFonts w:ascii="Times New Roman" w:hAnsi="Times New Roman" w:cs="Times New Roman" w:eastAsia="Times New Roman" w:hint="default"/>
        </w:rPr>
        <w:t>1</w:t>
      </w:r>
      <w:r>
        <w:rPr/>
        <w:t>、经营层培训：公司章程、内控管理制度培训；</w:t>
      </w:r>
    </w:p>
    <w:p>
      <w:pPr>
        <w:pStyle w:val="BodyText"/>
        <w:spacing w:line="240" w:lineRule="auto" w:before="14"/>
        <w:ind w:left="154" w:right="0"/>
        <w:jc w:val="left"/>
      </w:pPr>
      <w:r>
        <w:rPr>
          <w:rFonts w:ascii="Times New Roman" w:hAnsi="Times New Roman" w:cs="Times New Roman" w:eastAsia="Times New Roman" w:hint="default"/>
        </w:rPr>
        <w:t>2</w:t>
      </w:r>
      <w:r>
        <w:rPr/>
        <w:t>、董监高培训：证券法、上市公司相关法律法规、内控管理制度培训等；</w:t>
      </w:r>
    </w:p>
    <w:p>
      <w:pPr>
        <w:spacing w:line="240" w:lineRule="auto" w:before="0"/>
        <w:rPr>
          <w:rFonts w:ascii="宋体" w:hAnsi="宋体" w:cs="宋体" w:eastAsia="宋体" w:hint="default"/>
          <w:sz w:val="22"/>
          <w:szCs w:val="22"/>
        </w:rPr>
      </w:pPr>
    </w:p>
    <w:p>
      <w:pPr>
        <w:pStyle w:val="Heading4"/>
        <w:spacing w:line="240" w:lineRule="auto" w:before="189"/>
        <w:ind w:left="154"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right="978"/>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3"/>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right="1132" w:firstLine="464"/>
        <w:jc w:val="both"/>
      </w:pPr>
      <w:r>
        <w:rPr>
          <w:spacing w:val="-2"/>
        </w:rPr>
        <w:t>报告期内，公司严格按照《公司法》、《证券法》、《上市公司治理准则》、《深圳证券交易所股票</w:t>
      </w:r>
      <w:r>
        <w:rPr/>
        <w:t> </w:t>
      </w:r>
      <w:r>
        <w:rPr>
          <w:spacing w:val="-1"/>
        </w:rPr>
        <w:t>上市规则》、《深圳证券交易所中小企业板上市公司规范运作指引》和中国证券监督管理委员会有关法律</w:t>
      </w:r>
      <w:r>
        <w:rPr>
          <w:spacing w:val="-84"/>
        </w:rPr>
        <w:t> </w:t>
      </w:r>
      <w:r>
        <w:rPr>
          <w:spacing w:val="-84"/>
        </w:rPr>
      </w:r>
      <w:r>
        <w:rPr>
          <w:spacing w:val="-1"/>
        </w:rPr>
        <w:t>法规、规范性文件及公司章程的要求，不断完善公司治理结构，建立健全内部管理和控制制度，进一步规</w:t>
      </w:r>
      <w:r>
        <w:rPr>
          <w:spacing w:val="-86"/>
        </w:rPr>
        <w:t> </w:t>
      </w:r>
      <w:r>
        <w:rPr>
          <w:spacing w:val="-86"/>
        </w:rPr>
      </w:r>
      <w:r>
        <w:rPr>
          <w:spacing w:val="-1"/>
        </w:rPr>
        <w:t>范公司运作，提高公司治理水平。报告期末，公司治理实际情况与《公司法》和中国证监会相关规定的要</w:t>
      </w:r>
      <w:r>
        <w:rPr>
          <w:spacing w:val="-83"/>
        </w:rPr>
        <w:t> </w:t>
      </w:r>
      <w:r>
        <w:rPr>
          <w:spacing w:val="-83"/>
        </w:rPr>
      </w:r>
      <w:r>
        <w:rPr/>
        <w:t>求不存在差异。</w:t>
      </w:r>
    </w:p>
    <w:p>
      <w:pPr>
        <w:pStyle w:val="BodyText"/>
        <w:spacing w:line="398" w:lineRule="auto"/>
        <w:ind w:left="154" w:right="0" w:firstLine="420"/>
        <w:jc w:val="left"/>
      </w:pPr>
      <w:r>
        <w:rPr>
          <w:rFonts w:ascii="Times New Roman" w:hAnsi="Times New Roman" w:cs="Times New Roman" w:eastAsia="Times New Roman" w:hint="default"/>
        </w:rPr>
        <w:t>1</w:t>
      </w:r>
      <w:r>
        <w:rPr/>
        <w:t>、股东大会与实际控制人：股东大会是公司的最高权力机构，按照《股东大会议事规则》的规定召 </w:t>
      </w:r>
      <w:r>
        <w:rPr>
          <w:spacing w:val="-1"/>
        </w:rPr>
        <w:t>集、召开公司股东大会，能够确保所有股东，特别是中小股东享有平等地位，确保所有股东能够充分行使</w:t>
      </w:r>
      <w:r>
        <w:rPr>
          <w:spacing w:val="-86"/>
        </w:rPr>
        <w:t> </w:t>
      </w:r>
      <w:r>
        <w:rPr>
          <w:spacing w:val="-86"/>
        </w:rPr>
      </w:r>
      <w:r>
        <w:rPr/>
        <w:t>自己的权利。</w:t>
      </w:r>
    </w:p>
    <w:p>
      <w:pPr>
        <w:pStyle w:val="BodyText"/>
        <w:spacing w:line="398" w:lineRule="auto" w:before="54"/>
        <w:ind w:left="154" w:right="1023" w:firstLine="420"/>
        <w:jc w:val="left"/>
      </w:pPr>
      <w:r>
        <w:rPr>
          <w:rFonts w:ascii="Times New Roman" w:hAnsi="Times New Roman" w:cs="Times New Roman" w:eastAsia="Times New Roman" w:hint="default"/>
        </w:rPr>
        <w:t>2</w:t>
      </w:r>
      <w:r>
        <w:rPr/>
        <w:t>、董事会和董事：董事会是公司的决策机构，公司目前有董事七名，其中独立董事三名，占全体董 事的三分之一以上；全体董事能够按照《董事会议事规则》、《独立董事工作细则》等规定开展工作，按 </w:t>
      </w:r>
      <w:r>
        <w:rPr>
          <w:spacing w:val="-3"/>
        </w:rPr>
        <w:t>时出席董事会和股东大会，积极参加相关知识的培训，熟悉有关法律法规，监督内部控制制度的执行情况。</w:t>
      </w:r>
    </w:p>
    <w:p>
      <w:pPr>
        <w:pStyle w:val="BodyText"/>
        <w:spacing w:line="398" w:lineRule="auto" w:before="54"/>
        <w:ind w:left="154" w:right="0" w:firstLine="420"/>
        <w:jc w:val="left"/>
      </w:pPr>
      <w:r>
        <w:rPr>
          <w:rFonts w:ascii="Times New Roman" w:hAnsi="Times New Roman" w:cs="Times New Roman" w:eastAsia="Times New Roman" w:hint="default"/>
        </w:rPr>
        <w:t>3</w:t>
      </w:r>
      <w:r>
        <w:rPr/>
        <w:t>、监事会和监事：监事会是公司的监督机构，严格按照《公司法》、公司章程等的有关规定产生监 </w:t>
      </w:r>
      <w:r>
        <w:rPr>
          <w:spacing w:val="-1"/>
        </w:rPr>
        <w:t>事，公司监事会现有监事三名，监事会的人数及构成符合法律、法规的要求，对董事、全体高级管理人员</w:t>
      </w:r>
      <w:r>
        <w:rPr>
          <w:spacing w:val="-83"/>
        </w:rPr>
        <w:t> </w:t>
      </w:r>
      <w:r>
        <w:rPr>
          <w:spacing w:val="-83"/>
        </w:rPr>
      </w:r>
      <w:r>
        <w:rPr/>
        <w:t>的行为及公司的财务状况进行监督检查并发表意见。</w:t>
      </w:r>
    </w:p>
    <w:p>
      <w:pPr>
        <w:pStyle w:val="BodyText"/>
        <w:spacing w:line="398" w:lineRule="auto" w:before="54"/>
        <w:ind w:left="154" w:right="1117" w:firstLine="420"/>
        <w:jc w:val="left"/>
      </w:pPr>
      <w:r>
        <w:rPr>
          <w:rFonts w:ascii="Times New Roman" w:hAnsi="Times New Roman" w:cs="Times New Roman" w:eastAsia="Times New Roman" w:hint="default"/>
        </w:rPr>
        <w:t>4</w:t>
      </w:r>
      <w:r>
        <w:rPr/>
        <w:t>、董事会专门委员会：董事会下设战略与投资委员会、提名委员会、薪酬与考核委员会、审计委员 </w:t>
      </w:r>
      <w:r>
        <w:rPr>
          <w:spacing w:val="-5"/>
        </w:rPr>
        <w:t>会四个专业委员会，并制定了《董事会战略决策委员会工作细则》、《董事会提名委员会工作细则》、《董</w:t>
      </w:r>
      <w:r>
        <w:rPr/>
        <w:t> 事会薪酬与考核委员会工作细则》及《董事会审计委员会工作细则》，所有委员全部到位并开展工作。</w:t>
      </w:r>
    </w:p>
    <w:p>
      <w:pPr>
        <w:pStyle w:val="BodyText"/>
        <w:spacing w:line="386" w:lineRule="auto" w:before="54"/>
        <w:ind w:left="154" w:right="1197" w:firstLine="420"/>
        <w:jc w:val="left"/>
      </w:pPr>
      <w:r>
        <w:rPr>
          <w:rFonts w:ascii="Times New Roman" w:hAnsi="Times New Roman" w:cs="Times New Roman" w:eastAsia="Times New Roman" w:hint="default"/>
        </w:rPr>
        <w:t>5</w:t>
      </w:r>
      <w:r>
        <w:rPr/>
        <w:t>、关于经理层：公司经理及其他高级管理人员职责清晰，能够严格按照《公司章程》、《总经理工 作细则》等各项管理制度履行职责，勤勉尽责，切实贯彻、执行董事会的决议。</w:t>
      </w:r>
    </w:p>
    <w:p>
      <w:pPr>
        <w:pStyle w:val="BodyText"/>
        <w:spacing w:line="386" w:lineRule="auto" w:before="65"/>
        <w:ind w:left="154" w:right="1197" w:firstLine="420"/>
        <w:jc w:val="left"/>
      </w:pPr>
      <w:r>
        <w:rPr>
          <w:rFonts w:ascii="Times New Roman" w:hAnsi="Times New Roman" w:cs="Times New Roman" w:eastAsia="Times New Roman" w:hint="default"/>
        </w:rPr>
        <w:t>6</w:t>
      </w:r>
      <w:r>
        <w:rPr/>
        <w:t>、关于相关利益者：公司能够充分尊重和维护相关利益者的合法权益，实现股东、员工、社会等各 方利益的协调平衡，共同推动公司持续、稳定、健康的发展。</w:t>
      </w:r>
    </w:p>
    <w:p>
      <w:pPr>
        <w:pStyle w:val="BodyText"/>
        <w:spacing w:line="400" w:lineRule="auto" w:before="65"/>
        <w:ind w:left="154" w:right="0" w:firstLine="420"/>
        <w:jc w:val="left"/>
      </w:pPr>
      <w:r>
        <w:rPr>
          <w:rFonts w:ascii="Times New Roman" w:hAnsi="Times New Roman" w:cs="Times New Roman" w:eastAsia="Times New Roman" w:hint="default"/>
        </w:rPr>
        <w:t>7</w:t>
      </w:r>
      <w:r>
        <w:rPr/>
        <w:t>、关于信息披露和投资者关系管理：公司严格按照有关法律法规以及《信息披露管理办法》等公司 </w:t>
      </w:r>
      <w:r>
        <w:rPr>
          <w:spacing w:val="-1"/>
        </w:rPr>
        <w:t>制度进行信息披露和投资者关系管理，并指定了《证券时报》、《中国证券报》《上海证券报》、《证券</w:t>
      </w:r>
      <w:r>
        <w:rPr>
          <w:spacing w:val="-85"/>
        </w:rPr>
        <w:t> </w:t>
      </w:r>
      <w:r>
        <w:rPr>
          <w:spacing w:val="-85"/>
        </w:rPr>
      </w:r>
      <w:r>
        <w:rPr>
          <w:spacing w:val="-1"/>
        </w:rPr>
        <w:t>日报》和巨潮资讯网为公司指定的信息披露报纸和网站，真实、及时、准确、完整地披露各项信息，确保</w:t>
      </w:r>
      <w:r>
        <w:rPr>
          <w:spacing w:val="-83"/>
        </w:rPr>
        <w:t> </w:t>
      </w:r>
      <w:r>
        <w:rPr>
          <w:spacing w:val="-83"/>
        </w:rPr>
      </w:r>
      <w:r>
        <w:rPr>
          <w:spacing w:val="-1"/>
        </w:rPr>
        <w:t>所有投资者公平获取公司信息。同时，公司建立了畅通的沟通渠道，通过投资者电话、投资者关系网络互</w:t>
      </w:r>
    </w:p>
    <w:p>
      <w:pPr>
        <w:spacing w:after="0" w:line="400" w:lineRule="auto"/>
        <w:jc w:val="left"/>
        <w:sectPr>
          <w:footerReference w:type="default" r:id="rId14"/>
          <w:pgSz w:w="11910" w:h="16840"/>
          <w:pgMar w:footer="979" w:header="747" w:top="1060" w:bottom="1160" w:left="980" w:right="0"/>
        </w:sectPr>
      </w:pPr>
    </w:p>
    <w:p>
      <w:pPr>
        <w:spacing w:line="240" w:lineRule="auto" w:before="0"/>
        <w:rPr>
          <w:rFonts w:ascii="宋体" w:hAnsi="宋体" w:cs="宋体" w:eastAsia="宋体" w:hint="default"/>
          <w:sz w:val="20"/>
          <w:szCs w:val="20"/>
        </w:rPr>
      </w:pPr>
    </w:p>
    <w:p>
      <w:pPr>
        <w:pStyle w:val="BodyText"/>
        <w:spacing w:line="444" w:lineRule="auto" w:before="174"/>
        <w:ind w:left="574" w:right="0" w:hanging="420"/>
        <w:jc w:val="left"/>
      </w:pPr>
      <w:r>
        <w:rPr/>
        <w:t>动平台以及现场交流等方式与投资者进行充分的沟通交流。 </w:t>
      </w:r>
      <w:r>
        <w:rPr>
          <w:spacing w:val="-1"/>
        </w:rPr>
        <w:t>综上公司定期进行检查、评估和及时的修订完善各项规章制度，使各项制度得到有效的贯彻执行，对</w:t>
      </w:r>
    </w:p>
    <w:p>
      <w:pPr>
        <w:pStyle w:val="BodyText"/>
        <w:spacing w:line="410" w:lineRule="auto" w:before="13"/>
        <w:ind w:left="154" w:right="0"/>
        <w:jc w:val="left"/>
      </w:pPr>
      <w:r>
        <w:rPr>
          <w:spacing w:val="-1"/>
        </w:rPr>
        <w:t>公司的生产经营起到了重要的指导、规范、控制和监督作用，公司严格按照该制度的规定，对公司定期报</w:t>
      </w:r>
      <w:r>
        <w:rPr>
          <w:spacing w:val="-86"/>
        </w:rPr>
        <w:t> </w:t>
      </w:r>
      <w:r>
        <w:rPr>
          <w:spacing w:val="-86"/>
        </w:rPr>
      </w:r>
      <w:r>
        <w:rPr/>
        <w:t>告披露以及其他重大事项过程中涉及的内幕知情人员情况进行了登记备案。</w:t>
      </w:r>
    </w:p>
    <w:p>
      <w:pPr>
        <w:spacing w:before="11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240" w:lineRule="auto" w:before="10"/>
        <w:rPr>
          <w:rFonts w:ascii="宋体" w:hAnsi="宋体" w:cs="宋体" w:eastAsia="宋体" w:hint="default"/>
          <w:sz w:val="20"/>
          <w:szCs w:val="20"/>
        </w:rPr>
      </w:pPr>
    </w:p>
    <w:p>
      <w:pPr>
        <w:spacing w:line="489" w:lineRule="auto" w:before="0"/>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1"/>
        <w:ind w:right="0" w:firstLine="420"/>
        <w:jc w:val="left"/>
      </w:pPr>
      <w:r>
        <w:rPr>
          <w:spacing w:val="-1"/>
        </w:rPr>
        <w:t>公司具备完整、规范的产、供、销生产经营管理体制和运行机制，在业务、人员、资产、机构、财务</w:t>
      </w:r>
      <w:r>
        <w:rPr/>
        <w:t> 等方面与股东单位完全分开，独立运作。</w:t>
      </w:r>
      <w:r>
        <w:rPr>
          <w:rFonts w:ascii="Times New Roman" w:hAnsi="Times New Roman" w:cs="Times New Roman" w:eastAsia="Times New Roman" w:hint="default"/>
        </w:rPr>
        <w:t>1</w:t>
      </w:r>
      <w:r>
        <w:rPr/>
        <w:t>、业务独立公司具有完整的采购供应体系、完整的生产管理体 系和独立的销售运作体系，独立开展业务，不依赖于任何股东及关联方。</w:t>
      </w:r>
      <w:r>
        <w:rPr>
          <w:rFonts w:ascii="Times New Roman" w:hAnsi="Times New Roman" w:cs="Times New Roman" w:eastAsia="Times New Roman" w:hint="default"/>
        </w:rPr>
        <w:t>2</w:t>
      </w:r>
      <w:r>
        <w:rPr/>
        <w:t>、人员独立本公司董事、监事 </w:t>
      </w:r>
      <w:r>
        <w:rPr>
          <w:spacing w:val="-1"/>
        </w:rPr>
        <w:t>及高级管理人员严格按照《公司法》和《公司章程》的有关规定产生；公司建有独立的人事及工资管理系</w:t>
      </w:r>
      <w:r>
        <w:rPr>
          <w:spacing w:val="-83"/>
        </w:rPr>
        <w:t> </w:t>
      </w:r>
      <w:r>
        <w:rPr>
          <w:spacing w:val="-83"/>
        </w:rPr>
      </w:r>
      <w:r>
        <w:rPr/>
        <w:t>统；公司还制订了严格的《人事管理制度》，对人员管理做到了制度化。</w:t>
      </w:r>
      <w:r>
        <w:rPr>
          <w:rFonts w:ascii="Times New Roman" w:hAnsi="Times New Roman" w:cs="Times New Roman" w:eastAsia="Times New Roman" w:hint="default"/>
        </w:rPr>
        <w:t>3</w:t>
      </w:r>
      <w:r>
        <w:rPr/>
        <w:t>、资产独立本公司的主要资产 </w:t>
      </w:r>
      <w:r>
        <w:rPr>
          <w:spacing w:val="-1"/>
        </w:rPr>
        <w:t>包括主营业务所需的完整的生产设备、土地、厂房、办公用房、仓储用房、交通工具和知识产权，具有完</w:t>
      </w:r>
      <w:r>
        <w:rPr>
          <w:spacing w:val="-83"/>
        </w:rPr>
        <w:t> </w:t>
      </w:r>
      <w:r>
        <w:rPr>
          <w:spacing w:val="-83"/>
        </w:rPr>
      </w:r>
      <w:r>
        <w:rPr/>
        <w:t>整的配套设施。上述资产产权清晰，完全独立于股东单位。</w:t>
      </w:r>
      <w:r>
        <w:rPr>
          <w:rFonts w:ascii="Times New Roman" w:hAnsi="Times New Roman" w:cs="Times New Roman" w:eastAsia="Times New Roman" w:hint="default"/>
        </w:rPr>
        <w:t>4</w:t>
      </w:r>
      <w:r>
        <w:rPr/>
        <w:t>、机构独立本公司设股东大会、董事会、监 </w:t>
      </w:r>
      <w:r>
        <w:rPr>
          <w:spacing w:val="-1"/>
        </w:rPr>
        <w:t>事会，按照《公司章程》的规定履行相关权利和义务。公司拥有独立的组织机构，拥有独立的运作、管理</w:t>
      </w:r>
      <w:r>
        <w:rPr>
          <w:spacing w:val="-83"/>
        </w:rPr>
        <w:t> </w:t>
      </w:r>
      <w:r>
        <w:rPr>
          <w:spacing w:val="-83"/>
        </w:rPr>
      </w:r>
      <w:r>
        <w:rPr/>
        <w:t>和考核机制。公司总经理、副总经理、董事会秘书、财务总监均在公司领取报酬。</w:t>
      </w:r>
      <w:r>
        <w:rPr>
          <w:rFonts w:ascii="Times New Roman" w:hAnsi="Times New Roman" w:cs="Times New Roman" w:eastAsia="Times New Roman" w:hint="default"/>
        </w:rPr>
        <w:t>5</w:t>
      </w:r>
      <w:r>
        <w:rPr/>
        <w:t>、财务独立公司设有 </w:t>
      </w:r>
      <w:r>
        <w:rPr>
          <w:spacing w:val="-1"/>
        </w:rPr>
        <w:t>独立的财务部门，建立独立的财务会计核算体系和财务管理制度，财务人员与股东单位完全独立，不存在</w:t>
      </w:r>
      <w:r>
        <w:rPr>
          <w:spacing w:val="-83"/>
        </w:rPr>
        <w:t> </w:t>
      </w:r>
      <w:r>
        <w:rPr>
          <w:spacing w:val="-83"/>
        </w:rPr>
      </w:r>
      <w:r>
        <w:rPr/>
        <w:t>交叉任职情况。公司独立开设银行帐户，作为独立的纳税人依法独立纳税。</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0"/>
        <w:rPr>
          <w:rFonts w:ascii="宋体" w:hAnsi="宋体" w:cs="宋体" w:eastAsia="宋体" w:hint="default"/>
          <w:b/>
          <w:bCs/>
          <w:sz w:val="24"/>
          <w:szCs w:val="24"/>
        </w:rPr>
      </w:pPr>
    </w:p>
    <w:p>
      <w:pPr>
        <w:spacing w:before="18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1"/>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5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footerReference w:type="default" r:id="rId15"/>
          <w:pgSz w:w="11910" w:h="16840"/>
          <w:pgMar w:footer="979" w:header="747" w:top="1060" w:bottom="1160" w:left="980" w:right="0"/>
          <w:pgNumType w:start="101"/>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24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51"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会决议公告</w:t>
            </w:r>
          </w:p>
          <w:p>
            <w:pPr>
              <w:pStyle w:val="TableParagraph"/>
              <w:spacing w:line="451" w:lineRule="auto" w:before="74"/>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2015-017</w:t>
            </w:r>
            <w:r>
              <w:rPr>
                <w:rFonts w:ascii="宋体" w:hAnsi="宋体" w:cs="宋体" w:eastAsia="宋体" w:hint="default"/>
                <w:spacing w:val="-4"/>
                <w:sz w:val="18"/>
                <w:szCs w:val="18"/>
              </w:rPr>
              <w:t>）巨潮资</w:t>
            </w:r>
            <w:r>
              <w:rPr>
                <w:rFonts w:ascii="宋体" w:hAnsi="宋体" w:cs="宋体" w:eastAsia="宋体" w:hint="default"/>
                <w:sz w:val="18"/>
                <w:szCs w:val="18"/>
              </w:rPr>
              <w:t> 讯网</w:t>
            </w:r>
          </w:p>
          <w:p>
            <w:pPr>
              <w:pStyle w:val="TableParagraph"/>
              <w:spacing w:line="240" w:lineRule="auto" w:before="11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24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51"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股东大会决议公告</w:t>
            </w:r>
          </w:p>
          <w:p>
            <w:pPr>
              <w:pStyle w:val="TableParagraph"/>
              <w:spacing w:line="451" w:lineRule="auto" w:before="74"/>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2015-031</w:t>
            </w:r>
            <w:r>
              <w:rPr>
                <w:rFonts w:ascii="宋体" w:hAnsi="宋体" w:cs="宋体" w:eastAsia="宋体" w:hint="default"/>
                <w:spacing w:val="-4"/>
                <w:sz w:val="18"/>
                <w:szCs w:val="18"/>
              </w:rPr>
              <w:t>）巨潮资</w:t>
            </w:r>
            <w:r>
              <w:rPr>
                <w:rFonts w:ascii="宋体" w:hAnsi="宋体" w:cs="宋体" w:eastAsia="宋体" w:hint="default"/>
                <w:sz w:val="18"/>
                <w:szCs w:val="18"/>
              </w:rPr>
              <w:t> 讯网</w:t>
            </w:r>
          </w:p>
          <w:p>
            <w:pPr>
              <w:pStyle w:val="TableParagraph"/>
              <w:spacing w:line="240" w:lineRule="auto" w:before="11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24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51"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股东大会决议公告</w:t>
            </w:r>
          </w:p>
          <w:p>
            <w:pPr>
              <w:pStyle w:val="TableParagraph"/>
              <w:spacing w:line="451" w:lineRule="auto" w:before="74"/>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2015-059</w:t>
            </w:r>
            <w:r>
              <w:rPr>
                <w:rFonts w:ascii="宋体" w:hAnsi="宋体" w:cs="宋体" w:eastAsia="宋体" w:hint="default"/>
                <w:spacing w:val="-4"/>
                <w:sz w:val="18"/>
                <w:szCs w:val="18"/>
              </w:rPr>
              <w:t>）巨潮资</w:t>
            </w:r>
            <w:r>
              <w:rPr>
                <w:rFonts w:ascii="宋体" w:hAnsi="宋体" w:cs="宋体" w:eastAsia="宋体" w:hint="default"/>
                <w:sz w:val="18"/>
                <w:szCs w:val="18"/>
              </w:rPr>
              <w:t> 讯网</w:t>
            </w:r>
          </w:p>
          <w:p>
            <w:pPr>
              <w:pStyle w:val="TableParagraph"/>
              <w:spacing w:line="240" w:lineRule="auto" w:before="11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243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451"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股东大会决议公告</w:t>
            </w:r>
          </w:p>
          <w:p>
            <w:pPr>
              <w:pStyle w:val="TableParagraph"/>
              <w:spacing w:line="451" w:lineRule="auto" w:before="74"/>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2015-071</w:t>
            </w:r>
            <w:r>
              <w:rPr>
                <w:rFonts w:ascii="宋体" w:hAnsi="宋体" w:cs="宋体" w:eastAsia="宋体" w:hint="default"/>
                <w:spacing w:val="-4"/>
                <w:sz w:val="18"/>
                <w:szCs w:val="18"/>
              </w:rPr>
              <w:t>）巨潮资</w:t>
            </w:r>
            <w:r>
              <w:rPr>
                <w:rFonts w:ascii="宋体" w:hAnsi="宋体" w:cs="宋体" w:eastAsia="宋体" w:hint="default"/>
                <w:sz w:val="18"/>
                <w:szCs w:val="18"/>
              </w:rPr>
              <w:t> 讯网</w:t>
            </w:r>
          </w:p>
          <w:p>
            <w:pPr>
              <w:pStyle w:val="TableParagraph"/>
              <w:spacing w:line="240" w:lineRule="auto" w:before="115"/>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2"/>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p>
      <w:pPr>
        <w:spacing w:line="558" w:lineRule="exact"/>
        <w:ind w:left="154"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478.45pt;height:27.9pt;mso-position-horizontal-relative:char;mso-position-vertical-relative:line" type="#_x0000_t202" filled="true" fillcolor="#d2d2d2" stroked="true" strokeweight=".48pt" strokecolor="#000000">
            <w10:anchorlock/>
            <v:textbox inset="0,0,0,0">
              <w:txbxContent>
                <w:p>
                  <w:pPr>
                    <w:spacing w:before="130"/>
                    <w:ind w:left="-1" w:right="0" w:firstLine="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xbxContent>
            </v:textbox>
            <v:fill type="solid"/>
          </v:shape>
        </w:pict>
      </w:r>
      <w:r>
        <w:rPr>
          <w:rFonts w:ascii="宋体" w:hAnsi="宋体" w:cs="宋体" w:eastAsia="宋体" w:hint="default"/>
          <w:position w:val="-10"/>
          <w:sz w:val="20"/>
          <w:szCs w:val="20"/>
        </w:rPr>
      </w:r>
    </w:p>
    <w:p>
      <w:pPr>
        <w:spacing w:after="0" w:line="558"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55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张连学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40" w:lineRule="auto" w:before="10"/>
        <w:rPr>
          <w:rFonts w:ascii="宋体" w:hAnsi="宋体" w:cs="宋体" w:eastAsia="宋体" w:hint="default"/>
          <w:sz w:val="20"/>
          <w:szCs w:val="20"/>
        </w:rPr>
      </w:pPr>
    </w:p>
    <w:p>
      <w:pPr>
        <w:spacing w:line="489"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6"/>
        <w:rPr>
          <w:rFonts w:ascii="宋体" w:hAnsi="宋体" w:cs="宋体" w:eastAsia="宋体" w:hint="default"/>
          <w:sz w:val="24"/>
          <w:szCs w:val="24"/>
        </w:rPr>
      </w:pPr>
    </w:p>
    <w:p>
      <w:pPr>
        <w:pStyle w:val="Heading4"/>
        <w:spacing w:line="240" w:lineRule="auto"/>
        <w:ind w:right="0"/>
        <w:jc w:val="left"/>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40" w:lineRule="auto" w:before="12"/>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58"/>
        <w:ind w:right="1024" w:firstLine="480"/>
        <w:jc w:val="left"/>
      </w:pPr>
      <w:r>
        <w:rPr>
          <w:spacing w:val="-2"/>
        </w:rPr>
        <w:t>报告期内，独立董事积极有效地履行独立董事的职责，利用参加相关会议的时间，对公司进行了多次</w:t>
      </w:r>
      <w:r>
        <w:rPr/>
        <w:t> </w:t>
      </w:r>
      <w:r>
        <w:rPr>
          <w:spacing w:val="-3"/>
        </w:rPr>
        <w:t>现场考察，对公司的生产经营、财务状况、内部控制建立健全、管理层对股东大会和董事会决议执行情况、</w:t>
      </w:r>
      <w:r>
        <w:rPr>
          <w:spacing w:val="-96"/>
        </w:rPr>
        <w:t> </w:t>
      </w:r>
      <w:r>
        <w:rPr>
          <w:spacing w:val="-96"/>
        </w:rPr>
      </w:r>
      <w:r>
        <w:rPr/>
        <w:t>募集资金使用、关联交易、业务发展和投资项目的进展等情况进行调查，在董事会决策过程中发表专业意</w:t>
      </w:r>
      <w:r>
        <w:rPr/>
        <w:t> 见。</w:t>
      </w:r>
    </w:p>
    <w:p>
      <w:pPr>
        <w:spacing w:line="240" w:lineRule="auto" w:before="9"/>
        <w:rPr>
          <w:rFonts w:ascii="宋体" w:hAnsi="宋体" w:cs="宋体" w:eastAsia="宋体" w:hint="default"/>
          <w:sz w:val="24"/>
          <w:szCs w:val="24"/>
        </w:rPr>
      </w:pPr>
    </w:p>
    <w:p>
      <w:pPr>
        <w:pStyle w:val="Heading3"/>
        <w:spacing w:line="240" w:lineRule="auto"/>
        <w:ind w:left="154" w:right="0"/>
        <w:jc w:val="left"/>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pStyle w:val="BodyText"/>
        <w:spacing w:line="386" w:lineRule="auto" w:before="163"/>
        <w:ind w:left="574" w:right="0" w:hanging="420"/>
        <w:jc w:val="left"/>
      </w:pPr>
      <w:r>
        <w:rPr>
          <w:rFonts w:ascii="Times New Roman" w:hAnsi="Times New Roman" w:cs="Times New Roman" w:eastAsia="Times New Roman" w:hint="default"/>
        </w:rPr>
        <w:t>1</w:t>
      </w:r>
      <w:r>
        <w:rPr/>
        <w:t>、审计委员会履行职责情况 </w:t>
      </w:r>
      <w:r>
        <w:rPr>
          <w:spacing w:val="-1"/>
        </w:rPr>
        <w:t>报告期内，审计委员会每季度审议内部审计部门提交的审计工作报告和工作计划；对公司内部控制情</w:t>
      </w:r>
    </w:p>
    <w:p>
      <w:pPr>
        <w:pStyle w:val="BodyText"/>
        <w:spacing w:line="386" w:lineRule="auto" w:before="65"/>
        <w:ind w:right="1024"/>
        <w:jc w:val="left"/>
      </w:pPr>
      <w:r>
        <w:rPr/>
        <w:t>况进行审核，出具</w:t>
      </w:r>
      <w:r>
        <w:rPr>
          <w:rFonts w:ascii="Times New Roman" w:hAnsi="Times New Roman" w:cs="Times New Roman" w:eastAsia="Times New Roman" w:hint="default"/>
        </w:rPr>
        <w:t>2015</w:t>
      </w:r>
      <w:r>
        <w:rPr/>
        <w:t>年度内部控制自我评价报告；审计委员会与会计师事务所协商确定了公司</w:t>
      </w:r>
      <w:r>
        <w:rPr>
          <w:rFonts w:ascii="Times New Roman" w:hAnsi="Times New Roman" w:cs="Times New Roman" w:eastAsia="Times New Roman" w:hint="default"/>
        </w:rPr>
        <w:t>2015</w:t>
      </w:r>
      <w:r>
        <w:rPr/>
        <w:t>年度</w:t>
      </w:r>
      <w:r>
        <w:rPr>
          <w:spacing w:val="-2"/>
        </w:rPr>
        <w:t> </w:t>
      </w:r>
      <w:r>
        <w:rPr>
          <w:spacing w:val="-3"/>
        </w:rPr>
        <w:t>财务报告审计工作的时间安排，并不断加强与年审注册会计师的沟通，督促其在约定时限内提交审计报告。</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在审阅审计报告后</w:t>
      </w:r>
      <w:r>
        <w:rPr>
          <w:rFonts w:ascii="Times New Roman" w:hAnsi="Times New Roman" w:cs="Times New Roman" w:eastAsia="Times New Roman" w:hint="default"/>
        </w:rPr>
        <w:t>,</w:t>
      </w:r>
      <w:r>
        <w:rPr/>
        <w:t>向董事会提交审阅意见以及续聘会计师事务所的建议书。</w:t>
      </w:r>
    </w:p>
    <w:p>
      <w:pPr>
        <w:pStyle w:val="BodyText"/>
        <w:spacing w:line="386" w:lineRule="auto" w:before="177"/>
        <w:ind w:left="573" w:right="0" w:hanging="420"/>
        <w:jc w:val="left"/>
      </w:pPr>
      <w:r>
        <w:rPr>
          <w:rFonts w:ascii="Times New Roman" w:hAnsi="Times New Roman" w:cs="Times New Roman" w:eastAsia="Times New Roman" w:hint="default"/>
        </w:rPr>
        <w:t>2</w:t>
      </w:r>
      <w:r>
        <w:rPr/>
        <w:t>、提名委员会履行职责情况 </w:t>
      </w:r>
      <w:r>
        <w:rPr>
          <w:spacing w:val="-1"/>
        </w:rPr>
        <w:t>报告期内，公司第五届董事会、监事会、高级管理人员进行了更换，提名委员会对相应补选和聘任的</w:t>
      </w:r>
    </w:p>
    <w:p>
      <w:pPr>
        <w:pStyle w:val="BodyText"/>
        <w:spacing w:line="240" w:lineRule="auto" w:before="65"/>
        <w:ind w:right="0"/>
        <w:jc w:val="left"/>
      </w:pPr>
      <w:r>
        <w:rPr/>
        <w:t>候选人进行了审查，并向董事会提交了相关的议案。</w:t>
      </w:r>
    </w:p>
    <w:p>
      <w:pPr>
        <w:spacing w:line="240" w:lineRule="auto" w:before="10"/>
        <w:rPr>
          <w:rFonts w:ascii="宋体" w:hAnsi="宋体" w:cs="宋体" w:eastAsia="宋体" w:hint="default"/>
          <w:sz w:val="14"/>
          <w:szCs w:val="14"/>
        </w:rPr>
      </w:pPr>
    </w:p>
    <w:p>
      <w:pPr>
        <w:pStyle w:val="BodyText"/>
        <w:spacing w:line="386" w:lineRule="auto" w:before="0"/>
        <w:ind w:left="573" w:right="0" w:hanging="420"/>
        <w:jc w:val="left"/>
      </w:pPr>
      <w:r>
        <w:rPr>
          <w:rFonts w:ascii="Times New Roman" w:hAnsi="Times New Roman" w:cs="Times New Roman" w:eastAsia="Times New Roman" w:hint="default"/>
        </w:rPr>
        <w:t>3</w:t>
      </w:r>
      <w:r>
        <w:rPr/>
        <w:t>、薪酬与考核委员会履行职责情况 </w:t>
      </w:r>
      <w:r>
        <w:rPr>
          <w:spacing w:val="-1"/>
        </w:rPr>
        <w:t>报告期内，薪酬与考核委员会认真了解公司薪酬现状及社会整体薪酬水平，听取公司薪酬支付情况的</w:t>
      </w:r>
    </w:p>
    <w:p>
      <w:pPr>
        <w:pStyle w:val="BodyText"/>
        <w:spacing w:line="408" w:lineRule="auto" w:before="65"/>
        <w:ind w:right="0"/>
        <w:jc w:val="left"/>
      </w:pPr>
      <w:r>
        <w:rPr>
          <w:spacing w:val="-1"/>
        </w:rPr>
        <w:t>汇报。对公司董事、高级管理人员薪酬进行了审阅，认为其薪酬标准和发放符合公司的薪酬管理制度，年</w:t>
      </w:r>
      <w:r>
        <w:rPr>
          <w:spacing w:val="-85"/>
        </w:rPr>
        <w:t> </w:t>
      </w:r>
      <w:r>
        <w:rPr>
          <w:spacing w:val="-85"/>
        </w:rPr>
      </w:r>
      <w:r>
        <w:rPr/>
        <w:t>度报告中所披露的董事、高级管理人员薪酬是合理和真实的。</w:t>
      </w:r>
    </w:p>
    <w:p>
      <w:pPr>
        <w:pStyle w:val="BodyText"/>
        <w:spacing w:line="386" w:lineRule="auto"/>
        <w:ind w:left="573" w:right="0" w:hanging="420"/>
        <w:jc w:val="left"/>
      </w:pPr>
      <w:r>
        <w:rPr>
          <w:rFonts w:ascii="Times New Roman" w:hAnsi="Times New Roman" w:cs="Times New Roman" w:eastAsia="Times New Roman" w:hint="default"/>
        </w:rPr>
        <w:t>4</w:t>
      </w:r>
      <w:r>
        <w:rPr/>
        <w:t>、战略与投资委员会履行职责情况 </w:t>
      </w:r>
      <w:r>
        <w:rPr>
          <w:spacing w:val="-1"/>
        </w:rPr>
        <w:t>报告期内，战略委员会认真履行职责，对公司未来发展规划、项目投资、融资等进行了充分讨论和论</w:t>
      </w:r>
    </w:p>
    <w:p>
      <w:pPr>
        <w:pStyle w:val="BodyText"/>
        <w:spacing w:line="240" w:lineRule="auto" w:before="65"/>
        <w:ind w:right="0"/>
        <w:jc w:val="left"/>
      </w:pPr>
      <w:r>
        <w:rPr/>
        <w:t>证。</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3"/>
        <w:spacing w:line="240" w:lineRule="auto"/>
        <w:ind w:left="154"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240" w:lineRule="auto" w:before="11"/>
        <w:rPr>
          <w:rFonts w:ascii="宋体" w:hAnsi="宋体" w:cs="宋体" w:eastAsia="宋体" w:hint="default"/>
          <w:sz w:val="20"/>
          <w:szCs w:val="20"/>
        </w:rPr>
      </w:pPr>
    </w:p>
    <w:p>
      <w:pPr>
        <w:spacing w:line="489"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pStyle w:val="BodyText"/>
        <w:spacing w:line="400" w:lineRule="auto" w:before="163"/>
        <w:ind w:right="0" w:firstLine="420"/>
        <w:jc w:val="left"/>
      </w:pPr>
      <w:r>
        <w:rPr>
          <w:spacing w:val="-1"/>
        </w:rPr>
        <w:t>公司已经逐步完善和建立公正、透明的高级管理人员的绩效评价标准和激励约束机制，公司高级管理</w:t>
      </w:r>
      <w:r>
        <w:rPr/>
        <w:t> 人员的聘任公开、透明，符合法律法规的规定。</w:t>
      </w:r>
      <w:r>
        <w:rPr>
          <w:rFonts w:ascii="Times New Roman" w:hAnsi="Times New Roman" w:cs="Times New Roman" w:eastAsia="Times New Roman" w:hint="default"/>
        </w:rPr>
        <w:t>1</w:t>
      </w:r>
      <w:r>
        <w:rPr/>
        <w:t>、考评机制：由公司董事会按年度对公司高级管理人员 </w:t>
      </w:r>
      <w:r>
        <w:rPr>
          <w:spacing w:val="-1"/>
        </w:rPr>
        <w:t>的业绩和履职情况进行考评，并根据工作业绩决定年度薪酬，以考核结果作为下一年度的岗位安排、年薪</w:t>
      </w:r>
      <w:r>
        <w:rPr>
          <w:spacing w:val="-83"/>
        </w:rPr>
        <w:t> </w:t>
      </w:r>
      <w:r>
        <w:rPr>
          <w:spacing w:val="-83"/>
        </w:rPr>
      </w:r>
      <w:r>
        <w:rPr/>
        <w:t>档次、是否续聘及职位升降和下一届任免的依据。</w:t>
      </w:r>
      <w:r>
        <w:rPr>
          <w:rFonts w:ascii="Times New Roman" w:hAnsi="Times New Roman" w:cs="Times New Roman" w:eastAsia="Times New Roman" w:hint="default"/>
        </w:rPr>
        <w:t>2</w:t>
      </w:r>
      <w:r>
        <w:rPr/>
        <w:t>、激励机制：年初，董事会根据公司的经营计划和个 </w:t>
      </w:r>
      <w:r>
        <w:rPr>
          <w:spacing w:val="-1"/>
        </w:rPr>
        <w:t>人的岗位职责，确定年度工资额；年终董事会根据高级管理人员本年度的工作业绩进行考评后确定对高管</w:t>
      </w:r>
      <w:r>
        <w:rPr>
          <w:spacing w:val="-81"/>
        </w:rPr>
        <w:t> </w:t>
      </w:r>
      <w:r>
        <w:rPr>
          <w:spacing w:val="-81"/>
        </w:rPr>
      </w:r>
      <w:r>
        <w:rPr/>
        <w:t>人员的奖金总额。</w:t>
      </w:r>
    </w:p>
    <w:p>
      <w:pPr>
        <w:spacing w:line="240" w:lineRule="auto" w:before="1"/>
        <w:rPr>
          <w:rFonts w:ascii="宋体" w:hAnsi="宋体" w:cs="宋体" w:eastAsia="宋体" w:hint="default"/>
          <w:sz w:val="25"/>
          <w:szCs w:val="25"/>
        </w:rPr>
      </w:pPr>
    </w:p>
    <w:p>
      <w:pPr>
        <w:pStyle w:val="Heading3"/>
        <w:spacing w:line="240" w:lineRule="auto"/>
        <w:ind w:left="154"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60" w:type="dxa"/>
        <w:tblLayout w:type="fixed"/>
        <w:tblCellMar>
          <w:top w:w="0" w:type="dxa"/>
          <w:left w:w="0" w:type="dxa"/>
          <w:bottom w:w="0" w:type="dxa"/>
          <w:right w:w="0" w:type="dxa"/>
        </w:tblCellMar>
        <w:tblLook w:val="01E0"/>
      </w:tblPr>
      <w:tblGrid>
        <w:gridCol w:w="3171"/>
        <w:gridCol w:w="3335"/>
        <w:gridCol w:w="3051"/>
      </w:tblGrid>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年度内部控制的自我评价报告》</w:t>
            </w:r>
          </w:p>
        </w:tc>
      </w:tr>
      <w:tr>
        <w:trPr>
          <w:trHeight w:val="102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553"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56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558"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b/>
          <w:bCs/>
          <w:sz w:val="24"/>
          <w:szCs w:val="24"/>
        </w:rPr>
      </w:pPr>
    </w:p>
    <w:p>
      <w:pPr>
        <w:pStyle w:val="Heading3"/>
        <w:spacing w:line="240" w:lineRule="auto" w:before="26"/>
        <w:ind w:left="154"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240" w:lineRule="auto"/>
        <w:ind w:right="978"/>
        <w:jc w:val="center"/>
        <w:rPr>
          <w:b w:val="0"/>
          <w:bCs w:val="0"/>
        </w:rPr>
      </w:pPr>
      <w:bookmarkStart w:name="第十节 财务报告" w:id="149"/>
      <w:bookmarkEnd w:id="149"/>
      <w:r>
        <w:rPr>
          <w:b w:val="0"/>
          <w:bCs w:val="0"/>
        </w:rPr>
      </w:r>
      <w:bookmarkStart w:name="_bookmark9" w:id="150"/>
      <w:bookmarkEnd w:id="150"/>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p>
      <w:pPr>
        <w:pStyle w:val="Heading3"/>
        <w:spacing w:line="240" w:lineRule="auto" w:before="26"/>
        <w:ind w:right="0"/>
        <w:jc w:val="left"/>
        <w:rPr>
          <w:b w:val="0"/>
          <w:bCs w:val="0"/>
        </w:rPr>
      </w:pPr>
      <w:bookmarkStart w:name="一、审计报告" w:id="151"/>
      <w:bookmarkEnd w:id="151"/>
      <w:r>
        <w:rPr>
          <w:b w:val="0"/>
          <w:bCs w:val="0"/>
        </w:rPr>
      </w:r>
      <w:r>
        <w:rPr/>
        <w:t>一、审计报告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5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5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中准会计师事务所（特殊普通合伙）</w:t>
            </w:r>
          </w:p>
        </w:tc>
      </w:tr>
      <w:tr>
        <w:trPr>
          <w:trHeight w:val="5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中准审字</w:t>
            </w:r>
            <w:r>
              <w:rPr>
                <w:rFonts w:ascii="Times New Roman" w:hAnsi="Times New Roman" w:cs="Times New Roman" w:eastAsia="Times New Roman" w:hint="default"/>
                <w:sz w:val="18"/>
                <w:szCs w:val="18"/>
              </w:rPr>
              <w:t>[2016]1523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5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刘昆、常明</w:t>
            </w:r>
          </w:p>
        </w:tc>
      </w:tr>
    </w:tbl>
    <w:p>
      <w:pPr>
        <w:spacing w:line="240" w:lineRule="auto" w:before="6"/>
        <w:rPr>
          <w:rFonts w:ascii="宋体" w:hAnsi="宋体" w:cs="宋体" w:eastAsia="宋体" w:hint="default"/>
          <w:b/>
          <w:bCs/>
          <w:sz w:val="6"/>
          <w:szCs w:val="6"/>
        </w:rPr>
      </w:pPr>
    </w:p>
    <w:p>
      <w:pPr>
        <w:spacing w:before="44"/>
        <w:ind w:left="0" w:right="976"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0"/>
        <w:rPr>
          <w:rFonts w:ascii="宋体" w:hAnsi="宋体" w:cs="宋体" w:eastAsia="宋体" w:hint="default"/>
          <w:sz w:val="17"/>
          <w:szCs w:val="17"/>
        </w:rPr>
      </w:pPr>
    </w:p>
    <w:p>
      <w:pPr>
        <w:spacing w:line="835" w:lineRule="exact"/>
        <w:ind w:left="154" w:right="0" w:firstLine="0"/>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608288" cy="53035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6" cstate="print"/>
                    <a:stretch>
                      <a:fillRect/>
                    </a:stretch>
                  </pic:blipFill>
                  <pic:spPr>
                    <a:xfrm>
                      <a:off x="0" y="0"/>
                      <a:ext cx="608288" cy="530351"/>
                    </a:xfrm>
                    <a:prstGeom prst="rect">
                      <a:avLst/>
                    </a:prstGeom>
                  </pic:spPr>
                </pic:pic>
              </a:graphicData>
            </a:graphic>
          </wp:inline>
        </w:drawing>
      </w:r>
      <w:r>
        <w:rPr>
          <w:rFonts w:ascii="宋体" w:hAnsi="宋体" w:cs="宋体" w:eastAsia="宋体" w:hint="default"/>
          <w:position w:val="-16"/>
          <w:sz w:val="20"/>
          <w:szCs w:val="20"/>
        </w:rPr>
      </w:r>
    </w:p>
    <w:p>
      <w:pPr>
        <w:pStyle w:val="Heading2"/>
        <w:spacing w:line="240" w:lineRule="auto" w:before="137"/>
        <w:ind w:right="0"/>
        <w:jc w:val="left"/>
        <w:rPr>
          <w:rFonts w:ascii="宋体" w:hAnsi="宋体" w:cs="宋体" w:eastAsia="宋体" w:hint="default"/>
        </w:rPr>
      </w:pPr>
      <w:r>
        <w:rPr>
          <w:rFonts w:ascii="宋体" w:hAnsi="宋体" w:cs="宋体" w:eastAsia="宋体" w:hint="default"/>
        </w:rPr>
        <w:t>中准会计师事务所（特殊普通合伙）</w:t>
      </w:r>
    </w:p>
    <w:p>
      <w:pPr>
        <w:spacing w:line="240" w:lineRule="auto" w:before="10"/>
        <w:rPr>
          <w:rFonts w:ascii="宋体" w:hAnsi="宋体" w:cs="宋体" w:eastAsia="宋体" w:hint="default"/>
          <w:sz w:val="24"/>
          <w:szCs w:val="24"/>
        </w:rPr>
      </w:pPr>
    </w:p>
    <w:p>
      <w:pPr>
        <w:pStyle w:val="Heading2"/>
        <w:tabs>
          <w:tab w:pos="6770" w:val="left" w:leader="none"/>
        </w:tabs>
        <w:spacing w:line="240" w:lineRule="auto"/>
        <w:ind w:left="154" w:right="0"/>
        <w:jc w:val="left"/>
      </w:pPr>
      <w:r>
        <w:rPr>
          <w:w w:val="99"/>
        </w:rPr>
      </w:r>
      <w:r>
        <w:rPr>
          <w:u w:val="single" w:color="000000"/>
        </w:rPr>
        <w:t>Zhongzhun Certified Public</w:t>
      </w:r>
      <w:r>
        <w:rPr>
          <w:spacing w:val="-9"/>
          <w:u w:val="single" w:color="000000"/>
        </w:rPr>
        <w:t> </w:t>
      </w:r>
      <w:r>
        <w:rPr>
          <w:u w:val="single" w:color="000000"/>
        </w:rPr>
        <w:t>Accountants</w:t>
        <w:tab/>
      </w:r>
      <w:r>
        <w:rPr/>
      </w:r>
    </w:p>
    <w:p>
      <w:pPr>
        <w:tabs>
          <w:tab w:pos="595" w:val="left" w:leader="none"/>
          <w:tab w:pos="1189" w:val="left" w:leader="none"/>
          <w:tab w:pos="1784" w:val="left" w:leader="none"/>
        </w:tabs>
        <w:spacing w:before="204"/>
        <w:ind w:left="0" w:right="976" w:firstLine="0"/>
        <w:jc w:val="center"/>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3"/>
        <w:rPr>
          <w:rFonts w:ascii="宋体" w:hAnsi="宋体" w:cs="宋体" w:eastAsia="宋体" w:hint="default"/>
          <w:b/>
          <w:bCs/>
          <w:sz w:val="24"/>
          <w:szCs w:val="24"/>
        </w:rPr>
      </w:pPr>
    </w:p>
    <w:p>
      <w:pPr>
        <w:pStyle w:val="BodyText"/>
        <w:spacing w:line="240" w:lineRule="auto" w:before="0"/>
        <w:ind w:left="0" w:right="975"/>
        <w:jc w:val="center"/>
      </w:pPr>
      <w:r>
        <w:rPr/>
        <w:t>中准审字</w:t>
      </w:r>
      <w:r>
        <w:rPr>
          <w:rFonts w:ascii="Times New Roman" w:hAnsi="Times New Roman" w:cs="Times New Roman" w:eastAsia="Times New Roman" w:hint="default"/>
        </w:rPr>
        <w:t>[2016]1523</w:t>
      </w:r>
      <w:r>
        <w:rPr/>
        <w:t>号</w:t>
      </w:r>
    </w:p>
    <w:p>
      <w:pPr>
        <w:pStyle w:val="BodyText"/>
        <w:spacing w:line="240" w:lineRule="auto" w:before="176"/>
        <w:ind w:right="0"/>
        <w:jc w:val="left"/>
      </w:pPr>
      <w:r>
        <w:rPr/>
        <w:t>吉林紫鑫药业股份有限公司全体股东：</w:t>
      </w:r>
    </w:p>
    <w:p>
      <w:pPr>
        <w:spacing w:line="240" w:lineRule="auto" w:before="9"/>
        <w:rPr>
          <w:rFonts w:ascii="宋体" w:hAnsi="宋体" w:cs="宋体" w:eastAsia="宋体" w:hint="default"/>
          <w:sz w:val="26"/>
          <w:szCs w:val="26"/>
        </w:rPr>
      </w:pPr>
    </w:p>
    <w:p>
      <w:pPr>
        <w:pStyle w:val="BodyText"/>
        <w:spacing w:line="386" w:lineRule="auto" w:before="0"/>
        <w:ind w:right="1132" w:firstLine="420"/>
        <w:jc w:val="both"/>
      </w:pPr>
      <w:r>
        <w:rPr/>
        <w:t>我们审计了后附的吉林紫鑫药业股份有限公司（以下简称</w:t>
      </w:r>
      <w:r>
        <w:rPr>
          <w:rFonts w:ascii="Times New Roman" w:hAnsi="Times New Roman" w:cs="Times New Roman" w:eastAsia="Times New Roman" w:hint="default"/>
        </w:rPr>
        <w:t>“</w:t>
      </w:r>
      <w:r>
        <w:rPr/>
        <w:t>紫鑫药业</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日的合并及母公司资产负债表，</w:t>
      </w:r>
      <w:r>
        <w:rPr>
          <w:rFonts w:ascii="Times New Roman" w:hAnsi="Times New Roman" w:cs="Times New Roman" w:eastAsia="Times New Roman" w:hint="default"/>
          <w:spacing w:val="-1"/>
        </w:rPr>
        <w:t>2015</w:t>
      </w:r>
      <w:r>
        <w:rPr>
          <w:spacing w:val="-1"/>
        </w:rPr>
        <w:t>年度的合并及母公司利润表、合并及母公司现金流量表和合并及母公</w:t>
      </w:r>
      <w:r>
        <w:rPr>
          <w:spacing w:val="-81"/>
        </w:rPr>
        <w:t> </w:t>
      </w:r>
      <w:r>
        <w:rPr>
          <w:spacing w:val="-81"/>
        </w:rPr>
      </w:r>
      <w:r>
        <w:rPr/>
        <w:t>司所有者权益变动表以及财务报表附注。</w:t>
      </w:r>
    </w:p>
    <w:p>
      <w:pPr>
        <w:spacing w:line="408" w:lineRule="auto" w:before="65"/>
        <w:ind w:left="646" w:right="1195"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编制和公允列报财务报表是紫鑫药业的管理层的责任，这种责任包括：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w:t>
      </w:r>
    </w:p>
    <w:p>
      <w:pPr>
        <w:pStyle w:val="BodyText"/>
        <w:spacing w:line="386" w:lineRule="auto" w:before="14"/>
        <w:ind w:right="0"/>
        <w:jc w:val="left"/>
      </w:pPr>
      <w:r>
        <w:rPr>
          <w:spacing w:val="-2"/>
        </w:rPr>
        <w:t>编制财务报表，并使其实现公允反映；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w:t>
      </w:r>
      <w:r>
        <w:rPr>
          <w:spacing w:val="-68"/>
        </w:rPr>
        <w:t> </w:t>
      </w:r>
      <w:r>
        <w:rPr>
          <w:spacing w:val="-68"/>
        </w:rPr>
      </w:r>
      <w:r>
        <w:rPr/>
        <w:t>弊或错误而导致的重大错报。</w:t>
      </w:r>
    </w:p>
    <w:p>
      <w:pPr>
        <w:pStyle w:val="BodyText"/>
        <w:spacing w:line="408" w:lineRule="auto" w:before="65"/>
        <w:ind w:left="646"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3"/>
        </w:rPr>
        <w:t>我们的责任是在执行审计工作的基础上对财务报表发表审计意见。我们按照中国注册会计师审计准则</w:t>
      </w:r>
    </w:p>
    <w:p>
      <w:pPr>
        <w:pStyle w:val="BodyText"/>
        <w:spacing w:line="240" w:lineRule="auto"/>
        <w:ind w:left="154" w:right="0"/>
        <w:jc w:val="left"/>
      </w:pPr>
      <w:r>
        <w:rPr/>
        <w:t>的规定执行了审计工作。中国注册会计师审计准则要求我们遵守中国注册会计师职业道德守则，计划和执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46" w:right="0" w:hanging="493"/>
        <w:jc w:val="left"/>
      </w:pPr>
      <w:r>
        <w:rPr/>
        <w:t>行审计工作以对财务报表是否不存在重大错报获取合理保证。 </w:t>
      </w:r>
      <w:r>
        <w:rPr>
          <w:spacing w:val="-3"/>
        </w:rPr>
        <w:t>审计工作涉及实施审计程序，以获取有关财务报表金额和披露的审计证据。选择的审计程序取决于注</w:t>
      </w:r>
    </w:p>
    <w:p>
      <w:pPr>
        <w:pStyle w:val="BodyText"/>
        <w:spacing w:line="408" w:lineRule="auto"/>
        <w:ind w:right="1131"/>
        <w:jc w:val="both"/>
      </w:pP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240" w:lineRule="auto"/>
        <w:ind w:left="633"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646" w:right="123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我们认为，紫鑫药业财务报表在所有重大方面按照企业会计准则的规定编制，公允反映了紫鑫药业</w:t>
      </w:r>
    </w:p>
    <w:p>
      <w:pPr>
        <w:pStyle w:val="BodyText"/>
        <w:spacing w:line="386" w:lineRule="auto"/>
        <w:ind w:left="154" w:right="130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年度的合并及母公司经营成果和合并及母公司现金流 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396" w:type="dxa"/>
        <w:tblLayout w:type="fixed"/>
        <w:tblCellMar>
          <w:top w:w="0" w:type="dxa"/>
          <w:left w:w="0" w:type="dxa"/>
          <w:bottom w:w="0" w:type="dxa"/>
          <w:right w:w="0" w:type="dxa"/>
        </w:tblCellMar>
        <w:tblLook w:val="01E0"/>
      </w:tblPr>
      <w:tblGrid>
        <w:gridCol w:w="3175"/>
        <w:gridCol w:w="3350"/>
      </w:tblGrid>
      <w:tr>
        <w:trPr>
          <w:trHeight w:val="573" w:hRule="exact"/>
        </w:trPr>
        <w:tc>
          <w:tcPr>
            <w:tcW w:w="3175"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210" w:lineRule="exact"/>
              <w:ind w:right="324"/>
              <w:jc w:val="right"/>
              <w:rPr>
                <w:rFonts w:ascii="宋体" w:hAnsi="宋体" w:cs="宋体" w:eastAsia="宋体" w:hint="default"/>
                <w:sz w:val="21"/>
                <w:szCs w:val="21"/>
              </w:rPr>
            </w:pPr>
            <w:r>
              <w:rPr>
                <w:rFonts w:ascii="宋体" w:hAnsi="宋体" w:cs="宋体" w:eastAsia="宋体" w:hint="default"/>
                <w:sz w:val="21"/>
                <w:szCs w:val="21"/>
              </w:rPr>
              <w:t>中国注册会计师：</w:t>
            </w:r>
            <w:r>
              <w:rPr>
                <w:rFonts w:ascii="宋体" w:hAnsi="宋体" w:cs="宋体" w:eastAsia="宋体" w:hint="default"/>
                <w:spacing w:val="-21"/>
                <w:sz w:val="21"/>
                <w:szCs w:val="21"/>
              </w:rPr>
              <w:t> </w:t>
            </w:r>
            <w:r>
              <w:rPr>
                <w:rFonts w:ascii="宋体" w:hAnsi="宋体" w:cs="宋体" w:eastAsia="宋体" w:hint="default"/>
                <w:sz w:val="21"/>
                <w:szCs w:val="21"/>
              </w:rPr>
              <w:t>刘昆</w:t>
            </w:r>
          </w:p>
        </w:tc>
      </w:tr>
      <w:tr>
        <w:trPr>
          <w:trHeight w:val="1191" w:hRule="exact"/>
        </w:trPr>
        <w:tc>
          <w:tcPr>
            <w:tcW w:w="65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中准会计师事务所（特殊普通合伙）</w:t>
            </w:r>
          </w:p>
        </w:tc>
      </w:tr>
      <w:tr>
        <w:trPr>
          <w:trHeight w:val="1460" w:hRule="exact"/>
        </w:trPr>
        <w:tc>
          <w:tcPr>
            <w:tcW w:w="3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425"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24"/>
              <w:jc w:val="right"/>
              <w:rPr>
                <w:rFonts w:ascii="宋体" w:hAnsi="宋体" w:cs="宋体" w:eastAsia="宋体" w:hint="default"/>
                <w:sz w:val="21"/>
                <w:szCs w:val="21"/>
              </w:rPr>
            </w:pPr>
            <w:r>
              <w:rPr>
                <w:rFonts w:ascii="宋体" w:hAnsi="宋体" w:cs="宋体" w:eastAsia="宋体" w:hint="default"/>
                <w:sz w:val="21"/>
                <w:szCs w:val="21"/>
              </w:rPr>
              <w:t>中国注册会计师：</w:t>
            </w:r>
            <w:r>
              <w:rPr>
                <w:rFonts w:ascii="宋体" w:hAnsi="宋体" w:cs="宋体" w:eastAsia="宋体" w:hint="default"/>
                <w:spacing w:val="-21"/>
                <w:sz w:val="21"/>
                <w:szCs w:val="21"/>
              </w:rPr>
              <w:t> </w:t>
            </w:r>
            <w:r>
              <w:rPr>
                <w:rFonts w:ascii="宋体" w:hAnsi="宋体" w:cs="宋体" w:eastAsia="宋体" w:hint="default"/>
                <w:sz w:val="21"/>
                <w:szCs w:val="21"/>
              </w:rPr>
              <w:t>常明</w:t>
            </w:r>
          </w:p>
        </w:tc>
      </w:tr>
      <w:tr>
        <w:trPr>
          <w:trHeight w:val="831" w:hRule="exact"/>
        </w:trPr>
        <w:tc>
          <w:tcPr>
            <w:tcW w:w="3175" w:type="dxa"/>
            <w:tcBorders>
              <w:top w:val="nil" w:sz="6" w:space="0" w:color="auto"/>
              <w:left w:val="nil" w:sz="6" w:space="0" w:color="auto"/>
              <w:bottom w:val="nil" w:sz="6" w:space="0" w:color="auto"/>
              <w:right w:val="nil" w:sz="6" w:space="0" w:color="auto"/>
            </w:tcBorders>
          </w:tcPr>
          <w:p>
            <w:pPr/>
          </w:p>
        </w:tc>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二Ｏ一六年四月二十九日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6159" w:val="left" w:leader="none"/>
        </w:tabs>
        <w:spacing w:line="240" w:lineRule="auto" w:before="169"/>
        <w:ind w:left="154" w:right="0"/>
        <w:jc w:val="left"/>
        <w:rPr>
          <w:b w:val="0"/>
          <w:bCs w:val="0"/>
        </w:rPr>
      </w:pPr>
      <w:r>
        <w:rPr/>
        <w:t>主题词：</w:t>
      </w:r>
      <w:r>
        <w:rPr>
          <w:spacing w:val="-31"/>
        </w:rPr>
        <w:t> </w:t>
      </w:r>
      <w:r>
        <w:rPr/>
        <w:t>吉林紫鑫药业股份有限公司</w:t>
        <w:tab/>
        <w:t>审计报告</w:t>
      </w:r>
      <w:r>
        <w:rPr>
          <w:b w:val="0"/>
          <w:bCs w:val="0"/>
        </w:rPr>
      </w:r>
    </w:p>
    <w:p>
      <w:pPr>
        <w:tabs>
          <w:tab w:pos="4532" w:val="left" w:leader="none"/>
          <w:tab w:pos="6044" w:val="left" w:leader="none"/>
        </w:tabs>
        <w:spacing w:before="201"/>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地址：北京市海淀区首体南路</w:t>
      </w:r>
      <w:r>
        <w:rPr>
          <w:rFonts w:ascii="Times New Roman" w:hAnsi="Times New Roman" w:cs="Times New Roman" w:eastAsia="Times New Roman" w:hint="default"/>
          <w:sz w:val="18"/>
          <w:szCs w:val="18"/>
        </w:rPr>
        <w:t>22</w:t>
      </w:r>
      <w:r>
        <w:rPr>
          <w:rFonts w:ascii="宋体" w:hAnsi="宋体" w:cs="宋体" w:eastAsia="宋体" w:hint="default"/>
          <w:sz w:val="18"/>
          <w:szCs w:val="18"/>
        </w:rPr>
        <w:t>号楼</w:t>
      </w:r>
      <w:r>
        <w:rPr>
          <w:rFonts w:ascii="Times New Roman" w:hAnsi="Times New Roman" w:cs="Times New Roman" w:eastAsia="Times New Roman" w:hint="default"/>
          <w:sz w:val="18"/>
          <w:szCs w:val="18"/>
        </w:rPr>
        <w:t>4</w:t>
      </w:r>
      <w:r>
        <w:rPr>
          <w:rFonts w:ascii="宋体" w:hAnsi="宋体" w:cs="宋体" w:eastAsia="宋体" w:hint="default"/>
          <w:sz w:val="18"/>
          <w:szCs w:val="18"/>
        </w:rPr>
        <w:t>层</w:t>
        <w:tab/>
      </w:r>
      <w:r>
        <w:rPr>
          <w:rFonts w:ascii="宋体" w:hAnsi="宋体" w:cs="宋体" w:eastAsia="宋体" w:hint="default"/>
          <w:spacing w:val="-1"/>
          <w:sz w:val="18"/>
          <w:szCs w:val="18"/>
        </w:rPr>
        <w:t>邮编：</w:t>
      </w:r>
      <w:r>
        <w:rPr>
          <w:rFonts w:ascii="Times New Roman" w:hAnsi="Times New Roman" w:cs="Times New Roman" w:eastAsia="Times New Roman" w:hint="default"/>
          <w:spacing w:val="-1"/>
          <w:sz w:val="18"/>
          <w:szCs w:val="18"/>
        </w:rPr>
        <w:t>100044</w:t>
        <w:tab/>
      </w:r>
      <w:r>
        <w:rPr>
          <w:rFonts w:ascii="宋体" w:hAnsi="宋体" w:cs="宋体" w:eastAsia="宋体" w:hint="default"/>
          <w:spacing w:val="-1"/>
          <w:sz w:val="18"/>
          <w:szCs w:val="18"/>
        </w:rPr>
        <w:t>电话：</w:t>
      </w:r>
      <w:r>
        <w:rPr>
          <w:rFonts w:ascii="Times New Roman" w:hAnsi="Times New Roman" w:cs="Times New Roman" w:eastAsia="Times New Roman" w:hint="default"/>
          <w:spacing w:val="-1"/>
          <w:sz w:val="18"/>
          <w:szCs w:val="18"/>
        </w:rPr>
        <w:t>010-88356126</w:t>
      </w:r>
    </w:p>
    <w:p>
      <w:pPr>
        <w:spacing w:line="240" w:lineRule="auto" w:before="1"/>
        <w:rPr>
          <w:rFonts w:ascii="Times New Roman" w:hAnsi="Times New Roman" w:cs="Times New Roman" w:eastAsia="Times New Roman" w:hint="default"/>
          <w:sz w:val="19"/>
          <w:szCs w:val="19"/>
        </w:rPr>
      </w:pPr>
    </w:p>
    <w:p>
      <w:pPr>
        <w:tabs>
          <w:tab w:pos="5614" w:val="left" w:leader="none"/>
          <w:tab w:pos="7794" w:val="left" w:leader="none"/>
        </w:tabs>
        <w:spacing w:before="0"/>
        <w:ind w:left="15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Add: 4th Floor</w:t>
      </w:r>
      <w:r>
        <w:rPr>
          <w:rFonts w:ascii="宋体" w:hAnsi="宋体" w:cs="宋体" w:eastAsia="宋体" w:hint="default"/>
          <w:sz w:val="18"/>
          <w:szCs w:val="18"/>
        </w:rPr>
        <w:t>，</w:t>
      </w:r>
      <w:r>
        <w:rPr>
          <w:rFonts w:ascii="Times New Roman" w:hAnsi="Times New Roman" w:cs="Times New Roman" w:eastAsia="Times New Roman" w:hint="default"/>
          <w:sz w:val="18"/>
          <w:szCs w:val="18"/>
        </w:rPr>
        <w:t>No.22</w:t>
      </w:r>
      <w:r>
        <w:rPr>
          <w:rFonts w:ascii="宋体" w:hAnsi="宋体" w:cs="宋体" w:eastAsia="宋体" w:hint="default"/>
          <w:sz w:val="18"/>
          <w:szCs w:val="18"/>
        </w:rPr>
        <w:t>，</w:t>
      </w:r>
      <w:r>
        <w:rPr>
          <w:rFonts w:ascii="Times New Roman" w:hAnsi="Times New Roman" w:cs="Times New Roman" w:eastAsia="Times New Roman" w:hint="default"/>
          <w:sz w:val="18"/>
          <w:szCs w:val="18"/>
        </w:rPr>
        <w:t>Shouti South Road, Haidian District,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Beijing</w:t>
        <w:tab/>
        <w:t>Postal code: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100044</w:t>
        <w:tab/>
        <w:t>Tel: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010-88356126</w:t>
      </w:r>
    </w:p>
    <w:p>
      <w:pPr>
        <w:spacing w:after="0"/>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83"/>
        <w:ind w:right="0"/>
        <w:jc w:val="left"/>
        <w:rPr>
          <w:b w:val="0"/>
          <w:bCs w:val="0"/>
        </w:rPr>
      </w:pPr>
      <w:bookmarkStart w:name="二、财务报表" w:id="152"/>
      <w:bookmarkEnd w:id="152"/>
      <w:r>
        <w:rPr>
          <w:b w:val="0"/>
          <w:bCs w:val="0"/>
        </w:rPr>
      </w:r>
      <w:r>
        <w:rPr/>
        <w:t>二、财务报表</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编制单位：吉林紫鑫药业股份有限公司</w:t>
      </w:r>
    </w:p>
    <w:p>
      <w:pPr>
        <w:spacing w:line="240" w:lineRule="auto" w:before="5"/>
        <w:rPr>
          <w:rFonts w:ascii="宋体" w:hAnsi="宋体" w:cs="宋体" w:eastAsia="宋体" w:hint="default"/>
          <w:sz w:val="17"/>
          <w:szCs w:val="17"/>
        </w:rPr>
      </w:pPr>
    </w:p>
    <w:p>
      <w:pPr>
        <w:spacing w:before="44"/>
        <w:ind w:left="0" w:right="97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706,753,820.33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17,058,475.99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9,689,780.60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552,494,230.20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577,315,165.77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33,585,195.33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32,813,828.81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61,191,168.20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64,823,895.75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2,082,902,681.04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1,962,535,597.09</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134,300,919.85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159,745,626.05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3,588,286,490.94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2,941,026,349.28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806,071,065.91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679,132,545.54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73,807,129.51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212,216,061.52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250,331,305.43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164,981,382.70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36,972,391.78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16,110,522.85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3,823,945.58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8,751,141.30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7,126,678.56</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202,063,483.63</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1,409,820,463.14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1,111,391,136.75</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4,998,106,954.08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4,052,417,486.03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2,353,800,000.00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4,894,450.00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78,713,131.37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87,143,460.30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1,531,132.01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1,700,352.74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418,041.70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328,099.87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18,246,036.08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5,434,601.38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26,584,109.90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13,126,360.10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2,733,186,901.06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1,802,732,874.39</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148,560,405.23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53,423,425.24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556,600.01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590,333.34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249,737,005.24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254,273,758.58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2,982,923,906.30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2,057,006,632.97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512,991,382.00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512,991,382.00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719,482,283.90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719,482,283.90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4,503,399.98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4,469,666.65</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73,985,688.31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70,389,269.23</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702,343,578.04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685,842,155.54</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2,013,306,332.23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1,993,174,757.32</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1,876,715.55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2,236,095.74</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2,015,183,047.78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1,995,410,853.06</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4,998,106,954.08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4,052,417,486.03</w:t>
            </w:r>
          </w:p>
        </w:tc>
      </w:tr>
    </w:tbl>
    <w:p>
      <w:pPr>
        <w:spacing w:line="240" w:lineRule="auto" w:before="0"/>
        <w:rPr>
          <w:rFonts w:ascii="Times New Roman" w:hAnsi="Times New Roman" w:cs="Times New Roman" w:eastAsia="Times New Roman" w:hint="default"/>
          <w:sz w:val="20"/>
          <w:szCs w:val="20"/>
        </w:rPr>
      </w:pPr>
    </w:p>
    <w:p>
      <w:pPr>
        <w:tabs>
          <w:tab w:pos="3574" w:val="left" w:leader="none"/>
          <w:tab w:pos="7715" w:val="left" w:leader="none"/>
        </w:tabs>
        <w:spacing w:before="159"/>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法定代表人：郭春林</w:t>
        <w:tab/>
        <w:t>主管会计工作负责人：孙莉莉</w:t>
        <w:tab/>
        <w:t>会计机构负责人：邵天宇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421,854,355.28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35,993,908.42</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16,125,575.04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9,519,780.60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593,782,329.86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549,543,465.18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6,194,896.10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11,981,336.28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1,121,469,875.01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594,752,659.70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601,121,227.67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607,253,338.42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33,240,470.61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35,374,388.93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2,793,788,729.57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1,844,418,877.53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1,173,687,641.41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142,385,021.00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162,216,084.63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49,439,384.55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15,459,635.51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100,719,552.99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10,832,396.18</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4,296,930.79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3,446,150.04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1,511,528,530.74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1,406,641,907.77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4,305,317,260.31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3,251,060,785.30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1,125,000,000.00</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4,894,450.00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43,339,346.25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35,803,673.27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318,610.26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189,579.24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16,725,580.97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4,381,636.62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191,032,384.53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23,443,697.04</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2,391,310,372.01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1,528,818,586.17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75,434,170.85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176,054,170.85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2,567,364,542.86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1,529,578,586.17</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512,991,382.00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512,991,382.00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719,482,283.90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719,482,283.90</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72,823,937.60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69,227,518.52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432,655,113.95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419,781,014.71</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1,737,952,717.45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1,721,482,199.13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4,305,317,260.31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3,251,060,785.30</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7"/>
      </w:tblGrid>
      <w:tr>
        <w:trPr>
          <w:trHeight w:val="558"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8"/>
      </w:tblGrid>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633,260,028.20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775,714,633.85</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633,260,028.20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775,714,633.85</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634,453,029.99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768,634,475.86</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210,184,327.94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347,911,091.13</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5,942,343.84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5,669,349.73</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120,091,599.20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121,821,299.94</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152,778,172.11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135,897,423.63</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139,692,669.84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137,037,776.42</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5,763,917.06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20,297,535.01</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27.45pt;mso-position-horizontal-relative:page;mso-position-vertical-relative:page;z-index:-1045624" coordorigin="4242,1450" coordsize="3154,549">
            <v:shape style="position:absolute;left:4242;top:1450;width:3154;height:549" coordorigin="4242,1450" coordsize="3154,549" path="m4242,1998l7396,1998,7396,1450,4242,1450,4242,1998xe" filled="true" fillcolor="#ffffff" stroked="false">
              <v:path arrowok="t"/>
              <v:fill type="solid"/>
            </v:shape>
            <w10:wrap type="none"/>
          </v:group>
        </w:pict>
      </w:r>
      <w:r>
        <w:rPr/>
        <w:pict>
          <v:group style="position:absolute;margin-left:212.119995pt;margin-top:239.899979pt;width:157.7pt;height:27.45pt;mso-position-horizontal-relative:page;mso-position-vertical-relative:page;z-index:-1045600" coordorigin="4242,4798" coordsize="3154,549">
            <v:shape style="position:absolute;left:4242;top:4798;width:3154;height:549" coordorigin="4242,4798" coordsize="3154,549" path="m4242,5346l7396,5346,7396,4798,4242,4798,4242,534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558"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29"/>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129"/>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8,606,998.21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16,280,157.99</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36,183,320.98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31,267,181.65</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777,499.13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1,469,024.41</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327,136.96</w:t>
            </w:r>
          </w:p>
        </w:tc>
      </w:tr>
      <w:tr>
        <w:trPr>
          <w:trHeight w:val="558"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29"/>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42" w:right="0"/>
              <w:jc w:val="left"/>
              <w:rPr>
                <w:rFonts w:ascii="Times New Roman" w:hAnsi="Times New Roman" w:cs="Times New Roman" w:eastAsia="Times New Roman" w:hint="default"/>
                <w:sz w:val="18"/>
                <w:szCs w:val="18"/>
              </w:rPr>
            </w:pPr>
            <w:r>
              <w:rPr>
                <w:rFonts w:ascii="Times New Roman"/>
                <w:sz w:val="18"/>
              </w:rPr>
              <w:t>44,012,820.06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46,078,315.23</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4,780,686.18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-870,047.88</w:t>
            </w:r>
            <w:r>
              <w:rPr>
                <w:rFonts w:ascii="Times New Roman"/>
                <w:sz w:val="18"/>
              </w:rPr>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39,232,133.88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46,948,363.11</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39,591,514.07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47,193,156.40</w:t>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-359,380.19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-244,793.29</w:t>
            </w:r>
            <w:r>
              <w:rPr>
                <w:rFonts w:ascii="Times New Roman"/>
                <w:sz w:val="18"/>
              </w:rPr>
            </w:r>
          </w:p>
        </w:tc>
      </w:tr>
      <w:tr>
        <w:trPr>
          <w:trHeight w:val="55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33,733.32</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33,733.32</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33,733.32</w:t>
            </w:r>
          </w:p>
        </w:tc>
      </w:tr>
      <w:tr>
        <w:trPr>
          <w:trHeight w:val="149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33,733.32</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39,265,867.21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46,982,096.43</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39,625,247.40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47,226,889.72</w:t>
            </w: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-359,380.19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-244,793.29</w:t>
            </w:r>
            <w:r>
              <w:rPr>
                <w:rFonts w:ascii="Times New Roman"/>
                <w:sz w:val="18"/>
              </w:rPr>
            </w: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r>
      <w:tr>
        <w:trPr>
          <w:trHeight w:val="558"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tabs>
          <w:tab w:pos="3574" w:val="left" w:leader="none"/>
          <w:tab w:pos="7715"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法定代表人：郭春林</w:t>
        <w:tab/>
        <w:t>主管会计工作负责人：孙莉莉</w:t>
        <w:tab/>
        <w:t>会计机构负责人：邵天宇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392,399,396.67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497,828,488.72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91,091,737.91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216,405,071.53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5,753,396.95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5,525,357.59</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101,914,658.75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106,279,390.82</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67,835,626.27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73,232,644.13</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111,701,905.52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111,304,137.49</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5,671,871.64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2,819,628.38</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18,230,199.63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-8,537,741.22</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23,797,846.22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24,771,693.76</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533,234.60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1,382,491.04</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250,668.99</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41,494,811.25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14,851,461.50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5,530,620.44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595,629.88</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35,964,190.81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14,255,831.62</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149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35,964,190.81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14,255,831.62</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55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32" w:right="0"/>
              <w:jc w:val="left"/>
              <w:rPr>
                <w:rFonts w:ascii="Times New Roman" w:hAnsi="Times New Roman" w:cs="Times New Roman" w:eastAsia="Times New Roman" w:hint="default"/>
                <w:sz w:val="18"/>
                <w:szCs w:val="18"/>
              </w:rPr>
            </w:pPr>
            <w:r>
              <w:rPr>
                <w:rFonts w:ascii="Times New Roman"/>
                <w:sz w:val="18"/>
              </w:rPr>
              <w:t>738,493,772.73</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44" w:right="0"/>
              <w:jc w:val="left"/>
              <w:rPr>
                <w:rFonts w:ascii="Times New Roman" w:hAnsi="Times New Roman" w:cs="Times New Roman" w:eastAsia="Times New Roman" w:hint="default"/>
                <w:sz w:val="18"/>
                <w:szCs w:val="18"/>
              </w:rPr>
            </w:pPr>
            <w:r>
              <w:rPr>
                <w:rFonts w:ascii="Times New Roman"/>
                <w:sz w:val="18"/>
              </w:rPr>
              <w:t>532,307,880.67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59,078,878.64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33,724,536.83</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797,572,651.37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566,032,417.50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312,048,586.80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283,703,788.09</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69,184,410.57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55,752,896.98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71,118,708.37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70,272,253.39</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127,901,000.71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151,683,905.93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580,252,706.45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561,412,844.39</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217,319,944.92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4,619,573.11</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73,645.00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51,869.47</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9,925,514.47</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311,137,233.51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65,664,033.46</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311,137,233.51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65,664,033.46</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-301,337,233.51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-55,738,518.99</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right="40"/>
              <w:jc w:val="right"/>
              <w:rPr>
                <w:rFonts w:ascii="宋体" w:hAnsi="宋体" w:cs="宋体" w:eastAsia="宋体" w:hint="default"/>
                <w:sz w:val="18"/>
                <w:szCs w:val="18"/>
              </w:rPr>
            </w:pPr>
            <w:r>
              <w:rPr>
                <w:rFonts w:ascii="宋体" w:hAnsi="宋体" w:cs="宋体" w:eastAsia="宋体" w:hint="default"/>
                <w:sz w:val="18"/>
                <w:szCs w:val="18"/>
              </w:rPr>
              <w:t>其中：子公司吸收少数股东投资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51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4,138,400,000.00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2,653,000,000.00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4,146,400,000.00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2,666,000,000.00</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3,330,100,000.00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2,456,500,000.00</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159,631,346.29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135,894,231.69</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3,489,731,346.29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2,592,394,231.69</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656,668,653.71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73,605,768.31</w:t>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572,651,365.12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22,486,822.43</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134,102,455.21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r>
        <w:trPr>
          <w:trHeight w:val="55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706,753,820.33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43" w:right="0"/>
              <w:jc w:val="left"/>
              <w:rPr>
                <w:rFonts w:ascii="Times New Roman" w:hAnsi="Times New Roman" w:cs="Times New Roman" w:eastAsia="Times New Roman" w:hint="default"/>
                <w:sz w:val="18"/>
                <w:szCs w:val="18"/>
              </w:rPr>
            </w:pPr>
            <w:r>
              <w:rPr>
                <w:rFonts w:ascii="Times New Roman"/>
                <w:sz w:val="18"/>
              </w:rPr>
              <w:t>370,392,655.00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43" w:right="0"/>
              <w:jc w:val="left"/>
              <w:rPr>
                <w:rFonts w:ascii="Times New Roman" w:hAnsi="Times New Roman" w:cs="Times New Roman" w:eastAsia="Times New Roman" w:hint="default"/>
                <w:sz w:val="18"/>
                <w:szCs w:val="18"/>
              </w:rPr>
            </w:pPr>
            <w:r>
              <w:rPr>
                <w:rFonts w:ascii="Times New Roman"/>
                <w:sz w:val="18"/>
              </w:rPr>
              <w:t>561,289,870.87</w:t>
            </w:r>
          </w:p>
        </w:tc>
      </w:tr>
      <w:tr>
        <w:trPr>
          <w:trHeight w:val="55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323,953,057.02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35,020,716.74</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694,345,712.02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596,310,587.61</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239,372,506.24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124,184,955.45</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30,555,519.36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25,747,000.55</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63,395,174.62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63,695,173.78</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572,357,369.21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240,604,302.55</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905,680,569.43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454,231,432.33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-211,334,857.41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142,079,155.28</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19,085.00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9,819,085.00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58,207,544.94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19,993,014.42</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58,207,544.94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35,993,014.42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-48,407,544.94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-26,173,929.42</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3,868,000,000.00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2,393,000,000.00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3,876,000,000.00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2,405,000,000.00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3,098,000,000.00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2,381,000,000.00</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132,397,150.79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110,840,885.03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3,230,397,150.79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2,491,840,885.03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645,602,849.21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-86,840,885.03</w:t>
            </w: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385,860,446.86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29,064,340.83</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35,993,908.42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6,929,567.59</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421,854,355.28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35,993,908.42</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6"/>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1592"/>
        <w:gridCol w:w="665"/>
        <w:gridCol w:w="665"/>
        <w:gridCol w:w="665"/>
        <w:gridCol w:w="665"/>
        <w:gridCol w:w="664"/>
        <w:gridCol w:w="666"/>
        <w:gridCol w:w="665"/>
        <w:gridCol w:w="665"/>
        <w:gridCol w:w="659"/>
      </w:tblGrid>
      <w:tr>
        <w:trPr>
          <w:trHeight w:val="558"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8" w:hRule="exact"/>
        </w:trPr>
        <w:tc>
          <w:tcPr>
            <w:tcW w:w="1438" w:type="dxa"/>
            <w:vMerge/>
            <w:tcBorders>
              <w:left w:val="single" w:sz="4" w:space="0" w:color="000000"/>
              <w:right w:val="single" w:sz="4" w:space="0" w:color="000000"/>
            </w:tcBorders>
            <w:shd w:val="clear" w:color="auto" w:fill="D2D2D2"/>
          </w:tcPr>
          <w:p>
            <w:pPr/>
          </w:p>
        </w:tc>
        <w:tc>
          <w:tcPr>
            <w:tcW w:w="6810"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3"/>
                <w:szCs w:val="13"/>
              </w:rPr>
            </w:pPr>
          </w:p>
          <w:p>
            <w:pPr>
              <w:pStyle w:val="TableParagraph"/>
              <w:spacing w:line="477"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477" w:lineRule="auto"/>
              <w:ind w:left="53"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55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6"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6"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6"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6"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6"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56"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239"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6" w:type="dxa"/>
            <w:vMerge w:val="restart"/>
            <w:tcBorders>
              <w:top w:val="single" w:sz="4" w:space="0" w:color="000000"/>
              <w:left w:val="single" w:sz="9" w:space="0" w:color="D2D2D2"/>
              <w:right w:val="single" w:sz="4" w:space="0" w:color="000000"/>
            </w:tcBorders>
          </w:tcPr>
          <w:p>
            <w:pPr>
              <w:pStyle w:val="TableParagraph"/>
              <w:spacing w:line="240" w:lineRule="auto" w:before="89"/>
              <w:ind w:left="51"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9"/>
              <w:ind w:left="146"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275"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274"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23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tcPr>
          <w:p>
            <w:pPr/>
          </w:p>
        </w:tc>
      </w:tr>
      <w:tr>
        <w:trPr>
          <w:trHeight w:val="473"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4,469,6</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66.65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70,389,</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269.23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685,842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2,236,0</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95.74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06</w:t>
            </w:r>
          </w:p>
        </w:tc>
      </w:tr>
      <w:tr>
        <w:trPr>
          <w:trHeight w:val="548"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4,469,6</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66.65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70,389,</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269.23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685,842</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2,236,0</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95.74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10,853.</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06</w:t>
            </w:r>
          </w:p>
        </w:tc>
      </w:tr>
      <w:tr>
        <w:trPr>
          <w:trHeight w:val="549"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49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3,596,4</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19.08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16,501,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422.50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19,772,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194.72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39,591,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514.07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39,265,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867.21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98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88"/>
              <w:ind w:left="22" w:right="14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3,596,4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19.08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-23,090,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091.57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672.49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3,596,4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19.08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-3,596,4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19.08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672.49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672.49</w:t>
            </w: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512,99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719,482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4,503,3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73,985,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702,343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1,876,7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2,015,1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61"/>
      </w:tblGrid>
      <w:tr>
        <w:trPr>
          <w:trHeight w:val="98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0"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1" w:right="0"/>
              <w:jc w:val="left"/>
              <w:rPr>
                <w:rFonts w:ascii="Times New Roman" w:hAnsi="Times New Roman" w:cs="Times New Roman" w:eastAsia="Times New Roman" w:hint="default"/>
                <w:sz w:val="18"/>
                <w:szCs w:val="18"/>
              </w:rPr>
            </w:pPr>
            <w:r>
              <w:rPr>
                <w:rFonts w:ascii="Times New Roman"/>
                <w:sz w:val="18"/>
              </w:rPr>
              <w:t>,283.90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6" w:right="0"/>
              <w:jc w:val="left"/>
              <w:rPr>
                <w:rFonts w:ascii="Times New Roman" w:hAnsi="Times New Roman" w:cs="Times New Roman" w:eastAsia="Times New Roman" w:hint="default"/>
                <w:sz w:val="18"/>
                <w:szCs w:val="18"/>
              </w:rPr>
            </w:pPr>
            <w:r>
              <w:rPr>
                <w:rFonts w:ascii="Times New Roman"/>
                <w:sz w:val="18"/>
              </w:rPr>
              <w:t>99.98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6" w:right="0"/>
              <w:jc w:val="left"/>
              <w:rPr>
                <w:rFonts w:ascii="Times New Roman" w:hAnsi="Times New Roman" w:cs="Times New Roman" w:eastAsia="Times New Roman" w:hint="default"/>
                <w:sz w:val="18"/>
                <w:szCs w:val="18"/>
              </w:rPr>
            </w:pPr>
            <w:r>
              <w:rPr>
                <w:rFonts w:ascii="Times New Roman"/>
                <w:sz w:val="18"/>
              </w:rPr>
              <w:t>688.31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1" w:right="0"/>
              <w:jc w:val="left"/>
              <w:rPr>
                <w:rFonts w:ascii="Times New Roman" w:hAnsi="Times New Roman" w:cs="Times New Roman" w:eastAsia="Times New Roman" w:hint="default"/>
                <w:sz w:val="18"/>
                <w:szCs w:val="18"/>
              </w:rPr>
            </w:pPr>
            <w:r>
              <w:rPr>
                <w:rFonts w:ascii="Times New Roman"/>
                <w:sz w:val="18"/>
              </w:rPr>
              <w:t>,578.04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6" w:right="0"/>
              <w:jc w:val="left"/>
              <w:rPr>
                <w:rFonts w:ascii="Times New Roman" w:hAnsi="Times New Roman" w:cs="Times New Roman" w:eastAsia="Times New Roman" w:hint="default"/>
                <w:sz w:val="18"/>
                <w:szCs w:val="18"/>
              </w:rPr>
            </w:pPr>
            <w:r>
              <w:rPr>
                <w:rFonts w:ascii="Times New Roman"/>
                <w:sz w:val="18"/>
              </w:rPr>
              <w:t>15.55</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Times New Roman" w:hAnsi="Times New Roman" w:cs="Times New Roman" w:eastAsia="Times New Roman" w:hint="default"/>
                <w:sz w:val="18"/>
                <w:szCs w:val="18"/>
              </w:rPr>
            </w:pPr>
            <w:r>
              <w:rPr>
                <w:rFonts w:ascii="Times New Roman"/>
                <w:sz w:val="18"/>
              </w:rPr>
              <w:t>83,047.</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7"/>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558"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29"/>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84"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34"/>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2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资本公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46"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56"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专项储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盈余公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56"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53" w:right="0" w:hanging="90"/>
              <w:jc w:val="left"/>
              <w:rPr>
                <w:rFonts w:ascii="宋体" w:hAnsi="宋体" w:cs="宋体" w:eastAsia="宋体" w:hint="default"/>
                <w:sz w:val="18"/>
                <w:szCs w:val="18"/>
              </w:rPr>
            </w:pPr>
            <w:r>
              <w:rPr>
                <w:rFonts w:ascii="宋体" w:hAnsi="宋体" w:cs="宋体" w:eastAsia="宋体" w:hint="default"/>
                <w:sz w:val="18"/>
                <w:szCs w:val="18"/>
              </w:rPr>
              <w:t>未分配</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62"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2"/>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47"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34"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307"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4,435,9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33.33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68,963,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686.07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640,074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,582.30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-13,001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34,865.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w:t>
            </w:r>
          </w:p>
        </w:tc>
      </w:tr>
      <w:tr>
        <w:trPr>
          <w:trHeight w:val="548"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4,435,9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33.33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68,963,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686.07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640,074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,582.30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-13,001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1,945,9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34,865.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w:t>
            </w:r>
          </w:p>
        </w:tc>
      </w:tr>
      <w:tr>
        <w:trPr>
          <w:trHeight w:val="548"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473"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49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83.16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45,767,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573.24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2,249,0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97.37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49,475,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987.09</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47,193,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156.40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-244,79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3.29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46,982,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096.43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83.16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83.16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90.66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90.66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83.16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83.16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90.66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2,493,8</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90.66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51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512,99</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1,382.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719,482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4,469,6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66.65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70,389,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269.23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685,842</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,155.54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2,236,0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95.74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1,995,4</w:t>
            </w: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06</w:t>
            </w:r>
          </w:p>
        </w:tc>
      </w:tr>
    </w:tbl>
    <w:p>
      <w:pPr>
        <w:spacing w:line="240" w:lineRule="auto" w:before="6"/>
        <w:rPr>
          <w:rFonts w:ascii="Times New Roman" w:hAnsi="Times New Roman" w:cs="Times New Roman" w:eastAsia="Times New Roman" w:hint="default"/>
          <w:sz w:val="28"/>
          <w:szCs w:val="28"/>
        </w:rPr>
      </w:pPr>
    </w:p>
    <w:p>
      <w:pPr>
        <w:pStyle w:val="Heading4"/>
        <w:spacing w:line="240" w:lineRule="auto" w:before="35"/>
        <w:ind w:left="154" w:right="0"/>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554"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88"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477" w:lineRule="auto"/>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70"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78"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8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239"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69,227,51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146"/>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,014.71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46"/>
              <w:ind w:left="4" w:right="0"/>
              <w:jc w:val="center"/>
              <w:rPr>
                <w:rFonts w:ascii="Times New Roman" w:hAnsi="Times New Roman" w:cs="Times New Roman" w:eastAsia="Times New Roman" w:hint="default"/>
                <w:sz w:val="18"/>
                <w:szCs w:val="18"/>
              </w:rPr>
            </w:pPr>
            <w:r>
              <w:rPr>
                <w:rFonts w:ascii="Times New Roman"/>
                <w:sz w:val="18"/>
              </w:rPr>
              <w:t>1,721,482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,199.13</w:t>
            </w:r>
          </w:p>
        </w:tc>
      </w:tr>
      <w:tr>
        <w:trPr>
          <w:trHeight w:val="548"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69,227,51</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,014.71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1,721,482</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,199.13</w:t>
            </w:r>
          </w:p>
        </w:tc>
      </w:tr>
      <w:tr>
        <w:trPr>
          <w:trHeight w:val="549"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5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3,596,419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12,874,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16,470,51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98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88"/>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8" w:right="0"/>
              <w:jc w:val="left"/>
              <w:rPr>
                <w:rFonts w:ascii="Times New Roman" w:hAnsi="Times New Roman" w:cs="Times New Roman" w:eastAsia="Times New Roman" w:hint="default"/>
                <w:sz w:val="18"/>
                <w:szCs w:val="18"/>
              </w:rPr>
            </w:pPr>
            <w:r>
              <w:rPr>
                <w:rFonts w:ascii="Times New Roman"/>
                <w:sz w:val="18"/>
              </w:rPr>
              <w:t>099.24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33" w:right="0"/>
              <w:jc w:val="left"/>
              <w:rPr>
                <w:rFonts w:ascii="Times New Roman" w:hAnsi="Times New Roman" w:cs="Times New Roman" w:eastAsia="Times New Roman" w:hint="default"/>
                <w:sz w:val="18"/>
                <w:szCs w:val="18"/>
              </w:rPr>
            </w:pPr>
            <w:r>
              <w:rPr>
                <w:rFonts w:ascii="Times New Roman"/>
                <w:sz w:val="18"/>
              </w:rPr>
              <w:t>8.32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35,964,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190.81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35,964,19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0.81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3,596,419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-23,090,</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091.57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-19,493,6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72.49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3,596,419</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-3,596,4</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19.08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672.49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-19,493,6</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72.49</w:t>
            </w: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72,823,93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7.60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432,655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,113.95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1,737,952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,717.45</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line="240" w:lineRule="auto" w:before="6"/>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55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89"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5"/>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477" w:lineRule="auto"/>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7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77"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8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240"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67,801,93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5.36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148"/>
              <w:ind w:left="58" w:right="0"/>
              <w:jc w:val="left"/>
              <w:rPr>
                <w:rFonts w:ascii="Times New Roman" w:hAnsi="Times New Roman" w:cs="Times New Roman" w:eastAsia="Times New Roman" w:hint="default"/>
                <w:sz w:val="18"/>
                <w:szCs w:val="18"/>
              </w:rPr>
            </w:pPr>
            <w:r>
              <w:rPr>
                <w:rFonts w:ascii="Times New Roman"/>
                <w:sz w:val="18"/>
              </w:rPr>
              <w:t>406,950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,766.25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148"/>
              <w:ind w:left="4" w:right="0"/>
              <w:jc w:val="center"/>
              <w:rPr>
                <w:rFonts w:ascii="Times New Roman" w:hAnsi="Times New Roman" w:cs="Times New Roman" w:eastAsia="Times New Roman" w:hint="default"/>
                <w:sz w:val="18"/>
                <w:szCs w:val="18"/>
              </w:rPr>
            </w:pPr>
            <w:r>
              <w:rPr>
                <w:rFonts w:ascii="Times New Roman"/>
                <w:sz w:val="18"/>
              </w:rPr>
              <w:t>1,707,226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,367.51</w:t>
            </w:r>
          </w:p>
        </w:tc>
      </w:tr>
      <w:tr>
        <w:trPr>
          <w:trHeight w:val="54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4" w:right="0"/>
              <w:jc w:val="center"/>
              <w:rPr>
                <w:rFonts w:ascii="Times New Roman" w:hAnsi="Times New Roman" w:cs="Times New Roman" w:eastAsia="Times New Roman" w:hint="default"/>
                <w:sz w:val="18"/>
                <w:szCs w:val="18"/>
              </w:rPr>
            </w:pPr>
            <w:r>
              <w:rPr>
                <w:rFonts w:ascii="Times New Roman"/>
                <w:sz w:val="18"/>
              </w:rPr>
              <w:t>382.00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67,801,93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5.36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406,950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,766.25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1,707,226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,367.51</w:t>
            </w:r>
          </w:p>
        </w:tc>
      </w:tr>
      <w:tr>
        <w:trPr>
          <w:trHeight w:val="54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239"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49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3" w:lineRule="auto" w:before="13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12,830,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248.46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1.62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831.62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1.62</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83.16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1,425,583</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-1,425,5</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83.16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512,991,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382.00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719,482,2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83.90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69,227,51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8.52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419,781</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,014.71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1,721,482</w:t>
            </w: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,199.13</w:t>
            </w:r>
          </w:p>
        </w:tc>
      </w:tr>
    </w:tbl>
    <w:p>
      <w:pPr>
        <w:spacing w:line="240" w:lineRule="auto" w:before="4"/>
        <w:rPr>
          <w:rFonts w:ascii="Times New Roman" w:hAnsi="Times New Roman" w:cs="Times New Roman" w:eastAsia="Times New Roman" w:hint="default"/>
          <w:sz w:val="27"/>
          <w:szCs w:val="27"/>
        </w:rPr>
      </w:pPr>
    </w:p>
    <w:p>
      <w:pPr>
        <w:pStyle w:val="Heading3"/>
        <w:spacing w:line="240" w:lineRule="auto" w:before="26"/>
        <w:ind w:left="154" w:right="0"/>
        <w:jc w:val="both"/>
        <w:rPr>
          <w:b w:val="0"/>
          <w:bCs w:val="0"/>
        </w:rPr>
      </w:pPr>
      <w:bookmarkStart w:name="三、公司基本情况" w:id="161"/>
      <w:bookmarkEnd w:id="161"/>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pStyle w:val="BodyText"/>
        <w:spacing w:line="398" w:lineRule="auto" w:before="163"/>
        <w:ind w:left="573" w:right="4873" w:hanging="8"/>
        <w:jc w:val="left"/>
      </w:pPr>
      <w:r>
        <w:rPr>
          <w:rFonts w:ascii="宋体" w:hAnsi="宋体" w:cs="宋体" w:eastAsia="宋体" w:hint="default"/>
          <w:b/>
          <w:bCs/>
        </w:rPr>
        <w:t>（一）公司概况</w:t>
      </w:r>
      <w:r>
        <w:rPr>
          <w:rFonts w:ascii="宋体" w:hAnsi="宋体" w:cs="宋体" w:eastAsia="宋体" w:hint="default"/>
          <w:b/>
          <w:bCs/>
          <w:w w:val="99"/>
        </w:rPr>
        <w:t> </w:t>
      </w:r>
      <w:r>
        <w:rPr/>
        <w:t>公司名称：吉林紫鑫药业股份有限公司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注册地址：吉林省柳河县英利路</w:t>
      </w:r>
      <w:r>
        <w:rPr>
          <w:rFonts w:ascii="Times New Roman" w:hAnsi="Times New Roman" w:cs="Times New Roman" w:eastAsia="Times New Roman" w:hint="default"/>
        </w:rPr>
        <w:t>88</w:t>
      </w:r>
      <w:r>
        <w:rPr/>
        <w:t>号 登记机关：吉林省工商行政管理局 统一社会信用代码：</w:t>
      </w:r>
      <w:r>
        <w:rPr>
          <w:rFonts w:ascii="Times New Roman" w:hAnsi="Times New Roman" w:cs="Times New Roman" w:eastAsia="Times New Roman" w:hint="default"/>
        </w:rPr>
        <w:t>9122000070222720XH</w:t>
      </w:r>
      <w:r>
        <w:rPr>
          <w:rFonts w:ascii="Times New Roman" w:hAnsi="Times New Roman" w:cs="Times New Roman" w:eastAsia="Times New Roman" w:hint="default"/>
          <w:w w:val="99"/>
        </w:rPr>
        <w:t> </w:t>
      </w:r>
      <w:r>
        <w:rPr/>
        <w:t>法定代表人：郭春林 注册资本：人民币伍亿壹仟贰佰玖拾玖万壹仟叁佰捌拾贰元</w:t>
      </w:r>
    </w:p>
    <w:p>
      <w:pPr>
        <w:pStyle w:val="BodyText"/>
        <w:spacing w:line="408" w:lineRule="auto" w:before="54"/>
        <w:ind w:left="574" w:right="0" w:hanging="8"/>
        <w:jc w:val="left"/>
      </w:pPr>
      <w:r>
        <w:rPr>
          <w:rFonts w:ascii="宋体" w:hAnsi="宋体" w:cs="宋体" w:eastAsia="宋体" w:hint="default"/>
          <w:b/>
          <w:bCs/>
        </w:rPr>
        <w:t>（二）历史沿革</w:t>
      </w:r>
      <w:r>
        <w:rPr>
          <w:rFonts w:ascii="宋体" w:hAnsi="宋体" w:cs="宋体" w:eastAsia="宋体" w:hint="default"/>
          <w:b/>
          <w:bCs/>
          <w:w w:val="99"/>
        </w:rPr>
        <w:t> </w:t>
      </w:r>
      <w:r>
        <w:rPr/>
        <w:t>本公司前身系通化紫金药业有限责任公司，于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日由敦化市康平保健食品有限责任公司、</w:t>
      </w:r>
    </w:p>
    <w:p>
      <w:pPr>
        <w:pStyle w:val="BodyText"/>
        <w:spacing w:line="398" w:lineRule="auto" w:before="14"/>
        <w:ind w:left="154" w:right="1131"/>
        <w:jc w:val="both"/>
      </w:pPr>
      <w:r>
        <w:rPr>
          <w:spacing w:val="-1"/>
        </w:rPr>
        <w:t>敦化市吉泰经贸有限责任公司共同发起设立的有限责任公司。</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11</w:t>
      </w:r>
      <w:r>
        <w:rPr>
          <w:spacing w:val="-1"/>
        </w:rPr>
        <w:t>月，根据本公司临时股东会通过的</w:t>
      </w:r>
      <w:r>
        <w:rPr>
          <w:spacing w:val="-82"/>
        </w:rPr>
        <w:t> </w:t>
      </w:r>
      <w:r>
        <w:rPr>
          <w:spacing w:val="-82"/>
        </w:rPr>
      </w:r>
      <w:r>
        <w:rPr>
          <w:spacing w:val="-1"/>
        </w:rPr>
        <w:t>增资扩股决议，新增柳河沈飞合联工贸有限责任公司、吉林省霄峰广告有限公司、柳河日新餐饮有限责任</w:t>
      </w:r>
      <w:r>
        <w:rPr>
          <w:spacing w:val="-83"/>
        </w:rPr>
        <w:t> </w:t>
      </w:r>
      <w:r>
        <w:rPr>
          <w:spacing w:val="-83"/>
        </w:rPr>
      </w:r>
      <w:r>
        <w:rPr/>
        <w:t>公司三家股东，增资扩股后本公司注册资本为人民币</w:t>
      </w:r>
      <w:r>
        <w:rPr>
          <w:rFonts w:ascii="Times New Roman" w:hAnsi="Times New Roman" w:cs="Times New Roman" w:eastAsia="Times New Roman" w:hint="default"/>
        </w:rPr>
        <w:t>30,000,000.00</w:t>
      </w:r>
      <w:r>
        <w:rPr/>
        <w:t>元。</w:t>
      </w:r>
    </w:p>
    <w:p>
      <w:pPr>
        <w:pStyle w:val="BodyText"/>
        <w:spacing w:line="386" w:lineRule="auto" w:before="24"/>
        <w:ind w:right="1132" w:firstLine="42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日，经吉林省人民政府</w:t>
      </w:r>
      <w:r>
        <w:rPr>
          <w:rFonts w:ascii="Times New Roman" w:hAnsi="Times New Roman" w:cs="Times New Roman" w:eastAsia="Times New Roman" w:hint="default"/>
        </w:rPr>
        <w:t>[2001]5</w:t>
      </w:r>
      <w:r>
        <w:rPr>
          <w:rFonts w:ascii="Times New Roman" w:hAnsi="Times New Roman" w:cs="Times New Roman" w:eastAsia="Times New Roman" w:hint="default"/>
          <w:spacing w:val="25"/>
        </w:rPr>
        <w:t> </w:t>
      </w:r>
      <w:r>
        <w:rPr/>
        <w:t>号文《关于通化紫金药业有限责任公司依法变更为通化紫 </w:t>
      </w:r>
      <w:r>
        <w:rPr>
          <w:spacing w:val="-1"/>
        </w:rPr>
        <w:t>金药业股份有限公司的批复》的批准，以通化紫金药业有限责任公司截至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日的净资产等额折</w:t>
      </w:r>
      <w:r>
        <w:rPr>
          <w:spacing w:val="-82"/>
        </w:rPr>
        <w:t> </w:t>
      </w:r>
      <w:r>
        <w:rPr>
          <w:spacing w:val="-82"/>
        </w:rPr>
      </w:r>
      <w:r>
        <w:rPr>
          <w:spacing w:val="-2"/>
        </w:rPr>
        <w:t>成股份整体变更为股份有限公司，股本总额为人民币</w:t>
      </w:r>
      <w:r>
        <w:rPr>
          <w:rFonts w:ascii="Times New Roman" w:hAnsi="Times New Roman" w:cs="Times New Roman" w:eastAsia="Times New Roman" w:hint="default"/>
          <w:spacing w:val="-2"/>
        </w:rPr>
        <w:t>35,650,000.00</w:t>
      </w:r>
      <w:r>
        <w:rPr>
          <w:spacing w:val="-2"/>
        </w:rPr>
        <w:t>元。同年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日，本公司名称变更为吉</w:t>
      </w:r>
      <w:r>
        <w:rPr>
          <w:spacing w:val="-76"/>
        </w:rPr>
        <w:t> </w:t>
      </w:r>
      <w:r>
        <w:rPr>
          <w:spacing w:val="-76"/>
        </w:rPr>
      </w:r>
      <w:r>
        <w:rPr/>
        <w:t>林紫鑫药业股份有限公司。</w:t>
      </w:r>
    </w:p>
    <w:p>
      <w:pPr>
        <w:pStyle w:val="BodyText"/>
        <w:spacing w:line="386" w:lineRule="auto" w:before="65"/>
        <w:ind w:right="1134" w:firstLine="420"/>
        <w:jc w:val="both"/>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日，经吉林省人民政府审批文件</w:t>
      </w:r>
      <w:r>
        <w:rPr>
          <w:rFonts w:ascii="Times New Roman" w:hAnsi="Times New Roman" w:cs="Times New Roman" w:eastAsia="Times New Roman" w:hint="default"/>
        </w:rPr>
        <w:t>[2002]12</w:t>
      </w:r>
      <w:r>
        <w:rPr/>
        <w:t>号《关于同意吉林紫鑫药业股份有限公司增资扩 股的批复》的批准，以</w:t>
      </w:r>
      <w:r>
        <w:rPr>
          <w:rFonts w:ascii="Times New Roman" w:hAnsi="Times New Roman" w:cs="Times New Roman" w:eastAsia="Times New Roman" w:hint="default"/>
        </w:rPr>
        <w:t>2001</w:t>
      </w:r>
      <w:r>
        <w:rPr/>
        <w:t>年末总股本</w:t>
      </w:r>
      <w:r>
        <w:rPr>
          <w:rFonts w:ascii="Times New Roman" w:hAnsi="Times New Roman" w:cs="Times New Roman" w:eastAsia="Times New Roman" w:hint="default"/>
        </w:rPr>
        <w:t>3,565</w:t>
      </w:r>
      <w:r>
        <w:rPr/>
        <w:t>万股为基数每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4.2</w:t>
      </w:r>
      <w:r>
        <w:rPr/>
        <w:t>股，向全体股东转增股份总额为人民</w:t>
      </w:r>
      <w:r>
        <w:rPr>
          <w:spacing w:val="-32"/>
        </w:rPr>
        <w:t> </w:t>
      </w:r>
      <w:r>
        <w:rPr>
          <w:spacing w:val="-32"/>
        </w:rPr>
      </w:r>
      <w:r>
        <w:rPr/>
        <w:t>币</w:t>
      </w:r>
      <w:r>
        <w:rPr>
          <w:rFonts w:ascii="Times New Roman" w:hAnsi="Times New Roman" w:cs="Times New Roman" w:eastAsia="Times New Roman" w:hint="default"/>
        </w:rPr>
        <w:t>14,973,000.00</w:t>
      </w:r>
      <w:r>
        <w:rPr/>
        <w:t>元，转增后的股本总额为人民币</w:t>
      </w:r>
      <w:r>
        <w:rPr>
          <w:rFonts w:ascii="Times New Roman" w:hAnsi="Times New Roman" w:cs="Times New Roman" w:eastAsia="Times New Roman" w:hint="default"/>
        </w:rPr>
        <w:t>50,623,000.00</w:t>
      </w:r>
      <w:r>
        <w:rPr/>
        <w:t>元。</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right="1132" w:firstLine="420"/>
        <w:jc w:val="both"/>
      </w:pPr>
      <w:r>
        <w:rPr/>
        <w:t>根据本公司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日第二次临时股东大会决议和修改后的章程规定，申请向社会公开发行人民 </w:t>
      </w:r>
      <w:r>
        <w:rPr>
          <w:spacing w:val="-1"/>
        </w:rPr>
        <w:t>币普通股（</w:t>
      </w:r>
      <w:r>
        <w:rPr>
          <w:rFonts w:ascii="Times New Roman" w:hAnsi="Times New Roman" w:cs="Times New Roman" w:eastAsia="Times New Roman" w:hint="default"/>
          <w:spacing w:val="-1"/>
        </w:rPr>
        <w:t>A</w:t>
      </w:r>
      <w:r>
        <w:rPr>
          <w:spacing w:val="-1"/>
        </w:rPr>
        <w:t>股）增加注册资本人民币</w:t>
      </w:r>
      <w:r>
        <w:rPr>
          <w:rFonts w:ascii="Times New Roman" w:hAnsi="Times New Roman" w:cs="Times New Roman" w:eastAsia="Times New Roman" w:hint="default"/>
          <w:spacing w:val="-1"/>
        </w:rPr>
        <w:t>16,900,000.00</w:t>
      </w:r>
      <w:r>
        <w:rPr>
          <w:spacing w:val="-1"/>
        </w:rPr>
        <w:t>元。</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29</w:t>
      </w:r>
      <w:r>
        <w:rPr>
          <w:spacing w:val="-1"/>
        </w:rPr>
        <w:t>日经中国证券监督管理委员会证监发</w:t>
      </w:r>
      <w:r>
        <w:rPr>
          <w:spacing w:val="-71"/>
        </w:rPr>
        <w:t> </w:t>
      </w:r>
      <w:r>
        <w:rPr>
          <w:spacing w:val="-71"/>
        </w:rPr>
      </w:r>
      <w:r>
        <w:rPr>
          <w:spacing w:val="-4"/>
        </w:rPr>
        <w:t>行字（</w:t>
      </w:r>
      <w:r>
        <w:rPr>
          <w:rFonts w:ascii="Times New Roman" w:hAnsi="Times New Roman" w:cs="Times New Roman" w:eastAsia="Times New Roman" w:hint="default"/>
          <w:spacing w:val="-4"/>
        </w:rPr>
        <w:t>2007</w:t>
      </w:r>
      <w:r>
        <w:rPr>
          <w:spacing w:val="-4"/>
        </w:rPr>
        <w:t>）</w:t>
      </w:r>
      <w:r>
        <w:rPr>
          <w:rFonts w:ascii="Times New Roman" w:hAnsi="Times New Roman" w:cs="Times New Roman" w:eastAsia="Times New Roman" w:hint="default"/>
          <w:spacing w:val="-4"/>
        </w:rPr>
        <w:t>25</w:t>
      </w:r>
      <w:r>
        <w:rPr>
          <w:rFonts w:ascii="Times New Roman" w:hAnsi="Times New Roman" w:cs="Times New Roman" w:eastAsia="Times New Roman" w:hint="default"/>
          <w:spacing w:val="46"/>
        </w:rPr>
        <w:t> </w:t>
      </w:r>
      <w:r>
        <w:rPr>
          <w:spacing w:val="-2"/>
        </w:rPr>
        <w:t>号文核准，同意本公司向社会公开发行人民币普通股（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w:t>
      </w:r>
      <w:r>
        <w:rPr>
          <w:spacing w:val="-2"/>
        </w:rPr>
        <w:t>万股，每股面值人民币</w:t>
      </w:r>
      <w:r>
        <w:rPr>
          <w:spacing w:val="-103"/>
        </w:rPr>
        <w:t> </w:t>
      </w:r>
      <w:r>
        <w:rPr>
          <w:spacing w:val="-103"/>
        </w:rPr>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9.56</w:t>
      </w:r>
      <w:r>
        <w:rPr/>
        <w:t>元。本公司采用网下向询价对象配售和网上向社会公众投资者定价发</w:t>
      </w:r>
      <w:r>
        <w:rPr>
          <w:spacing w:val="-35"/>
        </w:rPr>
        <w:t> </w:t>
      </w:r>
      <w:r>
        <w:rPr>
          <w:spacing w:val="-35"/>
        </w:rPr>
      </w:r>
      <w:r>
        <w:rPr>
          <w:spacing w:val="-2"/>
        </w:rPr>
        <w:t>行相结合的方式，向社会公开发行人民币普通股（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16,900,000</w:t>
      </w:r>
      <w:r>
        <w:rPr>
          <w:spacing w:val="-2"/>
        </w:rPr>
        <w:t>股，并于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w:t>
      </w:r>
      <w:r>
        <w:rPr>
          <w:spacing w:val="-2"/>
        </w:rPr>
        <w:t>日在深圳证券交易</w:t>
      </w:r>
      <w:r>
        <w:rPr>
          <w:spacing w:val="-72"/>
        </w:rPr>
        <w:t> </w:t>
      </w:r>
      <w:r>
        <w:rPr>
          <w:spacing w:val="-72"/>
        </w:rPr>
      </w:r>
      <w:r>
        <w:rPr/>
        <w:t>所上市，股票代码为</w:t>
      </w:r>
      <w:r>
        <w:rPr>
          <w:rFonts w:ascii="Times New Roman" w:hAnsi="Times New Roman" w:cs="Times New Roman" w:eastAsia="Times New Roman" w:hint="default"/>
        </w:rPr>
        <w:t>002118</w:t>
      </w:r>
      <w:r>
        <w:rPr/>
        <w:t>。上市发行后的股本总额为人民币</w:t>
      </w:r>
      <w:r>
        <w:rPr>
          <w:rFonts w:ascii="Times New Roman" w:hAnsi="Times New Roman" w:cs="Times New Roman" w:eastAsia="Times New Roman" w:hint="default"/>
        </w:rPr>
        <w:t>67,523,000.00</w:t>
      </w:r>
      <w:r>
        <w:rPr/>
        <w:t>元。</w:t>
      </w:r>
    </w:p>
    <w:p>
      <w:pPr>
        <w:pStyle w:val="BodyText"/>
        <w:spacing w:line="240" w:lineRule="auto" w:before="35"/>
        <w:ind w:left="573" w:right="0"/>
        <w:jc w:val="left"/>
      </w:pPr>
      <w:r>
        <w:rPr>
          <w:spacing w:val="21"/>
        </w:rPr>
        <w:t>根据本公司</w:t>
      </w:r>
      <w:r>
        <w:rPr>
          <w:spacing w:val="-7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spacing w:val="18"/>
        </w:rPr>
        <w:t>年度股</w:t>
      </w:r>
      <w:r>
        <w:rPr>
          <w:spacing w:val="-78"/>
        </w:rPr>
        <w:t> </w:t>
      </w:r>
      <w:r>
        <w:rPr/>
        <w:t>东</w:t>
      </w:r>
      <w:r>
        <w:rPr>
          <w:spacing w:val="-78"/>
        </w:rPr>
        <w:t> </w:t>
      </w:r>
      <w:r>
        <w:rPr/>
        <w:t>大</w:t>
      </w:r>
      <w:r>
        <w:rPr>
          <w:spacing w:val="-78"/>
        </w:rPr>
        <w:t> </w:t>
      </w:r>
      <w:r>
        <w:rPr/>
        <w:t>会</w:t>
      </w:r>
      <w:r>
        <w:rPr>
          <w:spacing w:val="-78"/>
        </w:rPr>
        <w:t> </w:t>
      </w:r>
      <w:r>
        <w:rPr/>
        <w:t>决</w:t>
      </w:r>
      <w:r>
        <w:rPr>
          <w:spacing w:val="-78"/>
        </w:rPr>
        <w:t> </w:t>
      </w:r>
      <w:r>
        <w:rPr/>
        <w:t>议</w:t>
      </w:r>
      <w:r>
        <w:rPr>
          <w:spacing w:val="-77"/>
        </w:rPr>
        <w:t> </w:t>
      </w:r>
      <w:r>
        <w:rPr/>
        <w:t>和</w:t>
      </w:r>
      <w:r>
        <w:rPr>
          <w:spacing w:val="-78"/>
        </w:rPr>
        <w:t> </w:t>
      </w:r>
      <w:r>
        <w:rPr/>
        <w:t>修</w:t>
      </w:r>
      <w:r>
        <w:rPr>
          <w:spacing w:val="-78"/>
        </w:rPr>
        <w:t> </w:t>
      </w:r>
      <w:r>
        <w:rPr/>
        <w:t>改</w:t>
      </w:r>
      <w:r>
        <w:rPr>
          <w:spacing w:val="-78"/>
        </w:rPr>
        <w:t> </w:t>
      </w:r>
      <w:r>
        <w:rPr/>
        <w:t>后</w:t>
      </w:r>
      <w:r>
        <w:rPr>
          <w:spacing w:val="-78"/>
        </w:rPr>
        <w:t> </w:t>
      </w:r>
      <w:r>
        <w:rPr/>
        <w:t>章</w:t>
      </w:r>
      <w:r>
        <w:rPr>
          <w:spacing w:val="-77"/>
        </w:rPr>
        <w:t> </w:t>
      </w:r>
      <w:r>
        <w:rPr/>
        <w:t>程</w:t>
      </w:r>
      <w:r>
        <w:rPr>
          <w:spacing w:val="-78"/>
        </w:rPr>
        <w:t> </w:t>
      </w:r>
      <w:r>
        <w:rPr/>
        <w:t>的</w:t>
      </w:r>
      <w:r>
        <w:rPr>
          <w:spacing w:val="-78"/>
        </w:rPr>
        <w:t> </w:t>
      </w:r>
      <w:r>
        <w:rPr/>
        <w:t>规</w:t>
      </w:r>
      <w:r>
        <w:rPr>
          <w:spacing w:val="-78"/>
        </w:rPr>
        <w:t> </w:t>
      </w:r>
      <w:r>
        <w:rPr/>
        <w:t>定</w:t>
      </w:r>
      <w:r>
        <w:rPr>
          <w:spacing w:val="-78"/>
        </w:rPr>
        <w:t> </w:t>
      </w:r>
      <w:r>
        <w:rPr/>
        <w:t>，</w:t>
      </w:r>
      <w:r>
        <w:rPr>
          <w:spacing w:val="-77"/>
        </w:rPr>
        <w:t> </w:t>
      </w:r>
      <w:r>
        <w:rPr/>
        <w:t>本</w:t>
      </w:r>
      <w:r>
        <w:rPr>
          <w:spacing w:val="-78"/>
        </w:rPr>
        <w:t> </w:t>
      </w:r>
      <w:r>
        <w:rPr/>
        <w:t>公</w:t>
      </w:r>
      <w:r>
        <w:rPr>
          <w:spacing w:val="-78"/>
        </w:rPr>
        <w:t> </w:t>
      </w:r>
      <w:r>
        <w:rPr/>
        <w:t>司</w:t>
      </w:r>
      <w:r>
        <w:rPr>
          <w:spacing w:val="-78"/>
        </w:rPr>
        <w:t> </w:t>
      </w:r>
      <w:r>
        <w:rPr/>
        <w:t>申</w:t>
      </w:r>
      <w:r>
        <w:rPr>
          <w:spacing w:val="-78"/>
        </w:rPr>
        <w:t> </w:t>
      </w:r>
      <w:r>
        <w:rPr/>
        <w:t>请</w:t>
      </w:r>
      <w:r>
        <w:rPr>
          <w:spacing w:val="-77"/>
        </w:rPr>
        <w:t> </w:t>
      </w:r>
      <w:r>
        <w:rPr/>
        <w:t>增</w:t>
      </w:r>
      <w:r>
        <w:rPr>
          <w:spacing w:val="-78"/>
        </w:rPr>
        <w:t> </w:t>
      </w:r>
      <w:r>
        <w:rPr/>
        <w:t>加</w:t>
      </w:r>
      <w:r>
        <w:rPr>
          <w:spacing w:val="-78"/>
        </w:rPr>
        <w:t> </w:t>
      </w:r>
      <w:r>
        <w:rPr/>
        <w:t>注</w:t>
      </w:r>
      <w:r>
        <w:rPr>
          <w:spacing w:val="-78"/>
        </w:rPr>
        <w:t> </w:t>
      </w:r>
      <w:r>
        <w:rPr/>
        <w:t>册</w:t>
      </w:r>
      <w:r>
        <w:rPr>
          <w:spacing w:val="-78"/>
        </w:rPr>
        <w:t> </w:t>
      </w:r>
      <w:r>
        <w:rPr/>
        <w:t>资</w:t>
      </w:r>
      <w:r>
        <w:rPr>
          <w:spacing w:val="-77"/>
        </w:rPr>
        <w:t> </w:t>
      </w:r>
      <w:r>
        <w:rPr/>
        <w:t>本</w:t>
      </w:r>
      <w:r>
        <w:rPr>
          <w:spacing w:val="-78"/>
        </w:rPr>
        <w:t> </w:t>
      </w:r>
      <w:r>
        <w:rPr/>
        <w:t>人</w:t>
      </w:r>
      <w:r>
        <w:rPr>
          <w:spacing w:val="-78"/>
        </w:rPr>
        <w:t> </w:t>
      </w:r>
      <w:r>
        <w:rPr/>
        <w:t>民</w:t>
      </w:r>
      <w:r>
        <w:rPr>
          <w:spacing w:val="-78"/>
        </w:rPr>
        <w:t> </w:t>
      </w:r>
      <w:r>
        <w:rPr/>
        <w:t>币</w:t>
      </w:r>
    </w:p>
    <w:p>
      <w:pPr>
        <w:pStyle w:val="BodyText"/>
        <w:spacing w:line="240" w:lineRule="auto" w:before="177"/>
        <w:ind w:right="0"/>
        <w:jc w:val="both"/>
      </w:pPr>
      <w:r>
        <w:rPr>
          <w:rFonts w:ascii="Times New Roman" w:hAnsi="Times New Roman" w:cs="Times New Roman" w:eastAsia="Times New Roman" w:hint="default"/>
        </w:rPr>
        <w:t>54,018,400.00</w:t>
      </w:r>
      <w:r>
        <w:rPr/>
        <w:t>元，以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67,523,000</w:t>
      </w:r>
      <w:r>
        <w:rPr/>
        <w:t>股为基础，向全体股东按每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股、派现金股利</w:t>
      </w:r>
    </w:p>
    <w:p>
      <w:pPr>
        <w:pStyle w:val="BodyText"/>
        <w:spacing w:line="240" w:lineRule="auto" w:before="177"/>
        <w:ind w:right="0"/>
        <w:jc w:val="both"/>
      </w:pPr>
      <w:r>
        <w:rPr>
          <w:rFonts w:ascii="Times New Roman" w:hAnsi="Times New Roman" w:cs="Times New Roman" w:eastAsia="Times New Roman" w:hint="default"/>
        </w:rPr>
        <w:t>0.33</w:t>
      </w:r>
      <w:r>
        <w:rPr/>
        <w:t>元（含税），同时以资本公积转增股本。每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股，每股面值</w:t>
      </w:r>
      <w:r>
        <w:rPr>
          <w:rFonts w:ascii="Times New Roman" w:hAnsi="Times New Roman" w:cs="Times New Roman" w:eastAsia="Times New Roman" w:hint="default"/>
        </w:rPr>
        <w:t>1</w:t>
      </w:r>
      <w:r>
        <w:rPr/>
        <w:t>元，变更后的股本总额为人民币</w:t>
      </w:r>
    </w:p>
    <w:p>
      <w:pPr>
        <w:pStyle w:val="BodyText"/>
        <w:spacing w:line="240" w:lineRule="auto" w:before="177"/>
        <w:ind w:right="0"/>
        <w:jc w:val="both"/>
      </w:pPr>
      <w:r>
        <w:rPr>
          <w:rFonts w:ascii="Times New Roman" w:hAnsi="Times New Roman" w:cs="Times New Roman" w:eastAsia="Times New Roman" w:hint="default"/>
        </w:rPr>
        <w:t>121,541,400.00</w:t>
      </w:r>
      <w:r>
        <w:rPr/>
        <w:t>元。</w:t>
      </w:r>
    </w:p>
    <w:p>
      <w:pPr>
        <w:pStyle w:val="BodyText"/>
        <w:spacing w:line="240" w:lineRule="auto" w:before="177"/>
        <w:ind w:left="573" w:right="0"/>
        <w:jc w:val="left"/>
      </w:pPr>
      <w:r>
        <w:rPr>
          <w:spacing w:val="21"/>
        </w:rPr>
        <w:t>根据本公司</w:t>
      </w:r>
      <w:r>
        <w:rPr>
          <w:spacing w:val="-7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spacing w:val="23"/>
        </w:rPr>
        <w:t>年度股东大会决议</w:t>
      </w:r>
      <w:r>
        <w:rPr>
          <w:spacing w:val="-75"/>
        </w:rPr>
        <w:t> </w:t>
      </w:r>
      <w:r>
        <w:rPr>
          <w:spacing w:val="21"/>
        </w:rPr>
        <w:t>和修改后章</w:t>
      </w:r>
      <w:r>
        <w:rPr>
          <w:spacing w:val="-75"/>
        </w:rPr>
        <w:t> </w:t>
      </w:r>
      <w:r>
        <w:rPr>
          <w:spacing w:val="21"/>
        </w:rPr>
        <w:t>程的规定，</w:t>
      </w:r>
      <w:r>
        <w:rPr>
          <w:spacing w:val="-75"/>
        </w:rPr>
        <w:t> </w:t>
      </w:r>
      <w:r>
        <w:rPr>
          <w:spacing w:val="21"/>
        </w:rPr>
        <w:t>本公司申请</w:t>
      </w:r>
      <w:r>
        <w:rPr>
          <w:spacing w:val="-75"/>
        </w:rPr>
        <w:t> </w:t>
      </w:r>
      <w:r>
        <w:rPr>
          <w:spacing w:val="21"/>
        </w:rPr>
        <w:t>增加注册资</w:t>
      </w:r>
      <w:r>
        <w:rPr>
          <w:spacing w:val="-75"/>
        </w:rPr>
        <w:t> </w:t>
      </w:r>
      <w:r>
        <w:rPr>
          <w:spacing w:val="20"/>
        </w:rPr>
        <w:t>本人民币</w:t>
      </w:r>
      <w:r>
        <w:rPr>
          <w:spacing w:val="-78"/>
        </w:rPr>
        <w:t> </w:t>
      </w:r>
      <w:r>
        <w:rPr/>
      </w:r>
    </w:p>
    <w:p>
      <w:pPr>
        <w:pStyle w:val="BodyText"/>
        <w:spacing w:line="240" w:lineRule="auto" w:before="177"/>
        <w:ind w:right="0"/>
        <w:jc w:val="both"/>
      </w:pPr>
      <w:r>
        <w:rPr>
          <w:rFonts w:ascii="Times New Roman" w:hAnsi="Times New Roman" w:cs="Times New Roman" w:eastAsia="Times New Roman" w:hint="default"/>
        </w:rPr>
        <w:t>85,078,980.00</w:t>
      </w:r>
      <w:r>
        <w:rPr/>
        <w:t>元，以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121,541,400</w:t>
      </w:r>
      <w:r>
        <w:rPr/>
        <w:t>股为基数，向全体股东每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股、派发现金红利</w:t>
      </w:r>
    </w:p>
    <w:p>
      <w:pPr>
        <w:pStyle w:val="BodyText"/>
        <w:spacing w:line="240" w:lineRule="auto" w:before="177"/>
        <w:ind w:right="0"/>
        <w:jc w:val="both"/>
      </w:pPr>
      <w:r>
        <w:rPr>
          <w:rFonts w:ascii="Times New Roman" w:hAnsi="Times New Roman" w:cs="Times New Roman" w:eastAsia="Times New Roman" w:hint="default"/>
        </w:rPr>
        <w:t>0.23</w:t>
      </w:r>
      <w:r>
        <w:rPr/>
        <w:t>元（含税），同时以资本公积转增股本，每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股，每股面值</w:t>
      </w:r>
      <w:r>
        <w:rPr>
          <w:rFonts w:ascii="Times New Roman" w:hAnsi="Times New Roman" w:cs="Times New Roman" w:eastAsia="Times New Roman" w:hint="default"/>
        </w:rPr>
        <w:t>1</w:t>
      </w:r>
      <w:r>
        <w:rPr/>
        <w:t>元，变更后的股本总额为人民币</w:t>
      </w:r>
    </w:p>
    <w:p>
      <w:pPr>
        <w:pStyle w:val="BodyText"/>
        <w:spacing w:line="386" w:lineRule="auto" w:before="177"/>
        <w:ind w:right="1131"/>
        <w:jc w:val="both"/>
      </w:pPr>
      <w:r>
        <w:rPr>
          <w:rFonts w:ascii="Times New Roman" w:hAnsi="Times New Roman" w:cs="Times New Roman" w:eastAsia="Times New Roman" w:hint="default"/>
          <w:spacing w:val="3"/>
        </w:rPr>
        <w:t>206,620,380.00</w:t>
      </w:r>
      <w:r>
        <w:rPr>
          <w:spacing w:val="3"/>
        </w:rPr>
        <w:t>元。此次股本变更事宜，经中准会计师事务所有限公司于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19</w:t>
      </w:r>
      <w:r>
        <w:rPr>
          <w:spacing w:val="3"/>
        </w:rPr>
        <w:t>日出具的中准验字</w:t>
      </w:r>
      <w:r>
        <w:rPr>
          <w:spacing w:val="-68"/>
        </w:rPr>
        <w:t> </w:t>
      </w:r>
      <w:r>
        <w:rPr>
          <w:spacing w:val="-68"/>
        </w:rPr>
      </w:r>
      <w:r>
        <w:rPr>
          <w:rFonts w:ascii="Times New Roman" w:hAnsi="Times New Roman" w:cs="Times New Roman" w:eastAsia="Times New Roman" w:hint="default"/>
          <w:spacing w:val="-2"/>
        </w:rPr>
        <w:t>[2010]</w:t>
      </w:r>
      <w:r>
        <w:rPr>
          <w:spacing w:val="-2"/>
        </w:rPr>
        <w:t>第</w:t>
      </w:r>
      <w:r>
        <w:rPr>
          <w:rFonts w:ascii="Times New Roman" w:hAnsi="Times New Roman" w:cs="Times New Roman" w:eastAsia="Times New Roman" w:hint="default"/>
          <w:spacing w:val="-2"/>
        </w:rPr>
        <w:t>2012</w:t>
      </w:r>
      <w:r>
        <w:rPr>
          <w:spacing w:val="-2"/>
        </w:rPr>
        <w:t>号验资报告予以验证，本公司已于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29</w:t>
      </w:r>
      <w:r>
        <w:rPr>
          <w:spacing w:val="-2"/>
        </w:rPr>
        <w:t>日取得了吉林省工商行政管理局核发的新的企</w:t>
      </w:r>
      <w:r>
        <w:rPr>
          <w:spacing w:val="-56"/>
        </w:rPr>
        <w:t> </w:t>
      </w:r>
      <w:r>
        <w:rPr>
          <w:spacing w:val="-56"/>
        </w:rPr>
      </w:r>
      <w:r>
        <w:rPr/>
        <w:t>业法人营业执照，注册号为</w:t>
      </w:r>
      <w:r>
        <w:rPr>
          <w:rFonts w:ascii="Times New Roman" w:hAnsi="Times New Roman" w:cs="Times New Roman" w:eastAsia="Times New Roman" w:hint="default"/>
        </w:rPr>
        <w:t>220000000052632</w:t>
      </w:r>
      <w:r>
        <w:rPr/>
        <w:t>。</w:t>
      </w:r>
    </w:p>
    <w:p>
      <w:pPr>
        <w:pStyle w:val="BodyText"/>
        <w:spacing w:line="393" w:lineRule="auto" w:before="35"/>
        <w:ind w:right="1127" w:firstLine="420"/>
        <w:jc w:val="both"/>
      </w:pPr>
      <w:r>
        <w:rPr>
          <w:spacing w:val="-6"/>
        </w:rPr>
        <w:t>本公司经中国证券监督管理委员会《关于核准吉林紫鑫药业股份有限公司非公开发行股票的批复》（证</w:t>
      </w:r>
      <w:r>
        <w:rPr/>
        <w:t> 监许可</w:t>
      </w:r>
      <w:r>
        <w:rPr>
          <w:rFonts w:ascii="Times New Roman" w:hAnsi="Times New Roman" w:cs="Times New Roman" w:eastAsia="Times New Roman" w:hint="default"/>
        </w:rPr>
        <w:t>[2010]1815</w:t>
      </w:r>
      <w:r>
        <w:rPr/>
        <w:t>号），核准本公司非公开发行</w:t>
      </w:r>
      <w:r>
        <w:rPr>
          <w:rFonts w:ascii="Times New Roman" w:hAnsi="Times New Roman" w:cs="Times New Roman" w:eastAsia="Times New Roman" w:hint="default"/>
        </w:rPr>
        <w:t>A</w:t>
      </w:r>
      <w:r>
        <w:rPr/>
        <w:t>股股票不超过</w:t>
      </w:r>
      <w:r>
        <w:rPr>
          <w:rFonts w:ascii="Times New Roman" w:hAnsi="Times New Roman" w:cs="Times New Roman" w:eastAsia="Times New Roman" w:hint="default"/>
        </w:rPr>
        <w:t>9,000</w:t>
      </w:r>
      <w:r>
        <w:rPr/>
        <w:t>万股，由保荐机构东北证券股份有限</w:t>
      </w:r>
      <w:r>
        <w:rPr>
          <w:spacing w:val="-60"/>
        </w:rPr>
        <w:t> </w:t>
      </w:r>
      <w:r>
        <w:rPr>
          <w:spacing w:val="-60"/>
        </w:rPr>
      </w:r>
      <w:r>
        <w:rPr>
          <w:spacing w:val="-1"/>
        </w:rPr>
        <w:t>公司作为主承销商，通过非公开发行方式向特定投资者发行。通过本次发行的认购询价、申购过程，本公</w:t>
      </w:r>
      <w:r>
        <w:rPr>
          <w:spacing w:val="-86"/>
        </w:rPr>
        <w:t> </w:t>
      </w:r>
      <w:r>
        <w:rPr>
          <w:spacing w:val="-86"/>
        </w:rPr>
      </w:r>
      <w:r>
        <w:rPr/>
        <w:t>司最终确定本次发行数量为</w:t>
      </w:r>
      <w:r>
        <w:rPr>
          <w:rFonts w:ascii="Times New Roman" w:hAnsi="Times New Roman" w:cs="Times New Roman" w:eastAsia="Times New Roman" w:hint="default"/>
        </w:rPr>
        <w:t>49,875,311</w:t>
      </w:r>
      <w:r>
        <w:rPr/>
        <w:t>股，每股面值为人民币</w:t>
      </w:r>
      <w:r>
        <w:rPr>
          <w:rFonts w:ascii="Times New Roman" w:hAnsi="Times New Roman" w:cs="Times New Roman" w:eastAsia="Times New Roman" w:hint="default"/>
        </w:rPr>
        <w:t>1.00</w:t>
      </w:r>
      <w:r>
        <w:rPr/>
        <w:t>元、每股发行价格为人民币</w:t>
      </w:r>
      <w:r>
        <w:rPr>
          <w:rFonts w:ascii="Times New Roman" w:hAnsi="Times New Roman" w:cs="Times New Roman" w:eastAsia="Times New Roman" w:hint="default"/>
        </w:rPr>
        <w:t>20.05</w:t>
      </w:r>
      <w:r>
        <w:rPr/>
        <w:t>元，申</w:t>
      </w:r>
      <w:r>
        <w:rPr>
          <w:spacing w:val="-26"/>
        </w:rPr>
        <w:t> </w:t>
      </w:r>
      <w:r>
        <w:rPr/>
        <w:t>请增加注册资本人民币</w:t>
      </w:r>
      <w:r>
        <w:rPr>
          <w:rFonts w:ascii="Times New Roman" w:hAnsi="Times New Roman" w:cs="Times New Roman" w:eastAsia="Times New Roman" w:hint="default"/>
        </w:rPr>
        <w:t>49,875,311.00</w:t>
      </w:r>
      <w:r>
        <w:rPr/>
        <w:t>元，由吉林长白山股权投资管理有限公司、兴业全球基金管理有限公</w:t>
      </w:r>
      <w:r>
        <w:rPr>
          <w:spacing w:val="-80"/>
        </w:rPr>
        <w:t> </w:t>
      </w:r>
      <w:r>
        <w:rPr>
          <w:spacing w:val="-80"/>
        </w:rPr>
      </w:r>
      <w:r>
        <w:rPr>
          <w:spacing w:val="-1"/>
        </w:rPr>
        <w:t>司、太平资产管理有限公司、百年化妆护理品有限公司、天津硅谷天堂鲲鹏股权投资基金合伙企业（有限</w:t>
      </w:r>
      <w:r>
        <w:rPr>
          <w:spacing w:val="-86"/>
        </w:rPr>
        <w:t> </w:t>
      </w:r>
      <w:r>
        <w:rPr>
          <w:spacing w:val="-86"/>
        </w:rPr>
      </w:r>
      <w:r>
        <w:rPr>
          <w:spacing w:val="-2"/>
        </w:rPr>
        <w:t>合伙）、杨录军于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日前一次性缴足，变更后的注册资本为人民币</w:t>
      </w:r>
      <w:r>
        <w:rPr>
          <w:rFonts w:ascii="Times New Roman" w:hAnsi="Times New Roman" w:cs="Times New Roman" w:eastAsia="Times New Roman" w:hint="default"/>
          <w:spacing w:val="-2"/>
        </w:rPr>
        <w:t>256,495,691.00</w:t>
      </w:r>
      <w:r>
        <w:rPr>
          <w:spacing w:val="-2"/>
        </w:rPr>
        <w:t>元。此次股本</w:t>
      </w:r>
      <w:r>
        <w:rPr>
          <w:spacing w:val="-73"/>
        </w:rPr>
        <w:t> </w:t>
      </w:r>
      <w:r>
        <w:rPr>
          <w:spacing w:val="-73"/>
        </w:rPr>
      </w:r>
      <w:r>
        <w:rPr/>
        <w:t>变更事宜，经中准会计师事务所有限公司于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日出具的中准验字</w:t>
      </w:r>
      <w:r>
        <w:rPr>
          <w:rFonts w:ascii="Times New Roman" w:hAnsi="Times New Roman" w:cs="Times New Roman" w:eastAsia="Times New Roman" w:hint="default"/>
        </w:rPr>
        <w:t>[2010]2068</w:t>
      </w:r>
      <w:r>
        <w:rPr/>
        <w:t>号验资报告予以验</w:t>
      </w:r>
      <w:r>
        <w:rPr>
          <w:spacing w:val="-67"/>
        </w:rPr>
        <w:t> </w:t>
      </w:r>
      <w:r>
        <w:rPr>
          <w:spacing w:val="-67"/>
        </w:rPr>
      </w:r>
      <w:r>
        <w:rPr>
          <w:spacing w:val="5"/>
        </w:rPr>
        <w:t>证，本公司已于</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12</w:t>
      </w:r>
      <w:r>
        <w:rPr>
          <w:spacing w:val="5"/>
        </w:rPr>
        <w:t>日取得了吉林省工商行政管理局核发的新的企业法人营业执照，注册号为</w:t>
      </w:r>
      <w:r>
        <w:rPr>
          <w:spacing w:val="-94"/>
        </w:rPr>
        <w:t> </w:t>
      </w:r>
      <w:r>
        <w:rPr>
          <w:spacing w:val="-94"/>
        </w:rPr>
      </w:r>
      <w:r>
        <w:rPr>
          <w:rFonts w:ascii="Times New Roman" w:hAnsi="Times New Roman" w:cs="Times New Roman" w:eastAsia="Times New Roman" w:hint="default"/>
        </w:rPr>
        <w:t>220000000052632</w:t>
      </w:r>
      <w:r>
        <w:rPr/>
        <w:t>、注册资本为人民币</w:t>
      </w:r>
      <w:r>
        <w:rPr>
          <w:rFonts w:ascii="Times New Roman" w:hAnsi="Times New Roman" w:cs="Times New Roman" w:eastAsia="Times New Roman" w:hint="default"/>
        </w:rPr>
        <w:t>256,495,691.00</w:t>
      </w:r>
      <w:r>
        <w:rPr/>
        <w:t>元。</w:t>
      </w:r>
    </w:p>
    <w:p>
      <w:pPr>
        <w:pStyle w:val="BodyText"/>
        <w:spacing w:line="386" w:lineRule="auto" w:before="28"/>
        <w:ind w:left="154" w:right="1235" w:firstLine="420"/>
        <w:jc w:val="both"/>
      </w:pPr>
      <w:r>
        <w:rPr/>
        <w:t>根据本公司</w:t>
      </w:r>
      <w:r>
        <w:rPr>
          <w:rFonts w:ascii="Times New Roman" w:hAnsi="Times New Roman" w:cs="Times New Roman" w:eastAsia="Times New Roman" w:hint="default"/>
        </w:rPr>
        <w:t>2010</w:t>
      </w:r>
      <w:r>
        <w:rPr/>
        <w:t>年度股东大会决议，审议通过了</w:t>
      </w:r>
      <w:r>
        <w:rPr>
          <w:rFonts w:ascii="Times New Roman" w:hAnsi="Times New Roman" w:cs="Times New Roman" w:eastAsia="Times New Roman" w:hint="default"/>
        </w:rPr>
        <w:t>2010</w:t>
      </w:r>
      <w:r>
        <w:rPr/>
        <w:t>年度利润分配方案，拟以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w:t>
      </w:r>
      <w:r>
        <w:rPr>
          <w:spacing w:val="2"/>
        </w:rPr>
        <w:t> </w:t>
      </w:r>
      <w:r>
        <w:rPr/>
        <w:t>本</w:t>
      </w:r>
      <w:r>
        <w:rPr>
          <w:rFonts w:ascii="Times New Roman" w:hAnsi="Times New Roman" w:cs="Times New Roman" w:eastAsia="Times New Roman" w:hint="default"/>
        </w:rPr>
        <w:t>256,495,691</w:t>
      </w:r>
      <w:r>
        <w:rPr/>
        <w:t>股为基数，用资本公积向全体股东转增股本，每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股。经中准会计师事务所有限</w:t>
      </w:r>
      <w:r>
        <w:rPr>
          <w:spacing w:val="-35"/>
        </w:rPr>
        <w:t> </w:t>
      </w:r>
      <w:r>
        <w:rPr>
          <w:spacing w:val="-35"/>
        </w:rPr>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日出具的中准验字</w:t>
      </w:r>
      <w:r>
        <w:rPr>
          <w:rFonts w:ascii="Times New Roman" w:hAnsi="Times New Roman" w:cs="Times New Roman" w:eastAsia="Times New Roman" w:hint="default"/>
        </w:rPr>
        <w:t>[2011]2022</w:t>
      </w:r>
      <w:r>
        <w:rPr/>
        <w:t>号验资报告予以验证，本公司已于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日取得</w:t>
      </w:r>
      <w:r>
        <w:rPr>
          <w:spacing w:val="-71"/>
        </w:rPr>
        <w:t> </w:t>
      </w:r>
      <w:r>
        <w:rPr>
          <w:spacing w:val="-1"/>
        </w:rPr>
        <w:t>了吉林省工商行政管理局核发的新的企业法人营业执照，注册号为</w:t>
      </w:r>
      <w:r>
        <w:rPr>
          <w:rFonts w:ascii="Times New Roman" w:hAnsi="Times New Roman" w:cs="Times New Roman" w:eastAsia="Times New Roman" w:hint="default"/>
          <w:spacing w:val="-1"/>
        </w:rPr>
        <w:t>220000000052632</w:t>
      </w:r>
      <w:r>
        <w:rPr>
          <w:spacing w:val="-1"/>
        </w:rPr>
        <w:t>、注册资本为人民币</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rFonts w:ascii="Times New Roman" w:hAnsi="Times New Roman" w:cs="Times New Roman" w:eastAsia="Times New Roman" w:hint="default"/>
        </w:rPr>
        <w:t>512,991,382.00</w:t>
      </w:r>
      <w:r>
        <w:rPr/>
        <w:t>元。</w:t>
      </w:r>
    </w:p>
    <w:p>
      <w:pPr>
        <w:spacing w:line="240" w:lineRule="auto" w:before="9"/>
        <w:rPr>
          <w:rFonts w:ascii="宋体" w:hAnsi="宋体" w:cs="宋体" w:eastAsia="宋体" w:hint="default"/>
          <w:sz w:val="22"/>
          <w:szCs w:val="22"/>
        </w:rPr>
      </w:pPr>
    </w:p>
    <w:p>
      <w:pPr>
        <w:spacing w:line="408" w:lineRule="auto" w:before="0"/>
        <w:ind w:left="871" w:right="4155" w:hanging="306"/>
        <w:jc w:val="left"/>
        <w:rPr>
          <w:rFonts w:ascii="宋体" w:hAnsi="宋体" w:cs="宋体" w:eastAsia="宋体" w:hint="default"/>
          <w:sz w:val="21"/>
          <w:szCs w:val="21"/>
        </w:rPr>
      </w:pPr>
      <w:r>
        <w:rPr/>
        <w:pict>
          <v:shape style="position:absolute;margin-left:56.34pt;margin-top:43.663647pt;width:454.8pt;height:306.3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74"/>
                  </w:tblGrid>
                  <w:tr>
                    <w:trPr>
                      <w:trHeight w:val="513" w:hRule="exact"/>
                    </w:trPr>
                    <w:tc>
                      <w:tcPr>
                        <w:tcW w:w="9074" w:type="dxa"/>
                        <w:tcBorders>
                          <w:top w:val="single" w:sz="8" w:space="0" w:color="000000"/>
                          <w:left w:val="single" w:sz="6" w:space="0" w:color="000000"/>
                          <w:bottom w:val="single" w:sz="12" w:space="0" w:color="000000"/>
                          <w:right w:val="nil" w:sz="6" w:space="0" w:color="auto"/>
                        </w:tcBorders>
                      </w:tcPr>
                      <w:p>
                        <w:pPr>
                          <w:pStyle w:val="TableParagraph"/>
                          <w:spacing w:line="240" w:lineRule="auto" w:before="74"/>
                          <w:ind w:right="7"/>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509"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吉林草还丹药业有限公司</w:t>
                        </w:r>
                      </w:p>
                    </w:tc>
                  </w:tr>
                  <w:tr>
                    <w:trPr>
                      <w:trHeight w:val="508"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吉林紫鑫敦化医药药材有限公司</w:t>
                        </w:r>
                      </w:p>
                    </w:tc>
                  </w:tr>
                  <w:tr>
                    <w:trPr>
                      <w:trHeight w:val="508"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吉林紫鑫初元药业有限公司</w:t>
                        </w:r>
                      </w:p>
                    </w:tc>
                  </w:tr>
                  <w:tr>
                    <w:trPr>
                      <w:trHeight w:val="509"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吉林紫鑫般若药业有限公司</w:t>
                        </w:r>
                      </w:p>
                    </w:tc>
                  </w:tr>
                  <w:tr>
                    <w:trPr>
                      <w:trHeight w:val="508"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吉林紫鑫禺拙药业有限公司</w:t>
                        </w:r>
                      </w:p>
                    </w:tc>
                  </w:tr>
                  <w:tr>
                    <w:trPr>
                      <w:trHeight w:val="508"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吉林紫鑫红石种养殖有限公司</w:t>
                        </w:r>
                      </w:p>
                    </w:tc>
                  </w:tr>
                  <w:tr>
                    <w:trPr>
                      <w:trHeight w:val="509"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吉林紫鑫人参销售有限公司</w:t>
                        </w:r>
                      </w:p>
                    </w:tc>
                  </w:tr>
                  <w:tr>
                    <w:trPr>
                      <w:trHeight w:val="508"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吉林紫鑫人参研发有限公司</w:t>
                        </w:r>
                      </w:p>
                    </w:tc>
                  </w:tr>
                  <w:tr>
                    <w:trPr>
                      <w:trHeight w:val="508"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吉林紫鑫药物研究有限公司</w:t>
                        </w:r>
                      </w:p>
                    </w:tc>
                  </w:tr>
                  <w:tr>
                    <w:trPr>
                      <w:trHeight w:val="509"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吉林中科紫鑫科技有限公司</w:t>
                        </w:r>
                      </w:p>
                    </w:tc>
                  </w:tr>
                  <w:tr>
                    <w:trPr>
                      <w:trHeight w:val="508" w:hRule="exact"/>
                    </w:trPr>
                    <w:tc>
                      <w:tcPr>
                        <w:tcW w:w="90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left="2" w:right="0"/>
                          <w:jc w:val="left"/>
                          <w:rPr>
                            <w:rFonts w:ascii="宋体" w:hAnsi="宋体" w:cs="宋体" w:eastAsia="宋体" w:hint="default"/>
                            <w:sz w:val="21"/>
                            <w:szCs w:val="21"/>
                          </w:rPr>
                        </w:pPr>
                        <w:r>
                          <w:rPr>
                            <w:rFonts w:ascii="宋体" w:hAnsi="宋体" w:cs="宋体" w:eastAsia="宋体" w:hint="default"/>
                            <w:sz w:val="21"/>
                            <w:szCs w:val="21"/>
                          </w:rPr>
                          <w:t>北方环境能源交易所有限公司</w:t>
                        </w:r>
                      </w:p>
                    </w:tc>
                  </w:tr>
                </w:tbl>
                <w:p>
                  <w:pPr/>
                </w:p>
              </w:txbxContent>
            </v:textbox>
            <w10:wrap type="none"/>
          </v:shape>
        </w:pict>
      </w:r>
      <w:r>
        <w:rPr>
          <w:rFonts w:ascii="宋体" w:hAnsi="宋体" w:cs="宋体" w:eastAsia="宋体" w:hint="default"/>
          <w:b/>
          <w:bCs/>
          <w:sz w:val="21"/>
          <w:szCs w:val="21"/>
        </w:rPr>
        <w:t>（三）合并财务报表范围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154"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pStyle w:val="Heading3"/>
        <w:spacing w:line="240" w:lineRule="auto" w:before="166"/>
        <w:ind w:left="154" w:right="0"/>
        <w:jc w:val="left"/>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left="154" w:right="0"/>
        <w:jc w:val="left"/>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1128" w:firstLine="420"/>
        <w:jc w:val="both"/>
      </w:pPr>
      <w:r>
        <w:rPr>
          <w:spacing w:val="-1"/>
        </w:rPr>
        <w:t>本公司以持续经营为基础，根据实际发生的交易和事项，按照财政部颁布的《企业会计准则</w:t>
      </w:r>
      <w:r>
        <w:rPr>
          <w:rFonts w:ascii="Times New Roman" w:hAnsi="Times New Roman" w:cs="Times New Roman" w:eastAsia="Times New Roman" w:hint="default"/>
          <w:spacing w:val="-1"/>
        </w:rPr>
        <w:t>——</w:t>
      </w:r>
      <w:r>
        <w:rPr>
          <w:spacing w:val="-1"/>
        </w:rPr>
        <w:t>基本</w:t>
      </w:r>
      <w:r>
        <w:rPr/>
        <w:t> </w:t>
      </w:r>
      <w:r>
        <w:rPr>
          <w:spacing w:val="2"/>
        </w:rPr>
        <w:t>准则》和各项具体会计准则、企业会计准则应用指南、企业会计准则解释及其他相关规定（以下合称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t>财务 报告的一般规定》的披露规定编制财务报表。</w:t>
      </w:r>
    </w:p>
    <w:p>
      <w:pPr>
        <w:spacing w:line="240" w:lineRule="auto" w:before="12"/>
        <w:rPr>
          <w:rFonts w:ascii="宋体" w:hAnsi="宋体" w:cs="宋体" w:eastAsia="宋体" w:hint="default"/>
          <w:sz w:val="27"/>
          <w:szCs w:val="27"/>
        </w:rPr>
      </w:pPr>
    </w:p>
    <w:p>
      <w:pPr>
        <w:pStyle w:val="Heading4"/>
        <w:spacing w:line="240" w:lineRule="auto"/>
        <w:ind w:left="154" w:right="0"/>
        <w:jc w:val="left"/>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90"/>
        <w:ind w:right="1130" w:firstLine="421"/>
        <w:jc w:val="both"/>
      </w:pPr>
      <w:r>
        <w:rPr>
          <w:spacing w:val="-1"/>
        </w:rPr>
        <w:t>本公司主营业务符合国家产业政策，生产经营正常，盈利能力稳定。自报告期末起</w:t>
      </w:r>
      <w:r>
        <w:rPr>
          <w:rFonts w:ascii="Times New Roman" w:hAnsi="Times New Roman" w:cs="Times New Roman" w:eastAsia="Times New Roman" w:hint="default"/>
          <w:spacing w:val="-1"/>
        </w:rPr>
        <w:t>12</w:t>
      </w:r>
      <w:r>
        <w:rPr>
          <w:spacing w:val="-1"/>
        </w:rPr>
        <w:t>个月本公司持续</w:t>
      </w:r>
      <w:r>
        <w:rPr/>
        <w:t> 经营能力不存在重大疑虑。</w:t>
      </w:r>
    </w:p>
    <w:p>
      <w:pPr>
        <w:spacing w:after="0" w:line="386" w:lineRule="auto"/>
        <w:jc w:val="both"/>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both"/>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0"/>
        <w:rPr>
          <w:rFonts w:ascii="宋体" w:hAnsi="宋体" w:cs="宋体" w:eastAsia="宋体" w:hint="default"/>
          <w:b/>
          <w:bCs/>
          <w:sz w:val="24"/>
          <w:szCs w:val="24"/>
        </w:rPr>
      </w:pPr>
    </w:p>
    <w:p>
      <w:pPr>
        <w:spacing w:before="189"/>
        <w:ind w:left="153" w:right="0" w:firstLine="0"/>
        <w:jc w:val="both"/>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8"/>
          <w:szCs w:val="18"/>
        </w:rPr>
      </w:pPr>
    </w:p>
    <w:p>
      <w:pPr>
        <w:pStyle w:val="BodyText"/>
        <w:spacing w:line="398" w:lineRule="auto" w:before="0"/>
        <w:ind w:right="1132" w:firstLine="420"/>
        <w:jc w:val="both"/>
      </w:pPr>
      <w:r>
        <w:rPr>
          <w:spacing w:val="3"/>
        </w:rPr>
        <w:t>以下披露内容已涵盖了本公司根据实际生产经营特点制定的具体会计政策和会计估计。详见本附注</w:t>
      </w:r>
      <w:r>
        <w:rPr/>
        <w:t> 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应收款项坏账准备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rFonts w:ascii="Times New Roman" w:hAnsi="Times New Roman" w:cs="Times New Roman" w:eastAsia="Times New Roman" w:hint="default"/>
        </w:rPr>
        <w:t>(</w:t>
      </w:r>
      <w:r>
        <w:rPr/>
        <w:t>十六</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t>无形资产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t>长期待摊费用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 十四</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收入</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4"/>
          <w:szCs w:val="24"/>
        </w:rPr>
      </w:pPr>
    </w:p>
    <w:p>
      <w:pPr>
        <w:pStyle w:val="Heading4"/>
        <w:spacing w:line="240" w:lineRule="auto"/>
        <w:ind w:left="154" w:right="0"/>
        <w:jc w:val="both"/>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017" w:firstLine="420"/>
        <w:jc w:val="left"/>
      </w:pPr>
      <w:r>
        <w:rPr>
          <w:spacing w:val="-3"/>
        </w:rPr>
        <w:t>本公司编制的财务报表符合企业会计准则的要求，真实、完整地反映了本公司的财务状况、经营成果、</w:t>
      </w:r>
      <w:r>
        <w:rPr/>
        <w:t> 现金流量等有关信息。</w:t>
      </w:r>
    </w:p>
    <w:p>
      <w:pPr>
        <w:spacing w:line="240" w:lineRule="auto" w:before="6"/>
        <w:rPr>
          <w:rFonts w:ascii="宋体" w:hAnsi="宋体" w:cs="宋体" w:eastAsia="宋体" w:hint="default"/>
          <w:sz w:val="26"/>
          <w:szCs w:val="26"/>
        </w:rPr>
      </w:pPr>
    </w:p>
    <w:p>
      <w:pPr>
        <w:pStyle w:val="Heading4"/>
        <w:spacing w:line="240" w:lineRule="auto"/>
        <w:ind w:left="154" w:right="0"/>
        <w:jc w:val="both"/>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4" w:right="0"/>
        <w:jc w:val="left"/>
      </w:pPr>
      <w:r>
        <w:rPr/>
        <w:t>本公司自公历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pStyle w:val="Heading4"/>
        <w:spacing w:line="240" w:lineRule="auto" w:before="189"/>
        <w:ind w:right="0"/>
        <w:jc w:val="both"/>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0"/>
        <w:ind w:left="573"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2"/>
          <w:szCs w:val="22"/>
        </w:rPr>
      </w:pPr>
    </w:p>
    <w:p>
      <w:pPr>
        <w:pStyle w:val="Heading4"/>
        <w:spacing w:line="240" w:lineRule="auto" w:before="189"/>
        <w:ind w:left="154" w:right="0"/>
        <w:jc w:val="both"/>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4" w:right="0"/>
        <w:jc w:val="left"/>
      </w:pPr>
      <w:r>
        <w:rPr/>
        <w:t>本公司采用人民币为记账本位币。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both"/>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0" w:hanging="9"/>
        <w:jc w:val="left"/>
      </w:pPr>
      <w:r>
        <w:rPr>
          <w:rFonts w:ascii="Times New Roman" w:hAnsi="Times New Roman" w:cs="Times New Roman" w:eastAsia="Times New Roman" w:hint="default"/>
        </w:rPr>
        <w:t>1</w:t>
      </w:r>
      <w:r>
        <w:rPr/>
        <w:t>、同一控制下的企业合并 </w:t>
      </w:r>
      <w:r>
        <w:rPr>
          <w:spacing w:val="-1"/>
        </w:rPr>
        <w:t>本公司在企业合并中取得的资产和负债，按照合并日在被合并方资产、负债（包括最终控制方收购被</w:t>
      </w:r>
    </w:p>
    <w:p>
      <w:pPr>
        <w:pStyle w:val="BodyText"/>
        <w:spacing w:line="408" w:lineRule="auto" w:before="65"/>
        <w:ind w:left="154" w:right="1131"/>
        <w:jc w:val="both"/>
      </w:pPr>
      <w:r>
        <w:rPr>
          <w:spacing w:val="-1"/>
        </w:rPr>
        <w:t>合并方而形成的商誉）在最终控制方合并财务报表中的账面价值计量。在合并中取得的净资产账面价值与</w:t>
      </w:r>
      <w:r>
        <w:rPr>
          <w:spacing w:val="-81"/>
        </w:rPr>
        <w:t> </w:t>
      </w:r>
      <w:r>
        <w:rPr>
          <w:spacing w:val="-81"/>
        </w:rPr>
      </w:r>
      <w:r>
        <w:rPr>
          <w:spacing w:val="-1"/>
        </w:rPr>
        <w:t>支付的合并对价账面价值（或发行股份面值总额）的差额，调整资本公积中的股本溢价，资本公积中的股</w:t>
      </w:r>
      <w:r>
        <w:rPr>
          <w:spacing w:val="-86"/>
        </w:rPr>
        <w:t> </w:t>
      </w:r>
      <w:r>
        <w:rPr>
          <w:spacing w:val="-86"/>
        </w:rPr>
      </w:r>
      <w:r>
        <w:rPr/>
        <w:t>本溢价不足冲减的，调整留存收益。</w:t>
      </w:r>
    </w:p>
    <w:p>
      <w:pPr>
        <w:pStyle w:val="BodyText"/>
        <w:spacing w:line="386" w:lineRule="auto"/>
        <w:ind w:left="574" w:right="0" w:hanging="9"/>
        <w:jc w:val="left"/>
      </w:pPr>
      <w:r>
        <w:rPr>
          <w:rFonts w:ascii="Times New Roman" w:hAnsi="Times New Roman" w:cs="Times New Roman" w:eastAsia="Times New Roman" w:hint="default"/>
        </w:rPr>
        <w:t>2</w:t>
      </w:r>
      <w:r>
        <w:rPr/>
        <w:t>、非同一控制下的合并 </w:t>
      </w:r>
      <w:r>
        <w:rPr>
          <w:spacing w:val="-1"/>
        </w:rPr>
        <w:t>本公司在购买日对作为企业合并对价付出的资产、发生或承担的负债按照公允价值计量，公允价值与</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其账面价值的差额，计入当期损益。本公司对合并成本大于合并中取得的被购买方可辨认净资产公允价值</w:t>
      </w:r>
      <w:r>
        <w:rPr>
          <w:spacing w:val="-81"/>
        </w:rPr>
        <w:t> </w:t>
      </w:r>
      <w:r>
        <w:rPr>
          <w:spacing w:val="-81"/>
        </w:rPr>
      </w:r>
      <w:r>
        <w:rPr>
          <w:spacing w:val="-1"/>
        </w:rPr>
        <w:t>份额的差额，确认为商誉；合并成本小于合并中取得的被购买方可辨认净资产公允价值份额的差额，计入</w:t>
      </w:r>
      <w:r>
        <w:rPr>
          <w:spacing w:val="-83"/>
        </w:rPr>
        <w:t> </w:t>
      </w:r>
      <w:r>
        <w:rPr>
          <w:spacing w:val="-83"/>
        </w:rPr>
      </w:r>
      <w:r>
        <w:rPr/>
        <w:t>当期损益。</w:t>
      </w:r>
    </w:p>
    <w:p>
      <w:pPr>
        <w:pStyle w:val="BodyText"/>
        <w:spacing w:line="408" w:lineRule="auto"/>
        <w:ind w:right="1131"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6"/>
        <w:rPr>
          <w:rFonts w:ascii="宋体" w:hAnsi="宋体" w:cs="宋体" w:eastAsia="宋体" w:hint="default"/>
          <w:sz w:val="26"/>
          <w:szCs w:val="26"/>
        </w:rPr>
      </w:pPr>
    </w:p>
    <w:p>
      <w:pPr>
        <w:pStyle w:val="Heading4"/>
        <w:spacing w:line="240" w:lineRule="auto"/>
        <w:ind w:right="0"/>
        <w:jc w:val="both"/>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3" w:right="1118" w:firstLine="2"/>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before="65"/>
        <w:ind w:right="0"/>
        <w:jc w:val="both"/>
      </w:pPr>
      <w:r>
        <w:rPr/>
        <w:t>割的部分）均纳入合并财务报表。</w:t>
      </w:r>
    </w:p>
    <w:p>
      <w:pPr>
        <w:spacing w:line="240" w:lineRule="auto" w:before="10"/>
        <w:rPr>
          <w:rFonts w:ascii="宋体" w:hAnsi="宋体" w:cs="宋体" w:eastAsia="宋体" w:hint="default"/>
          <w:sz w:val="14"/>
          <w:szCs w:val="14"/>
        </w:rPr>
      </w:pPr>
    </w:p>
    <w:p>
      <w:pPr>
        <w:pStyle w:val="BodyText"/>
        <w:spacing w:line="386" w:lineRule="auto" w:before="0"/>
        <w:ind w:left="573" w:right="1118" w:firstLine="2"/>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408" w:lineRule="auto" w:before="65"/>
        <w:ind w:right="1132"/>
        <w:jc w:val="both"/>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408" w:lineRule="auto"/>
        <w:ind w:right="1131"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BodyText"/>
        <w:spacing w:line="408" w:lineRule="auto"/>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86" w:lineRule="auto"/>
        <w:ind w:left="573"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408" w:lineRule="auto" w:before="65"/>
        <w:ind w:right="1130"/>
        <w:jc w:val="both"/>
      </w:pPr>
      <w:r>
        <w:rPr>
          <w:spacing w:val="-1"/>
        </w:rPr>
        <w:t>公司或业务合并当期期初至报告期末的收入、费用、利润纳入合并利润表；将子公司或业务合并当期期初</w:t>
      </w:r>
      <w:r>
        <w:rPr>
          <w:spacing w:val="-82"/>
        </w:rPr>
        <w:t> </w:t>
      </w:r>
      <w:r>
        <w:rPr>
          <w:spacing w:val="-82"/>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408" w:lineRule="auto"/>
        <w:ind w:right="1130"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right="113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3" w:right="0"/>
        <w:jc w:val="left"/>
      </w:pPr>
      <w:r>
        <w:rPr/>
        <w:t>（</w:t>
      </w:r>
      <w:r>
        <w:rPr>
          <w:rFonts w:ascii="Times New Roman" w:hAnsi="Times New Roman" w:cs="Times New Roman" w:eastAsia="Times New Roman" w:hint="default"/>
        </w:rPr>
        <w:t>2</w:t>
      </w:r>
      <w:r>
        <w:rPr/>
        <w:t>）处置子公司或业务</w:t>
      </w:r>
    </w:p>
    <w:p>
      <w:pPr>
        <w:pStyle w:val="BodyText"/>
        <w:spacing w:line="408" w:lineRule="auto" w:before="177"/>
        <w:ind w:left="573" w:right="0"/>
        <w:jc w:val="left"/>
      </w:pPr>
      <w:r>
        <w:rPr/>
        <w:t>①一般处理方法 </w:t>
      </w:r>
      <w:r>
        <w:rPr>
          <w:spacing w:val="-1"/>
        </w:rPr>
        <w:t>在报告期内，本公司处置子公司或业务，则该子公司或业务期初至处置日的收入、费用、利润纳入合</w:t>
      </w:r>
    </w:p>
    <w:p>
      <w:pPr>
        <w:pStyle w:val="BodyText"/>
        <w:spacing w:line="408" w:lineRule="auto"/>
        <w:ind w:left="573"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408"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408"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ind w:left="154"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573"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240" w:lineRule="auto"/>
        <w:ind w:right="0"/>
        <w:jc w:val="both"/>
      </w:pPr>
      <w:r>
        <w:rPr/>
        <w:t>置子公司并丧失控制权的交易进行会计处理；但是，在丧失控制权之前每一次处置价款与处置投资对应的</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86" w:lineRule="auto"/>
        <w:ind w:left="573" w:right="0"/>
        <w:jc w:val="left"/>
      </w:pPr>
      <w:r>
        <w:rPr/>
        <w:t>（</w:t>
      </w:r>
      <w:r>
        <w:rPr>
          <w:rFonts w:ascii="Times New Roman" w:hAnsi="Times New Roman" w:cs="Times New Roman" w:eastAsia="Times New Roman" w:hint="default"/>
        </w:rPr>
        <w:t>3</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before="65"/>
        <w:ind w:right="0"/>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386" w:lineRule="auto"/>
        <w:ind w:left="573"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408" w:lineRule="auto" w:before="65"/>
        <w:ind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90"/>
        <w:ind w:left="573" w:right="10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4" w:right="3297"/>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90"/>
        <w:ind w:right="1109" w:firstLine="420"/>
        <w:jc w:val="both"/>
      </w:pPr>
      <w:r>
        <w:rPr>
          <w:spacing w:val="-1"/>
        </w:rPr>
        <w:t>在编制现金流量表时，将本公司库存现金以及可以随时用于支付的存款确认为现金。将同时具备期限</w:t>
      </w:r>
      <w:r>
        <w:rPr/>
        <w:t> 短（从购买日起三个月内到期）、流动性强、易于转换为已知现金、价值变动风险很小四个条件的投资， 确定为现金等价物。</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3" w:right="2773"/>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408" w:lineRule="auto" w:before="65"/>
        <w:ind w:right="113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pStyle w:val="BodyText"/>
        <w:spacing w:line="386" w:lineRule="auto"/>
        <w:ind w:left="573" w:right="1122"/>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w:t>
      </w:r>
      <w:r>
        <w:rPr/>
      </w:r>
    </w:p>
    <w:p>
      <w:pPr>
        <w:pStyle w:val="BodyText"/>
        <w:spacing w:line="386" w:lineRule="auto" w:before="35"/>
        <w:ind w:right="1118"/>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5"/>
        </w:rPr>
        <w:t> </w:t>
      </w:r>
      <w:r>
        <w:rPr>
          <w:spacing w:val="-25"/>
        </w:rPr>
      </w:r>
      <w:r>
        <w:rPr/>
        <w:t>汇率折算。</w:t>
      </w:r>
    </w:p>
    <w:p>
      <w:pPr>
        <w:pStyle w:val="BodyText"/>
        <w:spacing w:line="408" w:lineRule="auto" w:before="65"/>
        <w:ind w:right="1131" w:firstLine="420"/>
        <w:jc w:val="both"/>
      </w:pPr>
      <w:r>
        <w:rPr>
          <w:spacing w:val="-1"/>
        </w:rPr>
        <w:t>处置境外经营时，将与该境外经营相关的外币财务报表折算差额，自所有者权益项目转入处置当期损</w:t>
      </w:r>
      <w:r>
        <w:rPr/>
        <w:t> 益。</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0"/>
        <w:ind w:left="574"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1</w:t>
      </w:r>
      <w:r>
        <w:rPr/>
        <w:t>、金融工具的分类 </w:t>
      </w:r>
      <w:r>
        <w:rPr>
          <w:spacing w:val="-1"/>
        </w:rPr>
        <w:t>金融资产和金融负债于初始确认时分类为：以公允价值计量且其变动计入当期损益的金融资产或金融</w:t>
      </w:r>
    </w:p>
    <w:p>
      <w:pPr>
        <w:pStyle w:val="BodyText"/>
        <w:spacing w:line="240" w:lineRule="auto" w:before="65"/>
        <w:ind w:left="154" w:right="0"/>
        <w:jc w:val="left"/>
      </w:pPr>
      <w:r>
        <w:rPr/>
        <w:t>负债；持有至到期投资；应收款项；可供出售金融资产；其他金融负债等</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2</w:t>
      </w:r>
      <w:r>
        <w:rPr/>
        <w:t>、金融工具的确认依据和计量方法</w:t>
      </w:r>
    </w:p>
    <w:p>
      <w:pPr>
        <w:pStyle w:val="BodyText"/>
        <w:spacing w:line="386" w:lineRule="auto" w:before="177"/>
        <w:ind w:left="57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before="65"/>
        <w:ind w:left="573" w:right="1513"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98" w:lineRule="auto"/>
        <w:ind w:left="573" w:right="1018"/>
        <w:jc w:val="left"/>
      </w:pPr>
      <w:r>
        <w:rPr/>
        <w:t>（</w:t>
      </w:r>
      <w:r>
        <w:rPr>
          <w:rFonts w:ascii="Times New Roman" w:hAnsi="Times New Roman" w:cs="Times New Roman" w:eastAsia="Times New Roman"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BodyText"/>
        <w:spacing w:line="408" w:lineRule="auto" w:before="54"/>
        <w:ind w:left="574" w:right="4032" w:hanging="420"/>
        <w:jc w:val="left"/>
      </w:pPr>
      <w:r>
        <w:rPr/>
        <w:t>预期存续期间或适用的更短期间内保持不变。 处置时，将所取得价款与该投资账面价值之间的差额计入投资收益。</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0"/>
        <w:jc w:val="left"/>
      </w:pPr>
      <w:r>
        <w:rPr/>
        <w:t>（</w:t>
      </w:r>
      <w:r>
        <w:rPr>
          <w:rFonts w:ascii="Times New Roman" w:hAnsi="Times New Roman" w:cs="Times New Roman" w:eastAsia="Times New Roman" w:hint="default"/>
        </w:rPr>
        <w:t>3</w:t>
      </w:r>
      <w:r>
        <w:rPr/>
        <w:t>）应收款项 </w:t>
      </w:r>
      <w:r>
        <w:rPr>
          <w:spacing w:val="-1"/>
        </w:rPr>
        <w:t>本公司对外销售商品或提供劳务形成的应收债权，以及本公司持有的其他企业的不包括在活跃市场上</w:t>
      </w:r>
    </w:p>
    <w:p>
      <w:pPr>
        <w:pStyle w:val="BodyText"/>
        <w:spacing w:line="408" w:lineRule="auto" w:before="65"/>
        <w:ind w:right="0"/>
        <w:jc w:val="left"/>
      </w:pPr>
      <w:r>
        <w:rPr>
          <w:spacing w:val="-1"/>
        </w:rPr>
        <w:t>有报价的债务工具的债权，包括应收账款、其他应收款等，以向购货方应收的合同或协议价款作为初始确</w:t>
      </w:r>
      <w:r>
        <w:rPr>
          <w:spacing w:val="-83"/>
        </w:rPr>
        <w:t> </w:t>
      </w:r>
      <w:r>
        <w:rPr>
          <w:spacing w:val="-83"/>
        </w:rPr>
      </w:r>
      <w:r>
        <w:rPr/>
        <w:t>认金额；具有融资性质的，按其现值进行初始确认。</w:t>
      </w:r>
    </w:p>
    <w:p>
      <w:pPr>
        <w:pStyle w:val="BodyText"/>
        <w:spacing w:line="240" w:lineRule="auto"/>
        <w:ind w:left="573"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w:t>
      </w:r>
    </w:p>
    <w:p>
      <w:pPr>
        <w:pStyle w:val="BodyText"/>
        <w:spacing w:line="408" w:lineRule="auto" w:before="65"/>
        <w:ind w:left="573" w:right="0" w:hanging="420"/>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408" w:lineRule="auto"/>
        <w:ind w:right="0"/>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408" w:lineRule="auto"/>
        <w:ind w:right="0" w:firstLine="420"/>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393" w:lineRule="auto"/>
        <w:ind w:left="573" w:right="1118"/>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、金融资产转移的确认依据和计量方法 </w:t>
      </w:r>
      <w:r>
        <w:rPr>
          <w:spacing w:val="-1"/>
        </w:rPr>
        <w:t>本公司发生金融资产转移时，如已将金融资产所有权上几乎所有的风险和报酬转移给转入方，则终止</w:t>
      </w:r>
    </w:p>
    <w:p>
      <w:pPr>
        <w:pStyle w:val="BodyText"/>
        <w:spacing w:line="408" w:lineRule="auto" w:before="58"/>
        <w:ind w:left="573" w:right="0" w:hanging="420"/>
        <w:jc w:val="left"/>
      </w:pPr>
      <w:r>
        <w:rPr/>
        <w:t>确认该金融资产；如保留了金融资产所有权上几乎所有的风险和报酬的，则不终止确认该金融资产。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408" w:lineRule="auto"/>
        <w:ind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3" w:right="0"/>
        <w:jc w:val="left"/>
      </w:pPr>
      <w:r>
        <w:rPr/>
        <w:t>（</w:t>
      </w:r>
      <w:r>
        <w:rPr>
          <w:rFonts w:ascii="Times New Roman" w:hAnsi="Times New Roman" w:cs="Times New Roman" w:eastAsia="Times New Roman" w:hint="default"/>
        </w:rPr>
        <w:t>1</w:t>
      </w:r>
      <w:r>
        <w:rPr/>
        <w:t>）所转移金融资产的账面价值；</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408" w:lineRule="auto" w:before="65"/>
        <w:ind w:right="0" w:firstLine="420"/>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3" w:right="0"/>
        <w:jc w:val="left"/>
      </w:pPr>
      <w:r>
        <w:rPr/>
        <w:t>（</w:t>
      </w:r>
      <w:r>
        <w:rPr>
          <w:rFonts w:ascii="Times New Roman" w:hAnsi="Times New Roman" w:cs="Times New Roman" w:eastAsia="Times New Roman" w:hint="default"/>
        </w:rPr>
        <w:t>1</w:t>
      </w:r>
      <w:r>
        <w:rPr/>
        <w:t>）终止确认部分的账面价值；</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240" w:lineRule="auto" w:before="65"/>
        <w:ind w:left="573" w:right="0"/>
        <w:jc w:val="left"/>
      </w:pPr>
      <w:r>
        <w:rPr/>
        <w:t>金融资产转移不满足终止确认条件的，继续确认该金融资产，所收到的对价确认为一项金融负债。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0"/>
        <w:jc w:val="left"/>
      </w:pP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金融负债的现时义务全部或部分已经解除的，则终止确认该金融负债或其一部分；本公司若与债权人</w:t>
      </w:r>
    </w:p>
    <w:p>
      <w:pPr>
        <w:pStyle w:val="BodyText"/>
        <w:spacing w:line="408" w:lineRule="auto" w:before="65"/>
        <w:ind w:right="113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408" w:lineRule="auto"/>
        <w:ind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408" w:lineRule="auto"/>
        <w:ind w:right="1130"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ind w:right="113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pStyle w:val="BodyText"/>
        <w:spacing w:line="386" w:lineRule="auto"/>
        <w:ind w:left="573" w:right="0"/>
        <w:jc w:val="left"/>
      </w:pPr>
      <w:r>
        <w:rPr>
          <w:rFonts w:ascii="Times New Roman" w:hAnsi="Times New Roman" w:cs="Times New Roman" w:eastAsia="Times New Roman" w:hint="default"/>
        </w:rPr>
        <w:t>5</w:t>
      </w:r>
      <w:r>
        <w:rPr/>
        <w:t>、金融资产和金融负债的公允价值确定方法 </w:t>
      </w:r>
      <w:r>
        <w:rPr>
          <w:spacing w:val="-1"/>
        </w:rPr>
        <w:t>存在活跃市场的金融工具，以活跃市场中的报价确定其公允价值。不存在活跃市场的金融工具，采用</w:t>
      </w:r>
    </w:p>
    <w:p>
      <w:pPr>
        <w:pStyle w:val="BodyText"/>
        <w:spacing w:line="408" w:lineRule="auto" w:before="65"/>
        <w:ind w:right="1109"/>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BodyText"/>
        <w:spacing w:line="386" w:lineRule="auto"/>
        <w:ind w:left="573" w:right="0"/>
        <w:jc w:val="left"/>
      </w:pPr>
      <w:r>
        <w:rPr>
          <w:rFonts w:ascii="Times New Roman" w:hAnsi="Times New Roman" w:cs="Times New Roman" w:eastAsia="Times New Roman" w:hint="default"/>
        </w:rPr>
        <w:t>6</w:t>
      </w:r>
      <w:r>
        <w:rPr/>
        <w:t>、金融资产（不含应收款项）减值测试方法 </w:t>
      </w:r>
      <w:r>
        <w:rPr>
          <w:spacing w:val="-1"/>
        </w:rPr>
        <w:t>除以公允价值计量且其变动计入当期损益的金融资产外，本公司于资产负债表日对金融资产的账面价</w:t>
      </w:r>
    </w:p>
    <w:p>
      <w:pPr>
        <w:pStyle w:val="BodyText"/>
        <w:spacing w:line="240" w:lineRule="auto" w:before="65"/>
        <w:ind w:right="0"/>
        <w:jc w:val="both"/>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t>（</w:t>
      </w:r>
      <w:r>
        <w:rPr>
          <w:rFonts w:ascii="Times New Roman" w:hAnsi="Times New Roman" w:cs="Times New Roman" w:eastAsia="Times New Roman" w:hint="default"/>
        </w:rPr>
        <w:t>1</w:t>
      </w:r>
      <w:r>
        <w:rPr/>
        <w:t>）可供出售金融资产的减值准备： </w:t>
      </w:r>
      <w:r>
        <w:rPr>
          <w:spacing w:val="-1"/>
        </w:rPr>
        <w:t>期末如果可供出售金融资产的公允价值发生严重下降，或在综合考虑各种相关因素后，预期这种下降</w:t>
      </w:r>
    </w:p>
    <w:p>
      <w:pPr>
        <w:pStyle w:val="BodyText"/>
        <w:spacing w:line="408" w:lineRule="auto" w:before="65"/>
        <w:ind w:right="1131"/>
        <w:jc w:val="both"/>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ind w:right="1132"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393" w:lineRule="auto"/>
        <w:ind w:left="573" w:right="1572"/>
        <w:jc w:val="left"/>
      </w:pPr>
      <w:r>
        <w:rPr/>
        <w:t>可供出售权益工具投资发生的减值损失，不通过损益转回。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的标准为公允价值下降幅度超过</w:t>
      </w:r>
      <w:r>
        <w:rPr>
          <w:rFonts w:ascii="Times New Roman" w:hAnsi="Times New Roman" w:cs="Times New Roman" w:eastAsia="Times New Roman" w:hint="default"/>
        </w:rPr>
        <w:t>30%</w:t>
      </w:r>
      <w:r>
        <w:rPr/>
        <w:t>的。</w:t>
      </w:r>
      <w:r>
        <w:rPr>
          <w:spacing w:val="-2"/>
        </w:rPr>
        <w:t> </w:t>
      </w:r>
      <w:r>
        <w:rPr/>
        <w:t>本公司对可供出售权益工具投资的公允价值下跌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w:t>
      </w:r>
    </w:p>
    <w:p>
      <w:pPr>
        <w:spacing w:after="0" w:line="39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t>本公司对可供出售权益工具投资的公允价值下跌跌于其成本超过</w:t>
      </w:r>
      <w:r>
        <w:rPr>
          <w:rFonts w:ascii="Times New Roman" w:hAnsi="Times New Roman" w:cs="Times New Roman" w:eastAsia="Times New Roman" w:hint="default"/>
        </w:rPr>
        <w:t>6</w:t>
      </w:r>
      <w:r>
        <w:rPr/>
        <w:t>个月以上尚未回暖的。</w:t>
      </w:r>
    </w:p>
    <w:p>
      <w:pPr>
        <w:pStyle w:val="BodyText"/>
        <w:spacing w:line="386" w:lineRule="auto" w:before="177"/>
        <w:ind w:left="573" w:right="382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2"/>
        <w:rPr>
          <w:rFonts w:ascii="宋体" w:hAnsi="宋体" w:cs="宋体" w:eastAsia="宋体" w:hint="default"/>
          <w:sz w:val="27"/>
          <w:szCs w:val="27"/>
        </w:rPr>
      </w:pPr>
    </w:p>
    <w:p>
      <w:pPr>
        <w:pStyle w:val="Heading4"/>
        <w:spacing w:line="240" w:lineRule="auto"/>
        <w:ind w:right="0"/>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3" w:right="68"/>
              <w:jc w:val="left"/>
              <w:rPr>
                <w:rFonts w:ascii="宋体" w:hAnsi="宋体" w:cs="宋体" w:eastAsia="宋体" w:hint="default"/>
                <w:sz w:val="18"/>
                <w:szCs w:val="18"/>
              </w:rPr>
            </w:pPr>
            <w:r>
              <w:rPr>
                <w:rFonts w:ascii="宋体" w:hAnsi="宋体" w:cs="宋体" w:eastAsia="宋体" w:hint="default"/>
                <w:sz w:val="18"/>
                <w:szCs w:val="18"/>
              </w:rPr>
              <w:t>本公司单项金额重大的应收款项为期末余额在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的应收款项</w:t>
            </w:r>
          </w:p>
        </w:tc>
      </w:tr>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 客观证据表明其已发生减值，按预计未来现金流量现值低于 其账面价值的差额计提坏账准备，计入当期损益。单独测试 未发生减值的应收款项，将其归入相应组合计提坏账准备。</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55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非合并范围内应收款项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559"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合并范围内关联方应收款项</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10"/>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40" w:lineRule="auto" w:before="12"/>
        <w:rPr>
          <w:rFonts w:ascii="宋体" w:hAnsi="宋体" w:cs="宋体" w:eastAsia="宋体" w:hint="default"/>
          <w:sz w:val="20"/>
          <w:szCs w:val="20"/>
        </w:rPr>
      </w:pPr>
    </w:p>
    <w:p>
      <w:pPr>
        <w:spacing w:line="489" w:lineRule="auto" w:before="0"/>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8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5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得到有效证据表明应当单独计提坏账准备时</w:t>
            </w:r>
          </w:p>
        </w:tc>
      </w:tr>
      <w:tr>
        <w:trPr>
          <w:trHeight w:val="55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按照实际余额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both"/>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left="573" w:right="1723"/>
        <w:jc w:val="left"/>
      </w:pPr>
      <w:r>
        <w:rPr>
          <w:rFonts w:ascii="Times New Roman" w:hAnsi="Times New Roman" w:cs="Times New Roman" w:eastAsia="Times New Roman" w:hint="default"/>
        </w:rPr>
        <w:t>1</w:t>
      </w:r>
      <w:r>
        <w:rPr/>
        <w:t>、存货分类： 本公司存货分类为：库存商品、原材料、包装物、在产品、自制半成品、消耗性生物资产等。 </w:t>
      </w:r>
      <w:r>
        <w:rPr>
          <w:rFonts w:ascii="Times New Roman" w:hAnsi="Times New Roman" w:cs="Times New Roman" w:eastAsia="Times New Roman" w:hint="default"/>
        </w:rPr>
        <w:t>2</w:t>
      </w:r>
      <w:r>
        <w:rPr/>
        <w:t>、存货发出的计价方法：</w:t>
      </w:r>
    </w:p>
    <w:p>
      <w:pPr>
        <w:pStyle w:val="BodyText"/>
        <w:spacing w:line="240" w:lineRule="auto" w:before="24"/>
        <w:ind w:left="573" w:right="0"/>
        <w:jc w:val="left"/>
      </w:pPr>
      <w:r>
        <w:rPr/>
        <w:t>本公司存货发出时按照加权平均法计价。</w:t>
      </w:r>
    </w:p>
    <w:p>
      <w:pPr>
        <w:spacing w:line="240" w:lineRule="auto" w:before="10"/>
        <w:rPr>
          <w:rFonts w:ascii="宋体" w:hAnsi="宋体" w:cs="宋体" w:eastAsia="宋体" w:hint="default"/>
          <w:sz w:val="14"/>
          <w:szCs w:val="14"/>
        </w:rPr>
      </w:pPr>
    </w:p>
    <w:p>
      <w:pPr>
        <w:pStyle w:val="BodyText"/>
        <w:spacing w:line="386" w:lineRule="auto" w:before="0"/>
        <w:ind w:left="574" w:right="0"/>
        <w:jc w:val="left"/>
      </w:pPr>
      <w:r>
        <w:rPr>
          <w:rFonts w:ascii="Times New Roman" w:hAnsi="Times New Roman" w:cs="Times New Roman" w:eastAsia="Times New Roman" w:hint="default"/>
        </w:rPr>
        <w:t>3</w:t>
      </w:r>
      <w:r>
        <w:rPr/>
        <w:t>、不同类别存货可变现净值的确定依据 </w:t>
      </w:r>
      <w:r>
        <w:rPr>
          <w:spacing w:val="-1"/>
        </w:rPr>
        <w:t>产成品、库存商品和用于出售的材料等直接用于出售的商品存货，在正常生产经营过程中，以该存货</w:t>
      </w:r>
    </w:p>
    <w:p>
      <w:pPr>
        <w:pStyle w:val="BodyText"/>
        <w:spacing w:line="408" w:lineRule="auto" w:before="65"/>
        <w:ind w:left="154"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left="154"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408" w:lineRule="auto"/>
        <w:ind w:left="154" w:right="1132" w:firstLine="420"/>
        <w:jc w:val="both"/>
      </w:pPr>
      <w:r>
        <w:rPr>
          <w:spacing w:val="-1"/>
        </w:rPr>
        <w:t>除有明确证据表明资产负债表日市场价格异常外，存货项目的可变现净值以资产负债表日市场价格为</w:t>
      </w:r>
      <w:r>
        <w:rPr/>
        <w:t> 基础确定。</w:t>
      </w:r>
    </w:p>
    <w:p>
      <w:pPr>
        <w:pStyle w:val="BodyText"/>
        <w:spacing w:line="240" w:lineRule="auto"/>
        <w:ind w:left="574" w:right="0"/>
        <w:jc w:val="left"/>
      </w:pPr>
      <w:r>
        <w:rPr/>
        <w:t>本期期末存货项目的可变现净值以资产负债表日市场价格为基础确定。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98" w:lineRule="auto" w:before="174"/>
        <w:ind w:left="565" w:right="7086" w:firstLine="8"/>
        <w:jc w:val="left"/>
      </w:pPr>
      <w:r>
        <w:rPr>
          <w:rFonts w:ascii="Times New Roman" w:hAnsi="Times New Roman" w:cs="Times New Roman" w:eastAsia="Times New Roman" w:hint="default"/>
        </w:rPr>
        <w:t>4</w:t>
      </w:r>
      <w:r>
        <w:rPr/>
        <w:t>、存货的盘存制度 本公司存货采取永续盘存制。 </w:t>
      </w:r>
      <w:r>
        <w:rPr>
          <w:rFonts w:ascii="Times New Roman" w:hAnsi="Times New Roman" w:cs="Times New Roman" w:eastAsia="Times New Roman" w:hint="default"/>
        </w:rPr>
        <w:t>5</w:t>
      </w:r>
      <w:r>
        <w:rPr/>
        <w:t>、低值易耗品和包装物的转销方法</w:t>
      </w:r>
    </w:p>
    <w:p>
      <w:pPr>
        <w:pStyle w:val="BodyText"/>
        <w:spacing w:line="240" w:lineRule="auto" w:before="24"/>
        <w:ind w:left="565"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77"/>
        <w:ind w:left="565" w:right="0"/>
        <w:jc w:val="left"/>
      </w:pPr>
      <w:r>
        <w:rPr/>
        <w:t>（</w:t>
      </w:r>
      <w:r>
        <w:rPr>
          <w:rFonts w:ascii="Times New Roman" w:hAnsi="Times New Roman" w:cs="Times New Roman" w:eastAsia="Times New Roman" w:hint="default"/>
        </w:rPr>
        <w:t>2</w:t>
      </w:r>
      <w:r>
        <w:rPr/>
        <w:t>）包装物采用一次转销法</w:t>
      </w:r>
    </w:p>
    <w:p>
      <w:pPr>
        <w:spacing w:line="750" w:lineRule="atLeast" w:before="18"/>
        <w:ind w:left="573" w:right="3403" w:hanging="420"/>
        <w:jc w:val="left"/>
        <w:rPr>
          <w:rFonts w:ascii="宋体" w:hAnsi="宋体" w:cs="宋体" w:eastAsia="宋体" w:hint="default"/>
          <w:sz w:val="21"/>
          <w:szCs w:val="21"/>
        </w:rPr>
      </w:pPr>
      <w:bookmarkStart w:name="13、划分为持有待售资产" w:id="181"/>
      <w:bookmarkEnd w:id="181"/>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本公司将同时满足下列条件的组成部分（或非流动资产）确认为持有待售：</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86" w:lineRule="auto" w:before="177"/>
        <w:ind w:left="154" w:right="0" w:firstLine="420"/>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 得股东大会或相应权力机构的批准；</w:t>
      </w:r>
    </w:p>
    <w:p>
      <w:pPr>
        <w:pStyle w:val="BodyText"/>
        <w:spacing w:line="240" w:lineRule="auto" w:before="65"/>
        <w:ind w:left="574"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177"/>
        <w:ind w:left="574" w:right="0"/>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2"/>
          <w:szCs w:val="22"/>
        </w:rPr>
      </w:pPr>
    </w:p>
    <w:p>
      <w:pPr>
        <w:pStyle w:val="Heading4"/>
        <w:spacing w:line="240" w:lineRule="auto" w:before="189"/>
        <w:ind w:left="154" w:right="0"/>
        <w:jc w:val="both"/>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90"/>
        <w:ind w:left="573" w:right="0"/>
        <w:jc w:val="left"/>
      </w:pPr>
      <w:r>
        <w:rPr>
          <w:rFonts w:ascii="Times New Roman" w:hAnsi="Times New Roman" w:cs="Times New Roman" w:eastAsia="Times New Roman" w:hint="default"/>
        </w:rPr>
        <w:t>1</w:t>
      </w:r>
      <w:r>
        <w:rPr/>
        <w:t>、共同控制、重大影响的判断标准 </w:t>
      </w:r>
      <w:r>
        <w:rPr>
          <w:spacing w:val="-1"/>
        </w:rPr>
        <w:t>共同控制，是指按照相关约定对某项安排所共有的控制，并且该安排的相关活动必须经过分享控制权</w:t>
      </w:r>
    </w:p>
    <w:p>
      <w:pPr>
        <w:pStyle w:val="BodyText"/>
        <w:spacing w:line="408" w:lineRule="auto" w:before="65"/>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ind w:left="154" w:right="0" w:firstLine="420"/>
        <w:jc w:val="left"/>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BodyText"/>
        <w:spacing w:line="240" w:lineRule="auto"/>
        <w:ind w:left="573" w:right="0"/>
        <w:jc w:val="left"/>
      </w:pPr>
      <w:r>
        <w:rPr>
          <w:rFonts w:ascii="Times New Roman" w:hAnsi="Times New Roman" w:cs="Times New Roman" w:eastAsia="Times New Roman" w:hint="default"/>
        </w:rPr>
        <w:t>2</w:t>
      </w:r>
      <w:r>
        <w:rPr/>
        <w:t>、初始投资成本的确定</w:t>
      </w:r>
    </w:p>
    <w:p>
      <w:pPr>
        <w:pStyle w:val="BodyText"/>
        <w:spacing w:line="386" w:lineRule="auto" w:before="177"/>
        <w:ind w:left="573" w:right="0"/>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w:t>
      </w:r>
    </w:p>
    <w:p>
      <w:pPr>
        <w:pStyle w:val="BodyText"/>
        <w:spacing w:line="408" w:lineRule="auto" w:before="65"/>
        <w:ind w:right="1130"/>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益。</w:t>
      </w:r>
    </w:p>
    <w:p>
      <w:pPr>
        <w:spacing w:line="240" w:lineRule="auto" w:before="10"/>
        <w:rPr>
          <w:rFonts w:ascii="宋体" w:hAnsi="宋体" w:cs="宋体" w:eastAsia="宋体" w:hint="default"/>
          <w:sz w:val="14"/>
          <w:szCs w:val="14"/>
        </w:rPr>
      </w:pPr>
    </w:p>
    <w:p>
      <w:pPr>
        <w:pStyle w:val="BodyText"/>
        <w:spacing w:line="408" w:lineRule="auto" w:before="0"/>
        <w:ind w:left="154" w:right="113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0" w:lineRule="auto"/>
        <w:ind w:left="573"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before="52"/>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3"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3</w:t>
      </w:r>
      <w:r>
        <w:rPr/>
        <w:t>、后续计量及损益确认方法</w:t>
      </w:r>
    </w:p>
    <w:p>
      <w:pPr>
        <w:pStyle w:val="BodyText"/>
        <w:spacing w:line="386" w:lineRule="auto" w:before="177"/>
        <w:ind w:left="573" w:right="0"/>
        <w:jc w:val="left"/>
      </w:pPr>
      <w:r>
        <w:rPr/>
        <w:t>（</w:t>
      </w:r>
      <w:r>
        <w:rPr>
          <w:rFonts w:ascii="Times New Roman" w:hAnsi="Times New Roman" w:cs="Times New Roman" w:eastAsia="Times New Roman" w:hint="default"/>
        </w:rPr>
        <w:t>1</w:t>
      </w:r>
      <w:r>
        <w:rPr/>
        <w:t>）成本法核算的长期股权投资 </w:t>
      </w:r>
      <w:r>
        <w:rPr>
          <w:spacing w:val="-1"/>
        </w:rPr>
        <w:t>本公司对子公司的长期股权投资，采用成本法核算。除取得投资时实际支付的价款或对价中包含的已</w:t>
      </w:r>
    </w:p>
    <w:p>
      <w:pPr>
        <w:pStyle w:val="BodyText"/>
        <w:spacing w:line="408" w:lineRule="auto" w:before="65"/>
        <w:ind w:right="1131"/>
        <w:jc w:val="both"/>
      </w:pPr>
      <w:r>
        <w:rPr>
          <w:spacing w:val="-1"/>
        </w:rPr>
        <w:t>宣告但尚未发放的现金股利或利润外，公司按照享有被投资单位宣告发放的现金股利或利润确认当期投资</w:t>
      </w:r>
      <w:r>
        <w:rPr>
          <w:spacing w:val="-81"/>
        </w:rPr>
        <w:t> </w:t>
      </w:r>
      <w:r>
        <w:rPr>
          <w:spacing w:val="-81"/>
        </w:rPr>
      </w:r>
      <w:r>
        <w:rPr/>
        <w:t>收益。</w:t>
      </w:r>
    </w:p>
    <w:p>
      <w:pPr>
        <w:pStyle w:val="BodyText"/>
        <w:spacing w:line="386" w:lineRule="auto"/>
        <w:ind w:left="573"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w:t>
      </w:r>
    </w:p>
    <w:p>
      <w:pPr>
        <w:pStyle w:val="BodyText"/>
        <w:spacing w:line="408" w:lineRule="auto" w:before="65"/>
        <w:ind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ind w:right="1130" w:firstLine="420"/>
        <w:jc w:val="both"/>
      </w:pPr>
      <w:r>
        <w:rPr>
          <w:spacing w:val="-1"/>
        </w:rPr>
        <w:t>本公司按照应享有或应分担的被投资单位实现的净损益和其他综合收益的份额，分别确认投资收益和</w:t>
      </w:r>
      <w:r>
        <w:rPr/>
        <w:t> </w:t>
      </w:r>
      <w:r>
        <w:rPr>
          <w:spacing w:val="-1"/>
        </w:rPr>
        <w:t>其他综合收益，同时调整长期股权投资的账面价值；按照被投资单位宣告分派的利润或现金股利计算应享</w:t>
      </w:r>
      <w:r>
        <w:rPr>
          <w:spacing w:val="-80"/>
        </w:rPr>
        <w:t> </w:t>
      </w:r>
      <w:r>
        <w:rPr>
          <w:spacing w:val="-80"/>
        </w:rPr>
      </w:r>
      <w:r>
        <w:rPr>
          <w:spacing w:val="-1"/>
        </w:rPr>
        <w:t>有的部分，相应减少长期股权投资的账面价值；对于被投资单位除净损益、其他综合收益和利润分配以外</w:t>
      </w:r>
      <w:r>
        <w:rPr>
          <w:spacing w:val="-83"/>
        </w:rPr>
        <w:t> </w:t>
      </w:r>
      <w:r>
        <w:rPr>
          <w:spacing w:val="-83"/>
        </w:rPr>
      </w:r>
      <w:r>
        <w:rPr/>
        <w:t>所有者权益的其他变动，调整长期股权投资的账面价值并计入所有者权益。</w:t>
      </w:r>
    </w:p>
    <w:p>
      <w:pPr>
        <w:pStyle w:val="BodyText"/>
        <w:spacing w:line="408" w:lineRule="auto"/>
        <w:ind w:right="1131" w:firstLine="420"/>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240" w:lineRule="auto"/>
        <w:ind w:left="573" w:right="0"/>
        <w:jc w:val="left"/>
      </w:pPr>
      <w:r>
        <w:rPr/>
        <w:t>本公司与联营企业、合营企业之间发生的未实现内部交易损益按照应享有的比例计算归属于公司的部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0" w:lineRule="auto" w:before="174"/>
        <w:ind w:right="1132"/>
        <w:jc w:val="both"/>
      </w:pP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2"/>
        </w:rPr>
        <w:t>附注</w:t>
      </w:r>
      <w:r>
        <w:rPr>
          <w:rFonts w:ascii="Times New Roman" w:hAnsi="Times New Roman" w:cs="Times New Roman" w:eastAsia="Times New Roman" w:hint="default"/>
          <w:spacing w:val="-2"/>
        </w:rPr>
        <w:t>“</w:t>
      </w:r>
      <w:r>
        <w:rPr>
          <w:spacing w:val="-2"/>
        </w:rPr>
        <w:t>三、（五）同一控制下和非同一控制下企业合并的会计处理方法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w:t>
      </w:r>
      <w:r>
        <w:rPr/>
        <w:t> 方法</w:t>
      </w:r>
      <w:r>
        <w:rPr>
          <w:rFonts w:ascii="Times New Roman" w:hAnsi="Times New Roman" w:cs="Times New Roman" w:eastAsia="Times New Roman" w:hint="default"/>
        </w:rPr>
        <w:t>”</w:t>
      </w:r>
      <w:r>
        <w:rPr/>
        <w:t>中披露的相关政策进行会计处理。</w:t>
      </w:r>
    </w:p>
    <w:p>
      <w:pPr>
        <w:pStyle w:val="BodyText"/>
        <w:spacing w:line="408" w:lineRule="auto" w:before="21"/>
        <w:ind w:left="154" w:right="1131"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386" w:lineRule="auto"/>
        <w:ind w:left="573" w:right="361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08" w:lineRule="auto" w:before="65"/>
        <w:ind w:right="113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408" w:lineRule="auto"/>
        <w:ind w:right="113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right="1118" w:firstLine="420"/>
        <w:jc w:val="left"/>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 </w:t>
      </w:r>
      <w:r>
        <w:rPr>
          <w:spacing w:val="-1"/>
        </w:rPr>
        <w:t>处置的股权是因追加投资等原因通过企业合并取得的，在编制个别财务报表时，处置后的剩余股权采用成</w:t>
      </w:r>
      <w:r>
        <w:rPr>
          <w:spacing w:val="-80"/>
        </w:rPr>
        <w:t> </w:t>
      </w:r>
      <w:r>
        <w:rPr>
          <w:spacing w:val="-80"/>
        </w:rPr>
      </w:r>
      <w:r>
        <w:rPr>
          <w:spacing w:val="-1"/>
        </w:rPr>
        <w:t>本法或权益法核算的，购买日之前持有的股权投资因采用权益法核算而确认的其他综合收益和其他所有者</w:t>
      </w:r>
      <w:r>
        <w:rPr>
          <w:spacing w:val="-81"/>
        </w:rPr>
        <w:t> </w:t>
      </w:r>
      <w:r>
        <w:rPr>
          <w:spacing w:val="-81"/>
        </w:rPr>
      </w:r>
      <w:r>
        <w:rPr>
          <w:spacing w:val="-1"/>
        </w:rPr>
        <w:t>权益按比例结转；处置后的剩余股权改按金融工具确认和计量准则进行会计处理的，其他综合收益和其他</w:t>
      </w:r>
      <w:r>
        <w:rPr>
          <w:spacing w:val="-81"/>
        </w:rPr>
        <w:t> </w:t>
      </w:r>
      <w:r>
        <w:rPr>
          <w:spacing w:val="-81"/>
        </w:rPr>
      </w:r>
      <w:r>
        <w:rPr/>
        <w:t>所有者权益全部结转。</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left="154" w:right="0"/>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518"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36"/>
        <w:ind w:left="154" w:right="1110"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408" w:lineRule="auto"/>
        <w:ind w:right="1132"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477"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）与该固定资产有关的经济利益很可能流入本公司；（</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55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3.80%</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55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408" w:lineRule="auto" w:before="63"/>
        <w:ind w:left="154" w:right="1131" w:firstLine="420"/>
        <w:jc w:val="both"/>
      </w:pPr>
      <w:r>
        <w:rPr>
          <w:spacing w:val="-1"/>
        </w:rPr>
        <w:t>固定资产折旧采用年限平均法分类计提，根据固定资产类别、预计使用年限和预计净残值率确定固定</w:t>
      </w:r>
      <w:r>
        <w:rPr/>
        <w:t> </w:t>
      </w:r>
      <w:r>
        <w:rPr>
          <w:spacing w:val="-1"/>
        </w:rPr>
        <w:t>资产折旧率，如固定资产各组成部分的使用寿命不同或者以不同方式为企业提供经济利益，则选择不同折</w:t>
      </w:r>
      <w:r>
        <w:rPr>
          <w:spacing w:val="-81"/>
        </w:rPr>
        <w:t> </w:t>
      </w:r>
      <w:r>
        <w:rPr>
          <w:spacing w:val="-81"/>
        </w:rPr>
      </w:r>
      <w:r>
        <w:rPr/>
        <w:t>旧率或折旧方法，分别计提折旧。</w:t>
      </w:r>
    </w:p>
    <w:p>
      <w:pPr>
        <w:pStyle w:val="BodyText"/>
        <w:spacing w:line="408" w:lineRule="auto"/>
        <w:ind w:left="154" w:right="1131" w:firstLine="420"/>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可使用年限两者中较短的期间内计提折旧。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line="458"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本公司与租赁方所签订的租赁协议条款中规定了下列条件之一的，确认为融资租入资产：（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）租赁期满后租赁资产的所有权</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5"/>
          <w:sz w:val="18"/>
          <w:szCs w:val="18"/>
        </w:rPr>
        <w:t>归属于本公司；（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）公司具有购买资产的选择权，购买价款远低于行使选择权时该资产的公允价值；（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）租赁期占所租赁资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产使用寿命的大部分；（</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）租赁开始日的最低租赁付款额现值，与该资产的公允价值不存在较大的差异。公司在承租开始日，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将租赁资产公允价值与最低租赁付款额现值两者中较低者作为租入资产的入账价值，将最低租赁付款额作为长期应付款的入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账价值，其差额作为未确认的融资费。</w:t>
      </w:r>
    </w:p>
    <w:p>
      <w:pPr>
        <w:spacing w:line="240" w:lineRule="auto" w:before="2"/>
        <w:rPr>
          <w:rFonts w:ascii="宋体" w:hAnsi="宋体" w:cs="宋体" w:eastAsia="宋体" w:hint="default"/>
          <w:sz w:val="26"/>
          <w:szCs w:val="26"/>
        </w:rPr>
      </w:pPr>
    </w:p>
    <w:p>
      <w:pPr>
        <w:pStyle w:val="Heading4"/>
        <w:spacing w:line="240" w:lineRule="auto"/>
        <w:ind w:left="154" w:right="0"/>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left="574" w:right="6447"/>
        <w:jc w:val="left"/>
      </w:pPr>
      <w:r>
        <w:rPr>
          <w:rFonts w:ascii="Times New Roman" w:hAnsi="Times New Roman" w:cs="Times New Roman" w:eastAsia="Times New Roman" w:hint="default"/>
        </w:rPr>
        <w:t>1</w:t>
      </w:r>
      <w:r>
        <w:rPr/>
        <w:t>、在建工程的类别 本公司在建工程以立项项目分类核算。 </w:t>
      </w:r>
      <w:r>
        <w:rPr>
          <w:rFonts w:ascii="Times New Roman" w:hAnsi="Times New Roman" w:cs="Times New Roman" w:eastAsia="Times New Roman" w:hint="default"/>
        </w:rPr>
        <w:t>2</w:t>
      </w:r>
      <w:r>
        <w:rPr/>
        <w:t>、在建工程结转为固定资产的标准和时点</w:t>
      </w:r>
    </w:p>
    <w:p>
      <w:pPr>
        <w:pStyle w:val="BodyText"/>
        <w:spacing w:line="408" w:lineRule="auto" w:before="24"/>
        <w:ind w:left="154" w:right="1023"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89"/>
        <w:ind w:left="573" w:right="0"/>
        <w:jc w:val="left"/>
      </w:pPr>
      <w:r>
        <w:rPr>
          <w:rFonts w:ascii="Times New Roman" w:hAnsi="Times New Roman" w:cs="Times New Roman" w:eastAsia="Times New Roman" w:hint="default"/>
        </w:rPr>
        <w:t>1</w:t>
      </w:r>
      <w:r>
        <w:rPr/>
        <w:t>、借款费用资本化的确认原则 借款费用，包括借款利息、折价或者溢价的摊销、辅助费用以及因外币借款而发生的汇兑差额等。 </w:t>
      </w:r>
      <w:r>
        <w:rPr>
          <w:spacing w:val="-1"/>
        </w:rPr>
        <w:t>本公司发生的借款费用，可直接归属于符合资本化条件的资产的购建或者生产的，予以资本化，计入</w:t>
      </w:r>
    </w:p>
    <w:p>
      <w:pPr>
        <w:pStyle w:val="BodyText"/>
        <w:spacing w:line="408" w:lineRule="auto" w:before="54"/>
        <w:ind w:left="573" w:right="0" w:hanging="420"/>
        <w:jc w:val="left"/>
      </w:pPr>
      <w:r>
        <w:rPr/>
        <w:t>相关资产成本；其他借款费用，在发生时根据其发生额确认为费用，计入当期损益。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408" w:lineRule="auto"/>
        <w:ind w:left="574" w:right="6132" w:hanging="420"/>
        <w:jc w:val="left"/>
      </w:pPr>
      <w:r>
        <w:rPr/>
        <w:t>售状态的固定资产、投资性房地产和存货等资产。 借款费用同时满足下列条件时开始资本化：</w:t>
      </w:r>
    </w:p>
    <w:p>
      <w:pPr>
        <w:pStyle w:val="BodyText"/>
        <w:spacing w:line="386" w:lineRule="auto"/>
        <w:ind w:left="154"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65"/>
        <w:ind w:left="574" w:right="0"/>
        <w:jc w:val="left"/>
      </w:pPr>
      <w:r>
        <w:rPr/>
        <w:t>（</w:t>
      </w: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1118"/>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rPr>
        <w:t>2</w:t>
      </w:r>
      <w:r>
        <w:rPr/>
        <w:t>、借款费用资本化期间 </w:t>
      </w:r>
      <w:r>
        <w:rPr>
          <w:spacing w:val="-1"/>
        </w:rPr>
        <w:t>资本化期间，指从借款费用开始资本化时点到停止资本化时点的期间，借款费用暂停资本化的期间不</w:t>
      </w:r>
    </w:p>
    <w:p>
      <w:pPr>
        <w:pStyle w:val="BodyText"/>
        <w:spacing w:line="240" w:lineRule="auto" w:before="65"/>
        <w:ind w:right="0"/>
        <w:jc w:val="both"/>
      </w:pPr>
      <w:r>
        <w:rPr/>
        <w:t>包括在内。</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right="0"/>
        <w:jc w:val="both"/>
      </w:pPr>
      <w:r>
        <w:rPr/>
        <w:t>止资本化。</w:t>
      </w:r>
    </w:p>
    <w:p>
      <w:pPr>
        <w:spacing w:line="240" w:lineRule="auto" w:before="10"/>
        <w:rPr>
          <w:rFonts w:ascii="宋体" w:hAnsi="宋体" w:cs="宋体" w:eastAsia="宋体" w:hint="default"/>
          <w:sz w:val="14"/>
          <w:szCs w:val="14"/>
        </w:rPr>
      </w:pPr>
    </w:p>
    <w:p>
      <w:pPr>
        <w:pStyle w:val="BodyText"/>
        <w:spacing w:line="408" w:lineRule="auto" w:before="0"/>
        <w:ind w:left="154" w:right="1131" w:firstLine="420"/>
        <w:jc w:val="both"/>
      </w:pPr>
      <w:r>
        <w:rPr>
          <w:spacing w:val="-1"/>
        </w:rPr>
        <w:t>购建或者生产的资产的各部分分别完工，但必须等到整体完工后才可使用或可对外销售的，在该资产</w:t>
      </w:r>
      <w:r>
        <w:rPr/>
        <w:t> 整体完工时停止借款费用资本化。</w:t>
      </w:r>
    </w:p>
    <w:p>
      <w:pPr>
        <w:pStyle w:val="BodyText"/>
        <w:spacing w:line="386" w:lineRule="auto"/>
        <w:ind w:left="574" w:right="0"/>
        <w:jc w:val="left"/>
      </w:pPr>
      <w:r>
        <w:rPr>
          <w:rFonts w:ascii="Times New Roman" w:hAnsi="Times New Roman" w:cs="Times New Roman" w:eastAsia="Times New Roman" w:hint="default"/>
        </w:rPr>
        <w:t>3</w:t>
      </w:r>
      <w:r>
        <w:rPr/>
        <w:t>、暂停资本化期间 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408" w:lineRule="auto" w:before="35"/>
        <w:ind w:left="154"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pStyle w:val="BodyText"/>
        <w:spacing w:line="386" w:lineRule="auto"/>
        <w:ind w:left="574" w:right="0"/>
        <w:jc w:val="left"/>
      </w:pPr>
      <w:r>
        <w:rPr>
          <w:rFonts w:ascii="Times New Roman" w:hAnsi="Times New Roman" w:cs="Times New Roman" w:eastAsia="Times New Roman" w:hint="default"/>
        </w:rPr>
        <w:t>4</w:t>
      </w:r>
      <w:r>
        <w:rPr/>
        <w:t>、借款费用资本化率、资本化金额的计算方法 </w:t>
      </w:r>
      <w:r>
        <w:rPr>
          <w:spacing w:val="3"/>
        </w:rPr>
        <w:t>对于为购建或者生产符合资本化条件的资产而借入的专门借款，以专门借款当期实际发生的借款费</w:t>
      </w:r>
    </w:p>
    <w:p>
      <w:pPr>
        <w:pStyle w:val="BodyText"/>
        <w:spacing w:line="408" w:lineRule="auto" w:before="65"/>
        <w:ind w:left="154" w:right="0"/>
        <w:jc w:val="left"/>
      </w:pP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pStyle w:val="BodyText"/>
        <w:spacing w:line="408" w:lineRule="auto"/>
        <w:ind w:left="154" w:right="1110" w:firstLine="420"/>
        <w:jc w:val="both"/>
      </w:pPr>
      <w:r>
        <w:rPr>
          <w:spacing w:val="-1"/>
        </w:rPr>
        <w:t>对于为购建或者生产符合资本化条件的资产而占用的一般借款，根据累计资产支出超过专门借款部分</w:t>
      </w:r>
      <w:r>
        <w:rPr/>
        <w:t> 的资产支出加权平均数乘以所占用一般借款的资本化率，计算确定一般借款应予资本化的借款费用金额。 资本化率根据一般借款加权平均利率计算确定。</w:t>
      </w:r>
    </w:p>
    <w:p>
      <w:pPr>
        <w:spacing w:line="240" w:lineRule="auto" w:before="6"/>
        <w:rPr>
          <w:rFonts w:ascii="宋体" w:hAnsi="宋体" w:cs="宋体" w:eastAsia="宋体" w:hint="default"/>
          <w:sz w:val="26"/>
          <w:szCs w:val="26"/>
        </w:rPr>
      </w:pPr>
    </w:p>
    <w:p>
      <w:pPr>
        <w:pStyle w:val="Heading4"/>
        <w:spacing w:line="240" w:lineRule="auto"/>
        <w:ind w:left="154" w:right="0"/>
        <w:jc w:val="both"/>
        <w:rPr>
          <w:b w:val="0"/>
          <w:bCs w:val="0"/>
        </w:rPr>
      </w:pPr>
      <w:bookmarkStart w:name="19、无形资产" w:id="190"/>
      <w:bookmarkEnd w:id="190"/>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both"/>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574" w:right="0"/>
        <w:jc w:val="left"/>
      </w:pPr>
      <w:r>
        <w:rPr>
          <w:rFonts w:ascii="Times New Roman" w:hAnsi="Times New Roman" w:cs="Times New Roman" w:eastAsia="Times New Roman" w:hint="default"/>
        </w:rPr>
        <w:t>1</w:t>
      </w:r>
      <w:r>
        <w:rPr/>
        <w:t>、无形资产的计价方法</w:t>
      </w:r>
    </w:p>
    <w:p>
      <w:pPr>
        <w:pStyle w:val="BodyText"/>
        <w:spacing w:line="386" w:lineRule="auto" w:before="177"/>
        <w:ind w:left="574"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w:t>
      </w:r>
    </w:p>
    <w:p>
      <w:pPr>
        <w:pStyle w:val="BodyText"/>
        <w:spacing w:line="408" w:lineRule="auto" w:before="65"/>
        <w:ind w:left="154"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86" w:lineRule="auto"/>
        <w:ind w:left="573" w:right="655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08" w:lineRule="auto" w:before="65"/>
        <w:ind w:right="1131" w:firstLine="420"/>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BodyText"/>
        <w:spacing w:line="240" w:lineRule="auto"/>
        <w:ind w:left="573"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214"/>
        <w:gridCol w:w="1536"/>
        <w:gridCol w:w="3999"/>
      </w:tblGrid>
      <w:tr>
        <w:trPr>
          <w:trHeight w:val="511" w:hRule="exact"/>
        </w:trPr>
        <w:tc>
          <w:tcPr>
            <w:tcW w:w="3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99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45-50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按土地使用权证约定日期</w:t>
            </w:r>
          </w:p>
        </w:tc>
      </w:tr>
      <w:tr>
        <w:trPr>
          <w:trHeight w:val="509"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林地使用权</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按林地使用权证约定日期</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left="3" w:right="0"/>
              <w:jc w:val="left"/>
              <w:rPr>
                <w:rFonts w:ascii="宋体" w:hAnsi="宋体" w:cs="宋体" w:eastAsia="宋体" w:hint="default"/>
                <w:sz w:val="18"/>
                <w:szCs w:val="18"/>
              </w:rPr>
            </w:pPr>
            <w:r>
              <w:rPr>
                <w:rFonts w:ascii="宋体" w:hAnsi="宋体" w:cs="宋体" w:eastAsia="宋体" w:hint="default"/>
                <w:sz w:val="18"/>
                <w:szCs w:val="18"/>
              </w:rPr>
              <w:t>按非专利技术证书使用年限约定日期</w:t>
            </w:r>
          </w:p>
        </w:tc>
      </w:tr>
      <w:tr>
        <w:trPr>
          <w:trHeight w:val="508" w:hRule="exact"/>
        </w:trPr>
        <w:tc>
          <w:tcPr>
            <w:tcW w:w="3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99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按照预计使用年限</w:t>
            </w:r>
          </w:p>
        </w:tc>
      </w:tr>
    </w:tbl>
    <w:p>
      <w:pPr>
        <w:spacing w:line="240" w:lineRule="auto" w:before="4"/>
        <w:rPr>
          <w:rFonts w:ascii="宋体" w:hAnsi="宋体" w:cs="宋体" w:eastAsia="宋体" w:hint="default"/>
          <w:sz w:val="11"/>
          <w:szCs w:val="11"/>
        </w:rPr>
      </w:pPr>
    </w:p>
    <w:p>
      <w:pPr>
        <w:pStyle w:val="BodyText"/>
        <w:spacing w:line="400" w:lineRule="auto" w:before="35"/>
        <w:ind w:left="573" w:right="3613"/>
        <w:jc w:val="left"/>
      </w:pPr>
      <w:r>
        <w:rPr/>
        <w:t>每年终了，对使用寿命有限的无形资产的使用寿命及摊销方法进行复核。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3</w:t>
      </w:r>
      <w:r>
        <w:rPr/>
        <w:t>、使用寿命不确定的无形资产的判断依据： 截至资产负债表日</w:t>
      </w:r>
      <w:r>
        <w:rPr>
          <w:rFonts w:ascii="Times New Roman" w:hAnsi="Times New Roman" w:cs="Times New Roman" w:eastAsia="Times New Roman" w:hint="default"/>
        </w:rPr>
        <w:t>,</w:t>
      </w:r>
      <w:r>
        <w:rPr/>
        <w:t>本公司没有使用寿命不确定的无形资产</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pStyle w:val="BodyText"/>
        <w:spacing w:line="400" w:lineRule="auto" w:before="189"/>
        <w:ind w:left="573" w:right="0"/>
        <w:jc w:val="left"/>
      </w:pPr>
      <w:r>
        <w:rPr>
          <w:rFonts w:ascii="Times New Roman" w:hAnsi="Times New Roman" w:cs="Times New Roman" w:eastAsia="Times New Roman" w:hint="default"/>
        </w:rPr>
        <w:t>1</w:t>
      </w:r>
      <w:r>
        <w:rPr/>
        <w:t>、划分为本公司研究开发项目研究阶段和开发阶段的具体标准 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408" w:lineRule="auto" w:before="53"/>
        <w:ind w:left="574" w:right="0" w:hanging="420"/>
        <w:jc w:val="left"/>
      </w:pPr>
      <w:r>
        <w:rPr/>
        <w:t>的或具有实质性改进的材料、装置、产品等活动的阶段。 </w:t>
      </w:r>
      <w:r>
        <w:rPr>
          <w:spacing w:val="3"/>
        </w:rPr>
        <w:t>本公司内部研究开发项目开发阶段系指公司多肽药品技术获取国家药品监督管理局核发临床批件后</w:t>
      </w:r>
    </w:p>
    <w:p>
      <w:pPr>
        <w:pStyle w:val="BodyText"/>
        <w:spacing w:line="240" w:lineRule="auto"/>
        <w:ind w:left="154" w:right="0"/>
        <w:jc w:val="left"/>
      </w:pPr>
      <w:r>
        <w:rPr/>
        <w:t>开始进行临床实验、获取生产批件前的阶段。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386" w:lineRule="auto" w:before="174"/>
        <w:ind w:left="573" w:right="3403"/>
        <w:jc w:val="left"/>
      </w:pP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65"/>
        <w:ind w:left="5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77"/>
        <w:ind w:left="57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86" w:lineRule="auto" w:before="177"/>
        <w:ind w:right="1141"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386" w:lineRule="auto" w:before="65"/>
        <w:ind w:right="1141"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386" w:lineRule="auto" w:before="65"/>
        <w:ind w:left="573" w:right="0"/>
        <w:jc w:val="left"/>
      </w:pPr>
      <w:r>
        <w:rPr/>
        <w:t>（</w:t>
      </w:r>
      <w:r>
        <w:rPr>
          <w:rFonts w:ascii="Times New Roman" w:hAnsi="Times New Roman" w:cs="Times New Roman" w:eastAsia="Times New Roman" w:hint="default"/>
        </w:rPr>
        <w:t>5</w:t>
      </w:r>
      <w:r>
        <w:rPr/>
        <w:t>）归属于该无形资产开发阶段的支出能够可靠地计量。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before="65"/>
        <w:ind w:right="0"/>
        <w:jc w:val="left"/>
      </w:pPr>
      <w:r>
        <w:rPr/>
        <w:t>期损益。</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外购或委托外部研究开发项目开发阶段的支出，满足下列条件时确认为无形资产：</w:t>
      </w:r>
    </w:p>
    <w:p>
      <w:pPr>
        <w:spacing w:line="240" w:lineRule="auto" w:before="10"/>
        <w:rPr>
          <w:rFonts w:ascii="宋体" w:hAnsi="宋体" w:cs="宋体" w:eastAsia="宋体" w:hint="default"/>
          <w:sz w:val="14"/>
          <w:szCs w:val="14"/>
        </w:rPr>
      </w:pPr>
    </w:p>
    <w:p>
      <w:pPr>
        <w:pStyle w:val="BodyText"/>
        <w:spacing w:line="386" w:lineRule="auto" w:before="0"/>
        <w:ind w:right="1141" w:firstLine="420"/>
        <w:jc w:val="both"/>
      </w:pPr>
      <w:r>
        <w:rPr/>
        <w:t>（</w:t>
      </w:r>
      <w:r>
        <w:rPr>
          <w:rFonts w:ascii="Times New Roman" w:hAnsi="Times New Roman" w:cs="Times New Roman" w:eastAsia="Times New Roman" w:hint="default"/>
        </w:rPr>
        <w:t>1</w:t>
      </w:r>
      <w:r>
        <w:rPr/>
        <w:t>）外购的已获得临床批件的生产技术或配方，其购买价款及后续临床试验费用确认为开发支出， 取得生产批件后结转为无形资产。</w:t>
      </w:r>
    </w:p>
    <w:p>
      <w:pPr>
        <w:pStyle w:val="BodyText"/>
        <w:spacing w:line="386" w:lineRule="auto" w:before="65"/>
        <w:ind w:right="1141" w:firstLine="420"/>
        <w:jc w:val="both"/>
      </w:pPr>
      <w:r>
        <w:rPr/>
        <w:t>（</w:t>
      </w:r>
      <w:r>
        <w:rPr>
          <w:rFonts w:ascii="Times New Roman" w:hAnsi="Times New Roman" w:cs="Times New Roman" w:eastAsia="Times New Roman" w:hint="default"/>
        </w:rPr>
        <w:t>2</w:t>
      </w:r>
      <w:r>
        <w:rPr/>
        <w:t>）委托外部机构研发的多肽类生产技术或配方，自研发开始至取得临床批件期间发生的支出计入 当期损益；获得临床批件后发生的临床试验费用确认为开发支出，取得生产批件后结转为无形资产。</w:t>
      </w:r>
    </w:p>
    <w:p>
      <w:pPr>
        <w:pStyle w:val="BodyText"/>
        <w:spacing w:line="386" w:lineRule="auto" w:before="65"/>
        <w:ind w:right="1141" w:firstLine="420"/>
        <w:jc w:val="both"/>
      </w:pPr>
      <w:r>
        <w:rPr/>
        <w:t>（</w:t>
      </w:r>
      <w:r>
        <w:rPr>
          <w:rFonts w:ascii="Times New Roman" w:hAnsi="Times New Roman" w:cs="Times New Roman" w:eastAsia="Times New Roman" w:hint="default"/>
        </w:rPr>
        <w:t>3</w:t>
      </w:r>
      <w:r>
        <w:rPr/>
        <w:t>）委托外部机构研发的非多肽类生产技术或配方，自研发开始至获取生产批件期间发生的支出全 部计入当期损益。</w:t>
      </w:r>
    </w:p>
    <w:p>
      <w:pPr>
        <w:spacing w:line="240" w:lineRule="auto" w:before="12"/>
        <w:rPr>
          <w:rFonts w:ascii="宋体" w:hAnsi="宋体" w:cs="宋体" w:eastAsia="宋体" w:hint="default"/>
          <w:sz w:val="27"/>
          <w:szCs w:val="27"/>
        </w:rPr>
      </w:pPr>
    </w:p>
    <w:p>
      <w:pPr>
        <w:pStyle w:val="Heading4"/>
        <w:spacing w:line="240" w:lineRule="auto"/>
        <w:ind w:left="154" w:right="0"/>
        <w:jc w:val="left"/>
        <w:rPr>
          <w:b w:val="0"/>
          <w:bCs w:val="0"/>
        </w:rPr>
      </w:pPr>
      <w:bookmarkStart w:name="20、长期资产减值" w:id="193"/>
      <w:bookmarkEnd w:id="193"/>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1110" w:firstLine="420"/>
        <w:jc w:val="both"/>
      </w:pPr>
      <w:r>
        <w:rPr>
          <w:spacing w:val="-1"/>
        </w:rPr>
        <w:t>长期股权投资、采用成本模式计量的投资性房地产、固定资产、在建工程、无形资产等长期资产，于</w:t>
      </w:r>
      <w:r>
        <w:rPr/>
        <w:t> 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408" w:lineRule="auto"/>
        <w:ind w:left="574"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240" w:lineRule="auto"/>
        <w:ind w:left="154" w:right="0"/>
        <w:jc w:val="left"/>
      </w:pPr>
      <w:r>
        <w:rPr/>
        <w:t>至相关的资产组；难以分摊至相关的资产组的，将其分摊至相关的资产组组合。在将商誉的账面价值分摊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ind w:right="1131" w:firstLine="420"/>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pStyle w:val="BodyText"/>
        <w:spacing w:line="240" w:lineRule="auto"/>
        <w:ind w:left="910" w:right="0"/>
        <w:jc w:val="left"/>
      </w:pPr>
      <w:r>
        <w:rPr/>
        <w:t>上述资产减值损失一经确认，在以后会计期间不予转回。</w:t>
      </w:r>
    </w:p>
    <w:p>
      <w:pPr>
        <w:pStyle w:val="BodyText"/>
        <w:spacing w:line="750" w:lineRule="atLeast" w:before="34"/>
        <w:ind w:left="565" w:right="1731" w:hanging="412"/>
        <w:jc w:val="left"/>
      </w:pPr>
      <w:bookmarkStart w:name="21、长期待摊费用" w:id="194"/>
      <w:bookmarkEnd w:id="194"/>
      <w:r>
        <w:rPr/>
      </w: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t>长期待摊费用是指本公司已经发生但应由本期和以后各期负担的期限在一年以上的各项费用。</w:t>
      </w:r>
    </w:p>
    <w:p>
      <w:pPr>
        <w:spacing w:line="240" w:lineRule="auto" w:before="10"/>
        <w:rPr>
          <w:rFonts w:ascii="宋体" w:hAnsi="宋体" w:cs="宋体" w:eastAsia="宋体" w:hint="default"/>
          <w:sz w:val="14"/>
          <w:szCs w:val="14"/>
        </w:rPr>
      </w:pPr>
    </w:p>
    <w:p>
      <w:pPr>
        <w:pStyle w:val="BodyText"/>
        <w:spacing w:line="398" w:lineRule="auto" w:before="0"/>
        <w:ind w:left="565" w:right="6981" w:firstLine="8"/>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p>
      <w:pPr>
        <w:pStyle w:val="BodyText"/>
        <w:spacing w:line="408" w:lineRule="auto" w:before="24"/>
        <w:ind w:left="565" w:right="0"/>
        <w:jc w:val="left"/>
      </w:pPr>
      <w:r>
        <w:rPr/>
        <w:t>预付经营租入固定资产的租金，按租赁合同规定的期限平均摊销。 </w:t>
      </w:r>
      <w:r>
        <w:rPr>
          <w:spacing w:val="-1"/>
        </w:rPr>
        <w:t>经营租赁方式租入的固定资产改良支出，按剩余租赁期与租赁资产尚可使用年限两者中较短的期限平</w:t>
      </w:r>
    </w:p>
    <w:p>
      <w:pPr>
        <w:pStyle w:val="BodyText"/>
        <w:spacing w:line="240" w:lineRule="auto"/>
        <w:ind w:left="154" w:right="0"/>
        <w:jc w:val="left"/>
      </w:pPr>
      <w:r>
        <w:rPr/>
        <w:t>均摊销。</w:t>
      </w:r>
    </w:p>
    <w:p>
      <w:pPr>
        <w:spacing w:line="240" w:lineRule="auto" w:before="10"/>
        <w:rPr>
          <w:rFonts w:ascii="宋体" w:hAnsi="宋体" w:cs="宋体" w:eastAsia="宋体" w:hint="default"/>
          <w:sz w:val="14"/>
          <w:szCs w:val="14"/>
        </w:rPr>
      </w:pPr>
    </w:p>
    <w:p>
      <w:pPr>
        <w:pStyle w:val="BodyText"/>
        <w:spacing w:line="408" w:lineRule="auto" w:before="0"/>
        <w:ind w:left="154" w:right="1131" w:firstLine="420"/>
        <w:jc w:val="both"/>
      </w:pPr>
      <w:r>
        <w:rPr>
          <w:spacing w:val="-1"/>
        </w:rPr>
        <w:t>融资租赁方式租入的固定资产，其符合资本化条件的装修费用，在两次装修间隔期间、剩余租赁期和</w:t>
      </w:r>
      <w:r>
        <w:rPr/>
        <w:t> 固定资产尚可使用年限三者中较短的期限平均摊销。</w:t>
      </w:r>
    </w:p>
    <w:p>
      <w:pPr>
        <w:spacing w:line="240" w:lineRule="auto" w:before="6"/>
        <w:rPr>
          <w:rFonts w:ascii="宋体" w:hAnsi="宋体" w:cs="宋体" w:eastAsia="宋体" w:hint="default"/>
          <w:sz w:val="26"/>
          <w:szCs w:val="26"/>
        </w:rPr>
      </w:pPr>
    </w:p>
    <w:p>
      <w:pPr>
        <w:pStyle w:val="Heading4"/>
        <w:spacing w:line="240" w:lineRule="auto"/>
        <w:ind w:left="154" w:right="0"/>
        <w:jc w:val="left"/>
        <w:rPr>
          <w:b w:val="0"/>
          <w:bCs w:val="0"/>
        </w:rPr>
      </w:pPr>
      <w:bookmarkStart w:name="22、职工薪酬" w:id="195"/>
      <w:bookmarkEnd w:id="195"/>
      <w:r>
        <w:rPr>
          <w:b w:val="0"/>
          <w:bCs w:val="0"/>
        </w:rPr>
      </w:r>
      <w:r>
        <w:rPr>
          <w:rFonts w:ascii="Times New Roman" w:hAnsi="Times New Roman" w:cs="Times New Roman" w:eastAsia="Times New Roman" w:hint="default"/>
        </w:rPr>
        <w:t>22</w:t>
      </w:r>
      <w:r>
        <w:rPr/>
        <w:t>、职工薪酬</w:t>
      </w:r>
      <w:r>
        <w:rPr>
          <w:b w:val="0"/>
          <w:bCs w:val="0"/>
        </w:rPr>
      </w:r>
    </w:p>
    <w:p>
      <w:pPr>
        <w:spacing w:line="750" w:lineRule="atLeast" w:before="18"/>
        <w:ind w:left="565" w:right="0" w:hanging="412"/>
        <w:jc w:val="left"/>
        <w:rPr>
          <w:rFonts w:ascii="宋体" w:hAnsi="宋体" w:cs="宋体" w:eastAsia="宋体" w:hint="default"/>
          <w:sz w:val="21"/>
          <w:szCs w:val="21"/>
        </w:rPr>
      </w:pPr>
      <w:bookmarkStart w:name="（1）短期薪酬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spacing w:line="240" w:lineRule="auto" w:before="10"/>
        <w:rPr>
          <w:rFonts w:ascii="宋体" w:hAnsi="宋体" w:cs="宋体" w:eastAsia="宋体" w:hint="default"/>
          <w:sz w:val="14"/>
          <w:szCs w:val="14"/>
        </w:rPr>
      </w:pPr>
    </w:p>
    <w:p>
      <w:pPr>
        <w:pStyle w:val="BodyText"/>
        <w:spacing w:line="408" w:lineRule="auto" w:before="0"/>
        <w:ind w:left="565" w:right="1118" w:hanging="412"/>
        <w:jc w:val="left"/>
      </w:pPr>
      <w:r>
        <w:rPr/>
        <w:t>相关资产成本。 </w:t>
      </w:r>
      <w:r>
        <w:rPr>
          <w:spacing w:val="-1"/>
        </w:rPr>
        <w:t>本公司为职工缴纳的社会保险费和住房公积金，以及按规定提取的工会经费和职工教育经费，在职工</w:t>
      </w:r>
    </w:p>
    <w:p>
      <w:pPr>
        <w:pStyle w:val="BodyText"/>
        <w:spacing w:line="408" w:lineRule="auto"/>
        <w:ind w:left="565" w:right="1933" w:hanging="412"/>
        <w:jc w:val="left"/>
      </w:pPr>
      <w:r>
        <w:rPr/>
        <w:t>为本公司提供服务的会计期间，根据规定的计提基础和计提比例计算确定相应的职工薪酬金额。 职工福利费为非货币性福利的，如能够可靠计量的，按照公允价值计量。</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1093" w:firstLine="411"/>
        <w:jc w:val="left"/>
      </w:pPr>
      <w:r>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1093" w:firstLine="411"/>
        <w:jc w:val="left"/>
      </w:pPr>
      <w:r>
        <w:rPr/>
        <w:t>本公司在不能单方面撤回因解除劳动关系计划或裁减建议所提供的辞退福利时，或确认与涉及支付辞 退福利的重组相关的成本或费用时（两者孰早），确认辞退福利产生的职工薪酬负债，并计入当期损益。</w:t>
      </w:r>
    </w:p>
    <w:p>
      <w:pPr>
        <w:spacing w:line="240" w:lineRule="auto" w:before="6"/>
        <w:rPr>
          <w:rFonts w:ascii="宋体" w:hAnsi="宋体" w:cs="宋体" w:eastAsia="宋体" w:hint="default"/>
          <w:sz w:val="26"/>
          <w:szCs w:val="26"/>
        </w:rPr>
      </w:pPr>
    </w:p>
    <w:p>
      <w:pPr>
        <w:pStyle w:val="Heading4"/>
        <w:spacing w:line="633" w:lineRule="auto"/>
        <w:ind w:left="565" w:right="7064" w:hanging="412"/>
        <w:jc w:val="left"/>
        <w:rPr>
          <w:rFonts w:ascii="宋体" w:hAnsi="宋体" w:cs="宋体" w:eastAsia="宋体" w:hint="default"/>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w w:val="99"/>
        </w:rPr>
        <w:t> </w:t>
      </w:r>
      <w:r>
        <w:rPr>
          <w:rFonts w:ascii="宋体" w:hAnsi="宋体" w:cs="宋体" w:eastAsia="宋体" w:hint="default"/>
          <w:b w:val="0"/>
          <w:bCs w:val="0"/>
        </w:rPr>
        <w:t>暂无</w:t>
      </w:r>
    </w:p>
    <w:p>
      <w:pPr>
        <w:pStyle w:val="Heading4"/>
        <w:spacing w:line="240" w:lineRule="auto" w:before="148"/>
        <w:ind w:right="0"/>
        <w:jc w:val="left"/>
        <w:rPr>
          <w:b w:val="0"/>
          <w:bCs w:val="0"/>
        </w:rPr>
      </w:pPr>
      <w:bookmarkStart w:name="23、预计负债" w:id="200"/>
      <w:bookmarkEnd w:id="200"/>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154" w:right="0" w:firstLine="411"/>
        <w:jc w:val="left"/>
      </w:pPr>
      <w:r>
        <w:rPr>
          <w:spacing w:val="-1"/>
        </w:rPr>
        <w:t>本公司涉及诉讼、债务担保、亏损合同、重组事项时，如该等事项很可能需要未来以交付资产或提供</w:t>
      </w:r>
      <w:r>
        <w:rPr/>
        <w:t> 劳务、其金额能够可靠计量的，确认为预计负债。</w:t>
      </w:r>
    </w:p>
    <w:p>
      <w:pPr>
        <w:pStyle w:val="BodyText"/>
        <w:spacing w:line="386" w:lineRule="auto"/>
        <w:ind w:left="565" w:right="0" w:firstLine="8"/>
        <w:jc w:val="left"/>
      </w:pPr>
      <w:r>
        <w:rPr>
          <w:rFonts w:ascii="Times New Roman" w:hAnsi="Times New Roman" w:cs="Times New Roman" w:eastAsia="Times New Roman" w:hint="default"/>
        </w:rPr>
        <w:t>1</w:t>
      </w:r>
      <w:r>
        <w:rPr/>
        <w:t>、预计负债的确认标准 </w:t>
      </w:r>
      <w:r>
        <w:rPr>
          <w:spacing w:val="-1"/>
        </w:rPr>
        <w:t>与诉讼、债务担保、亏损合同、重组事项等或有事项相关的义务同时满足下列条件时，本公司确认为</w:t>
      </w:r>
    </w:p>
    <w:p>
      <w:pPr>
        <w:pStyle w:val="BodyText"/>
        <w:spacing w:line="240" w:lineRule="auto" w:before="65"/>
        <w:ind w:left="154" w:right="0"/>
        <w:jc w:val="left"/>
      </w:pPr>
      <w:r>
        <w:rPr/>
        <w:t>预计负债：</w:t>
      </w:r>
    </w:p>
    <w:p>
      <w:pPr>
        <w:spacing w:line="240" w:lineRule="auto" w:before="10"/>
        <w:rPr>
          <w:rFonts w:ascii="宋体" w:hAnsi="宋体" w:cs="宋体" w:eastAsia="宋体" w:hint="default"/>
          <w:sz w:val="14"/>
          <w:szCs w:val="14"/>
        </w:rPr>
      </w:pPr>
    </w:p>
    <w:p>
      <w:pPr>
        <w:pStyle w:val="BodyText"/>
        <w:spacing w:line="240" w:lineRule="auto" w:before="0"/>
        <w:ind w:left="565"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77"/>
        <w:ind w:left="565"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77"/>
        <w:ind w:left="565" w:right="0"/>
        <w:jc w:val="left"/>
      </w:pPr>
      <w:r>
        <w:rPr/>
        <w:t>（</w:t>
      </w:r>
      <w:r>
        <w:rPr>
          <w:rFonts w:ascii="Times New Roman" w:hAnsi="Times New Roman" w:cs="Times New Roman" w:eastAsia="Times New Roman" w:hint="default"/>
        </w:rPr>
        <w:t>3</w:t>
      </w:r>
      <w:r>
        <w:rPr/>
        <w:t>）该义务的金额能够可靠地计量。</w:t>
      </w:r>
    </w:p>
    <w:p>
      <w:pPr>
        <w:pStyle w:val="BodyText"/>
        <w:spacing w:line="398" w:lineRule="auto" w:before="177"/>
        <w:ind w:left="565" w:right="1118" w:firstLine="8"/>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408" w:lineRule="auto" w:before="54"/>
        <w:ind w:left="565" w:right="1118" w:hanging="412"/>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408" w:lineRule="auto"/>
        <w:ind w:left="565" w:right="0" w:hanging="412"/>
        <w:jc w:val="left"/>
      </w:pPr>
      <w:r>
        <w:rPr/>
        <w:t>照该范围的中间值即上下限金额的平均数确定。 </w:t>
      </w:r>
      <w:r>
        <w:rPr>
          <w:spacing w:val="-1"/>
        </w:rPr>
        <w:t>所需支出不存在一个连续范围（或区间），或虽然存在一个连续范围但该范围内各种结果发生的可能</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408" w:lineRule="auto"/>
        <w:ind w:right="0" w:firstLine="411"/>
        <w:jc w:val="left"/>
      </w:pPr>
      <w:r>
        <w:rPr>
          <w:spacing w:val="-1"/>
        </w:rPr>
        <w:t>本公司清偿预计负债所需支出全部或部分预期由第三方补偿的，补偿金额在基本确定能够收到时，作</w:t>
      </w:r>
      <w:r>
        <w:rPr/>
        <w:t> 为资产单独确认，确认的补偿金额不超过预计负债的账面价值。</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4、收入" w:id="201"/>
      <w:bookmarkEnd w:id="201"/>
      <w:r>
        <w:rPr>
          <w:b w:val="0"/>
          <w:bCs w:val="0"/>
        </w:rPr>
      </w:r>
      <w:r>
        <w:rPr>
          <w:rFonts w:ascii="Times New Roman" w:hAnsi="Times New Roman" w:cs="Times New Roman" w:eastAsia="Times New Roman" w:hint="default"/>
        </w:rPr>
        <w:t>24</w:t>
      </w:r>
      <w:r>
        <w:rPr/>
        <w:t>、收入</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0"/>
        <w:jc w:val="left"/>
      </w:pPr>
      <w:r>
        <w:rPr>
          <w:rFonts w:ascii="Times New Roman" w:hAnsi="Times New Roman" w:cs="Times New Roman" w:eastAsia="Times New Roman" w:hint="default"/>
        </w:rPr>
        <w:t>1</w:t>
      </w:r>
      <w:r>
        <w:rPr/>
        <w:t>、销售商品收入确认和计量原则 </w:t>
      </w:r>
      <w:r>
        <w:rPr>
          <w:spacing w:val="-1"/>
        </w:rPr>
        <w:t>公司已将商品所有权上的主要风险和报酬转移给购买方；公司既没有保留与所有权相联系的继续管理</w:t>
      </w:r>
    </w:p>
    <w:p>
      <w:pPr>
        <w:pStyle w:val="BodyText"/>
        <w:spacing w:line="408" w:lineRule="auto" w:before="65"/>
        <w:ind w:left="154" w:right="1023"/>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40" w:lineRule="auto"/>
        <w:ind w:left="573" w:right="0"/>
        <w:jc w:val="left"/>
      </w:pPr>
      <w:r>
        <w:rPr>
          <w:rFonts w:ascii="Times New Roman" w:hAnsi="Times New Roman" w:cs="Times New Roman" w:eastAsia="Times New Roman" w:hint="default"/>
        </w:rPr>
        <w:t>2</w:t>
      </w:r>
      <w:r>
        <w:rPr/>
        <w:t>、让渡资产使用权收入的确认和计量原则</w:t>
      </w:r>
    </w:p>
    <w:p>
      <w:pPr>
        <w:pStyle w:val="BodyText"/>
        <w:spacing w:line="386" w:lineRule="auto" w:before="177"/>
        <w:ind w:left="573" w:right="0"/>
        <w:jc w:val="left"/>
      </w:pPr>
      <w:r>
        <w:rPr/>
        <w:t>（</w:t>
      </w:r>
      <w:r>
        <w:rPr>
          <w:rFonts w:ascii="Times New Roman" w:hAnsi="Times New Roman" w:cs="Times New Roman" w:eastAsia="Times New Roman" w:hint="default"/>
        </w:rPr>
        <w:t>1</w:t>
      </w:r>
      <w:r>
        <w:rPr/>
        <w:t>）让渡资产使用权收入确认和计量的总体原则 </w:t>
      </w:r>
      <w:r>
        <w:rPr>
          <w:spacing w:val="-1"/>
        </w:rPr>
        <w:t>与交易相关的经济利益很可能流入企业，收入的金额能够可靠地计量时。分别下列情况确定让渡资产</w:t>
      </w:r>
    </w:p>
    <w:p>
      <w:pPr>
        <w:pStyle w:val="BodyText"/>
        <w:spacing w:line="240" w:lineRule="auto" w:before="65"/>
        <w:ind w:right="0"/>
        <w:jc w:val="left"/>
      </w:pPr>
      <w:r>
        <w:rPr/>
        <w:t>使用权收入金额：</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①利息收入金额，按照他人使用本企业货币资金的时间和实际利率计算确定。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②使用费收入金额，按照有关合同或协议约定的收费时间和方法计算确定。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5、政府补助" w:id="202"/>
      <w:bookmarkEnd w:id="202"/>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与资产相关的政府补助判断依据及会计处理方法" w:id="203"/>
      <w:bookmarkEnd w:id="20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574" w:right="1118"/>
        <w:jc w:val="left"/>
      </w:pPr>
      <w:r>
        <w:rPr>
          <w:rFonts w:ascii="Times New Roman" w:hAnsi="Times New Roman" w:cs="Times New Roman" w:eastAsia="Times New Roman" w:hint="default"/>
        </w:rPr>
        <w:t>1</w:t>
      </w:r>
      <w:r>
        <w:rPr/>
        <w:t>、类型 </w:t>
      </w:r>
      <w:r>
        <w:rPr>
          <w:spacing w:val="-1"/>
        </w:rPr>
        <w:t>政府补助，是本公司从政府无偿取得的货币性资产与非货币性资产。分为与资产相关的政府补助和与</w:t>
      </w:r>
    </w:p>
    <w:p>
      <w:pPr>
        <w:pStyle w:val="BodyText"/>
        <w:spacing w:line="408" w:lineRule="auto" w:before="65"/>
        <w:ind w:left="574" w:right="0" w:hanging="420"/>
        <w:jc w:val="left"/>
      </w:pPr>
      <w:r>
        <w:rPr/>
        <w:t>收益相关的政府补助。 </w:t>
      </w:r>
      <w:r>
        <w:rPr>
          <w:spacing w:val="-1"/>
        </w:rPr>
        <w:t>与资产相关的政府补助，是指本公司取得的、用于购建或以其他方式形成长期资产的政府补助，包括</w:t>
      </w:r>
    </w:p>
    <w:p>
      <w:pPr>
        <w:pStyle w:val="BodyText"/>
        <w:spacing w:line="408" w:lineRule="auto"/>
        <w:ind w:left="154" w:right="0"/>
        <w:jc w:val="left"/>
      </w:pPr>
      <w:r>
        <w:rPr>
          <w:spacing w:val="-1"/>
        </w:rPr>
        <w:t>购买固定资产或无形资产的财政拨款、固定资产专门借款的财政贴息等。与收益相关的政府补助，是指除</w:t>
      </w:r>
      <w:r>
        <w:rPr>
          <w:spacing w:val="-83"/>
        </w:rPr>
        <w:t> </w:t>
      </w:r>
      <w:r>
        <w:rPr>
          <w:spacing w:val="-83"/>
        </w:rPr>
      </w:r>
      <w:r>
        <w:rPr/>
        <w:t>与资产相关的政府补助之外的政府补助。</w:t>
      </w:r>
    </w:p>
    <w:p>
      <w:pPr>
        <w:pStyle w:val="BodyText"/>
        <w:spacing w:line="408" w:lineRule="auto"/>
        <w:ind w:left="154" w:right="0" w:firstLine="420"/>
        <w:jc w:val="left"/>
      </w:pPr>
      <w:r>
        <w:rPr>
          <w:spacing w:val="-1"/>
        </w:rPr>
        <w:t>本公司将政府补助划分为与资产相关的具体标准为：申请政府补助的项目最终形成一项或多项长期资</w:t>
      </w:r>
      <w:r>
        <w:rPr/>
        <w:t> 产，且该长期资产可以为本公司带来预期的经济利益。</w:t>
      </w:r>
    </w:p>
    <w:p>
      <w:pPr>
        <w:pStyle w:val="BodyText"/>
        <w:spacing w:line="240" w:lineRule="auto"/>
        <w:ind w:left="574" w:right="0"/>
        <w:jc w:val="left"/>
      </w:pPr>
      <w:r>
        <w:rPr>
          <w:spacing w:val="3"/>
        </w:rPr>
        <w:t>本公司将政府补助划分为与收益相关的具体标准为：申请政府补助的项目与本公司主营业务紧密相</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93" w:hanging="420"/>
        <w:jc w:val="left"/>
      </w:pPr>
      <w:r>
        <w:rPr/>
        <w:t>关，本公司的相关投入最终将计入相应会计期间的费用。 与资产相关的政府补助，确认为递延收益，按照所建造或购买的资产使用年限分期计入营业外收入；</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与收益相关的政府补助判断依据及会计处理方法" w:id="204"/>
      <w:bookmarkEnd w:id="20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0" w:firstLine="420"/>
        <w:jc w:val="left"/>
      </w:pPr>
      <w:r>
        <w:rPr>
          <w:spacing w:val="-1"/>
        </w:rPr>
        <w:t>本公司将政府补助划分为与资产相关的具体标准为：申请政府补助的项目最终形成一项或多项长期资</w:t>
      </w:r>
      <w:r>
        <w:rPr/>
        <w:t> 产，且该长期资产可以为本公司带来预期的经济利益。</w:t>
      </w:r>
    </w:p>
    <w:p>
      <w:pPr>
        <w:pStyle w:val="BodyText"/>
        <w:spacing w:line="408" w:lineRule="auto"/>
        <w:ind w:right="0" w:firstLine="420"/>
        <w:jc w:val="left"/>
      </w:pPr>
      <w:r>
        <w:rPr>
          <w:spacing w:val="3"/>
        </w:rPr>
        <w:t>本公司将政府补助划分为与收益相关的具体标准为：申请政府补助的项目与本公司主营业务紧密相</w:t>
      </w:r>
      <w:r>
        <w:rPr/>
        <w:t> 关，本公司的相关投入最终将计入相应会计期间的费用。</w:t>
      </w:r>
    </w:p>
    <w:p>
      <w:pPr>
        <w:pStyle w:val="BodyText"/>
        <w:spacing w:line="240" w:lineRule="auto"/>
        <w:ind w:left="489" w:right="0"/>
        <w:jc w:val="left"/>
      </w:pPr>
      <w:r>
        <w:rPr/>
        <w:t>对于政府文件未明确规定补助对象的，本公司直接将收到政府补助计入当期收益。</w:t>
      </w:r>
    </w:p>
    <w:p>
      <w:pPr>
        <w:spacing w:line="750" w:lineRule="atLeast" w:before="34"/>
        <w:ind w:left="573" w:right="0" w:hanging="420"/>
        <w:jc w:val="left"/>
        <w:rPr>
          <w:rFonts w:ascii="宋体" w:hAnsi="宋体" w:cs="宋体" w:eastAsia="宋体" w:hint="default"/>
          <w:sz w:val="21"/>
          <w:szCs w:val="21"/>
        </w:rPr>
      </w:pPr>
      <w:bookmarkStart w:name="26、递延所得税资产/递延所得税负债" w:id="205"/>
      <w:bookmarkEnd w:id="205"/>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408" w:lineRule="auto"/>
        <w:ind w:left="573"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408" w:lineRule="auto"/>
        <w:ind w:left="573"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408" w:lineRule="auto"/>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ind w:left="154" w:right="1131"/>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7、租赁" w:id="206"/>
      <w:bookmarkEnd w:id="206"/>
      <w:r>
        <w:rPr>
          <w:b w:val="0"/>
          <w:bCs w:val="0"/>
        </w:rPr>
      </w:r>
      <w:r>
        <w:rPr>
          <w:rFonts w:ascii="Times New Roman" w:hAnsi="Times New Roman" w:cs="Times New Roman" w:eastAsia="Times New Roman" w:hint="default"/>
        </w:rPr>
        <w:t>27</w:t>
      </w:r>
      <w:r>
        <w:rPr/>
        <w:t>、租赁</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90"/>
        <w:ind w:left="154" w:right="0" w:firstLine="420"/>
        <w:jc w:val="left"/>
      </w:pPr>
      <w:r>
        <w:rPr>
          <w:rFonts w:ascii="Times New Roman" w:hAnsi="Times New Roman" w:cs="Times New Roman" w:eastAsia="Times New Roman" w:hint="default"/>
        </w:rPr>
        <w:t>1</w:t>
      </w:r>
      <w:r>
        <w:rPr/>
        <w:t>、本公司租入资产所支付的租赁费，在不扣除免租期的整个租赁期内，按直线法进行分摊，计入当 期费用。本公司支付的与租赁交易相关的初始直接费用，计入当期费用。</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3" w:firstLine="420"/>
        <w:jc w:val="left"/>
      </w:pPr>
      <w:r>
        <w:rPr/>
        <w:t>资产出租方承担了应由本公司承担的与租赁相关的费用时，本公司将该部分费用从租金总额中扣除， 按扣除后的租金费用在租赁期内分摊，计入当期费用。</w:t>
      </w:r>
    </w:p>
    <w:p>
      <w:pPr>
        <w:pStyle w:val="BodyText"/>
        <w:spacing w:line="398" w:lineRule="auto"/>
        <w:ind w:right="1133" w:firstLine="420"/>
        <w:jc w:val="both"/>
      </w:pPr>
      <w:r>
        <w:rPr>
          <w:rFonts w:ascii="Times New Roman" w:hAnsi="Times New Roman" w:cs="Times New Roman" w:eastAsia="Times New Roman" w:hint="default"/>
        </w:rPr>
        <w:t>2</w:t>
      </w:r>
      <w:r>
        <w:rPr/>
        <w:t>、本公司出租资产所收取的租赁费，在不扣除免租期的整个租赁期内，按直线法进行分摊，确认为 </w:t>
      </w:r>
      <w:r>
        <w:rPr>
          <w:spacing w:val="-1"/>
        </w:rPr>
        <w:t>租赁相关收入。本公司支付的与租赁交易相关的初始直接费用，计入当期费用；如金额较大的，则予以资</w:t>
      </w:r>
      <w:r>
        <w:rPr>
          <w:spacing w:val="-86"/>
        </w:rPr>
        <w:t> </w:t>
      </w:r>
      <w:r>
        <w:rPr>
          <w:spacing w:val="-86"/>
        </w:rPr>
      </w:r>
      <w:r>
        <w:rPr/>
        <w:t>本化，在整个租赁期间内按照与租赁相关收入确认相同的基础分期计入当期收益。</w:t>
      </w:r>
    </w:p>
    <w:p>
      <w:pPr>
        <w:pStyle w:val="BodyText"/>
        <w:spacing w:line="408" w:lineRule="auto" w:before="54"/>
        <w:ind w:right="1093" w:firstLine="420"/>
        <w:jc w:val="left"/>
      </w:pPr>
      <w:r>
        <w:rPr/>
        <w:t>本公司承担了应由承租方承担的与租赁相关的费用时，本公司将该部分费用从租金收入总额中扣除， 按扣除后的租金费用在租赁期内分配。</w:t>
      </w: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28、其他重要的会计政策和会计估计" w:id="208"/>
      <w:bookmarkEnd w:id="208"/>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right="0" w:firstLine="420"/>
        <w:jc w:val="left"/>
      </w:pPr>
      <w:r>
        <w:rPr>
          <w:spacing w:val="-1"/>
        </w:rPr>
        <w:t>终止经营是满足下列条件之一的已被本公司处置或被本公司划归为持有待售的、在经营和编制财务报</w:t>
      </w:r>
      <w:r>
        <w:rPr/>
        <w:t> 表时能够单独区分的组成部分：</w:t>
      </w:r>
    </w:p>
    <w:p>
      <w:pPr>
        <w:pStyle w:val="BodyText"/>
        <w:spacing w:line="240" w:lineRule="auto"/>
        <w:ind w:left="574" w:right="0"/>
        <w:jc w:val="left"/>
      </w:pPr>
      <w:r>
        <w:rPr/>
        <w:t>（</w:t>
      </w: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177"/>
        <w:ind w:left="573" w:right="0"/>
        <w:jc w:val="left"/>
      </w:pPr>
      <w:r>
        <w:rPr/>
        <w:t>（</w:t>
      </w: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240" w:lineRule="auto" w:before="177"/>
        <w:ind w:left="574" w:right="0"/>
        <w:jc w:val="left"/>
      </w:pPr>
      <w:r>
        <w:rPr/>
        <w:t>（</w:t>
      </w:r>
      <w:r>
        <w:rPr>
          <w:rFonts w:ascii="Times New Roman" w:hAnsi="Times New Roman" w:cs="Times New Roman" w:eastAsia="Times New Roman" w:hint="default"/>
        </w:rPr>
        <w:t>3</w:t>
      </w:r>
      <w:r>
        <w:rPr/>
        <w:t>）该组成部分是仅仅为了再出售而取得的子公司。</w:t>
      </w:r>
    </w:p>
    <w:p>
      <w:pPr>
        <w:spacing w:line="240" w:lineRule="auto" w:before="0"/>
        <w:rPr>
          <w:rFonts w:ascii="宋体" w:hAnsi="宋体" w:cs="宋体" w:eastAsia="宋体" w:hint="default"/>
          <w:sz w:val="22"/>
          <w:szCs w:val="22"/>
        </w:rPr>
      </w:pPr>
    </w:p>
    <w:p>
      <w:pPr>
        <w:pStyle w:val="Heading4"/>
        <w:spacing w:line="240" w:lineRule="auto" w:before="190"/>
        <w:ind w:left="154" w:right="0"/>
        <w:jc w:val="left"/>
        <w:rPr>
          <w:b w:val="0"/>
          <w:bCs w:val="0"/>
        </w:rPr>
      </w:pPr>
      <w:bookmarkStart w:name="29、重要会计政策和会计估计变更" w:id="209"/>
      <w:bookmarkEnd w:id="209"/>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30、其他" w:id="212"/>
      <w:bookmarkEnd w:id="212"/>
      <w:r>
        <w:rPr>
          <w:b w:val="0"/>
          <w:bCs w:val="0"/>
        </w:rPr>
      </w:r>
      <w:r>
        <w:rPr>
          <w:rFonts w:ascii="Times New Roman" w:hAnsi="Times New Roman" w:cs="Times New Roman" w:eastAsia="Times New Roman" w:hint="default"/>
        </w:rPr>
        <w:t>30</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408" w:lineRule="auto" w:before="189"/>
        <w:ind w:left="574" w:right="1118"/>
        <w:jc w:val="left"/>
      </w:pPr>
      <w:r>
        <w:rPr/>
        <w:t>关联方 </w:t>
      </w:r>
      <w:r>
        <w:rPr>
          <w:spacing w:val="-1"/>
        </w:rPr>
        <w:t>一方控制、共同控制另一方或对另一方施加重大影响，以及两方或两方以上同受一方控制、共同控制</w:t>
      </w:r>
    </w:p>
    <w:p>
      <w:pPr>
        <w:pStyle w:val="BodyText"/>
        <w:spacing w:line="408" w:lineRule="auto"/>
        <w:ind w:left="154" w:right="0"/>
        <w:jc w:val="left"/>
      </w:pPr>
      <w:r>
        <w:rPr>
          <w:spacing w:val="-1"/>
        </w:rPr>
        <w:t>的，构成关联方。关联方可为个人或企业。仅仅同受国家控制而不存在其他关联方关系的企业，不构成本</w:t>
      </w:r>
      <w:r>
        <w:rPr>
          <w:spacing w:val="-86"/>
        </w:rPr>
        <w:t> </w:t>
      </w:r>
      <w:r>
        <w:rPr>
          <w:spacing w:val="-86"/>
        </w:rPr>
      </w:r>
      <w:r>
        <w:rPr/>
        <w:t>公司的关联方。</w:t>
      </w:r>
    </w:p>
    <w:p>
      <w:pPr>
        <w:pStyle w:val="BodyText"/>
        <w:spacing w:line="240" w:lineRule="auto"/>
        <w:ind w:left="573" w:right="0"/>
        <w:jc w:val="left"/>
      </w:pPr>
      <w:r>
        <w:rPr/>
        <w:t>本公司的关联方包括但不限于：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t>（</w:t>
      </w:r>
      <w:r>
        <w:rPr>
          <w:rFonts w:ascii="Times New Roman" w:hAnsi="Times New Roman" w:cs="Times New Roman" w:eastAsia="Times New Roman" w:hint="default"/>
        </w:rPr>
        <w:t>1</w:t>
      </w:r>
      <w:r>
        <w:rPr/>
        <w:t>）本公司的母公司；</w:t>
      </w:r>
    </w:p>
    <w:p>
      <w:pPr>
        <w:pStyle w:val="BodyText"/>
        <w:spacing w:line="240" w:lineRule="auto" w:before="177"/>
        <w:ind w:left="573" w:right="0"/>
        <w:jc w:val="left"/>
      </w:pPr>
      <w:r>
        <w:rPr/>
        <w:t>（</w:t>
      </w:r>
      <w:r>
        <w:rPr>
          <w:rFonts w:ascii="Times New Roman" w:hAnsi="Times New Roman" w:cs="Times New Roman" w:eastAsia="Times New Roman" w:hint="default"/>
        </w:rPr>
        <w:t>2</w:t>
      </w:r>
      <w:r>
        <w:rPr/>
        <w:t>）本公司的子公司；</w:t>
      </w:r>
    </w:p>
    <w:p>
      <w:pPr>
        <w:pStyle w:val="BodyText"/>
        <w:spacing w:line="240" w:lineRule="auto" w:before="177"/>
        <w:ind w:left="573" w:right="0"/>
        <w:jc w:val="left"/>
      </w:pPr>
      <w:r>
        <w:rPr/>
        <w:t>（</w:t>
      </w:r>
      <w:r>
        <w:rPr>
          <w:rFonts w:ascii="Times New Roman" w:hAnsi="Times New Roman" w:cs="Times New Roman" w:eastAsia="Times New Roman" w:hint="default"/>
        </w:rPr>
        <w:t>3</w:t>
      </w:r>
      <w:r>
        <w:rPr/>
        <w:t>）与本公司受同一母公司控制的其他企业；</w:t>
      </w:r>
    </w:p>
    <w:p>
      <w:pPr>
        <w:pStyle w:val="BodyText"/>
        <w:spacing w:line="240" w:lineRule="auto" w:before="177"/>
        <w:ind w:left="573" w:right="0"/>
        <w:jc w:val="left"/>
      </w:pPr>
      <w:r>
        <w:rPr/>
        <w:t>（</w:t>
      </w:r>
      <w:r>
        <w:rPr>
          <w:rFonts w:ascii="Times New Roman" w:hAnsi="Times New Roman" w:cs="Times New Roman" w:eastAsia="Times New Roman" w:hint="default"/>
        </w:rPr>
        <w:t>4</w:t>
      </w:r>
      <w:r>
        <w:rPr/>
        <w:t>）对本公司实施共同控制的投资方；</w:t>
      </w:r>
    </w:p>
    <w:p>
      <w:pPr>
        <w:pStyle w:val="BodyText"/>
        <w:spacing w:line="240" w:lineRule="auto" w:before="177"/>
        <w:ind w:left="573" w:right="0"/>
        <w:jc w:val="left"/>
      </w:pPr>
      <w:r>
        <w:rPr/>
        <w:t>（</w:t>
      </w:r>
      <w:r>
        <w:rPr>
          <w:rFonts w:ascii="Times New Roman" w:hAnsi="Times New Roman" w:cs="Times New Roman" w:eastAsia="Times New Roman" w:hint="default"/>
        </w:rPr>
        <w:t>5</w:t>
      </w:r>
      <w:r>
        <w:rPr/>
        <w:t>）对本公司施加重大影响的投资方；</w:t>
      </w:r>
    </w:p>
    <w:p>
      <w:pPr>
        <w:pStyle w:val="BodyText"/>
        <w:spacing w:line="240" w:lineRule="auto" w:before="177"/>
        <w:ind w:left="573" w:right="0"/>
        <w:jc w:val="left"/>
      </w:pPr>
      <w:r>
        <w:rPr/>
        <w:t>（</w:t>
      </w:r>
      <w:r>
        <w:rPr>
          <w:rFonts w:ascii="Times New Roman" w:hAnsi="Times New Roman" w:cs="Times New Roman" w:eastAsia="Times New Roman" w:hint="default"/>
        </w:rPr>
        <w:t>6</w:t>
      </w:r>
      <w:r>
        <w:rPr/>
        <w:t>）本公司的合营企业，包括合营企业的子公司；</w:t>
      </w:r>
    </w:p>
    <w:p>
      <w:pPr>
        <w:pStyle w:val="BodyText"/>
        <w:spacing w:line="240" w:lineRule="auto" w:before="177"/>
        <w:ind w:left="573" w:right="0"/>
        <w:jc w:val="left"/>
      </w:pPr>
      <w:r>
        <w:rPr/>
        <w:t>（</w:t>
      </w:r>
      <w:r>
        <w:rPr>
          <w:rFonts w:ascii="Times New Roman" w:hAnsi="Times New Roman" w:cs="Times New Roman" w:eastAsia="Times New Roman" w:hint="default"/>
        </w:rPr>
        <w:t>7</w:t>
      </w:r>
      <w:r>
        <w:rPr/>
        <w:t>）本公司的联营企业，包括联营企业的子公司；</w:t>
      </w:r>
    </w:p>
    <w:p>
      <w:pPr>
        <w:pStyle w:val="BodyText"/>
        <w:spacing w:line="240" w:lineRule="auto" w:before="177"/>
        <w:ind w:left="573" w:right="0"/>
        <w:jc w:val="left"/>
      </w:pPr>
      <w:r>
        <w:rPr/>
        <w:t>（</w:t>
      </w:r>
      <w:r>
        <w:rPr>
          <w:rFonts w:ascii="Times New Roman" w:hAnsi="Times New Roman" w:cs="Times New Roman" w:eastAsia="Times New Roman" w:hint="default"/>
        </w:rPr>
        <w:t>8</w:t>
      </w:r>
      <w:r>
        <w:rPr/>
        <w:t>）本公司的主要投资者个人及与其关系密切的家庭成员</w:t>
      </w:r>
      <w:r>
        <w:rPr>
          <w:spacing w:val="-23"/>
        </w:rPr>
        <w:t> </w:t>
      </w:r>
      <w:r>
        <w:rPr/>
        <w:t>；</w:t>
      </w:r>
    </w:p>
    <w:p>
      <w:pPr>
        <w:pStyle w:val="BodyText"/>
        <w:spacing w:line="240" w:lineRule="auto" w:before="177"/>
        <w:ind w:left="574" w:right="0"/>
        <w:jc w:val="left"/>
      </w:pPr>
      <w:r>
        <w:rPr/>
        <w:t>（</w:t>
      </w:r>
      <w:r>
        <w:rPr>
          <w:rFonts w:ascii="Times New Roman" w:hAnsi="Times New Roman" w:cs="Times New Roman" w:eastAsia="Times New Roman" w:hint="default"/>
        </w:rPr>
        <w:t>9</w:t>
      </w:r>
      <w:r>
        <w:rPr/>
        <w:t>）本公司或其母公司的关键管理人员及与其关系密切的家庭成员；</w:t>
      </w:r>
    </w:p>
    <w:p>
      <w:pPr>
        <w:pStyle w:val="BodyText"/>
        <w:spacing w:line="386" w:lineRule="auto" w:before="177"/>
        <w:ind w:left="154" w:right="1118" w:firstLine="420"/>
        <w:jc w:val="left"/>
      </w:pPr>
      <w:r>
        <w:rPr>
          <w:spacing w:val="-1"/>
        </w:rPr>
        <w:t>（</w:t>
      </w:r>
      <w:r>
        <w:rPr>
          <w:rFonts w:ascii="Times New Roman" w:hAnsi="Times New Roman" w:cs="Times New Roman" w:eastAsia="Times New Roman" w:hint="default"/>
          <w:spacing w:val="-1"/>
        </w:rPr>
        <w:t>10</w:t>
      </w:r>
      <w:r>
        <w:rPr>
          <w:spacing w:val="-1"/>
        </w:rPr>
        <w:t>）本公司的主要投资者个人、关键管理人员或与其关系密切的家庭成员控制、共同控制的其他企</w:t>
      </w:r>
      <w:r>
        <w:rPr/>
        <w:t> 业。</w:t>
      </w:r>
    </w:p>
    <w:p>
      <w:pPr>
        <w:spacing w:line="240" w:lineRule="auto" w:before="2"/>
        <w:rPr>
          <w:rFonts w:ascii="宋体" w:hAnsi="宋体" w:cs="宋体" w:eastAsia="宋体" w:hint="default"/>
          <w:sz w:val="26"/>
          <w:szCs w:val="26"/>
        </w:rPr>
      </w:pPr>
    </w:p>
    <w:p>
      <w:pPr>
        <w:pStyle w:val="Heading3"/>
        <w:spacing w:line="240" w:lineRule="auto"/>
        <w:ind w:left="154" w:right="0"/>
        <w:jc w:val="left"/>
        <w:rPr>
          <w:b w:val="0"/>
          <w:bCs w:val="0"/>
        </w:rPr>
      </w:pPr>
      <w:bookmarkStart w:name="六、税项" w:id="213"/>
      <w:bookmarkEnd w:id="213"/>
      <w:r>
        <w:rPr>
          <w:b w:val="0"/>
          <w:bCs w:val="0"/>
        </w:rPr>
      </w:r>
      <w:r>
        <w:rPr/>
        <w:t>六、税项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left="154" w:right="0"/>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0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477" w:lineRule="auto" w:before="129"/>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548"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70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23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477" w:lineRule="auto" w:before="129"/>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548"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23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332" w:hRule="exact"/>
        </w:trPr>
        <w:tc>
          <w:tcPr>
            <w:tcW w:w="4783" w:type="dxa"/>
            <w:tcBorders>
              <w:top w:val="nil" w:sz="6" w:space="0" w:color="auto"/>
              <w:left w:val="nil" w:sz="6" w:space="0" w:color="auto"/>
              <w:bottom w:val="single" w:sz="4" w:space="0" w:color="000000"/>
              <w:right w:val="nil" w:sz="6" w:space="0" w:color="auto"/>
            </w:tcBorders>
          </w:tcPr>
          <w:p>
            <w:pPr/>
          </w:p>
        </w:tc>
        <w:tc>
          <w:tcPr>
            <w:tcW w:w="4786" w:type="dxa"/>
            <w:tcBorders>
              <w:top w:val="nil" w:sz="6" w:space="0" w:color="auto"/>
              <w:left w:val="nil" w:sz="6" w:space="0" w:color="auto"/>
              <w:bottom w:val="single" w:sz="4" w:space="0" w:color="000000"/>
              <w:right w:val="nil" w:sz="6" w:space="0" w:color="auto"/>
            </w:tcBorders>
          </w:tcPr>
          <w:p>
            <w:pP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both"/>
        <w:rPr>
          <w:b w:val="0"/>
          <w:bCs w:val="0"/>
        </w:rPr>
      </w:pPr>
      <w:r>
        <w:rPr/>
        <w:pict>
          <v:group style="position:absolute;margin-left:55.200001pt;margin-top:-61.166332pt;width:485pt;height:.1pt;mso-position-horizontal-relative:page;mso-position-vertical-relative:paragraph;z-index:-1045552" coordorigin="1104,-1223" coordsize="9700,2">
            <v:shape style="position:absolute;left:1104;top:-1223;width:9700;height:2" coordorigin="1104,-1223" coordsize="9700,0" path="m1104,-1223l10804,-1223e" filled="false" stroked="true" strokeweight=".72pt" strokecolor="#000000">
              <v:path arrowok="t"/>
            </v:shape>
            <w10:wrap type="none"/>
          </v:group>
        </w:pict>
      </w: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90"/>
        <w:ind w:left="574" w:right="1118"/>
        <w:jc w:val="left"/>
      </w:pPr>
      <w:r>
        <w:rPr>
          <w:rFonts w:ascii="Times New Roman" w:hAnsi="Times New Roman" w:cs="Times New Roman" w:eastAsia="Times New Roman" w:hint="default"/>
          <w:b/>
          <w:bCs/>
        </w:rPr>
        <w:t>1</w:t>
      </w:r>
      <w:r>
        <w:rPr>
          <w:rFonts w:ascii="宋体" w:hAnsi="宋体" w:cs="宋体" w:eastAsia="宋体" w:hint="default"/>
          <w:b/>
          <w:bCs/>
        </w:rPr>
        <w:t>、增值税</w:t>
      </w:r>
      <w:r>
        <w:rPr>
          <w:rFonts w:ascii="宋体" w:hAnsi="宋体" w:cs="宋体" w:eastAsia="宋体" w:hint="default"/>
          <w:b/>
          <w:bCs/>
          <w:w w:val="99"/>
        </w:rPr>
        <w:t> </w:t>
      </w:r>
      <w:r>
        <w:rPr>
          <w:spacing w:val="-1"/>
        </w:rPr>
        <w:t>本公司及子公司吉林紫鑫敦化医药药材有限公司、吉林草还丹药业有限公司、吉林紫鑫初元药业有限</w:t>
      </w:r>
    </w:p>
    <w:p>
      <w:pPr>
        <w:pStyle w:val="BodyText"/>
        <w:spacing w:line="400" w:lineRule="auto" w:before="65"/>
        <w:ind w:right="1131"/>
        <w:jc w:val="both"/>
      </w:pPr>
      <w:r>
        <w:rPr>
          <w:spacing w:val="-1"/>
        </w:rPr>
        <w:t>公司、吉林紫鑫般若药业有限公司、吉林紫鑫禺拙药业有限公司、吉林紫鑫人参销售有限公司均为增值税</w:t>
      </w:r>
      <w:r>
        <w:rPr>
          <w:spacing w:val="-83"/>
        </w:rPr>
        <w:t> </w:t>
      </w:r>
      <w:r>
        <w:rPr>
          <w:spacing w:val="-83"/>
        </w:rPr>
      </w:r>
      <w:r>
        <w:rPr>
          <w:spacing w:val="3"/>
        </w:rPr>
        <w:t>一般纳税人，增值税应纳税额为当期销项税额抵减可以抵扣的进项税额后的余额，增值税的销项税率为</w:t>
      </w:r>
      <w:r>
        <w:rPr>
          <w:spacing w:val="-82"/>
        </w:rPr>
        <w:t> </w:t>
      </w:r>
      <w:r>
        <w:rPr>
          <w:spacing w:val="-82"/>
        </w:rPr>
      </w:r>
      <w:r>
        <w:rPr>
          <w:rFonts w:ascii="Times New Roman" w:hAnsi="Times New Roman" w:cs="Times New Roman" w:eastAsia="Times New Roman" w:hint="default"/>
        </w:rPr>
        <w:t>17%</w:t>
      </w:r>
      <w:r>
        <w:rPr/>
        <w:t>。销售人参产品按照人参初加工和深加工分类，增值税的销项税率为</w:t>
      </w:r>
      <w:r>
        <w:rPr>
          <w:rFonts w:ascii="Times New Roman" w:hAnsi="Times New Roman" w:cs="Times New Roman" w:eastAsia="Times New Roman" w:hint="default"/>
        </w:rPr>
        <w:t>13%</w:t>
      </w:r>
      <w:r>
        <w:rPr/>
        <w:t>和</w:t>
      </w:r>
      <w:r>
        <w:rPr>
          <w:rFonts w:ascii="Times New Roman" w:hAnsi="Times New Roman" w:cs="Times New Roman" w:eastAsia="Times New Roman" w:hint="default"/>
        </w:rPr>
        <w:t>17%</w:t>
      </w:r>
      <w:r>
        <w:rPr/>
        <w:t>。子公司吉林紫鑫红</w:t>
      </w:r>
      <w:r>
        <w:rPr>
          <w:spacing w:val="-29"/>
        </w:rPr>
        <w:t> </w:t>
      </w:r>
      <w:r>
        <w:rPr>
          <w:spacing w:val="-29"/>
        </w:rPr>
      </w:r>
      <w:r>
        <w:rPr/>
        <w:t>石种养殖有限公司享受增值税免税政策。</w:t>
      </w:r>
    </w:p>
    <w:p>
      <w:pPr>
        <w:pStyle w:val="BodyText"/>
        <w:spacing w:line="408" w:lineRule="auto" w:before="52"/>
        <w:ind w:left="573" w:right="1128"/>
        <w:jc w:val="left"/>
      </w:pPr>
      <w:r>
        <w:rPr>
          <w:rFonts w:ascii="宋体" w:hAnsi="宋体" w:cs="宋体" w:eastAsia="宋体" w:hint="default"/>
          <w:b/>
          <w:bCs/>
        </w:rPr>
        <w:t>2</w:t>
      </w:r>
      <w:r>
        <w:rPr>
          <w:rFonts w:ascii="宋体" w:hAnsi="宋体" w:cs="宋体" w:eastAsia="宋体" w:hint="default"/>
          <w:b/>
          <w:bCs/>
        </w:rPr>
        <w:t>、企业所得税</w:t>
      </w:r>
      <w:r>
        <w:rPr>
          <w:rFonts w:ascii="宋体" w:hAnsi="宋体" w:cs="宋体" w:eastAsia="宋体" w:hint="default"/>
          <w:b/>
          <w:bCs/>
          <w:w w:val="99"/>
        </w:rPr>
        <w:t> </w:t>
      </w:r>
      <w:r>
        <w:rPr/>
        <w:t>本公司为吉林省高新技术企业执行的所得税税率为</w:t>
      </w:r>
      <w:r>
        <w:rPr>
          <w:rFonts w:ascii="Times New Roman" w:hAnsi="Times New Roman" w:cs="Times New Roman" w:eastAsia="Times New Roman" w:hint="default"/>
        </w:rPr>
        <w:t>15%</w:t>
      </w:r>
      <w:r>
        <w:rPr/>
        <w:t>。子公司吉林草还丹药业有限公司、吉林紫鑫</w:t>
      </w:r>
    </w:p>
    <w:p>
      <w:pPr>
        <w:pStyle w:val="BodyText"/>
        <w:spacing w:line="400" w:lineRule="auto" w:before="14"/>
        <w:ind w:right="1110"/>
        <w:jc w:val="both"/>
      </w:pPr>
      <w:r>
        <w:rPr>
          <w:spacing w:val="-1"/>
        </w:rPr>
        <w:t>初元药业有限公司坐落在吉林省延边朝鲜族自治州，根据国家有关规定享受国家西部大开发政策，执行的</w:t>
      </w:r>
      <w:r>
        <w:rPr>
          <w:spacing w:val="-81"/>
        </w:rPr>
        <w:t> </w:t>
      </w:r>
      <w:r>
        <w:rPr>
          <w:spacing w:val="-81"/>
        </w:rPr>
      </w:r>
      <w:r>
        <w:rPr/>
        <w:t>所得税税率为</w:t>
      </w:r>
      <w:r>
        <w:rPr>
          <w:rFonts w:ascii="Times New Roman" w:hAnsi="Times New Roman" w:cs="Times New Roman" w:eastAsia="Times New Roman" w:hint="default"/>
        </w:rPr>
        <w:t>15%</w:t>
      </w:r>
      <w:r>
        <w:rPr/>
        <w:t>。子公司吉林紫鑫敦化医药药材有限公司、吉林紫鑫般若药业有限公司、吉林紫鑫禺拙</w:t>
      </w:r>
      <w:r>
        <w:rPr>
          <w:spacing w:val="-98"/>
        </w:rPr>
        <w:t> </w:t>
      </w:r>
      <w:r>
        <w:rPr>
          <w:spacing w:val="-98"/>
        </w:rPr>
      </w:r>
      <w:r>
        <w:rPr/>
        <w:t>药业有限公司、吉林紫鑫人参销售有限公司、吉林紫鑫人参研发有限公司、吉林紫鑫药物研究有限公司、 吉林中科紫鑫科技有限公司、北方环境能源交易所有限公司执行的所得税税率</w:t>
      </w:r>
      <w:r>
        <w:rPr>
          <w:rFonts w:ascii="Times New Roman" w:hAnsi="Times New Roman" w:cs="Times New Roman" w:eastAsia="Times New Roman" w:hint="default"/>
        </w:rPr>
        <w:t>25%</w:t>
      </w:r>
      <w:r>
        <w:rPr/>
        <w:t>。</w:t>
      </w:r>
    </w:p>
    <w:p>
      <w:pPr>
        <w:pStyle w:val="BodyText"/>
        <w:spacing w:line="408" w:lineRule="auto" w:before="21"/>
        <w:ind w:left="573" w:right="1128"/>
        <w:jc w:val="left"/>
      </w:pPr>
      <w:r>
        <w:rPr/>
        <w:t>税收优惠及批文 本公司为吉林省高新技术企业执行的所得税税率为</w:t>
      </w:r>
      <w:r>
        <w:rPr>
          <w:rFonts w:ascii="Times New Roman" w:hAnsi="Times New Roman" w:cs="Times New Roman" w:eastAsia="Times New Roman" w:hint="default"/>
        </w:rPr>
        <w:t>15%</w:t>
      </w:r>
      <w:r>
        <w:rPr/>
        <w:t>。子公司吉林草还丹药业有限公司、吉林紫鑫</w:t>
      </w:r>
    </w:p>
    <w:p>
      <w:pPr>
        <w:pStyle w:val="BodyText"/>
        <w:spacing w:line="408" w:lineRule="auto" w:before="14"/>
        <w:ind w:right="1130"/>
        <w:jc w:val="both"/>
      </w:pPr>
      <w:r>
        <w:rPr>
          <w:spacing w:val="-1"/>
        </w:rPr>
        <w:t>初元药业有限公司坐落在吉林省延边朝鲜族自治州，根据国家有关规定享受国家西部大开发政策，执行的</w:t>
      </w:r>
      <w:r>
        <w:rPr>
          <w:spacing w:val="-81"/>
        </w:rPr>
        <w:t> </w:t>
      </w:r>
      <w:r>
        <w:rPr>
          <w:spacing w:val="-81"/>
        </w:rPr>
      </w:r>
      <w:r>
        <w:rPr/>
        <w:t>所得税税率为</w:t>
      </w:r>
      <w:r>
        <w:rPr>
          <w:rFonts w:ascii="Times New Roman" w:hAnsi="Times New Roman" w:cs="Times New Roman" w:eastAsia="Times New Roman" w:hint="default"/>
        </w:rPr>
        <w:t>15%</w:t>
      </w:r>
      <w:r>
        <w:rPr/>
        <w:t>。</w:t>
      </w:r>
    </w:p>
    <w:p>
      <w:pPr>
        <w:pStyle w:val="BodyText"/>
        <w:spacing w:line="400" w:lineRule="auto" w:before="14"/>
        <w:ind w:right="1131" w:firstLine="420"/>
        <w:jc w:val="both"/>
      </w:pPr>
      <w:r>
        <w:rPr/>
        <w:t>根据国税函【</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850</w:t>
      </w:r>
      <w:r>
        <w:rPr/>
        <w:t>号《国家税务总局关于贯彻落实从事农、林、牧、渔业项目企业所得税优 </w:t>
      </w:r>
      <w:r>
        <w:rPr>
          <w:spacing w:val="-1"/>
        </w:rPr>
        <w:t>惠政策有关事项的通知》及《中华人民共和国企业所得税法实施条例》第八十六条的规定，子公司吉林紫</w:t>
      </w:r>
      <w:r>
        <w:rPr>
          <w:spacing w:val="-86"/>
        </w:rPr>
        <w:t> </w:t>
      </w:r>
      <w:r>
        <w:rPr>
          <w:spacing w:val="-86"/>
        </w:rPr>
      </w:r>
      <w:r>
        <w:rPr>
          <w:spacing w:val="-1"/>
        </w:rPr>
        <w:t>鑫红石种养殖有限公司享受所得税免征政策。子公司吉林草还丹药业有限公司、吉林紫鑫般若药业有限公</w:t>
      </w:r>
      <w:r>
        <w:rPr>
          <w:spacing w:val="-81"/>
        </w:rPr>
        <w:t> </w:t>
      </w:r>
      <w:r>
        <w:rPr>
          <w:spacing w:val="-81"/>
        </w:rPr>
      </w:r>
      <w:r>
        <w:rPr/>
        <w:t>司人参初加工产品享受所得税免征政策。</w:t>
      </w: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bookmarkStart w:name="七、合并财务报表项目注释" w:id="216"/>
      <w:bookmarkEnd w:id="216"/>
      <w:r>
        <w:rPr>
          <w:b w:val="0"/>
          <w:bCs w:val="0"/>
        </w:rPr>
      </w:r>
      <w:r>
        <w:rPr/>
        <w:t>七、合并财务报表项目注释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both"/>
        <w:rPr>
          <w:b w:val="0"/>
          <w:bCs w:val="0"/>
        </w:rPr>
      </w:pPr>
      <w:bookmarkStart w:name="1、货币资金" w:id="217"/>
      <w:bookmarkEnd w:id="21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20,521.70</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706,738,868.16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134,081,933.51</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706,753,820.33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8"/>
          <w:szCs w:val="18"/>
        </w:rPr>
      </w:pPr>
    </w:p>
    <w:p>
      <w:pPr>
        <w:pStyle w:val="BodyText"/>
        <w:spacing w:line="240" w:lineRule="auto" w:before="0"/>
        <w:ind w:right="0"/>
        <w:jc w:val="left"/>
      </w:pPr>
      <w:r>
        <w:rPr/>
        <w:t>本公司不存在抵押、冻结等对变现有限制或存放在境外、或有潜在回收风险的资金。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应收票据" w:id="218"/>
      <w:bookmarkEnd w:id="218"/>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17,058,475.99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9,689,780.60</w:t>
            </w:r>
          </w:p>
        </w:tc>
      </w:tr>
      <w:tr>
        <w:trPr>
          <w:trHeight w:val="55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17,058,475.99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9,689,780.60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期末公司已背书或贴现且在资产负债表日尚未到期的应收票据" w:id="220"/>
      <w:bookmarkEnd w:id="220"/>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13,558,333.27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13,558,333.27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期末公司因出票人未履约而将其转应收账款的票据" w:id="221"/>
      <w:bookmarkEnd w:id="221"/>
      <w:r>
        <w:rPr>
          <w:b w:val="0"/>
          <w:bCs w:val="0"/>
        </w:rPr>
      </w:r>
      <w:r>
        <w:rPr/>
        <w:t>（</w:t>
      </w:r>
      <w:r>
        <w:rPr>
          <w:rFonts w:ascii="Times New Roman" w:hAnsi="Times New Roman" w:cs="Times New Roman" w:eastAsia="Times New Roman" w:hint="default"/>
        </w:rPr>
        <w:t>3</w:t>
      </w:r>
      <w:r>
        <w:rPr/>
        <w:t>）期末公司因出票人未履约而将其转应收账款的票据</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55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25"/>
          <w:szCs w:val="25"/>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期末无已贴现或已质押的银行承兑汇票；无因出票人无力履约而将票据转为应收账款的情况。</w:t>
      </w:r>
    </w:p>
    <w:p>
      <w:pPr>
        <w:pStyle w:val="BodyText"/>
        <w:spacing w:line="240" w:lineRule="auto" w:before="176"/>
        <w:ind w:left="489" w:right="0"/>
        <w:jc w:val="left"/>
      </w:pPr>
      <w:r>
        <w:rPr/>
        <w:t>（</w:t>
      </w:r>
      <w:r>
        <w:rPr>
          <w:rFonts w:ascii="Times New Roman" w:hAnsi="Times New Roman" w:cs="Times New Roman" w:eastAsia="Times New Roman" w:hint="default"/>
        </w:rPr>
        <w:t>2)</w:t>
      </w:r>
      <w:r>
        <w:rPr/>
        <w:t>期末应收票据中无持有本公司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）表决权股份的股东单位票据；无应收其他关联方票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left"/>
        <w:rPr>
          <w:b w:val="0"/>
          <w:bCs w:val="0"/>
        </w:rPr>
      </w:pPr>
      <w:bookmarkStart w:name="3、应收账款" w:id="222"/>
      <w:bookmarkEnd w:id="222"/>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left="154" w:right="0"/>
        <w:jc w:val="left"/>
        <w:rPr>
          <w:b w:val="0"/>
          <w:bCs w:val="0"/>
        </w:rPr>
      </w:pPr>
      <w:bookmarkStart w:name="（1）应收账款分类披露" w:id="223"/>
      <w:bookmarkEnd w:id="22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559"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2"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359,861,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952.88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24,052,1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28.24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335,809,8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24.64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412,923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,321.72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25,864,94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5.31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387,058,37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6.41</w:t>
            </w:r>
          </w:p>
        </w:tc>
      </w:tr>
      <w:tr>
        <w:trPr>
          <w:trHeight w:val="149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243,080,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741.83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26,396,3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36.27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216,684,4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05.56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209,216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,526.62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18,959,73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7.26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190,256,78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9.36</w:t>
            </w:r>
          </w:p>
        </w:tc>
      </w:tr>
      <w:tr>
        <w:trPr>
          <w:trHeight w:val="240"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602,942,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7" w:right="0"/>
              <w:jc w:val="center"/>
              <w:rPr>
                <w:rFonts w:ascii="Times New Roman" w:hAnsi="Times New Roman" w:cs="Times New Roman" w:eastAsia="Times New Roman" w:hint="default"/>
                <w:sz w:val="18"/>
                <w:szCs w:val="18"/>
              </w:rPr>
            </w:pPr>
            <w:r>
              <w:rPr>
                <w:rFonts w:ascii="Times New Roman"/>
                <w:sz w:val="18"/>
              </w:rPr>
              <w:t>694.71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50,448,4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64.51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552,494,2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30.20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622,139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,848.34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44,824,68</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2.57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577,315,16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5.77</w:t>
            </w:r>
          </w:p>
        </w:tc>
      </w:tr>
      <w:tr>
        <w:trPr>
          <w:trHeight w:val="547"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240"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10"/>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8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80"/>
      </w:tblGrid>
      <w:tr>
        <w:trPr>
          <w:trHeight w:val="283"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0"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65"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90"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553"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24" w:right="0"/>
              <w:jc w:val="left"/>
              <w:rPr>
                <w:rFonts w:ascii="Times New Roman" w:hAnsi="Times New Roman" w:cs="Times New Roman" w:eastAsia="Times New Roman" w:hint="default"/>
                <w:sz w:val="18"/>
                <w:szCs w:val="18"/>
              </w:rPr>
            </w:pPr>
            <w:r>
              <w:rPr>
                <w:rFonts w:ascii="Times New Roman"/>
                <w:sz w:val="18"/>
              </w:rPr>
              <w:t>427,146,188.95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25,628,771.34</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55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72,669,103.76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5,813,528.30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55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46,385,384.93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4,638,538.49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32,292,383.40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6,458,476.68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21,578,335.69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6,473,500.71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2,871,297.98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1,435,648.99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55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602,942,694.71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50,448,464.51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8.37%</w:t>
            </w:r>
          </w:p>
        </w:tc>
      </w:tr>
    </w:tbl>
    <w:p>
      <w:pPr>
        <w:spacing w:line="240" w:lineRule="auto" w:before="6"/>
        <w:rPr>
          <w:rFonts w:ascii="宋体" w:hAnsi="宋体" w:cs="宋体" w:eastAsia="宋体" w:hint="default"/>
          <w:sz w:val="6"/>
          <w:szCs w:val="6"/>
        </w:rPr>
      </w:pPr>
    </w:p>
    <w:p>
      <w:pPr>
        <w:spacing w:line="518"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489" w:lineRule="auto" w:before="63"/>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518" w:lineRule="auto" w:before="0"/>
        <w:ind w:left="154" w:right="589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before="6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按欠款方归集的期末余额前五名的应收账款情况" w:id="225"/>
      <w:bookmarkEnd w:id="225"/>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9"/>
        <w:ind w:left="154" w:right="0"/>
        <w:jc w:val="left"/>
      </w:pPr>
      <w:r>
        <w:rPr/>
        <w:t>按欠款方归集的期末余额前五名应收账款汇总金额</w:t>
      </w:r>
      <w:r>
        <w:rPr>
          <w:rFonts w:ascii="Times New Roman" w:hAnsi="Times New Roman" w:cs="Times New Roman" w:eastAsia="Times New Roman" w:hint="default"/>
        </w:rPr>
        <w:t>248,443,343.92</w:t>
      </w:r>
      <w:r>
        <w:rPr/>
        <w:t>元，占应收账款期末余额合计数的比例</w:t>
      </w:r>
    </w:p>
    <w:p>
      <w:pPr>
        <w:pStyle w:val="BodyText"/>
        <w:spacing w:line="240" w:lineRule="auto" w:before="177"/>
        <w:ind w:right="0"/>
        <w:jc w:val="left"/>
      </w:pPr>
      <w:r>
        <w:rPr>
          <w:rFonts w:ascii="Times New Roman" w:hAnsi="Times New Roman" w:cs="Times New Roman" w:eastAsia="Times New Roman" w:hint="default"/>
        </w:rPr>
        <w:t>41.21%</w:t>
      </w:r>
      <w:r>
        <w:rPr/>
        <w:t>，相应计提的坏账准备期末余额汇总金额</w:t>
      </w:r>
      <w:r>
        <w:rPr>
          <w:rFonts w:ascii="Times New Roman" w:hAnsi="Times New Roman" w:cs="Times New Roman" w:eastAsia="Times New Roman" w:hint="default"/>
        </w:rPr>
        <w:t>15,357,669.76</w:t>
      </w:r>
      <w:r>
        <w:rPr/>
        <w:t>元。</w:t>
      </w:r>
    </w:p>
    <w:p>
      <w:pPr>
        <w:spacing w:line="240" w:lineRule="auto" w:before="0"/>
        <w:rPr>
          <w:rFonts w:ascii="宋体" w:hAnsi="宋体" w:cs="宋体" w:eastAsia="宋体" w:hint="default"/>
          <w:sz w:val="22"/>
          <w:szCs w:val="22"/>
        </w:rPr>
      </w:pPr>
    </w:p>
    <w:p>
      <w:pPr>
        <w:pStyle w:val="Heading4"/>
        <w:spacing w:line="240" w:lineRule="auto" w:before="189"/>
        <w:ind w:right="0"/>
        <w:jc w:val="left"/>
        <w:rPr>
          <w:b w:val="0"/>
          <w:bCs w:val="0"/>
        </w:rPr>
      </w:pPr>
      <w:bookmarkStart w:name="（4）转移应收账款且继续涉入形成的资产、负债金额" w:id="226"/>
      <w:bookmarkEnd w:id="226"/>
      <w:r>
        <w:rPr>
          <w:b w:val="0"/>
          <w:bCs w:val="0"/>
        </w:rPr>
      </w:r>
      <w:r>
        <w:rPr/>
        <w:t>（</w:t>
      </w:r>
      <w:r>
        <w:rPr>
          <w:rFonts w:ascii="Times New Roman" w:hAnsi="Times New Roman" w:cs="Times New Roman" w:eastAsia="Times New Roman" w:hint="default"/>
        </w:rPr>
        <w:t>4</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line="518" w:lineRule="auto" w:before="0"/>
        <w:ind w:left="154" w:right="9852" w:firstLine="0"/>
        <w:jc w:val="left"/>
        <w:rPr>
          <w:rFonts w:ascii="宋体" w:hAnsi="宋体" w:cs="宋体" w:eastAsia="宋体" w:hint="default"/>
          <w:sz w:val="18"/>
          <w:szCs w:val="18"/>
        </w:rPr>
      </w:pPr>
      <w:r>
        <w:rPr>
          <w:rFonts w:ascii="宋体" w:hAnsi="宋体" w:cs="宋体" w:eastAsia="宋体" w:hint="default"/>
          <w:sz w:val="18"/>
          <w:szCs w:val="18"/>
        </w:rPr>
        <w:t>无 其他说明：</w:t>
      </w:r>
    </w:p>
    <w:p>
      <w:pPr>
        <w:pStyle w:val="BodyText"/>
        <w:spacing w:line="386" w:lineRule="auto" w:before="38"/>
        <w:ind w:left="154" w:right="0"/>
        <w:jc w:val="left"/>
      </w:pPr>
      <w:r>
        <w:rPr>
          <w:rFonts w:ascii="Times New Roman" w:hAnsi="Times New Roman" w:cs="Times New Roman" w:eastAsia="Times New Roman" w:hint="default"/>
        </w:rPr>
        <w:t>(1)</w:t>
      </w:r>
      <w:r>
        <w:rPr/>
        <w:t>应收账款期末余额中无持有本公司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以上表决权股份的股东单位的欠款，无应收关联方欠款。</w:t>
      </w:r>
      <w:r>
        <w:rPr>
          <w:w w:val="99"/>
        </w:rPr>
        <w:t> </w:t>
      </w:r>
      <w:r>
        <w:rPr>
          <w:rFonts w:ascii="Times New Roman" w:hAnsi="Times New Roman" w:cs="Times New Roman" w:eastAsia="Times New Roman" w:hint="default"/>
          <w:spacing w:val="-2"/>
        </w:rPr>
        <w:t>(2)</w:t>
      </w:r>
      <w:r>
        <w:rPr>
          <w:spacing w:val="-2"/>
        </w:rPr>
        <w:t>无前期已全额计提坏账准备，或计提减值准备的比例较大，但在本期又全额收回或转回，或在本期收回</w:t>
      </w:r>
      <w:r>
        <w:rPr>
          <w:spacing w:val="-70"/>
        </w:rPr>
        <w:t> </w:t>
      </w:r>
      <w:r>
        <w:rPr>
          <w:spacing w:val="-70"/>
        </w:rPr>
      </w:r>
      <w:r>
        <w:rPr/>
        <w:t>或转回比例较大的应收账款情况。</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4、预付款项" w:id="227"/>
      <w:bookmarkEnd w:id="227"/>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84"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4"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74"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83"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29,006,599.99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20,187,299.26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61.52%</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1,615,722.12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4,904,222.40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1,069,927.80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627,008.15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1,892,945.42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7,095,299.00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21.62%</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33,585,195.33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32,813,828.81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9"/>
        <w:rPr>
          <w:rFonts w:ascii="宋体" w:hAnsi="宋体" w:cs="宋体" w:eastAsia="宋体" w:hint="default"/>
          <w:sz w:val="17"/>
          <w:szCs w:val="17"/>
        </w:rPr>
      </w:pPr>
    </w:p>
    <w:p>
      <w:pPr>
        <w:pStyle w:val="BodyText"/>
        <w:spacing w:line="240" w:lineRule="auto" w:before="0"/>
        <w:ind w:left="154" w:right="0"/>
        <w:jc w:val="left"/>
      </w:pPr>
      <w:r>
        <w:rPr/>
        <w:t>本期无账龄超过一年以上且金额重大的预付款项。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left="154" w:right="0"/>
        <w:jc w:val="left"/>
      </w:pPr>
      <w:r>
        <w:rPr/>
        <w:t>按预付对象集中度归集的期末余额前五名预付款项汇总金额</w:t>
      </w:r>
      <w:r>
        <w:rPr>
          <w:rFonts w:ascii="Times New Roman" w:hAnsi="Times New Roman" w:cs="Times New Roman" w:eastAsia="Times New Roman" w:hint="default"/>
        </w:rPr>
        <w:t>19,217,301.28</w:t>
      </w:r>
      <w:r>
        <w:rPr/>
        <w:t>元，占预付款项期末余额合计数</w:t>
      </w:r>
      <w:r>
        <w:rPr>
          <w:spacing w:val="-78"/>
        </w:rPr>
        <w:t> </w:t>
      </w:r>
      <w:r>
        <w:rPr>
          <w:spacing w:val="-78"/>
        </w:rPr>
      </w:r>
      <w:r>
        <w:rPr/>
        <w:t>的比例</w:t>
      </w:r>
      <w:r>
        <w:rPr>
          <w:rFonts w:ascii="Times New Roman" w:hAnsi="Times New Roman" w:cs="Times New Roman" w:eastAsia="Times New Roman" w:hint="default"/>
        </w:rPr>
        <w:t>57.22%</w:t>
      </w:r>
      <w:r>
        <w:rPr/>
        <w:t>。</w:t>
      </w:r>
    </w:p>
    <w:p>
      <w:pPr>
        <w:spacing w:line="516" w:lineRule="auto" w:before="101"/>
        <w:ind w:left="153" w:right="2953" w:firstLine="0"/>
        <w:jc w:val="left"/>
        <w:rPr>
          <w:rFonts w:ascii="宋体" w:hAnsi="宋体" w:cs="宋体" w:eastAsia="宋体" w:hint="default"/>
          <w:sz w:val="18"/>
          <w:szCs w:val="18"/>
        </w:rPr>
      </w:pPr>
      <w:r>
        <w:rPr>
          <w:rFonts w:ascii="宋体" w:hAnsi="宋体" w:cs="宋体" w:eastAsia="宋体" w:hint="default"/>
          <w:sz w:val="18"/>
          <w:szCs w:val="18"/>
        </w:rPr>
        <w:t>其他说明： 预付款项期末余额中无持有本公司</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以上表决权股份的股东单位款项；无其他关联方款项。</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其他应收款" w:id="230"/>
      <w:bookmarkEnd w:id="230"/>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其他应收款分类披露" w:id="231"/>
      <w:bookmarkEnd w:id="23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55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239"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548"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239"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9,462,08</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6.23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14.41%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567,725.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8,894,361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48,238,</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241.60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69.74%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2,900,671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45,337,570.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56,211,4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01.20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85.59%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3,914,59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4.06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52,296,80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7.14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20,927,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838.26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30.26%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1,441,512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19,486,325.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r>
      <w:tr>
        <w:trPr>
          <w:trHeight w:val="239"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65,673,4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87.43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4,482,31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9.23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6.83%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61,191,16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8.20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69,166,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079.86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4,342,184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64,823,895.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w:t>
            </w:r>
          </w:p>
        </w:tc>
      </w:tr>
      <w:tr>
        <w:trPr>
          <w:trHeight w:val="548"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239"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40" w:lineRule="auto" w:before="12"/>
        <w:rPr>
          <w:rFonts w:ascii="宋体" w:hAnsi="宋体" w:cs="宋体" w:eastAsia="宋体" w:hint="default"/>
          <w:sz w:val="20"/>
          <w:szCs w:val="20"/>
        </w:rPr>
      </w:pPr>
    </w:p>
    <w:p>
      <w:pPr>
        <w:spacing w:line="489"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8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84"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4"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74"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89"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55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50,945,557.58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3,056,733.45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r>
      <w:tr>
        <w:trPr>
          <w:trHeight w:val="558"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13,658,486.97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1,092,678.96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558"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439,811.56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r>
      <w:tr>
        <w:trPr>
          <w:trHeight w:val="558"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9"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82,545.00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55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515,816.32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257,908.16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55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65,673,487.43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4,482,319.23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w:t>
            </w:r>
          </w:p>
        </w:tc>
      </w:tr>
    </w:tbl>
    <w:p>
      <w:pPr>
        <w:spacing w:line="240" w:lineRule="auto" w:before="7"/>
        <w:rPr>
          <w:rFonts w:ascii="宋体" w:hAnsi="宋体" w:cs="宋体" w:eastAsia="宋体" w:hint="default"/>
          <w:sz w:val="6"/>
          <w:szCs w:val="6"/>
        </w:rPr>
      </w:pPr>
    </w:p>
    <w:p>
      <w:pPr>
        <w:spacing w:line="518" w:lineRule="auto" w:before="44"/>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489" w:lineRule="auto" w:before="6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line="516" w:lineRule="auto" w:before="0"/>
        <w:ind w:left="154" w:right="5892"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before="6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其他应收款按款项性质分类情况" w:id="233"/>
      <w:bookmarkEnd w:id="233"/>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其他应收款按账龄分析</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65,673,487.43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69,166,079.86</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65,673,487.43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69,166,079.86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按欠款方归集的期末余额前五名的其他应收款情况" w:id="234"/>
      <w:bookmarkEnd w:id="234"/>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赵理鹏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2,245,262.79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134,715.77</w:t>
            </w:r>
          </w:p>
        </w:tc>
      </w:tr>
      <w:tr>
        <w:trPr>
          <w:trHeight w:val="55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徐文海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1,678,730.54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100,723.83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孙建臣</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100,696.80</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1,407,996.70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84,479.80</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张天傲</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1,233,745.60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74,024.74</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8,244,015.63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494,640.94</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5）转移其他应收款且继续涉入形成的资产、负债金额" w:id="235"/>
      <w:bookmarkEnd w:id="235"/>
      <w:r>
        <w:rPr>
          <w:b w:val="0"/>
          <w:bCs w:val="0"/>
        </w:rPr>
      </w:r>
      <w:r>
        <w:rPr/>
        <w:t>（</w:t>
      </w: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386" w:lineRule="auto" w:before="0"/>
        <w:ind w:right="1118" w:firstLine="420"/>
        <w:jc w:val="left"/>
      </w:pPr>
      <w:r>
        <w:rPr>
          <w:rFonts w:ascii="Times New Roman" w:hAnsi="Times New Roman" w:cs="Times New Roman" w:eastAsia="Times New Roman" w:hint="default"/>
        </w:rPr>
        <w:t>(1)</w:t>
      </w:r>
      <w:r>
        <w:rPr/>
        <w:t>期末其他应收款余额中无持本公司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以上表决权股份的股东单位的欠款；无其他关联方欠</w:t>
      </w:r>
      <w:r>
        <w:rPr>
          <w:w w:val="99"/>
        </w:rPr>
        <w:t> </w:t>
      </w:r>
      <w:r>
        <w:rPr/>
        <w:t>款。</w:t>
      </w:r>
    </w:p>
    <w:p>
      <w:pPr>
        <w:pStyle w:val="BodyText"/>
        <w:spacing w:line="386" w:lineRule="auto" w:before="65"/>
        <w:ind w:left="154" w:right="1141" w:firstLine="336"/>
        <w:jc w:val="left"/>
      </w:pPr>
      <w:r>
        <w:rPr>
          <w:rFonts w:ascii="Times New Roman" w:hAnsi="Times New Roman" w:cs="Times New Roman" w:eastAsia="Times New Roman" w:hint="default"/>
        </w:rPr>
        <w:t>(2)</w:t>
      </w:r>
      <w:r>
        <w:rPr/>
        <w:t>无前期已全额计提坏账准备，或计提减值准备的比例较大，但在本期又全额收回或转回，或在本期</w:t>
      </w:r>
      <w:r>
        <w:rPr>
          <w:w w:val="99"/>
        </w:rPr>
        <w:t> </w:t>
      </w:r>
      <w:r>
        <w:rPr/>
        <w:t>收回或转回比例较大的其他应收款情况。</w:t>
      </w:r>
    </w:p>
    <w:p>
      <w:pPr>
        <w:spacing w:line="240" w:lineRule="auto" w:before="12"/>
        <w:rPr>
          <w:rFonts w:ascii="宋体" w:hAnsi="宋体" w:cs="宋体" w:eastAsia="宋体" w:hint="default"/>
          <w:sz w:val="27"/>
          <w:szCs w:val="27"/>
        </w:rPr>
      </w:pPr>
    </w:p>
    <w:p>
      <w:pPr>
        <w:pStyle w:val="Heading4"/>
        <w:spacing w:line="240" w:lineRule="auto"/>
        <w:ind w:left="154" w:right="0"/>
        <w:jc w:val="left"/>
        <w:rPr>
          <w:b w:val="0"/>
          <w:bCs w:val="0"/>
        </w:rPr>
      </w:pPr>
      <w:bookmarkStart w:name="6、存货" w:id="236"/>
      <w:bookmarkEnd w:id="236"/>
      <w:r>
        <w:rPr>
          <w:b w:val="0"/>
          <w:bCs w:val="0"/>
        </w:rPr>
      </w:r>
      <w:r>
        <w:rPr>
          <w:rFonts w:ascii="Times New Roman" w:hAnsi="Times New Roman" w:cs="Times New Roman" w:eastAsia="Times New Roman" w:hint="default"/>
        </w:rPr>
        <w:t>6</w:t>
      </w:r>
      <w:r>
        <w:rPr/>
        <w:t>、存货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left="154" w:right="0"/>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8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7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141,687,451.12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141,687,451.12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162,483,900.27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162,483,900.27</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13,370,671.05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13,370,671.05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10,130,573.31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10,130,573.31</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1,357,074,335.99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1,357,074,335.99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1,419,473,764.42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1,419,473,764.42</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422,550,078.87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422,550,078.87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304,145,347.96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304,145,347.96</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134,481,967.38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134,481,967.38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56,960,404.39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56,960,404.39</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8,039,484.27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8,039,484.27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7,512,951.22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7,512,951.22</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5,698,692.36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5,698,692.36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1,828,655.52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1,828,655.52</w:t>
            </w:r>
          </w:p>
        </w:tc>
      </w:tr>
      <w:tr>
        <w:trPr>
          <w:trHeight w:val="55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2,082,902,681.04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2,082,902,681.04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1,962,535,597.09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1,962,535,597.09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期末建造合同形成的已完工未结算资产情况" w:id="238"/>
      <w:bookmarkEnd w:id="238"/>
      <w:r>
        <w:rPr>
          <w:b w:val="0"/>
          <w:bCs w:val="0"/>
        </w:rPr>
      </w: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5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240" w:lineRule="auto" w:before="0"/>
        <w:ind w:left="574" w:right="0"/>
        <w:jc w:val="left"/>
      </w:pPr>
      <w:r>
        <w:rPr/>
        <w:t>（</w:t>
      </w:r>
      <w:r>
        <w:rPr>
          <w:rFonts w:ascii="Times New Roman" w:hAnsi="Times New Roman" w:cs="Times New Roman" w:eastAsia="Times New Roman" w:hint="default"/>
        </w:rPr>
        <w:t>2</w:t>
      </w:r>
      <w:r>
        <w:rPr/>
        <w:t>）存货中的消耗性生物资产</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238"/>
        <w:gridCol w:w="2471"/>
        <w:gridCol w:w="2471"/>
      </w:tblGrid>
      <w:tr>
        <w:trPr>
          <w:trHeight w:val="511" w:hRule="exact"/>
        </w:trPr>
        <w:tc>
          <w:tcPr>
            <w:tcW w:w="42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840"/>
              <w:jc w:val="right"/>
              <w:rPr>
                <w:rFonts w:ascii="宋体" w:hAnsi="宋体" w:cs="宋体" w:eastAsia="宋体" w:hint="default"/>
                <w:sz w:val="18"/>
                <w:szCs w:val="18"/>
              </w:rPr>
            </w:pPr>
            <w:r>
              <w:rPr>
                <w:rFonts w:ascii="宋体" w:hAnsi="宋体" w:cs="宋体" w:eastAsia="宋体" w:hint="default"/>
                <w:sz w:val="18"/>
                <w:szCs w:val="18"/>
              </w:rPr>
              <w:t>项  目</w:t>
            </w:r>
          </w:p>
        </w:tc>
        <w:tc>
          <w:tcPr>
            <w:tcW w:w="24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一、种植业</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422,550,078.87</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304,145,347.96</w:t>
            </w:r>
          </w:p>
        </w:tc>
      </w:tr>
      <w:tr>
        <w:trPr>
          <w:trHeight w:val="509"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在地参</w:t>
            </w:r>
          </w:p>
        </w:tc>
        <w:tc>
          <w:tcPr>
            <w:tcW w:w="2471" w:type="dxa"/>
            <w:tcBorders>
              <w:top w:val="single" w:sz="12" w:space="0" w:color="000000"/>
              <w:left w:val="single" w:sz="6" w:space="0" w:color="000000"/>
              <w:bottom w:val="single" w:sz="12" w:space="0" w:color="000000"/>
              <w:right w:val="single" w:sz="6" w:space="0" w:color="000000"/>
            </w:tcBorders>
          </w:tcPr>
          <w:p>
            <w:pP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85,030,000.04</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人参种苗</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8,975,592.17</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7,458,889.27</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五味子等</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6,741,975.27</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6,688,638.07</w:t>
            </w:r>
          </w:p>
        </w:tc>
      </w:tr>
      <w:tr>
        <w:trPr>
          <w:trHeight w:val="509"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林下参</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405,693,299.39</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204,030,000.04</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其他作物</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1,139,212.04</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937,820.54</w:t>
            </w:r>
          </w:p>
        </w:tc>
      </w:tr>
      <w:tr>
        <w:trPr>
          <w:trHeight w:val="508" w:hRule="exact"/>
        </w:trPr>
        <w:tc>
          <w:tcPr>
            <w:tcW w:w="4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840"/>
              <w:jc w:val="right"/>
              <w:rPr>
                <w:rFonts w:ascii="宋体" w:hAnsi="宋体" w:cs="宋体" w:eastAsia="宋体" w:hint="default"/>
                <w:sz w:val="18"/>
                <w:szCs w:val="18"/>
              </w:rPr>
            </w:pPr>
            <w:r>
              <w:rPr>
                <w:rFonts w:ascii="宋体" w:hAnsi="宋体" w:cs="宋体" w:eastAsia="宋体" w:hint="default"/>
                <w:sz w:val="18"/>
                <w:szCs w:val="18"/>
              </w:rPr>
              <w:t>合  计</w:t>
            </w:r>
          </w:p>
        </w:tc>
        <w:tc>
          <w:tcPr>
            <w:tcW w:w="24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422,550,078.87</w:t>
            </w:r>
          </w:p>
        </w:tc>
        <w:tc>
          <w:tcPr>
            <w:tcW w:w="247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304,145,347.96</w:t>
            </w:r>
          </w:p>
        </w:tc>
      </w:tr>
    </w:tbl>
    <w:p>
      <w:pPr>
        <w:spacing w:line="240" w:lineRule="auto" w:before="4"/>
        <w:rPr>
          <w:rFonts w:ascii="宋体" w:hAnsi="宋体" w:cs="宋体" w:eastAsia="宋体" w:hint="default"/>
          <w:sz w:val="11"/>
          <w:szCs w:val="11"/>
        </w:rPr>
      </w:pPr>
    </w:p>
    <w:p>
      <w:pPr>
        <w:pStyle w:val="BodyText"/>
        <w:spacing w:line="386" w:lineRule="auto" w:before="35"/>
        <w:ind w:left="154" w:right="0" w:firstLine="420"/>
        <w:jc w:val="left"/>
      </w:pPr>
      <w:r>
        <w:rPr/>
        <w:t>（</w:t>
      </w:r>
      <w:r>
        <w:rPr>
          <w:rFonts w:ascii="Times New Roman" w:hAnsi="Times New Roman" w:cs="Times New Roman" w:eastAsia="Times New Roman" w:hint="default"/>
        </w:rPr>
        <w:t>3</w:t>
      </w:r>
      <w:r>
        <w:rPr/>
        <w:t>）本公司期末消耗性生物资产中林下参增加，主要因本期子公司吉林紫鑫红石种养殖有限公司购 买林下参增加所致。</w:t>
      </w:r>
    </w:p>
    <w:p>
      <w:pPr>
        <w:pStyle w:val="BodyText"/>
        <w:spacing w:line="240" w:lineRule="auto" w:before="65"/>
        <w:ind w:left="574" w:right="0"/>
        <w:jc w:val="left"/>
      </w:pPr>
      <w:r>
        <w:rPr/>
        <w:t>（</w:t>
      </w:r>
      <w:r>
        <w:rPr>
          <w:rFonts w:ascii="Times New Roman" w:hAnsi="Times New Roman" w:cs="Times New Roman" w:eastAsia="Times New Roman" w:hint="default"/>
        </w:rPr>
        <w:t>4</w:t>
      </w:r>
      <w:r>
        <w:rPr/>
        <w:t>）本公司期末消耗性生物资产中在地参减少，主要因在地参达到收获条件，本期全部收获所致。</w:t>
      </w:r>
    </w:p>
    <w:p>
      <w:pPr>
        <w:pStyle w:val="BodyText"/>
        <w:spacing w:line="240" w:lineRule="auto" w:before="177"/>
        <w:ind w:left="574" w:right="0"/>
        <w:jc w:val="left"/>
      </w:pPr>
      <w:r>
        <w:rPr/>
        <w:t>（</w:t>
      </w:r>
      <w:r>
        <w:rPr>
          <w:rFonts w:ascii="Times New Roman" w:hAnsi="Times New Roman" w:cs="Times New Roman" w:eastAsia="Times New Roman" w:hint="default"/>
        </w:rPr>
        <w:t>5</w:t>
      </w:r>
      <w:r>
        <w:rPr/>
        <w:t>）存货期末余额中无成本高于可变现净值情况，无需计提存货跌价准备。</w:t>
      </w:r>
    </w:p>
    <w:p>
      <w:pPr>
        <w:pStyle w:val="BodyText"/>
        <w:spacing w:line="386" w:lineRule="auto" w:before="177"/>
        <w:ind w:left="574" w:right="0"/>
        <w:jc w:val="left"/>
      </w:pPr>
      <w:r>
        <w:rPr/>
        <w:t>（</w:t>
      </w:r>
      <w:r>
        <w:rPr>
          <w:rFonts w:ascii="Times New Roman" w:hAnsi="Times New Roman" w:cs="Times New Roman" w:eastAsia="Times New Roman" w:hint="default"/>
        </w:rPr>
        <w:t>6</w:t>
      </w:r>
      <w:r>
        <w:rPr/>
        <w:t>）存货期末余额中抵押和担保的情况： </w:t>
      </w:r>
      <w:r>
        <w:rPr>
          <w:spacing w:val="-1"/>
        </w:rPr>
        <w:t>根据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6</w:t>
      </w:r>
      <w:r>
        <w:rPr>
          <w:spacing w:val="-1"/>
        </w:rPr>
        <w:t>日本公司与吉林银行股份有限公司长春瑞祥支行签订的质押合同，以本公司存货人参</w:t>
      </w:r>
    </w:p>
    <w:p>
      <w:pPr>
        <w:pStyle w:val="BodyText"/>
        <w:spacing w:line="240" w:lineRule="auto" w:before="35"/>
        <w:ind w:left="154" w:right="0"/>
        <w:jc w:val="left"/>
      </w:pPr>
      <w:r>
        <w:rPr/>
        <w:t>（干品）中的</w:t>
      </w:r>
      <w:r>
        <w:rPr>
          <w:rFonts w:ascii="Times New Roman" w:hAnsi="Times New Roman" w:cs="Times New Roman" w:eastAsia="Times New Roman" w:hint="default"/>
        </w:rPr>
        <w:t>989</w:t>
      </w:r>
      <w:r>
        <w:rPr/>
        <w:t>吨，估价为</w:t>
      </w:r>
      <w:r>
        <w:rPr>
          <w:rFonts w:ascii="Times New Roman" w:hAnsi="Times New Roman" w:cs="Times New Roman" w:eastAsia="Times New Roman" w:hint="default"/>
        </w:rPr>
        <w:t>92,426.48</w:t>
      </w:r>
      <w:r>
        <w:rPr/>
        <w:t>万元，作为质押物取得银行流动资金贷款</w:t>
      </w:r>
      <w:r>
        <w:rPr>
          <w:rFonts w:ascii="Times New Roman" w:hAnsi="Times New Roman" w:cs="Times New Roman" w:eastAsia="Times New Roman" w:hint="default"/>
        </w:rPr>
        <w:t>20,000</w:t>
      </w:r>
      <w:r>
        <w:rPr/>
        <w:t>万元。</w:t>
      </w:r>
    </w:p>
    <w:p>
      <w:pPr>
        <w:spacing w:line="240" w:lineRule="auto" w:before="0"/>
        <w:rPr>
          <w:rFonts w:ascii="宋体" w:hAnsi="宋体" w:cs="宋体" w:eastAsia="宋体" w:hint="default"/>
          <w:sz w:val="22"/>
          <w:szCs w:val="22"/>
        </w:rPr>
      </w:pPr>
    </w:p>
    <w:p>
      <w:pPr>
        <w:pStyle w:val="Heading4"/>
        <w:spacing w:line="240" w:lineRule="auto" w:before="189"/>
        <w:ind w:right="0"/>
        <w:jc w:val="left"/>
        <w:rPr>
          <w:b w:val="0"/>
          <w:bCs w:val="0"/>
        </w:rPr>
      </w:pPr>
      <w:bookmarkStart w:name="7、其他流动资产" w:id="239"/>
      <w:bookmarkEnd w:id="239"/>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已交税费和待抵扣进项税小计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133,997,383.51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156,489,707.96</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303,536.34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3,255,918.09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34" w:right="0"/>
              <w:jc w:val="left"/>
              <w:rPr>
                <w:rFonts w:ascii="Times New Roman" w:hAnsi="Times New Roman" w:cs="Times New Roman" w:eastAsia="Times New Roman" w:hint="default"/>
                <w:sz w:val="18"/>
                <w:szCs w:val="18"/>
              </w:rPr>
            </w:pPr>
            <w:r>
              <w:rPr>
                <w:rFonts w:ascii="Times New Roman"/>
                <w:sz w:val="18"/>
              </w:rPr>
              <w:t>134,300,919.85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34" w:right="0"/>
              <w:jc w:val="left"/>
              <w:rPr>
                <w:rFonts w:ascii="Times New Roman" w:hAnsi="Times New Roman" w:cs="Times New Roman" w:eastAsia="Times New Roman" w:hint="default"/>
                <w:sz w:val="18"/>
                <w:szCs w:val="18"/>
              </w:rPr>
            </w:pPr>
            <w:r>
              <w:rPr>
                <w:rFonts w:ascii="Times New Roman"/>
                <w:sz w:val="18"/>
              </w:rPr>
              <w:t>159,745,626.05</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8、可供出售金融资产" w:id="240"/>
      <w:bookmarkEnd w:id="240"/>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可供出售金融资产情况" w:id="241"/>
      <w:bookmarkEnd w:id="24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89"/>
        <w:gridCol w:w="1207"/>
        <w:gridCol w:w="1196"/>
        <w:gridCol w:w="1196"/>
        <w:gridCol w:w="1248"/>
        <w:gridCol w:w="1367"/>
        <w:gridCol w:w="1367"/>
      </w:tblGrid>
      <w:tr>
        <w:trPr>
          <w:trHeight w:val="284"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69"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8"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558"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期末按成本计量的可供出售金融资产" w:id="242"/>
      <w:bookmarkEnd w:id="242"/>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558"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08"/>
              <w:jc w:val="both"/>
              <w:rPr>
                <w:rFonts w:ascii="宋体" w:hAnsi="宋体" w:cs="宋体" w:eastAsia="宋体" w:hint="default"/>
                <w:sz w:val="18"/>
                <w:szCs w:val="18"/>
              </w:rPr>
            </w:pPr>
            <w:r>
              <w:rPr>
                <w:rFonts w:ascii="宋体" w:hAnsi="宋体" w:cs="宋体" w:eastAsia="宋体" w:hint="default"/>
                <w:sz w:val="18"/>
                <w:szCs w:val="18"/>
              </w:rPr>
              <w:t>长春农村 商业银行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可供出售权益工具期末公允价值严重下跌或非暂时性下跌但未计提减值准备的相关说" w:id="243"/>
      <w:bookmarkEnd w:id="243"/>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386" w:lineRule="auto" w:before="0"/>
        <w:ind w:right="1289" w:firstLine="42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日长春农村商业银行股份有限公司召开的</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 利润分配方案，</w:t>
      </w:r>
      <w:r>
        <w:rPr>
          <w:rFonts w:ascii="Times New Roman" w:hAnsi="Times New Roman" w:cs="Times New Roman" w:eastAsia="Times New Roman" w:hint="default"/>
        </w:rPr>
        <w:t>“</w:t>
      </w:r>
      <w:r>
        <w:rPr/>
        <w:t>按照每股</w:t>
      </w:r>
      <w:r>
        <w:rPr>
          <w:rFonts w:ascii="Times New Roman" w:hAnsi="Times New Roman" w:cs="Times New Roman" w:eastAsia="Times New Roman" w:hint="default"/>
        </w:rPr>
        <w:t>0.2</w:t>
      </w:r>
      <w:r>
        <w:rPr/>
        <w:t>元（含税）的比例，向本行截止</w:t>
      </w:r>
      <w:r>
        <w:rPr>
          <w:rFonts w:ascii="Times New Roman" w:hAnsi="Times New Roman" w:cs="Times New Roman" w:eastAsia="Times New Roman" w:hint="default"/>
        </w:rPr>
        <w:t>2014</w:t>
      </w:r>
      <w:r>
        <w:rPr/>
        <w:t>年末登记在册的股东进行现金分红</w:t>
      </w:r>
      <w:r>
        <w:rPr>
          <w:rFonts w:ascii="Times New Roman" w:hAnsi="Times New Roman" w:cs="Times New Roman" w:eastAsia="Times New Roman" w:hint="default"/>
        </w:rPr>
        <w:t>”</w:t>
      </w:r>
      <w:r>
        <w:rPr/>
        <w:t>， 本期确认投资收益</w:t>
      </w:r>
      <w:r>
        <w:rPr>
          <w:rFonts w:ascii="Times New Roman" w:hAnsi="Times New Roman" w:cs="Times New Roman" w:eastAsia="Times New Roman" w:hint="default"/>
        </w:rPr>
        <w:t>980</w:t>
      </w:r>
      <w:r>
        <w:rPr/>
        <w:t>万元。</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9、固定资产" w:id="244"/>
      <w:bookmarkEnd w:id="244"/>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固定资产情况" w:id="245"/>
      <w:bookmarkEnd w:id="24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558"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29"/>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129"/>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512,806,983.42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316,148,594.96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22,581,628.02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20,384,103.68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871,921,310.08</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169,649,621.66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14,267,948.63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1,945,409.92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2,294,779.30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188,157,759.51</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210,683.73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210,683.73</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682,456,605.08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330,205,859.86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24,527,037.94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22,678,882.98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1,059,868,385.86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80,411,866.65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88,676,361.56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12,650,802.25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11,049,734.08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192,788,764.54</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38,823,646.97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15,663,271.58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4,014,255.89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2,542,407.14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61,043,581.58</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35,026.17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35,026.17</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119,235,513.62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104,304,606.97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16,665,058.14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13,592,141.22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253,797,319.95</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563,221,091.46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225,901,252.89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7,861,979.80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9,086,741.76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806,071,065.91</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432,395,116.77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227,472,233.40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9,930,825.77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9,334,369.60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679,132,545.54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pStyle w:val="Heading4"/>
        <w:spacing w:line="240" w:lineRule="auto"/>
        <w:ind w:right="0"/>
        <w:jc w:val="left"/>
        <w:rPr>
          <w:b w:val="0"/>
          <w:bCs w:val="0"/>
        </w:rPr>
      </w:pPr>
      <w:bookmarkStart w:name="（2）未办妥产权证书的固定资产情况" w:id="246"/>
      <w:bookmarkEnd w:id="246"/>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386" w:lineRule="auto" w:before="0"/>
        <w:ind w:right="0" w:firstLine="420"/>
        <w:jc w:val="left"/>
      </w:pPr>
      <w:r>
        <w:rPr>
          <w:rFonts w:ascii="Times New Roman" w:hAnsi="Times New Roman" w:cs="Times New Roman" w:eastAsia="Times New Roman" w:hint="default"/>
        </w:rPr>
        <w:t>(1)</w:t>
      </w:r>
      <w:r>
        <w:rPr/>
        <w:t>本期折旧额为</w:t>
      </w:r>
      <w:r>
        <w:rPr>
          <w:rFonts w:ascii="Times New Roman" w:hAnsi="Times New Roman" w:cs="Times New Roman" w:eastAsia="Times New Roman" w:hint="default"/>
        </w:rPr>
        <w:t>6,104.36</w:t>
      </w:r>
      <w:r>
        <w:rPr/>
        <w:t>万元，本期由在建工程转入固定资产的金额为</w:t>
      </w:r>
      <w:r>
        <w:rPr>
          <w:rFonts w:ascii="Times New Roman" w:hAnsi="Times New Roman" w:cs="Times New Roman" w:eastAsia="Times New Roman" w:hint="default"/>
        </w:rPr>
        <w:t>17,414.54</w:t>
      </w:r>
      <w:r>
        <w:rPr/>
        <w:t>万元。期末用于抵</w:t>
      </w:r>
      <w:r>
        <w:rPr>
          <w:w w:val="99"/>
        </w:rPr>
        <w:t> </w:t>
      </w:r>
      <w:r>
        <w:rPr/>
        <w:t>押或担保的固定资产原值为</w:t>
      </w:r>
      <w:r>
        <w:rPr>
          <w:rFonts w:ascii="Times New Roman" w:hAnsi="Times New Roman" w:cs="Times New Roman" w:eastAsia="Times New Roman" w:hint="default"/>
        </w:rPr>
        <w:t>54,135.41</w:t>
      </w:r>
      <w:r>
        <w:rPr/>
        <w:t>万元，净值为</w:t>
      </w:r>
      <w:r>
        <w:rPr>
          <w:rFonts w:ascii="Times New Roman" w:hAnsi="Times New Roman" w:cs="Times New Roman" w:eastAsia="Times New Roman" w:hint="default"/>
        </w:rPr>
        <w:t>47,371.17</w:t>
      </w:r>
      <w:r>
        <w:rPr/>
        <w:t>万元。</w:t>
      </w:r>
    </w:p>
    <w:p>
      <w:pPr>
        <w:pStyle w:val="BodyText"/>
        <w:spacing w:line="386" w:lineRule="auto" w:before="35"/>
        <w:ind w:left="574" w:right="3367"/>
        <w:jc w:val="left"/>
      </w:pPr>
      <w:r>
        <w:rPr>
          <w:rFonts w:ascii="Times New Roman" w:hAnsi="Times New Roman" w:cs="Times New Roman" w:eastAsia="Times New Roman" w:hint="default"/>
        </w:rPr>
        <w:t>(2)</w:t>
      </w:r>
      <w:r>
        <w:rPr/>
        <w:t>期末无暂时闲置的固定资产。</w:t>
      </w:r>
      <w:r>
        <w:rPr>
          <w:w w:val="99"/>
        </w:rPr>
        <w:t> </w:t>
      </w:r>
      <w:r>
        <w:rPr>
          <w:rFonts w:ascii="Times New Roman" w:hAnsi="Times New Roman" w:cs="Times New Roman" w:eastAsia="Times New Roman" w:hint="default"/>
        </w:rPr>
        <w:t>(3)</w:t>
      </w:r>
      <w:r>
        <w:rPr/>
        <w:t>固定资产期末余额中无经营租出、融资租赁租入、持有待售的固定资产。</w:t>
      </w:r>
    </w:p>
    <w:p>
      <w:pPr>
        <w:spacing w:line="240" w:lineRule="auto" w:before="8"/>
        <w:rPr>
          <w:rFonts w:ascii="宋体" w:hAnsi="宋体" w:cs="宋体" w:eastAsia="宋体" w:hint="default"/>
          <w:sz w:val="25"/>
          <w:szCs w:val="25"/>
        </w:rPr>
      </w:pPr>
    </w:p>
    <w:p>
      <w:pPr>
        <w:pStyle w:val="Heading4"/>
        <w:spacing w:line="240" w:lineRule="auto"/>
        <w:ind w:left="154" w:right="0"/>
        <w:jc w:val="left"/>
        <w:rPr>
          <w:b w:val="0"/>
          <w:bCs w:val="0"/>
        </w:rPr>
      </w:pPr>
      <w:bookmarkStart w:name="10、在建工程" w:id="247"/>
      <w:bookmarkEnd w:id="247"/>
      <w:r>
        <w:rPr>
          <w:b w:val="0"/>
          <w:bCs w:val="0"/>
        </w:rPr>
      </w:r>
      <w:r>
        <w:rPr>
          <w:rFonts w:ascii="Times New Roman" w:hAnsi="Times New Roman" w:cs="Times New Roman" w:eastAsia="Times New Roman" w:hint="default"/>
        </w:rPr>
        <w:t>10</w:t>
      </w:r>
      <w:r>
        <w:rPr/>
        <w:t>、在建工程</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13"/>
          <w:szCs w:val="13"/>
        </w:rPr>
      </w:pPr>
    </w:p>
    <w:p>
      <w:pPr>
        <w:spacing w:line="6357" w:lineRule="exact"/>
        <w:ind w:left="149" w:right="0" w:firstLine="0"/>
        <w:rPr>
          <w:rFonts w:ascii="宋体" w:hAnsi="宋体" w:cs="宋体" w:eastAsia="宋体" w:hint="default"/>
          <w:sz w:val="20"/>
          <w:szCs w:val="20"/>
        </w:rPr>
      </w:pPr>
      <w:r>
        <w:rPr>
          <w:rFonts w:ascii="宋体" w:hAnsi="宋体" w:cs="宋体" w:eastAsia="宋体" w:hint="default"/>
          <w:position w:val="-126"/>
          <w:sz w:val="20"/>
          <w:szCs w:val="20"/>
        </w:rPr>
        <w:pict>
          <v:group style="width:479.1pt;height:317.9pt;mso-position-horizontal-relative:char;mso-position-vertical-relative:line" coordorigin="0,0" coordsize="9582,6358">
            <v:group style="position:absolute;left:10;top:16;width:1359;height:279" coordorigin="10,16" coordsize="1359,279">
              <v:shape style="position:absolute;left:10;top:16;width:1359;height:279" coordorigin="10,16" coordsize="1359,279" path="m10,294l1368,294,1368,16,10,16,10,294xe" filled="true" fillcolor="#d2d2d2" stroked="false">
                <v:path arrowok="t"/>
                <v:fill type="solid"/>
              </v:shape>
            </v:group>
            <v:group style="position:absolute;left:21;top:294;width:2;height:549" coordorigin="21,294" coordsize="2,549">
              <v:shape style="position:absolute;left:21;top:294;width:2;height:549" coordorigin="21,294" coordsize="0,549" path="m21,294l21,843e" filled="false" stroked="true" strokeweight="1.140pt" strokecolor="#d2d2d2">
                <v:path arrowok="t"/>
              </v:shape>
            </v:group>
            <v:group style="position:absolute;left:1357;top:294;width:2;height:549" coordorigin="1357,294" coordsize="2,549">
              <v:shape style="position:absolute;left:1357;top:294;width:2;height:549" coordorigin="1357,294" coordsize="0,549" path="m1357,294l1357,843e" filled="false" stroked="true" strokeweight="1.140pt" strokecolor="#d2d2d2">
                <v:path arrowok="t"/>
              </v:shape>
            </v:group>
            <v:group style="position:absolute;left:10;top:843;width:1359;height:279" coordorigin="10,843" coordsize="1359,279">
              <v:shape style="position:absolute;left:10;top:843;width:1359;height:279" coordorigin="10,843" coordsize="1359,279" path="m10,1121l1368,1121,1368,843,10,843,10,1121xe" filled="true" fillcolor="#d2d2d2" stroked="false">
                <v:path arrowok="t"/>
                <v:fill type="solid"/>
              </v:shape>
            </v:group>
            <v:group style="position:absolute;left:32;top:294;width:1314;height:549" coordorigin="32,294" coordsize="1314,549">
              <v:shape style="position:absolute;left:32;top:294;width:1314;height:549" coordorigin="32,294" coordsize="1314,549" path="m32,843l1346,843,1346,294,32,294,32,843xe" filled="true" fillcolor="#d2d2d2" stroked="false">
                <v:path arrowok="t"/>
                <v:fill type="solid"/>
              </v:shape>
            </v:group>
            <v:group style="position:absolute;left:1389;top:16;width:2;height:548" coordorigin="1389,16" coordsize="2,548">
              <v:shape style="position:absolute;left:1389;top:16;width:2;height:548" coordorigin="1389,16" coordsize="0,548" path="m1389,16l1389,563e" filled="false" stroked="true" strokeweight="1.140pt" strokecolor="#d2d2d2">
                <v:path arrowok="t"/>
              </v:shape>
            </v:group>
            <v:group style="position:absolute;left:5459;top:16;width:2;height:548" coordorigin="5459,16" coordsize="2,548">
              <v:shape style="position:absolute;left:5459;top:16;width:2;height:548" coordorigin="5459,16" coordsize="0,548" path="m5459,16l5459,563e" filled="false" stroked="true" strokeweight="1.140pt" strokecolor="#d2d2d2">
                <v:path arrowok="t"/>
              </v:shape>
            </v:group>
            <v:group style="position:absolute;left:1401;top:16;width:4047;height:548" coordorigin="1401,16" coordsize="4047,548">
              <v:shape style="position:absolute;left:1401;top:16;width:4047;height:548" coordorigin="1401,16" coordsize="4047,548" path="m1401,563l5448,563,5448,16,1401,16,1401,563xe" filled="true" fillcolor="#d2d2d2" stroked="false">
                <v:path arrowok="t"/>
                <v:fill type="solid"/>
              </v:shape>
            </v:group>
            <v:group style="position:absolute;left:5492;top:16;width:2;height:548" coordorigin="5492,16" coordsize="2,548">
              <v:shape style="position:absolute;left:5492;top:16;width:2;height:548" coordorigin="5492,16" coordsize="0,548" path="m5492,16l5492,563e" filled="false" stroked="true" strokeweight="1.2pt" strokecolor="#d2d2d2">
                <v:path arrowok="t"/>
              </v:shape>
            </v:group>
            <v:group style="position:absolute;left:9560;top:16;width:2;height:548" coordorigin="9560,16" coordsize="2,548">
              <v:shape style="position:absolute;left:9560;top:16;width:2;height:548" coordorigin="9560,16" coordsize="0,548" path="m9560,16l9560,563e" filled="false" stroked="true" strokeweight="1.2pt" strokecolor="#d2d2d2">
                <v:path arrowok="t"/>
              </v:shape>
            </v:group>
            <v:group style="position:absolute;left:5504;top:16;width:4045;height:548" coordorigin="5504,16" coordsize="4045,548">
              <v:shape style="position:absolute;left:5504;top:16;width:4045;height:548" coordorigin="5504,16" coordsize="4045,548" path="m5504,563l9548,563,9548,16,5504,16,5504,563xe" filled="true" fillcolor="#d2d2d2" stroked="false">
                <v:path arrowok="t"/>
                <v:fill type="solid"/>
              </v:shape>
            </v:group>
            <v:group style="position:absolute;left:10;top:10;width:1359;height:2" coordorigin="10,10" coordsize="1359,2">
              <v:shape style="position:absolute;left:10;top:10;width:1359;height:2" coordorigin="10,10" coordsize="1359,0" path="m10,10l1368,10e" filled="false" stroked="true" strokeweight=".48pt" strokecolor="#000000">
                <v:path arrowok="t"/>
              </v:shape>
            </v:group>
            <v:group style="position:absolute;left:1378;top:10;width:4093;height:2" coordorigin="1378,10" coordsize="4093,2">
              <v:shape style="position:absolute;left:1378;top:10;width:4093;height:2" coordorigin="1378,10" coordsize="4093,0" path="m1378,10l5470,10e" filled="false" stroked="true" strokeweight=".48pt" strokecolor="#000000">
                <v:path arrowok="t"/>
              </v:shape>
            </v:group>
            <v:group style="position:absolute;left:5480;top:10;width:4093;height:2" coordorigin="5480,10" coordsize="4093,2">
              <v:shape style="position:absolute;left:5480;top:10;width:4093;height:2" coordorigin="5480,10" coordsize="4093,0" path="m5480,10l9572,10e" filled="false" stroked="true" strokeweight=".48pt" strokecolor="#000000">
                <v:path arrowok="t"/>
              </v:shape>
            </v:group>
            <v:group style="position:absolute;left:1389;top:574;width:2;height:548" coordorigin="1389,574" coordsize="2,548">
              <v:shape style="position:absolute;left:1389;top:574;width:2;height:548" coordorigin="1389,574" coordsize="0,548" path="m1389,574l1389,1121e" filled="false" stroked="true" strokeweight="1.140pt" strokecolor="#d2d2d2">
                <v:path arrowok="t"/>
              </v:shape>
            </v:group>
            <v:group style="position:absolute;left:2725;top:574;width:2;height:548" coordorigin="2725,574" coordsize="2,548">
              <v:shape style="position:absolute;left:2725;top:574;width:2;height:548" coordorigin="2725,574" coordsize="0,548" path="m2725,574l2725,1121e" filled="false" stroked="true" strokeweight="1.140pt" strokecolor="#d2d2d2">
                <v:path arrowok="t"/>
              </v:shape>
            </v:group>
            <v:group style="position:absolute;left:1401;top:574;width:1313;height:548" coordorigin="1401,574" coordsize="1313,548">
              <v:shape style="position:absolute;left:1401;top:574;width:1313;height:548" coordorigin="1401,574" coordsize="1313,548" path="m1401,1121l2714,1121,2714,574,1401,574,1401,1121xe" filled="true" fillcolor="#d2d2d2" stroked="false">
                <v:path arrowok="t"/>
                <v:fill type="solid"/>
              </v:shape>
            </v:group>
            <v:group style="position:absolute;left:2757;top:574;width:2;height:548" coordorigin="2757,574" coordsize="2,548">
              <v:shape style="position:absolute;left:2757;top:574;width:2;height:548" coordorigin="2757,574" coordsize="0,548" path="m2757,574l2757,1121e" filled="false" stroked="true" strokeweight="1.140pt" strokecolor="#d2d2d2">
                <v:path arrowok="t"/>
              </v:shape>
            </v:group>
            <v:group style="position:absolute;left:4092;top:574;width:2;height:548" coordorigin="4092,574" coordsize="2,548">
              <v:shape style="position:absolute;left:4092;top:574;width:2;height:548" coordorigin="4092,574" coordsize="0,548" path="m4092,574l4092,1121e" filled="false" stroked="true" strokeweight="1.140pt" strokecolor="#d2d2d2">
                <v:path arrowok="t"/>
              </v:shape>
            </v:group>
            <v:group style="position:absolute;left:2769;top:574;width:1312;height:548" coordorigin="2769,574" coordsize="1312,548">
              <v:shape style="position:absolute;left:2769;top:574;width:1312;height:548" coordorigin="2769,574" coordsize="1312,548" path="m2769,1121l4081,1121,4081,574,2769,574,2769,1121xe" filled="true" fillcolor="#d2d2d2" stroked="false">
                <v:path arrowok="t"/>
                <v:fill type="solid"/>
              </v:shape>
            </v:group>
            <v:group style="position:absolute;left:4125;top:574;width:2;height:548" coordorigin="4125,574" coordsize="2,548">
              <v:shape style="position:absolute;left:4125;top:574;width:2;height:548" coordorigin="4125,574" coordsize="0,548" path="m4125,574l4125,1121e" filled="false" stroked="true" strokeweight="1.140pt" strokecolor="#d2d2d2">
                <v:path arrowok="t"/>
              </v:shape>
            </v:group>
            <v:group style="position:absolute;left:5459;top:574;width:2;height:548" coordorigin="5459,574" coordsize="2,548">
              <v:shape style="position:absolute;left:5459;top:574;width:2;height:548" coordorigin="5459,574" coordsize="0,548" path="m5459,574l5459,1121e" filled="false" stroked="true" strokeweight="1.140pt" strokecolor="#d2d2d2">
                <v:path arrowok="t"/>
              </v:shape>
            </v:group>
            <v:group style="position:absolute;left:4136;top:574;width:1312;height:548" coordorigin="4136,574" coordsize="1312,548">
              <v:shape style="position:absolute;left:4136;top:574;width:1312;height:548" coordorigin="4136,574" coordsize="1312,548" path="m4136,1121l5448,1121,5448,574,4136,574,4136,1121xe" filled="true" fillcolor="#d2d2d2" stroked="false">
                <v:path arrowok="t"/>
                <v:fill type="solid"/>
              </v:shape>
            </v:group>
            <v:group style="position:absolute;left:5492;top:574;width:2;height:548" coordorigin="5492,574" coordsize="2,548">
              <v:shape style="position:absolute;left:5492;top:574;width:2;height:548" coordorigin="5492,574" coordsize="0,548" path="m5492,574l5492,1121e" filled="false" stroked="true" strokeweight="1.2pt" strokecolor="#d2d2d2">
                <v:path arrowok="t"/>
              </v:shape>
            </v:group>
            <v:group style="position:absolute;left:6826;top:574;width:2;height:548" coordorigin="6826,574" coordsize="2,548">
              <v:shape style="position:absolute;left:6826;top:574;width:2;height:548" coordorigin="6826,574" coordsize="0,548" path="m6826,574l6826,1121e" filled="false" stroked="true" strokeweight="1.140pt" strokecolor="#d2d2d2">
                <v:path arrowok="t"/>
              </v:shape>
            </v:group>
            <v:group style="position:absolute;left:5504;top:574;width:1311;height:548" coordorigin="5504,574" coordsize="1311,548">
              <v:shape style="position:absolute;left:5504;top:574;width:1311;height:548" coordorigin="5504,574" coordsize="1311,548" path="m5504,1121l6814,1121,6814,574,5504,574,5504,1121xe" filled="true" fillcolor="#d2d2d2" stroked="false">
                <v:path arrowok="t"/>
                <v:fill type="solid"/>
              </v:shape>
            </v:group>
            <v:group style="position:absolute;left:6859;top:574;width:2;height:548" coordorigin="6859,574" coordsize="2,548">
              <v:shape style="position:absolute;left:6859;top:574;width:2;height:548" coordorigin="6859,574" coordsize="0,548" path="m6859,574l6859,1121e" filled="false" stroked="true" strokeweight="1.140pt" strokecolor="#d2d2d2">
                <v:path arrowok="t"/>
              </v:shape>
            </v:group>
            <v:group style="position:absolute;left:8194;top:574;width:2;height:548" coordorigin="8194,574" coordsize="2,548">
              <v:shape style="position:absolute;left:8194;top:574;width:2;height:548" coordorigin="8194,574" coordsize="0,548" path="m8194,574l8194,1121e" filled="false" stroked="true" strokeweight="1.2pt" strokecolor="#d2d2d2">
                <v:path arrowok="t"/>
              </v:shape>
            </v:group>
            <v:group style="position:absolute;left:6871;top:574;width:1311;height:548" coordorigin="6871,574" coordsize="1311,548">
              <v:shape style="position:absolute;left:6871;top:574;width:1311;height:548" coordorigin="6871,574" coordsize="1311,548" path="m6871,1121l8182,1121,8182,574,6871,574,6871,1121xe" filled="true" fillcolor="#d2d2d2" stroked="false">
                <v:path arrowok="t"/>
                <v:fill type="solid"/>
              </v:shape>
            </v:group>
            <v:group style="position:absolute;left:8227;top:574;width:2;height:548" coordorigin="8227,574" coordsize="2,548">
              <v:shape style="position:absolute;left:8227;top:574;width:2;height:548" coordorigin="8227,574" coordsize="0,548" path="m8227,574l8227,1121e" filled="false" stroked="true" strokeweight="1.140pt" strokecolor="#d2d2d2">
                <v:path arrowok="t"/>
              </v:shape>
            </v:group>
            <v:group style="position:absolute;left:9560;top:574;width:2;height:548" coordorigin="9560,574" coordsize="2,548">
              <v:shape style="position:absolute;left:9560;top:574;width:2;height:548" coordorigin="9560,574" coordsize="0,548" path="m9560,574l9560,1121e" filled="false" stroked="true" strokeweight="1.2pt" strokecolor="#d2d2d2">
                <v:path arrowok="t"/>
              </v:shape>
            </v:group>
            <v:group style="position:absolute;left:8238;top:574;width:1311;height:548" coordorigin="8238,574" coordsize="1311,548">
              <v:shape style="position:absolute;left:8238;top:574;width:1311;height:548" coordorigin="8238,574" coordsize="1311,548" path="m8238,1121l9548,1121,9548,574,8238,574,8238,1121xe" filled="true" fillcolor="#d2d2d2" stroked="false">
                <v:path arrowok="t"/>
                <v:fill type="solid"/>
              </v:shape>
            </v:group>
            <v:group style="position:absolute;left:1378;top:568;width:1359;height:2" coordorigin="1378,568" coordsize="1359,2">
              <v:shape style="position:absolute;left:1378;top:568;width:1359;height:2" coordorigin="1378,568" coordsize="1359,0" path="m1378,568l2736,568e" filled="false" stroked="true" strokeweight=".48pt" strokecolor="#000000">
                <v:path arrowok="t"/>
              </v:shape>
            </v:group>
            <v:group style="position:absolute;left:2746;top:568;width:1358;height:2" coordorigin="2746,568" coordsize="1358,2">
              <v:shape style="position:absolute;left:2746;top:568;width:1358;height:2" coordorigin="2746,568" coordsize="1358,0" path="m2746,568l4104,568e" filled="false" stroked="true" strokeweight=".48pt" strokecolor="#000000">
                <v:path arrowok="t"/>
              </v:shape>
            </v:group>
            <v:group style="position:absolute;left:4113;top:568;width:1358;height:2" coordorigin="4113,568" coordsize="1358,2">
              <v:shape style="position:absolute;left:4113;top:568;width:1358;height:2" coordorigin="4113,568" coordsize="1358,0" path="m4113,568l5470,568e" filled="false" stroked="true" strokeweight=".48pt" strokecolor="#000000">
                <v:path arrowok="t"/>
              </v:shape>
            </v:group>
            <v:group style="position:absolute;left:5480;top:568;width:1359;height:2" coordorigin="5480,568" coordsize="1359,2">
              <v:shape style="position:absolute;left:5480;top:568;width:1359;height:2" coordorigin="5480,568" coordsize="1359,0" path="m5480,568l6838,568e" filled="false" stroked="true" strokeweight=".48pt" strokecolor="#000000">
                <v:path arrowok="t"/>
              </v:shape>
            </v:group>
            <v:group style="position:absolute;left:6848;top:568;width:1358;height:2" coordorigin="6848,568" coordsize="1358,2">
              <v:shape style="position:absolute;left:6848;top:568;width:1358;height:2" coordorigin="6848,568" coordsize="1358,0" path="m6848,568l8206,568e" filled="false" stroked="true" strokeweight=".48pt" strokecolor="#000000">
                <v:path arrowok="t"/>
              </v:shape>
            </v:group>
            <v:group style="position:absolute;left:8215;top:568;width:1358;height:2" coordorigin="8215,568" coordsize="1358,2">
              <v:shape style="position:absolute;left:8215;top:568;width:1358;height:2" coordorigin="8215,568" coordsize="1358,0" path="m8215,568l9572,568e" filled="false" stroked="true" strokeweight=".48pt" strokecolor="#000000">
                <v:path arrowok="t"/>
              </v:shape>
            </v:group>
            <v:group style="position:absolute;left:10;top:1126;width:1359;height:2" coordorigin="10,1126" coordsize="1359,2">
              <v:shape style="position:absolute;left:10;top:1126;width:1359;height:2" coordorigin="10,1126" coordsize="1359,0" path="m10,1126l1368,1126e" filled="false" stroked="true" strokeweight=".48pt" strokecolor="#000000">
                <v:path arrowok="t"/>
              </v:shape>
            </v:group>
            <v:group style="position:absolute;left:1378;top:1126;width:1359;height:2" coordorigin="1378,1126" coordsize="1359,2">
              <v:shape style="position:absolute;left:1378;top:1126;width:1359;height:2" coordorigin="1378,1126" coordsize="1359,0" path="m1378,1126l2736,1126e" filled="false" stroked="true" strokeweight=".48pt" strokecolor="#000000">
                <v:path arrowok="t"/>
              </v:shape>
            </v:group>
            <v:group style="position:absolute;left:2746;top:1126;width:1358;height:2" coordorigin="2746,1126" coordsize="1358,2">
              <v:shape style="position:absolute;left:2746;top:1126;width:1358;height:2" coordorigin="2746,1126" coordsize="1358,0" path="m2746,1126l4104,1126e" filled="false" stroked="true" strokeweight=".48pt" strokecolor="#000000">
                <v:path arrowok="t"/>
              </v:shape>
            </v:group>
            <v:group style="position:absolute;left:4113;top:1126;width:1358;height:2" coordorigin="4113,1126" coordsize="1358,2">
              <v:shape style="position:absolute;left:4113;top:1126;width:1358;height:2" coordorigin="4113,1126" coordsize="1358,0" path="m4113,1126l5470,1126e" filled="false" stroked="true" strokeweight=".48pt" strokecolor="#000000">
                <v:path arrowok="t"/>
              </v:shape>
            </v:group>
            <v:group style="position:absolute;left:5480;top:1126;width:1359;height:2" coordorigin="5480,1126" coordsize="1359,2">
              <v:shape style="position:absolute;left:5480;top:1126;width:1359;height:2" coordorigin="5480,1126" coordsize="1359,0" path="m5480,1126l6838,1126e" filled="false" stroked="true" strokeweight=".48pt" strokecolor="#000000">
                <v:path arrowok="t"/>
              </v:shape>
            </v:group>
            <v:group style="position:absolute;left:6848;top:1126;width:1358;height:2" coordorigin="6848,1126" coordsize="1358,2">
              <v:shape style="position:absolute;left:6848;top:1126;width:1358;height:2" coordorigin="6848,1126" coordsize="1358,0" path="m6848,1126l8206,1126e" filled="false" stroked="true" strokeweight=".48pt" strokecolor="#000000">
                <v:path arrowok="t"/>
              </v:shape>
            </v:group>
            <v:group style="position:absolute;left:8215;top:1126;width:1358;height:2" coordorigin="8215,1126" coordsize="1358,2">
              <v:shape style="position:absolute;left:8215;top:1126;width:1358;height:2" coordorigin="8215,1126" coordsize="1358,0" path="m8215,1126l9572,1126e" filled="false" stroked="true" strokeweight=".48pt" strokecolor="#000000">
                <v:path arrowok="t"/>
              </v:shape>
            </v:group>
            <v:group style="position:absolute;left:1389;top:1924;width:2;height:548" coordorigin="1389,1924" coordsize="2,548">
              <v:shape style="position:absolute;left:1389;top:1924;width:2;height:548" coordorigin="1389,1924" coordsize="0,548" path="m1389,1924l1389,2471e" filled="false" stroked="true" strokeweight="1.140pt" strokecolor="#ffffff">
                <v:path arrowok="t"/>
              </v:shape>
            </v:group>
            <v:group style="position:absolute;left:1378;top:2471;width:1359;height:234" coordorigin="1378,2471" coordsize="1359,234">
              <v:shape style="position:absolute;left:1378;top:2471;width:1359;height:234" coordorigin="1378,2471" coordsize="1359,234" path="m1378,2705l2736,2705,2736,2471,1378,2471,1378,2705xe" filled="true" fillcolor="#ffffff" stroked="false">
                <v:path arrowok="t"/>
                <v:fill type="solid"/>
              </v:shape>
            </v:group>
            <v:group style="position:absolute;left:1401;top:1924;width:1313;height:548" coordorigin="1401,1924" coordsize="1313,548">
              <v:shape style="position:absolute;left:1401;top:1924;width:1313;height:548" coordorigin="1401,1924" coordsize="1313,548" path="m1401,2471l2714,2471,2714,1924,1401,1924,1401,2471xe" filled="true" fillcolor="#ffffff" stroked="false">
                <v:path arrowok="t"/>
                <v:fill type="solid"/>
              </v:shape>
            </v:group>
            <v:group style="position:absolute;left:10;top:2710;width:1359;height:2" coordorigin="10,2710" coordsize="1359,2">
              <v:shape style="position:absolute;left:10;top:2710;width:1359;height:2" coordorigin="10,2710" coordsize="1359,0" path="m10,2710l1368,2710e" filled="false" stroked="true" strokeweight=".48pt" strokecolor="#000000">
                <v:path arrowok="t"/>
              </v:shape>
            </v:group>
            <v:group style="position:absolute;left:1378;top:2710;width:1359;height:2" coordorigin="1378,2710" coordsize="1359,2">
              <v:shape style="position:absolute;left:1378;top:2710;width:1359;height:2" coordorigin="1378,2710" coordsize="1359,0" path="m1378,2710l2736,2710e" filled="false" stroked="true" strokeweight=".48pt" strokecolor="#000000">
                <v:path arrowok="t"/>
              </v:shape>
            </v:group>
            <v:group style="position:absolute;left:2746;top:2710;width:1358;height:2" coordorigin="2746,2710" coordsize="1358,2">
              <v:shape style="position:absolute;left:2746;top:2710;width:1358;height:2" coordorigin="2746,2710" coordsize="1358,0" path="m2746,2710l4104,2710e" filled="false" stroked="true" strokeweight=".48pt" strokecolor="#000000">
                <v:path arrowok="t"/>
              </v:shape>
            </v:group>
            <v:group style="position:absolute;left:4113;top:2710;width:1358;height:2" coordorigin="4113,2710" coordsize="1358,2">
              <v:shape style="position:absolute;left:4113;top:2710;width:1358;height:2" coordorigin="4113,2710" coordsize="1358,0" path="m4113,2710l5470,2710e" filled="false" stroked="true" strokeweight=".48pt" strokecolor="#000000">
                <v:path arrowok="t"/>
              </v:shape>
            </v:group>
            <v:group style="position:absolute;left:5480;top:2710;width:1359;height:2" coordorigin="5480,2710" coordsize="1359,2">
              <v:shape style="position:absolute;left:5480;top:2710;width:1359;height:2" coordorigin="5480,2710" coordsize="1359,0" path="m5480,2710l6838,2710e" filled="false" stroked="true" strokeweight=".48pt" strokecolor="#000000">
                <v:path arrowok="t"/>
              </v:shape>
            </v:group>
            <v:group style="position:absolute;left:6848;top:2710;width:1358;height:2" coordorigin="6848,2710" coordsize="1358,2">
              <v:shape style="position:absolute;left:6848;top:2710;width:1358;height:2" coordorigin="6848,2710" coordsize="1358,0" path="m6848,2710l8206,2710e" filled="false" stroked="true" strokeweight=".48pt" strokecolor="#000000">
                <v:path arrowok="t"/>
              </v:shape>
            </v:group>
            <v:group style="position:absolute;left:8215;top:2710;width:1358;height:2" coordorigin="8215,2710" coordsize="1358,2">
              <v:shape style="position:absolute;left:8215;top:2710;width:1358;height:2" coordorigin="8215,2710" coordsize="1358,0" path="m8215,2710l9572,2710e" filled="false" stroked="true" strokeweight=".48pt" strokecolor="#000000">
                <v:path arrowok="t"/>
              </v:shape>
            </v:group>
            <v:group style="position:absolute;left:10;top:1684;width:1359;height:2" coordorigin="10,1684" coordsize="1359,2">
              <v:shape style="position:absolute;left:10;top:1684;width:1359;height:2" coordorigin="10,1684" coordsize="1359,0" path="m10,1684l1368,1684e" filled="false" stroked="true" strokeweight=".48pt" strokecolor="#000000">
                <v:path arrowok="t"/>
              </v:shape>
            </v:group>
            <v:group style="position:absolute;left:1378;top:1684;width:1359;height:2" coordorigin="1378,1684" coordsize="1359,2">
              <v:shape style="position:absolute;left:1378;top:1684;width:1359;height:2" coordorigin="1378,1684" coordsize="1359,0" path="m1378,1684l2736,1684e" filled="false" stroked="true" strokeweight=".48pt" strokecolor="#000000">
                <v:path arrowok="t"/>
              </v:shape>
            </v:group>
            <v:group style="position:absolute;left:2746;top:1684;width:1358;height:2" coordorigin="2746,1684" coordsize="1358,2">
              <v:shape style="position:absolute;left:2746;top:1684;width:1358;height:2" coordorigin="2746,1684" coordsize="1358,0" path="m2746,1684l4104,1684e" filled="false" stroked="true" strokeweight=".48pt" strokecolor="#000000">
                <v:path arrowok="t"/>
              </v:shape>
            </v:group>
            <v:group style="position:absolute;left:4113;top:1684;width:1358;height:2" coordorigin="4113,1684" coordsize="1358,2">
              <v:shape style="position:absolute;left:4113;top:1684;width:1358;height:2" coordorigin="4113,1684" coordsize="1358,0" path="m4113,1684l5470,1684e" filled="false" stroked="true" strokeweight=".48pt" strokecolor="#000000">
                <v:path arrowok="t"/>
              </v:shape>
            </v:group>
            <v:group style="position:absolute;left:5480;top:1684;width:1359;height:2" coordorigin="5480,1684" coordsize="1359,2">
              <v:shape style="position:absolute;left:5480;top:1684;width:1359;height:2" coordorigin="5480,1684" coordsize="1359,0" path="m5480,1684l6838,1684e" filled="false" stroked="true" strokeweight=".48pt" strokecolor="#000000">
                <v:path arrowok="t"/>
              </v:shape>
            </v:group>
            <v:group style="position:absolute;left:6848;top:1684;width:1358;height:2" coordorigin="6848,1684" coordsize="1358,2">
              <v:shape style="position:absolute;left:6848;top:1684;width:1358;height:2" coordorigin="6848,1684" coordsize="1358,0" path="m6848,1684l8206,1684e" filled="false" stroked="true" strokeweight=".48pt" strokecolor="#000000">
                <v:path arrowok="t"/>
              </v:shape>
            </v:group>
            <v:group style="position:absolute;left:8215;top:1684;width:1358;height:2" coordorigin="8215,1684" coordsize="1358,2">
              <v:shape style="position:absolute;left:8215;top:1684;width:1358;height:2" coordorigin="8215,1684" coordsize="1358,0" path="m8215,1684l9572,1684e" filled="false" stroked="true" strokeweight=".48pt" strokecolor="#000000">
                <v:path arrowok="t"/>
              </v:shape>
            </v:group>
            <v:group style="position:absolute;left:1389;top:2950;width:2;height:548" coordorigin="1389,2950" coordsize="2,548">
              <v:shape style="position:absolute;left:1389;top:2950;width:2;height:548" coordorigin="1389,2950" coordsize="0,548" path="m1389,2950l1389,3497e" filled="false" stroked="true" strokeweight="1.140pt" strokecolor="#ffffff">
                <v:path arrowok="t"/>
              </v:shape>
            </v:group>
            <v:group style="position:absolute;left:1378;top:3497;width:1359;height:234" coordorigin="1378,3497" coordsize="1359,234">
              <v:shape style="position:absolute;left:1378;top:3497;width:1359;height:234" coordorigin="1378,3497" coordsize="1359,234" path="m1378,3731l2736,3731,2736,3497,1378,3497,1378,3731xe" filled="true" fillcolor="#ffffff" stroked="false">
                <v:path arrowok="t"/>
                <v:fill type="solid"/>
              </v:shape>
            </v:group>
            <v:group style="position:absolute;left:1401;top:2950;width:1313;height:548" coordorigin="1401,2950" coordsize="1313,548">
              <v:shape style="position:absolute;left:1401;top:2950;width:1313;height:548" coordorigin="1401,2950" coordsize="1313,548" path="m1401,3497l2714,3497,2714,2950,1401,2950,1401,3497xe" filled="true" fillcolor="#ffffff" stroked="false">
                <v:path arrowok="t"/>
                <v:fill type="solid"/>
              </v:shape>
            </v:group>
            <v:group style="position:absolute;left:10;top:3736;width:1359;height:2" coordorigin="10,3736" coordsize="1359,2">
              <v:shape style="position:absolute;left:10;top:3736;width:1359;height:2" coordorigin="10,3736" coordsize="1359,0" path="m10,3736l1368,3736e" filled="false" stroked="true" strokeweight=".48pt" strokecolor="#000000">
                <v:path arrowok="t"/>
              </v:shape>
            </v:group>
            <v:group style="position:absolute;left:1378;top:3736;width:1359;height:2" coordorigin="1378,3736" coordsize="1359,2">
              <v:shape style="position:absolute;left:1378;top:3736;width:1359;height:2" coordorigin="1378,3736" coordsize="1359,0" path="m1378,3736l2736,3736e" filled="false" stroked="true" strokeweight=".48pt" strokecolor="#000000">
                <v:path arrowok="t"/>
              </v:shape>
            </v:group>
            <v:group style="position:absolute;left:2746;top:3736;width:1358;height:2" coordorigin="2746,3736" coordsize="1358,2">
              <v:shape style="position:absolute;left:2746;top:3736;width:1358;height:2" coordorigin="2746,3736" coordsize="1358,0" path="m2746,3736l4104,3736e" filled="false" stroked="true" strokeweight=".48pt" strokecolor="#000000">
                <v:path arrowok="t"/>
              </v:shape>
            </v:group>
            <v:group style="position:absolute;left:4113;top:3736;width:1358;height:2" coordorigin="4113,3736" coordsize="1358,2">
              <v:shape style="position:absolute;left:4113;top:3736;width:1358;height:2" coordorigin="4113,3736" coordsize="1358,0" path="m4113,3736l5470,3736e" filled="false" stroked="true" strokeweight=".48pt" strokecolor="#000000">
                <v:path arrowok="t"/>
              </v:shape>
            </v:group>
            <v:group style="position:absolute;left:5480;top:3736;width:1359;height:2" coordorigin="5480,3736" coordsize="1359,2">
              <v:shape style="position:absolute;left:5480;top:3736;width:1359;height:2" coordorigin="5480,3736" coordsize="1359,0" path="m5480,3736l6838,3736e" filled="false" stroked="true" strokeweight=".48pt" strokecolor="#000000">
                <v:path arrowok="t"/>
              </v:shape>
            </v:group>
            <v:group style="position:absolute;left:6848;top:3736;width:1358;height:2" coordorigin="6848,3736" coordsize="1358,2">
              <v:shape style="position:absolute;left:6848;top:3736;width:1358;height:2" coordorigin="6848,3736" coordsize="1358,0" path="m6848,3736l8206,3736e" filled="false" stroked="true" strokeweight=".48pt" strokecolor="#000000">
                <v:path arrowok="t"/>
              </v:shape>
            </v:group>
            <v:group style="position:absolute;left:8215;top:3736;width:1358;height:2" coordorigin="8215,3736" coordsize="1358,2">
              <v:shape style="position:absolute;left:8215;top:3736;width:1358;height:2" coordorigin="8215,3736" coordsize="1358,0" path="m8215,3736l9572,3736e" filled="false" stroked="true" strokeweight=".48pt" strokecolor="#000000">
                <v:path arrowok="t"/>
              </v:shape>
            </v:group>
            <v:group style="position:absolute;left:1389;top:3976;width:2;height:548" coordorigin="1389,3976" coordsize="2,548">
              <v:shape style="position:absolute;left:1389;top:3976;width:2;height:548" coordorigin="1389,3976" coordsize="0,548" path="m1389,3976l1389,4523e" filled="false" stroked="true" strokeweight="1.140pt" strokecolor="#ffffff">
                <v:path arrowok="t"/>
              </v:shape>
            </v:group>
            <v:group style="position:absolute;left:1378;top:4523;width:1359;height:234" coordorigin="1378,4523" coordsize="1359,234">
              <v:shape style="position:absolute;left:1378;top:4523;width:1359;height:234" coordorigin="1378,4523" coordsize="1359,234" path="m1378,4757l2736,4757,2736,4523,1378,4523,1378,4757xe" filled="true" fillcolor="#ffffff" stroked="false">
                <v:path arrowok="t"/>
                <v:fill type="solid"/>
              </v:shape>
            </v:group>
            <v:group style="position:absolute;left:1401;top:3976;width:1313;height:548" coordorigin="1401,3976" coordsize="1313,548">
              <v:shape style="position:absolute;left:1401;top:3976;width:1313;height:548" coordorigin="1401,3976" coordsize="1313,548" path="m1401,4523l2714,4523,2714,3976,1401,3976,1401,4523xe" filled="true" fillcolor="#ffffff" stroked="false">
                <v:path arrowok="t"/>
                <v:fill type="solid"/>
              </v:shape>
            </v:group>
            <v:group style="position:absolute;left:10;top:4762;width:1359;height:2" coordorigin="10,4762" coordsize="1359,2">
              <v:shape style="position:absolute;left:10;top:4762;width:1359;height:2" coordorigin="10,4762" coordsize="1359,0" path="m10,4762l1368,4762e" filled="false" stroked="true" strokeweight=".48pt" strokecolor="#000000">
                <v:path arrowok="t"/>
              </v:shape>
            </v:group>
            <v:group style="position:absolute;left:1378;top:4762;width:1359;height:2" coordorigin="1378,4762" coordsize="1359,2">
              <v:shape style="position:absolute;left:1378;top:4762;width:1359;height:2" coordorigin="1378,4762" coordsize="1359,0" path="m1378,4762l2736,4762e" filled="false" stroked="true" strokeweight=".48pt" strokecolor="#000000">
                <v:path arrowok="t"/>
              </v:shape>
            </v:group>
            <v:group style="position:absolute;left:2746;top:4762;width:1358;height:2" coordorigin="2746,4762" coordsize="1358,2">
              <v:shape style="position:absolute;left:2746;top:4762;width:1358;height:2" coordorigin="2746,4762" coordsize="1358,0" path="m2746,4762l4104,4762e" filled="false" stroked="true" strokeweight=".48pt" strokecolor="#000000">
                <v:path arrowok="t"/>
              </v:shape>
            </v:group>
            <v:group style="position:absolute;left:4113;top:4762;width:1358;height:2" coordorigin="4113,4762" coordsize="1358,2">
              <v:shape style="position:absolute;left:4113;top:4762;width:1358;height:2" coordorigin="4113,4762" coordsize="1358,0" path="m4113,4762l5470,4762e" filled="false" stroked="true" strokeweight=".48pt" strokecolor="#000000">
                <v:path arrowok="t"/>
              </v:shape>
            </v:group>
            <v:group style="position:absolute;left:5480;top:4762;width:1359;height:2" coordorigin="5480,4762" coordsize="1359,2">
              <v:shape style="position:absolute;left:5480;top:4762;width:1359;height:2" coordorigin="5480,4762" coordsize="1359,0" path="m5480,4762l6838,4762e" filled="false" stroked="true" strokeweight=".48pt" strokecolor="#000000">
                <v:path arrowok="t"/>
              </v:shape>
            </v:group>
            <v:group style="position:absolute;left:6848;top:4762;width:1358;height:2" coordorigin="6848,4762" coordsize="1358,2">
              <v:shape style="position:absolute;left:6848;top:4762;width:1358;height:2" coordorigin="6848,4762" coordsize="1358,0" path="m6848,4762l8206,4762e" filled="false" stroked="true" strokeweight=".48pt" strokecolor="#000000">
                <v:path arrowok="t"/>
              </v:shape>
            </v:group>
            <v:group style="position:absolute;left:8215;top:4762;width:1358;height:2" coordorigin="8215,4762" coordsize="1358,2">
              <v:shape style="position:absolute;left:8215;top:4762;width:1358;height:2" coordorigin="8215,4762" coordsize="1358,0" path="m8215,4762l9572,4762e" filled="false" stroked="true" strokeweight=".48pt" strokecolor="#000000">
                <v:path arrowok="t"/>
              </v:shape>
            </v:group>
            <v:group style="position:absolute;left:1389;top:5002;width:2;height:548" coordorigin="1389,5002" coordsize="2,548">
              <v:shape style="position:absolute;left:1389;top:5002;width:2;height:548" coordorigin="1389,5002" coordsize="0,548" path="m1389,5002l1389,5549e" filled="false" stroked="true" strokeweight="1.140pt" strokecolor="#ffffff">
                <v:path arrowok="t"/>
              </v:shape>
            </v:group>
            <v:group style="position:absolute;left:1378;top:5549;width:1359;height:234" coordorigin="1378,5549" coordsize="1359,234">
              <v:shape style="position:absolute;left:1378;top:5549;width:1359;height:234" coordorigin="1378,5549" coordsize="1359,234" path="m1378,5783l2736,5783,2736,5549,1378,5549,1378,5783xe" filled="true" fillcolor="#ffffff" stroked="false">
                <v:path arrowok="t"/>
                <v:fill type="solid"/>
              </v:shape>
            </v:group>
            <v:group style="position:absolute;left:1401;top:5002;width:1313;height:548" coordorigin="1401,5002" coordsize="1313,548">
              <v:shape style="position:absolute;left:1401;top:5002;width:1313;height:548" coordorigin="1401,5002" coordsize="1313,548" path="m1401,5549l2714,5549,2714,5002,1401,5002,1401,5549xe" filled="true" fillcolor="#ffffff" stroked="false">
                <v:path arrowok="t"/>
                <v:fill type="solid"/>
              </v:shape>
            </v:group>
            <v:group style="position:absolute;left:1357;top:5794;width:2;height:548" coordorigin="1357,5794" coordsize="2,548">
              <v:shape style="position:absolute;left:1357;top:5794;width:2;height:548" coordorigin="1357,5794" coordsize="0,548" path="m1357,5794l1357,6342e" filled="false" stroked="true" strokeweight="1.140pt" strokecolor="#d2d2d2">
                <v:path arrowok="t"/>
              </v:shape>
            </v:group>
            <v:group style="position:absolute;left:21;top:5794;width:2;height:548" coordorigin="21,5794" coordsize="2,548">
              <v:shape style="position:absolute;left:21;top:5794;width:2;height:548" coordorigin="21,5794" coordsize="0,548" path="m21,5794l21,6342e" filled="false" stroked="true" strokeweight="1.140pt" strokecolor="#d2d2d2">
                <v:path arrowok="t"/>
              </v:shape>
            </v:group>
            <v:group style="position:absolute;left:32;top:5794;width:1314;height:548" coordorigin="32,5794" coordsize="1314,548">
              <v:shape style="position:absolute;left:32;top:5794;width:1314;height:548" coordorigin="32,5794" coordsize="1314,548" path="m32,6342l1346,6342,1346,5794,32,5794,32,6342xe" filled="true" fillcolor="#d2d2d2" stroked="false">
                <v:path arrowok="t"/>
                <v:fill type="solid"/>
              </v:shape>
            </v:group>
            <v:group style="position:absolute;left:10;top:5788;width:1359;height:2" coordorigin="10,5788" coordsize="1359,2">
              <v:shape style="position:absolute;left:10;top:5788;width:1359;height:2" coordorigin="10,5788" coordsize="1359,0" path="m10,5788l1368,5788e" filled="false" stroked="true" strokeweight=".48pt" strokecolor="#000000">
                <v:path arrowok="t"/>
              </v:shape>
            </v:group>
            <v:group style="position:absolute;left:1378;top:5788;width:1359;height:2" coordorigin="1378,5788" coordsize="1359,2">
              <v:shape style="position:absolute;left:1378;top:5788;width:1359;height:2" coordorigin="1378,5788" coordsize="1359,0" path="m1378,5788l2736,5788e" filled="false" stroked="true" strokeweight=".48pt" strokecolor="#000000">
                <v:path arrowok="t"/>
              </v:shape>
            </v:group>
            <v:group style="position:absolute;left:2746;top:5788;width:1358;height:2" coordorigin="2746,5788" coordsize="1358,2">
              <v:shape style="position:absolute;left:2746;top:5788;width:1358;height:2" coordorigin="2746,5788" coordsize="1358,0" path="m2746,5788l4104,5788e" filled="false" stroked="true" strokeweight=".48pt" strokecolor="#000000">
                <v:path arrowok="t"/>
              </v:shape>
            </v:group>
            <v:group style="position:absolute;left:4113;top:5788;width:1358;height:2" coordorigin="4113,5788" coordsize="1358,2">
              <v:shape style="position:absolute;left:4113;top:5788;width:1358;height:2" coordorigin="4113,5788" coordsize="1358,0" path="m4113,5788l5470,5788e" filled="false" stroked="true" strokeweight=".48pt" strokecolor="#000000">
                <v:path arrowok="t"/>
              </v:shape>
            </v:group>
            <v:group style="position:absolute;left:5480;top:5788;width:1359;height:2" coordorigin="5480,5788" coordsize="1359,2">
              <v:shape style="position:absolute;left:5480;top:5788;width:1359;height:2" coordorigin="5480,5788" coordsize="1359,0" path="m5480,5788l6838,5788e" filled="false" stroked="true" strokeweight=".48pt" strokecolor="#000000">
                <v:path arrowok="t"/>
              </v:shape>
            </v:group>
            <v:group style="position:absolute;left:6848;top:5788;width:1358;height:2" coordorigin="6848,5788" coordsize="1358,2">
              <v:shape style="position:absolute;left:6848;top:5788;width:1358;height:2" coordorigin="6848,5788" coordsize="1358,0" path="m6848,5788l8206,5788e" filled="false" stroked="true" strokeweight=".48pt" strokecolor="#000000">
                <v:path arrowok="t"/>
              </v:shape>
            </v:group>
            <v:group style="position:absolute;left:8215;top:5788;width:1358;height:2" coordorigin="8215,5788" coordsize="1358,2">
              <v:shape style="position:absolute;left:8215;top:5788;width:1358;height:2" coordorigin="8215,5788" coordsize="1358,0" path="m8215,5788l9572,5788e" filled="false" stroked="true" strokeweight=".48pt" strokecolor="#000000">
                <v:path arrowok="t"/>
              </v:shape>
            </v:group>
            <v:group style="position:absolute;left:5;top:5;width:2;height:6348" coordorigin="5,5" coordsize="2,6348">
              <v:shape style="position:absolute;left:5;top:5;width:2;height:6348" coordorigin="5,5" coordsize="0,6348" path="m5,5l5,6352e" filled="false" stroked="true" strokeweight=".48pt" strokecolor="#000000">
                <v:path arrowok="t"/>
              </v:shape>
            </v:group>
            <v:group style="position:absolute;left:10;top:6348;width:1359;height:2" coordorigin="10,6348" coordsize="1359,2">
              <v:shape style="position:absolute;left:10;top:6348;width:1359;height:2" coordorigin="10,6348" coordsize="1359,0" path="m10,6348l1368,6348e" filled="false" stroked="true" strokeweight=".48pt" strokecolor="#000000">
                <v:path arrowok="t"/>
              </v:shape>
            </v:group>
            <v:group style="position:absolute;left:1373;top:5;width:2;height:6348" coordorigin="1373,5" coordsize="2,6348">
              <v:shape style="position:absolute;left:1373;top:5;width:2;height:6348" coordorigin="1373,5" coordsize="0,6348" path="m1373,5l1373,6352e" filled="false" stroked="true" strokeweight=".48pt" strokecolor="#000000">
                <v:path arrowok="t"/>
              </v:shape>
            </v:group>
            <v:group style="position:absolute;left:1378;top:6348;width:1359;height:2" coordorigin="1378,6348" coordsize="1359,2">
              <v:shape style="position:absolute;left:1378;top:6348;width:1359;height:2" coordorigin="1378,6348" coordsize="1359,0" path="m1378,6348l2736,6348e" filled="false" stroked="true" strokeweight=".48pt" strokecolor="#000000">
                <v:path arrowok="t"/>
              </v:shape>
            </v:group>
            <v:group style="position:absolute;left:2741;top:563;width:2;height:5790" coordorigin="2741,563" coordsize="2,5790">
              <v:shape style="position:absolute;left:2741;top:563;width:2;height:5790" coordorigin="2741,563" coordsize="0,5790" path="m2741,563l2741,6352e" filled="false" stroked="true" strokeweight=".48pt" strokecolor="#000000">
                <v:path arrowok="t"/>
              </v:shape>
            </v:group>
            <v:group style="position:absolute;left:2746;top:6348;width:1358;height:2" coordorigin="2746,6348" coordsize="1358,2">
              <v:shape style="position:absolute;left:2746;top:6348;width:1358;height:2" coordorigin="2746,6348" coordsize="1358,0" path="m2746,6348l4104,6348e" filled="false" stroked="true" strokeweight=".48pt" strokecolor="#000000">
                <v:path arrowok="t"/>
              </v:shape>
            </v:group>
            <v:group style="position:absolute;left:4108;top:563;width:2;height:5790" coordorigin="4108,563" coordsize="2,5790">
              <v:shape style="position:absolute;left:4108;top:563;width:2;height:5790" coordorigin="4108,563" coordsize="0,5790" path="m4108,563l4108,6352e" filled="false" stroked="true" strokeweight=".48pt" strokecolor="#000000">
                <v:path arrowok="t"/>
              </v:shape>
            </v:group>
            <v:group style="position:absolute;left:4113;top:6348;width:1358;height:2" coordorigin="4113,6348" coordsize="1358,2">
              <v:shape style="position:absolute;left:4113;top:6348;width:1358;height:2" coordorigin="4113,6348" coordsize="1358,0" path="m4113,6348l5470,6348e" filled="false" stroked="true" strokeweight=".48pt" strokecolor="#000000">
                <v:path arrowok="t"/>
              </v:shape>
            </v:group>
            <v:group style="position:absolute;left:5475;top:5;width:2;height:6348" coordorigin="5475,5" coordsize="2,6348">
              <v:shape style="position:absolute;left:5475;top:5;width:2;height:6348" coordorigin="5475,5" coordsize="0,6348" path="m5475,5l5475,6352e" filled="false" stroked="true" strokeweight=".48pt" strokecolor="#000000">
                <v:path arrowok="t"/>
              </v:shape>
            </v:group>
            <v:group style="position:absolute;left:5480;top:6348;width:1359;height:2" coordorigin="5480,6348" coordsize="1359,2">
              <v:shape style="position:absolute;left:5480;top:6348;width:1359;height:2" coordorigin="5480,6348" coordsize="1359,0" path="m5480,6348l6838,6348e" filled="false" stroked="true" strokeweight=".48pt" strokecolor="#000000">
                <v:path arrowok="t"/>
              </v:shape>
            </v:group>
            <v:group style="position:absolute;left:6843;top:563;width:2;height:5790" coordorigin="6843,563" coordsize="2,5790">
              <v:shape style="position:absolute;left:6843;top:563;width:2;height:5790" coordorigin="6843,563" coordsize="0,5790" path="m6843,563l6843,6352e" filled="false" stroked="true" strokeweight=".48pt" strokecolor="#000000">
                <v:path arrowok="t"/>
              </v:shape>
            </v:group>
            <v:group style="position:absolute;left:6848;top:6348;width:1358;height:2" coordorigin="6848,6348" coordsize="1358,2">
              <v:shape style="position:absolute;left:6848;top:6348;width:1358;height:2" coordorigin="6848,6348" coordsize="1358,0" path="m6848,6348l8206,6348e" filled="false" stroked="true" strokeweight=".48pt" strokecolor="#000000">
                <v:path arrowok="t"/>
              </v:shape>
            </v:group>
            <v:group style="position:absolute;left:8210;top:563;width:2;height:5790" coordorigin="8210,563" coordsize="2,5790">
              <v:shape style="position:absolute;left:8210;top:563;width:2;height:5790" coordorigin="8210,563" coordsize="0,5790" path="m8210,563l8210,6352e" filled="false" stroked="true" strokeweight=".48pt" strokecolor="#000000">
                <v:path arrowok="t"/>
              </v:shape>
            </v:group>
            <v:group style="position:absolute;left:8215;top:6348;width:1358;height:2" coordorigin="8215,6348" coordsize="1358,2">
              <v:shape style="position:absolute;left:8215;top:6348;width:1358;height:2" coordorigin="8215,6348" coordsize="1358,0" path="m8215,6348l9572,6348e" filled="false" stroked="true" strokeweight=".48pt" strokecolor="#000000">
                <v:path arrowok="t"/>
              </v:shape>
            </v:group>
            <v:group style="position:absolute;left:9577;top:5;width:2;height:6348" coordorigin="9577,5" coordsize="2,6348">
              <v:shape style="position:absolute;left:9577;top:5;width:2;height:6348" coordorigin="9577,5" coordsize="0,6348" path="m9577,5l9577,6352e" filled="false" stroked="true" strokeweight=".48pt" strokecolor="#000000">
                <v:path arrowok="t"/>
              </v:shape>
              <v:shape style="position:absolute;left:508;top:47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373;top:10;width:4102;height:559" type="#_x0000_t202" filled="false" stroked="false">
                <v:textbox inset="0,0,0,0">
                  <w:txbxContent>
                    <w:p>
                      <w:pPr>
                        <w:spacing w:before="135"/>
                        <w:ind w:left="0" w:right="0" w:firstLine="0"/>
                        <w:jc w:val="center"/>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5475;top:10;width:4102;height:559" type="#_x0000_t202" filled="false" stroked="false">
                <v:textbox inset="0,0,0,0">
                  <w:txbxContent>
                    <w:p>
                      <w:pPr>
                        <w:spacing w:before="135"/>
                        <w:ind w:left="0" w:right="0" w:firstLine="0"/>
                        <w:jc w:val="center"/>
                        <w:rPr>
                          <w:rFonts w:ascii="宋体" w:hAnsi="宋体" w:cs="宋体" w:eastAsia="宋体" w:hint="default"/>
                          <w:sz w:val="18"/>
                          <w:szCs w:val="18"/>
                        </w:rPr>
                      </w:pPr>
                      <w:r>
                        <w:rPr>
                          <w:rFonts w:ascii="宋体" w:hAnsi="宋体" w:cs="宋体" w:eastAsia="宋体" w:hint="default"/>
                          <w:sz w:val="18"/>
                          <w:szCs w:val="18"/>
                        </w:rPr>
                        <w:t>期初余额</w:t>
                      </w:r>
                    </w:p>
                  </w:txbxContent>
                </v:textbox>
                <w10:wrap type="none"/>
              </v:shape>
              <v:shape style="position:absolute;left:1373;top:569;width:1368;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2741;top:569;width:1368;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4108;top:569;width:1367;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5475;top:569;width:1368;height:558" type="#_x0000_t202" filled="false" stroked="false">
                <v:textbox inset="0,0,0,0">
                  <w:txbxContent>
                    <w:p>
                      <w:pPr>
                        <w:spacing w:before="134"/>
                        <w:ind w:left="323"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843;top:569;width:1368;height:558" type="#_x0000_t202" filled="false" stroked="false">
                <v:textbox inset="0,0,0,0">
                  <w:txbxContent>
                    <w:p>
                      <w:pPr>
                        <w:spacing w:before="134"/>
                        <w:ind w:left="323"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8210;top:569;width:1367;height:558" type="#_x0000_t202" filled="false" stroked="false">
                <v:textbox inset="0,0,0,0">
                  <w:txbxContent>
                    <w:p>
                      <w:pPr>
                        <w:spacing w:before="134"/>
                        <w:ind w:left="322" w:right="0" w:firstLine="0"/>
                        <w:jc w:val="left"/>
                        <w:rPr>
                          <w:rFonts w:ascii="宋体" w:hAnsi="宋体" w:cs="宋体" w:eastAsia="宋体" w:hint="default"/>
                          <w:sz w:val="18"/>
                          <w:szCs w:val="18"/>
                        </w:rPr>
                      </w:pPr>
                      <w:r>
                        <w:rPr>
                          <w:rFonts w:ascii="宋体" w:hAnsi="宋体" w:cs="宋体" w:eastAsia="宋体" w:hint="default"/>
                          <w:sz w:val="18"/>
                          <w:szCs w:val="18"/>
                        </w:rPr>
                        <w:t>账面价值</w:t>
                      </w:r>
                    </w:p>
                  </w:txbxContent>
                </v:textbox>
                <w10:wrap type="none"/>
              </v:shape>
              <v:shape style="position:absolute;left:5;top:1126;width:1369;height:558"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柳河新厂区建设</w:t>
                      </w:r>
                    </w:p>
                  </w:txbxContent>
                </v:textbox>
                <w10:wrap type="none"/>
              </v:shape>
              <v:shape style="position:absolute;left:1373;top:1126;width:1368;height:558" type="#_x0000_t202" filled="false" stroked="false">
                <v:textbox inset="0,0,0,0">
                  <w:txbxContent>
                    <w:p>
                      <w:pPr>
                        <w:spacing w:line="240" w:lineRule="auto" w:before="5"/>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49,439,384.55</w:t>
                      </w:r>
                    </w:p>
                  </w:txbxContent>
                </v:textbox>
                <w10:wrap type="none"/>
              </v:shape>
              <v:shape style="position:absolute;left:4108;top:1126;width:1367;height:558" type="#_x0000_t202" filled="false" stroked="false">
                <v:textbox inset="0,0,0,0">
                  <w:txbxContent>
                    <w:p>
                      <w:pPr>
                        <w:spacing w:line="240" w:lineRule="auto" w:before="5"/>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49,439,384.55</w:t>
                      </w:r>
                    </w:p>
                  </w:txbxContent>
                </v:textbox>
                <w10:wrap type="none"/>
              </v:shape>
              <v:shape style="position:absolute;left:5475;top:1126;width:1368;height:558" type="#_x0000_t202" filled="false" stroked="false">
                <v:textbox inset="0,0,0,0">
                  <w:txbxContent>
                    <w:p>
                      <w:pPr>
                        <w:spacing w:line="240" w:lineRule="auto" w:before="5"/>
                        <w:rPr>
                          <w:rFonts w:ascii="宋体" w:hAnsi="宋体" w:cs="宋体" w:eastAsia="宋体" w:hint="default"/>
                          <w:sz w:val="13"/>
                          <w:szCs w:val="13"/>
                        </w:rPr>
                      </w:pPr>
                    </w:p>
                    <w:p>
                      <w:pPr>
                        <w:spacing w:before="0"/>
                        <w:ind w:left="305" w:right="0" w:firstLine="0"/>
                        <w:jc w:val="left"/>
                        <w:rPr>
                          <w:rFonts w:ascii="Times New Roman" w:hAnsi="Times New Roman" w:cs="Times New Roman" w:eastAsia="Times New Roman" w:hint="default"/>
                          <w:sz w:val="18"/>
                          <w:szCs w:val="18"/>
                        </w:rPr>
                      </w:pPr>
                      <w:r>
                        <w:rPr>
                          <w:rFonts w:ascii="Times New Roman"/>
                          <w:sz w:val="18"/>
                        </w:rPr>
                        <w:t>15,459,635.51</w:t>
                      </w:r>
                    </w:p>
                  </w:txbxContent>
                </v:textbox>
                <w10:wrap type="none"/>
              </v:shape>
              <v:shape style="position:absolute;left:8210;top:1126;width:1367;height:558" type="#_x0000_t202" filled="false" stroked="false">
                <v:textbox inset="0,0,0,0">
                  <w:txbxContent>
                    <w:p>
                      <w:pPr>
                        <w:spacing w:line="240" w:lineRule="auto" w:before="5"/>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15,459,635.51</w:t>
                      </w:r>
                    </w:p>
                  </w:txbxContent>
                </v:textbox>
                <w10:wrap type="none"/>
              </v:shape>
              <v:shape style="position:absolute;left:5;top:1684;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项目（通化厂区</w:t>
                      </w:r>
                    </w:p>
                  </w:txbxContent>
                </v:textbox>
                <w10:wrap type="none"/>
              </v:shape>
              <v:shape style="position:absolute;left:4108;top:1684;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6,747,825.74</w:t>
                      </w:r>
                    </w:p>
                  </w:txbxContent>
                </v:textbox>
                <w10:wrap type="none"/>
              </v:shape>
              <v:shape style="position:absolute;left:5475;top:1684;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215" w:right="0" w:firstLine="0"/>
                        <w:jc w:val="left"/>
                        <w:rPr>
                          <w:rFonts w:ascii="Times New Roman" w:hAnsi="Times New Roman" w:cs="Times New Roman" w:eastAsia="Times New Roman" w:hint="default"/>
                          <w:sz w:val="18"/>
                          <w:szCs w:val="18"/>
                        </w:rPr>
                      </w:pPr>
                      <w:r>
                        <w:rPr>
                          <w:rFonts w:ascii="Times New Roman"/>
                          <w:sz w:val="18"/>
                        </w:rPr>
                        <w:t>140,317,447.29</w:t>
                      </w:r>
                    </w:p>
                  </w:txbxContent>
                </v:textbox>
                <w10:wrap type="none"/>
              </v:shape>
              <v:shape style="position:absolute;left:8210;top:1684;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214" w:right="0" w:firstLine="0"/>
                        <w:jc w:val="left"/>
                        <w:rPr>
                          <w:rFonts w:ascii="Times New Roman" w:hAnsi="Times New Roman" w:cs="Times New Roman" w:eastAsia="Times New Roman" w:hint="default"/>
                          <w:sz w:val="18"/>
                          <w:szCs w:val="18"/>
                        </w:rPr>
                      </w:pPr>
                      <w:r>
                        <w:rPr>
                          <w:rFonts w:ascii="Times New Roman"/>
                          <w:sz w:val="18"/>
                        </w:rPr>
                        <w:t>140,317,447.29</w:t>
                      </w:r>
                    </w:p>
                  </w:txbxContent>
                </v:textbox>
                <w10:wrap type="none"/>
              </v:shape>
              <v:shape style="position:absolute;left:5;top:2710;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项目（磐石厂区</w:t>
                      </w:r>
                    </w:p>
                  </w:txbxContent>
                </v:textbox>
                <w10:wrap type="none"/>
              </v:shape>
              <v:shape style="position:absolute;left:4108;top:2710;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9,689,927.68</w:t>
                      </w:r>
                    </w:p>
                  </w:txbxContent>
                </v:textbox>
                <w10:wrap type="none"/>
              </v:shape>
              <v:shape style="position:absolute;left:5475;top:2710;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5" w:right="0" w:firstLine="0"/>
                        <w:jc w:val="left"/>
                        <w:rPr>
                          <w:rFonts w:ascii="Times New Roman" w:hAnsi="Times New Roman" w:cs="Times New Roman" w:eastAsia="Times New Roman" w:hint="default"/>
                          <w:sz w:val="18"/>
                          <w:szCs w:val="18"/>
                        </w:rPr>
                      </w:pPr>
                      <w:r>
                        <w:rPr>
                          <w:rFonts w:ascii="Times New Roman"/>
                          <w:sz w:val="18"/>
                        </w:rPr>
                        <w:t>9,234,853.68</w:t>
                      </w:r>
                    </w:p>
                  </w:txbxContent>
                </v:textbox>
                <w10:wrap type="none"/>
              </v:shape>
              <v:shape style="position:absolute;left:8210;top:2710;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9,234,853.68</w:t>
                      </w:r>
                    </w:p>
                  </w:txbxContent>
                </v:textbox>
                <w10:wrap type="none"/>
              </v:shape>
              <v:shape style="position:absolute;left:5;top:3736;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项目（延吉厂区</w:t>
                      </w:r>
                    </w:p>
                  </w:txbxContent>
                </v:textbox>
                <w10:wrap type="none"/>
              </v:shape>
              <v:shape style="position:absolute;left:4108;top:3736;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7,929,991.54</w:t>
                      </w:r>
                    </w:p>
                  </w:txbxContent>
                </v:textbox>
                <w10:wrap type="none"/>
              </v:shape>
              <v:shape style="position:absolute;left:5475;top:3736;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5" w:right="0" w:firstLine="0"/>
                        <w:jc w:val="left"/>
                        <w:rPr>
                          <w:rFonts w:ascii="Times New Roman" w:hAnsi="Times New Roman" w:cs="Times New Roman" w:eastAsia="Times New Roman" w:hint="default"/>
                          <w:sz w:val="18"/>
                          <w:szCs w:val="18"/>
                        </w:rPr>
                      </w:pPr>
                      <w:r>
                        <w:rPr>
                          <w:rFonts w:ascii="Times New Roman"/>
                          <w:sz w:val="18"/>
                        </w:rPr>
                        <w:t>6,628,377.54</w:t>
                      </w:r>
                    </w:p>
                  </w:txbxContent>
                </v:textbox>
                <w10:wrap type="none"/>
              </v:shape>
              <v:shape style="position:absolute;left:8210;top:3736;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94" w:right="0" w:firstLine="0"/>
                        <w:jc w:val="left"/>
                        <w:rPr>
                          <w:rFonts w:ascii="Times New Roman" w:hAnsi="Times New Roman" w:cs="Times New Roman" w:eastAsia="Times New Roman" w:hint="default"/>
                          <w:sz w:val="18"/>
                          <w:szCs w:val="18"/>
                        </w:rPr>
                      </w:pPr>
                      <w:r>
                        <w:rPr>
                          <w:rFonts w:ascii="Times New Roman"/>
                          <w:sz w:val="18"/>
                        </w:rPr>
                        <w:t>6,628,377.54</w:t>
                      </w:r>
                    </w:p>
                  </w:txbxContent>
                </v:textbox>
                <w10:wrap type="none"/>
              </v:shape>
              <v:shape style="position:absolute;left:5;top:4762;width:1369;height:1026"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人参产品系列化</w:t>
                      </w:r>
                    </w:p>
                    <w:p>
                      <w:pPr>
                        <w:spacing w:line="240" w:lineRule="auto" w:before="10"/>
                        <w:rPr>
                          <w:rFonts w:ascii="宋体" w:hAnsi="宋体" w:cs="宋体" w:eastAsia="宋体" w:hint="default"/>
                          <w:sz w:val="17"/>
                          <w:szCs w:val="17"/>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pacing w:val="-6"/>
                          <w:sz w:val="18"/>
                          <w:szCs w:val="18"/>
                        </w:rPr>
                        <w:t>项目（敦化厂区</w:t>
                      </w:r>
                    </w:p>
                  </w:txbxContent>
                </v:textbox>
                <w10:wrap type="none"/>
              </v:shape>
              <v:shape style="position:absolute;left:1254;top:542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5475;top:4762;width:1368;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05" w:right="0" w:firstLine="0"/>
                        <w:jc w:val="left"/>
                        <w:rPr>
                          <w:rFonts w:ascii="Times New Roman" w:hAnsi="Times New Roman" w:cs="Times New Roman" w:eastAsia="Times New Roman" w:hint="default"/>
                          <w:sz w:val="18"/>
                          <w:szCs w:val="18"/>
                        </w:rPr>
                      </w:pPr>
                      <w:r>
                        <w:rPr>
                          <w:rFonts w:ascii="Times New Roman"/>
                          <w:sz w:val="18"/>
                        </w:rPr>
                        <w:t>40,575,747.50</w:t>
                      </w:r>
                    </w:p>
                  </w:txbxContent>
                </v:textbox>
                <w10:wrap type="none"/>
              </v:shape>
              <v:shape style="position:absolute;left:8210;top:4762;width:1367;height:102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40,575,747.50</w:t>
                      </w:r>
                    </w:p>
                  </w:txbxContent>
                </v:textbox>
                <w10:wrap type="none"/>
              </v:shape>
              <v:shape style="position:absolute;left:5;top:5788;width:1369;height:560" type="#_x0000_t202" filled="false" stroked="false">
                <v:textbox inset="0,0,0,0">
                  <w:txbxContent>
                    <w:p>
                      <w:pPr>
                        <w:spacing w:before="135"/>
                        <w:ind w:left="27"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373;top:5788;width:1368;height:560" type="#_x0000_t202" filled="false" stroked="false">
                <v:textbox inset="0,0,0,0">
                  <w:txbxContent>
                    <w:p>
                      <w:pPr>
                        <w:spacing w:line="240" w:lineRule="auto" w:before="5"/>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73,807,129.51</w:t>
                      </w:r>
                    </w:p>
                  </w:txbxContent>
                </v:textbox>
                <w10:wrap type="none"/>
              </v:shape>
              <v:shape style="position:absolute;left:4108;top:5788;width:1367;height:560" type="#_x0000_t202" filled="false" stroked="false">
                <v:textbox inset="0,0,0,0">
                  <w:txbxContent>
                    <w:p>
                      <w:pPr>
                        <w:spacing w:line="240" w:lineRule="auto" w:before="5"/>
                        <w:rPr>
                          <w:rFonts w:ascii="宋体" w:hAnsi="宋体" w:cs="宋体" w:eastAsia="宋体" w:hint="default"/>
                          <w:sz w:val="13"/>
                          <w:szCs w:val="13"/>
                        </w:rPr>
                      </w:pPr>
                    </w:p>
                    <w:p>
                      <w:pPr>
                        <w:spacing w:before="0"/>
                        <w:ind w:left="304" w:right="0" w:firstLine="0"/>
                        <w:jc w:val="left"/>
                        <w:rPr>
                          <w:rFonts w:ascii="Times New Roman" w:hAnsi="Times New Roman" w:cs="Times New Roman" w:eastAsia="Times New Roman" w:hint="default"/>
                          <w:sz w:val="18"/>
                          <w:szCs w:val="18"/>
                        </w:rPr>
                      </w:pPr>
                      <w:r>
                        <w:rPr>
                          <w:rFonts w:ascii="Times New Roman"/>
                          <w:sz w:val="18"/>
                        </w:rPr>
                        <w:t>73,807,129.51</w:t>
                      </w:r>
                    </w:p>
                  </w:txbxContent>
                </v:textbox>
                <w10:wrap type="none"/>
              </v:shape>
              <v:shape style="position:absolute;left:5475;top:5788;width:1368;height:560" type="#_x0000_t202" filled="false" stroked="false">
                <v:textbox inset="0,0,0,0">
                  <w:txbxContent>
                    <w:p>
                      <w:pPr>
                        <w:spacing w:line="240" w:lineRule="auto" w:before="5"/>
                        <w:rPr>
                          <w:rFonts w:ascii="宋体" w:hAnsi="宋体" w:cs="宋体" w:eastAsia="宋体" w:hint="default"/>
                          <w:sz w:val="13"/>
                          <w:szCs w:val="13"/>
                        </w:rPr>
                      </w:pPr>
                    </w:p>
                    <w:p>
                      <w:pPr>
                        <w:spacing w:before="0"/>
                        <w:ind w:left="215" w:right="0" w:firstLine="0"/>
                        <w:jc w:val="left"/>
                        <w:rPr>
                          <w:rFonts w:ascii="Times New Roman" w:hAnsi="Times New Roman" w:cs="Times New Roman" w:eastAsia="Times New Roman" w:hint="default"/>
                          <w:sz w:val="18"/>
                          <w:szCs w:val="18"/>
                        </w:rPr>
                      </w:pPr>
                      <w:r>
                        <w:rPr>
                          <w:rFonts w:ascii="Times New Roman"/>
                          <w:sz w:val="18"/>
                        </w:rPr>
                        <w:t>212,216,061.52</w:t>
                      </w:r>
                    </w:p>
                  </w:txbxContent>
                </v:textbox>
                <w10:wrap type="none"/>
              </v:shape>
              <v:shape style="position:absolute;left:8210;top:5788;width:1367;height:560" type="#_x0000_t202" filled="false" stroked="false">
                <v:textbox inset="0,0,0,0">
                  <w:txbxContent>
                    <w:p>
                      <w:pPr>
                        <w:spacing w:line="240" w:lineRule="auto" w:before="5"/>
                        <w:rPr>
                          <w:rFonts w:ascii="宋体" w:hAnsi="宋体" w:cs="宋体" w:eastAsia="宋体" w:hint="default"/>
                          <w:sz w:val="13"/>
                          <w:szCs w:val="13"/>
                        </w:rPr>
                      </w:pPr>
                    </w:p>
                    <w:p>
                      <w:pPr>
                        <w:spacing w:before="0"/>
                        <w:ind w:left="214" w:right="0" w:firstLine="0"/>
                        <w:jc w:val="left"/>
                        <w:rPr>
                          <w:rFonts w:ascii="Times New Roman" w:hAnsi="Times New Roman" w:cs="Times New Roman" w:eastAsia="Times New Roman" w:hint="default"/>
                          <w:sz w:val="18"/>
                          <w:szCs w:val="18"/>
                        </w:rPr>
                      </w:pPr>
                      <w:r>
                        <w:rPr>
                          <w:rFonts w:ascii="Times New Roman"/>
                          <w:sz w:val="18"/>
                        </w:rPr>
                        <w:t>212,216,061.52</w:t>
                      </w:r>
                    </w:p>
                  </w:txbxContent>
                </v:textbox>
                <w10:wrap type="none"/>
              </v:shape>
              <v:shape style="position:absolute;left:1768;top:2116;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6,747,825.74</w:t>
                      </w:r>
                    </w:p>
                  </w:txbxContent>
                </v:textbox>
                <w10:wrap type="none"/>
              </v:shape>
              <v:shape style="position:absolute;left:1254;top:234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768;top:3142;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9,689,927.68</w:t>
                      </w:r>
                    </w:p>
                  </w:txbxContent>
                </v:textbox>
                <w10:wrap type="none"/>
              </v:shape>
              <v:shape style="position:absolute;left:1254;top:336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768;top:4168;width:945;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7,929,991.54</w:t>
                      </w:r>
                    </w:p>
                  </w:txbxContent>
                </v:textbox>
                <w10:wrap type="none"/>
              </v:shape>
              <v:shape style="position:absolute;left:1254;top:439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26"/>
          <w:sz w:val="20"/>
          <w:szCs w:val="20"/>
        </w:rPr>
      </w:r>
    </w:p>
    <w:p>
      <w:pPr>
        <w:spacing w:after="0" w:line="6357"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7"/>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7"/>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9"/>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7"/>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9"/>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9"/>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7"/>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49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159"/>
              <w:jc w:val="both"/>
              <w:rPr>
                <w:rFonts w:ascii="宋体" w:hAnsi="宋体" w:cs="宋体" w:eastAsia="宋体" w:hint="default"/>
                <w:sz w:val="18"/>
                <w:szCs w:val="18"/>
              </w:rPr>
            </w:pPr>
            <w:r>
              <w:rPr>
                <w:rFonts w:ascii="宋体" w:hAnsi="宋体" w:cs="宋体" w:eastAsia="宋体" w:hint="default"/>
                <w:sz w:val="18"/>
                <w:szCs w:val="18"/>
              </w:rPr>
              <w:t>柳河新 厂区建 设</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15,459,6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33,979,7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49.04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49,439,3</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84.55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43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477" w:lineRule="auto" w:before="56"/>
              <w:ind w:left="22" w:right="159"/>
              <w:jc w:val="both"/>
              <w:rPr>
                <w:rFonts w:ascii="宋体" w:hAnsi="宋体" w:cs="宋体" w:eastAsia="宋体" w:hint="default"/>
                <w:sz w:val="18"/>
                <w:szCs w:val="18"/>
              </w:rPr>
            </w:pPr>
            <w:r>
              <w:rPr>
                <w:rFonts w:ascii="宋体" w:hAnsi="宋体" w:cs="宋体" w:eastAsia="宋体" w:hint="default"/>
                <w:sz w:val="18"/>
                <w:szCs w:val="18"/>
              </w:rPr>
              <w:t>（通化 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140,317,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447.29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133,569,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621.55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6,747,82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43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477" w:lineRule="auto" w:before="56"/>
              <w:ind w:left="22" w:right="159"/>
              <w:jc w:val="both"/>
              <w:rPr>
                <w:rFonts w:ascii="宋体" w:hAnsi="宋体" w:cs="宋体" w:eastAsia="宋体" w:hint="default"/>
                <w:sz w:val="18"/>
                <w:szCs w:val="18"/>
              </w:rPr>
            </w:pPr>
            <w:r>
              <w:rPr>
                <w:rFonts w:ascii="宋体" w:hAnsi="宋体" w:cs="宋体" w:eastAsia="宋体" w:hint="default"/>
                <w:sz w:val="18"/>
                <w:szCs w:val="18"/>
              </w:rPr>
              <w:t>（磐石 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9,234,85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3.68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455,074.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9,689,92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6"/>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43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30"/>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477" w:lineRule="auto" w:before="56"/>
              <w:ind w:left="22" w:right="159"/>
              <w:jc w:val="both"/>
              <w:rPr>
                <w:rFonts w:ascii="宋体" w:hAnsi="宋体" w:cs="宋体" w:eastAsia="宋体" w:hint="default"/>
                <w:sz w:val="18"/>
                <w:szCs w:val="18"/>
              </w:rPr>
            </w:pPr>
            <w:r>
              <w:rPr>
                <w:rFonts w:ascii="宋体" w:hAnsi="宋体" w:cs="宋体" w:eastAsia="宋体" w:hint="default"/>
                <w:sz w:val="18"/>
                <w:szCs w:val="18"/>
              </w:rPr>
              <w:t>（延吉 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6,628,37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7.54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1,301,61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7,929,99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0"/>
              <w:ind w:left="22" w:right="159"/>
              <w:jc w:val="both"/>
              <w:rPr>
                <w:rFonts w:ascii="宋体" w:hAnsi="宋体" w:cs="宋体" w:eastAsia="宋体" w:hint="default"/>
                <w:sz w:val="18"/>
                <w:szCs w:val="18"/>
              </w:rPr>
            </w:pPr>
            <w:r>
              <w:rPr>
                <w:rFonts w:ascii="宋体" w:hAnsi="宋体" w:cs="宋体" w:eastAsia="宋体" w:hint="default"/>
                <w:sz w:val="18"/>
                <w:szCs w:val="18"/>
              </w:rPr>
              <w:t>人参产 品系列 化项目</w:t>
            </w:r>
          </w:p>
          <w:p>
            <w:pPr>
              <w:pStyle w:val="TableParagraph"/>
              <w:spacing w:line="240" w:lineRule="auto" w:before="54"/>
              <w:ind w:left="22" w:right="0"/>
              <w:jc w:val="both"/>
              <w:rPr>
                <w:rFonts w:ascii="宋体" w:hAnsi="宋体" w:cs="宋体" w:eastAsia="宋体" w:hint="default"/>
                <w:sz w:val="18"/>
                <w:szCs w:val="18"/>
              </w:rPr>
            </w:pPr>
            <w:r>
              <w:rPr>
                <w:rFonts w:ascii="宋体" w:hAnsi="宋体" w:cs="宋体" w:eastAsia="宋体" w:hint="default"/>
                <w:sz w:val="18"/>
                <w:szCs w:val="18"/>
              </w:rPr>
              <w:t>（敦化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4" w:right="0"/>
              <w:jc w:val="left"/>
              <w:rPr>
                <w:rFonts w:ascii="Times New Roman" w:hAnsi="Times New Roman" w:cs="Times New Roman" w:eastAsia="Times New Roman" w:hint="default"/>
                <w:sz w:val="18"/>
                <w:szCs w:val="18"/>
              </w:rPr>
            </w:pPr>
            <w:r>
              <w:rPr>
                <w:rFonts w:ascii="Times New Roman"/>
                <w:sz w:val="18"/>
              </w:rPr>
              <w:t>40,575,7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47.50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73" w:right="0"/>
              <w:jc w:val="left"/>
              <w:rPr>
                <w:rFonts w:ascii="Times New Roman" w:hAnsi="Times New Roman" w:cs="Times New Roman" w:eastAsia="Times New Roman" w:hint="default"/>
                <w:sz w:val="18"/>
                <w:szCs w:val="18"/>
              </w:rPr>
            </w:pPr>
            <w:r>
              <w:rPr>
                <w:rFonts w:ascii="Times New Roman"/>
                <w:sz w:val="18"/>
              </w:rPr>
              <w:t>40,575,7</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47.50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477"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47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51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厂区）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212,216,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061.52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35,736,4</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37.04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174,145,</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369.05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73,807,1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29.51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本期计提在建工程减值准备情况" w:id="250"/>
      <w:bookmarkEnd w:id="25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before="0"/>
        <w:ind w:right="0"/>
        <w:jc w:val="left"/>
      </w:pPr>
      <w:r>
        <w:rPr/>
        <w:t>期末在建工程中无用于担保、抵押或所有权受限情况。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left="154" w:right="0"/>
        <w:jc w:val="left"/>
        <w:rPr>
          <w:b w:val="0"/>
          <w:bCs w:val="0"/>
        </w:rPr>
      </w:pPr>
      <w:bookmarkStart w:name="11、无形资产" w:id="251"/>
      <w:bookmarkEnd w:id="251"/>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无形资产情况" w:id="252"/>
      <w:bookmarkEnd w:id="25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129"/>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164,679,505.08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29,530,172.07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6,517,921.34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200,727,598.49</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80,678,655.00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10,372,350.00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974,630.78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92,025,635.78</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245,358,160.08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39,902,522.07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7,492,552.12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292,753,234.27</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15,287,769.41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19,542,061.62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916,384.76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35,746,215.79</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4,114,435.71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2,309,349.86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251,927.48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6,675,713.05</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19,402,205.12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21,851,411.48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1,168,312.24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42,421,928.84</w:t>
            </w: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558"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225,955,954.96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18,051,110.59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6,324,239.88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250,331,305.43</w:t>
            </w:r>
          </w:p>
        </w:tc>
      </w:tr>
      <w:tr>
        <w:trPr>
          <w:trHeight w:val="1026"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149,391,735.67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9,988,110.45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5,601,536.58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164,981,382.70</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未办妥产权证书的土地使用权情况" w:id="253"/>
      <w:bookmarkEnd w:id="25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）本期无形资产摊销金额为</w:t>
      </w:r>
      <w:r>
        <w:rPr>
          <w:rFonts w:ascii="Times New Roman" w:hAnsi="Times New Roman" w:cs="Times New Roman" w:eastAsia="Times New Roman" w:hint="default"/>
        </w:rPr>
        <w:t>667.57</w:t>
      </w:r>
      <w:r>
        <w:rPr/>
        <w:t>万元。</w:t>
      </w:r>
    </w:p>
    <w:p>
      <w:pPr>
        <w:pStyle w:val="BodyText"/>
        <w:spacing w:line="240" w:lineRule="auto" w:before="177"/>
        <w:ind w:left="573" w:right="0"/>
        <w:jc w:val="left"/>
      </w:pPr>
      <w:r>
        <w:rPr/>
        <w:t>（</w:t>
      </w:r>
      <w:r>
        <w:rPr>
          <w:rFonts w:ascii="Times New Roman" w:hAnsi="Times New Roman" w:cs="Times New Roman" w:eastAsia="Times New Roman" w:hint="default"/>
        </w:rPr>
        <w:t>2</w:t>
      </w:r>
      <w:r>
        <w:rPr/>
        <w:t>）期末用于抵押的无形资产账面余额为</w:t>
      </w:r>
      <w:r>
        <w:rPr>
          <w:rFonts w:ascii="Times New Roman" w:hAnsi="Times New Roman" w:cs="Times New Roman" w:eastAsia="Times New Roman" w:hint="default"/>
        </w:rPr>
        <w:t>20,294.90</w:t>
      </w:r>
      <w:r>
        <w:rPr/>
        <w:t>万元。</w:t>
      </w:r>
    </w:p>
    <w:p>
      <w:pPr>
        <w:pStyle w:val="BodyText"/>
        <w:spacing w:line="386" w:lineRule="auto" w:before="177"/>
        <w:ind w:right="0" w:firstLine="420"/>
        <w:jc w:val="left"/>
      </w:pPr>
      <w:r>
        <w:rPr>
          <w:spacing w:val="-3"/>
        </w:rPr>
        <w:t>（</w:t>
      </w:r>
      <w:r>
        <w:rPr>
          <w:rFonts w:ascii="Times New Roman" w:hAnsi="Times New Roman" w:cs="Times New Roman" w:eastAsia="Times New Roman" w:hint="default"/>
          <w:spacing w:val="-3"/>
        </w:rPr>
        <w:t>3</w:t>
      </w:r>
      <w:r>
        <w:rPr>
          <w:spacing w:val="-3"/>
        </w:rPr>
        <w:t>）本公司所拥有的专有技术全部为外购或与外部研究机构合作研发取得，无通过公司内部开发取</w:t>
      </w:r>
      <w:r>
        <w:rPr/>
        <w:t> 得的专有技术。</w:t>
      </w:r>
    </w:p>
    <w:p>
      <w:pPr>
        <w:spacing w:line="240" w:lineRule="auto" w:before="12"/>
        <w:rPr>
          <w:rFonts w:ascii="宋体" w:hAnsi="宋体" w:cs="宋体" w:eastAsia="宋体" w:hint="default"/>
          <w:sz w:val="27"/>
          <w:szCs w:val="27"/>
        </w:rPr>
      </w:pPr>
    </w:p>
    <w:p>
      <w:pPr>
        <w:pStyle w:val="Heading4"/>
        <w:spacing w:line="240" w:lineRule="auto"/>
        <w:ind w:right="0"/>
        <w:jc w:val="left"/>
        <w:rPr>
          <w:b w:val="0"/>
          <w:bCs w:val="0"/>
        </w:rPr>
      </w:pPr>
      <w:bookmarkStart w:name="12、开发支出" w:id="254"/>
      <w:bookmarkEnd w:id="254"/>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55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人参基因组 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477" w:lineRule="auto" w:before="129"/>
              <w:ind w:left="22" w:right="129"/>
              <w:jc w:val="left"/>
              <w:rPr>
                <w:rFonts w:ascii="宋体" w:hAnsi="宋体" w:cs="宋体" w:eastAsia="宋体" w:hint="default"/>
                <w:sz w:val="18"/>
                <w:szCs w:val="18"/>
              </w:rPr>
            </w:pPr>
            <w:r>
              <w:rPr>
                <w:rFonts w:ascii="宋体" w:hAnsi="宋体" w:cs="宋体" w:eastAsia="宋体" w:hint="default"/>
                <w:sz w:val="18"/>
                <w:szCs w:val="18"/>
              </w:rPr>
              <w:t>基因测序仪 开发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3,110,522.85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20,861,868.9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23,972,391.7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16,110,522.8</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20,861,868.9</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36,972,391.7</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6"/>
        <w:rPr>
          <w:rFonts w:ascii="宋体" w:hAnsi="宋体" w:cs="宋体" w:eastAsia="宋体" w:hint="default"/>
          <w:sz w:val="6"/>
          <w:szCs w:val="6"/>
        </w:rPr>
      </w:pPr>
    </w:p>
    <w:p>
      <w:pPr>
        <w:spacing w:line="516" w:lineRule="auto" w:before="44"/>
        <w:ind w:left="153" w:right="1933" w:firstLine="0"/>
        <w:jc w:val="left"/>
        <w:rPr>
          <w:rFonts w:ascii="宋体" w:hAnsi="宋体" w:cs="宋体" w:eastAsia="宋体" w:hint="default"/>
          <w:sz w:val="18"/>
          <w:szCs w:val="18"/>
        </w:rPr>
      </w:pPr>
      <w:r>
        <w:rPr>
          <w:rFonts w:ascii="宋体" w:hAnsi="宋体" w:cs="宋体" w:eastAsia="宋体" w:hint="default"/>
          <w:sz w:val="18"/>
          <w:szCs w:val="18"/>
        </w:rPr>
        <w:t>其他说明 人参基因组研发项目及基因测序仪开发项目资本化开始时点为测试生产阶段，截至期末研发进度处于测试阶段。</w:t>
      </w:r>
    </w:p>
    <w:p>
      <w:pPr>
        <w:spacing w:after="0" w:line="5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3、商誉" w:id="255"/>
      <w:bookmarkEnd w:id="255"/>
      <w:r>
        <w:rPr>
          <w:b w:val="0"/>
          <w:bCs w:val="0"/>
        </w:rPr>
      </w:r>
      <w:r>
        <w:rPr>
          <w:rFonts w:ascii="Times New Roman" w:hAnsi="Times New Roman" w:cs="Times New Roman" w:eastAsia="Times New Roman" w:hint="default"/>
        </w:rPr>
        <w:t>13</w:t>
      </w:r>
      <w:r>
        <w:rPr/>
        <w:t>、商誉</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商誉账面原值" w:id="256"/>
      <w:bookmarkEnd w:id="25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516"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36"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9" w:space="0" w:color="D2D2D2"/>
              <w:right w:val="single" w:sz="9" w:space="0" w:color="D2D2D2"/>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7"/>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9" w:hRule="exact"/>
        </w:trPr>
        <w:tc>
          <w:tcPr>
            <w:tcW w:w="1356"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vMerge/>
            <w:tcBorders>
              <w:left w:val="single" w:sz="9"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tcBorders>
              <w:left w:val="single" w:sz="10"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r>
      <w:tr>
        <w:trPr>
          <w:trHeight w:val="280" w:hRule="exact"/>
        </w:trPr>
        <w:tc>
          <w:tcPr>
            <w:tcW w:w="1356"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9" w:space="0" w:color="D2D2D2"/>
              <w:right w:val="single" w:sz="9" w:space="0" w:color="D2D2D2"/>
            </w:tcBorders>
            <w:shd w:val="clear" w:color="auto" w:fill="E0FFFF"/>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1367" w:type="dxa"/>
            <w:vMerge/>
            <w:tcBorders>
              <w:left w:val="single" w:sz="10" w:space="0" w:color="D2D2D2"/>
              <w:right w:val="single" w:sz="9" w:space="0" w:color="D2D2D2"/>
            </w:tcBorders>
            <w:shd w:val="clear" w:color="auto" w:fill="E0FFFF"/>
          </w:tcPr>
          <w:p>
            <w:pPr/>
          </w:p>
        </w:tc>
        <w:tc>
          <w:tcPr>
            <w:tcW w:w="1367" w:type="dxa"/>
            <w:vMerge w:val="restart"/>
            <w:tcBorders>
              <w:top w:val="nil" w:sz="6" w:space="0" w:color="auto"/>
              <w:left w:val="single" w:sz="4" w:space="0" w:color="000000"/>
              <w:right w:val="single" w:sz="4" w:space="0" w:color="000000"/>
            </w:tcBorders>
            <w:shd w:val="clear" w:color="auto" w:fill="D2D2D2"/>
          </w:tcPr>
          <w:p>
            <w:pPr/>
          </w:p>
        </w:tc>
      </w:tr>
      <w:tr>
        <w:trPr>
          <w:trHeight w:val="193"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9" w:space="0" w:color="D2D2D2"/>
              <w:bottom w:val="single" w:sz="4" w:space="0" w:color="000000"/>
              <w:right w:val="single" w:sz="9" w:space="0" w:color="D2D2D2"/>
            </w:tcBorders>
            <w:shd w:val="clear" w:color="auto" w:fill="E0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9" w:space="0" w:color="D2D2D2"/>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477" w:lineRule="auto" w:before="130"/>
              <w:ind w:left="22" w:right="6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r>
      <w:tr>
        <w:trPr>
          <w:trHeight w:val="559"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3,823,945.58</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14、递延所得税资产/递延所得税负债" w:id="257"/>
      <w:bookmarkEnd w:id="257"/>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未经抵销的递延所得税资产" w:id="258"/>
      <w:bookmarkEnd w:id="25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58"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应收款项坏账准备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50,448,464.51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8,751,141.30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40,735,299.11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7,126,678.56</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50,448,464.51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8,751,141.30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40,735,299.11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7,126,678.56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未经抵销的递延所得税负债" w:id="259"/>
      <w:bookmarkEnd w:id="25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58"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3,710,666.73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556,600.01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3,935,555.55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590,333.34</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3,710,666.73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556,600.01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3,935,555.55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590,333.34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以抵销后净额列示的递延所得税资产或负债" w:id="260"/>
      <w:bookmarkEnd w:id="26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40"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547"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239"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8,751,141.30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7,126,678.56</w:t>
            </w:r>
          </w:p>
        </w:tc>
      </w:tr>
      <w:tr>
        <w:trPr>
          <w:trHeight w:val="55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556,600.01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590,333.34</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4）未确认递延所得税资产明细" w:id="261"/>
      <w:bookmarkEnd w:id="26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4,482,319.23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8,431,567.57</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90,241,704.45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45,984,426.59</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94,724,023.68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54,415,994.16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5）未确认递延所得税资产的可抵扣亏损将于以下年度到期" w:id="262"/>
      <w:bookmarkEnd w:id="26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837,889.42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170,265.40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6,168,085.27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8,418,887.26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12,693,467.02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23,139,220.68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26,284,984.88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58,513,331.11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90,241,704.45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45,984,426.59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5、其他非流动资产" w:id="263"/>
      <w:bookmarkEnd w:id="263"/>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预付工程款项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202,063,483.63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202,063,483.63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240" w:lineRule="auto" w:before="0"/>
        <w:ind w:right="0"/>
        <w:jc w:val="left"/>
      </w:pPr>
      <w:r>
        <w:rPr/>
        <w:t>本期预付账款增加的主要原因为子公司吉林中科紫鑫科技有限公司，预付购买土地款增加所致。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0"/>
        <w:jc w:val="left"/>
        <w:rPr>
          <w:b w:val="0"/>
          <w:bCs w:val="0"/>
        </w:rPr>
      </w:pPr>
      <w:bookmarkStart w:name="16、短期借款" w:id="264"/>
      <w:bookmarkEnd w:id="264"/>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短期借款分类" w:id="265"/>
      <w:bookmarkEnd w:id="26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885,000,000.00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410,000,000.00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1,086,400,000.00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55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2,353,800,000.00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1,355,000,000.00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2"/>
        <w:rPr>
          <w:rFonts w:ascii="宋体" w:hAnsi="宋体" w:cs="宋体" w:eastAsia="宋体" w:hint="default"/>
          <w:sz w:val="24"/>
          <w:szCs w:val="24"/>
        </w:rPr>
      </w:pPr>
    </w:p>
    <w:p>
      <w:pPr>
        <w:pStyle w:val="BodyText"/>
        <w:spacing w:line="386" w:lineRule="auto" w:before="0"/>
        <w:ind w:right="1132" w:firstLine="411"/>
        <w:jc w:val="both"/>
      </w:pPr>
      <w:r>
        <w:rPr>
          <w:spacing w:val="-2"/>
        </w:rPr>
        <w:t>（</w:t>
      </w:r>
      <w:r>
        <w:rPr>
          <w:rFonts w:ascii="Times New Roman" w:hAnsi="Times New Roman" w:cs="Times New Roman" w:eastAsia="Times New Roman" w:hint="default"/>
          <w:spacing w:val="-2"/>
        </w:rPr>
        <w:t>1</w:t>
      </w:r>
      <w:r>
        <w:rPr>
          <w:spacing w:val="-2"/>
        </w:rPr>
        <w:t>）上述质押借款</w:t>
      </w:r>
      <w:r>
        <w:rPr>
          <w:rFonts w:ascii="Times New Roman" w:hAnsi="Times New Roman" w:cs="Times New Roman" w:eastAsia="Times New Roman" w:hint="default"/>
          <w:spacing w:val="-2"/>
        </w:rPr>
        <w:t>87,500</w:t>
      </w:r>
      <w:r>
        <w:rPr>
          <w:spacing w:val="-2"/>
        </w:rPr>
        <w:t>万元分别由本公司第一大股东敦化市康平投资有限责任公司、仲维光以持有</w:t>
      </w:r>
      <w:r>
        <w:rPr/>
        <w:t> 本公司的股权</w:t>
      </w:r>
      <w:r>
        <w:rPr>
          <w:rFonts w:ascii="Times New Roman" w:hAnsi="Times New Roman" w:cs="Times New Roman" w:eastAsia="Times New Roman" w:hint="default"/>
        </w:rPr>
        <w:t>11,448</w:t>
      </w:r>
      <w:r>
        <w:rPr/>
        <w:t>万股、</w:t>
      </w:r>
      <w:r>
        <w:rPr>
          <w:rFonts w:ascii="Times New Roman" w:hAnsi="Times New Roman" w:cs="Times New Roman" w:eastAsia="Times New Roman" w:hint="default"/>
        </w:rPr>
        <w:t>3,000</w:t>
      </w:r>
      <w:r>
        <w:rPr/>
        <w:t>万股以及本公司存货人参（干品）</w:t>
      </w:r>
      <w:r>
        <w:rPr>
          <w:rFonts w:ascii="Times New Roman" w:hAnsi="Times New Roman" w:cs="Times New Roman" w:eastAsia="Times New Roman" w:hint="default"/>
        </w:rPr>
        <w:t>989</w:t>
      </w:r>
      <w:r>
        <w:rPr/>
        <w:t>吨提供质押；另外以本公司持有长</w:t>
      </w:r>
      <w:r>
        <w:rPr>
          <w:spacing w:val="-31"/>
        </w:rPr>
        <w:t> </w:t>
      </w:r>
      <w:r>
        <w:rPr>
          <w:spacing w:val="-31"/>
        </w:rPr>
      </w:r>
      <w:r>
        <w:rPr/>
        <w:t>春农村商业银行股份有限公司的股权</w:t>
      </w:r>
      <w:r>
        <w:rPr>
          <w:rFonts w:ascii="Times New Roman" w:hAnsi="Times New Roman" w:cs="Times New Roman" w:eastAsia="Times New Roman" w:hint="default"/>
        </w:rPr>
        <w:t>4,900</w:t>
      </w:r>
      <w:r>
        <w:rPr/>
        <w:t>万股进行质押。</w:t>
      </w:r>
    </w:p>
    <w:p>
      <w:pPr>
        <w:pStyle w:val="BodyText"/>
        <w:spacing w:line="386" w:lineRule="auto" w:before="35"/>
        <w:ind w:right="1132" w:firstLine="411"/>
        <w:jc w:val="both"/>
      </w:pPr>
      <w:r>
        <w:rPr>
          <w:spacing w:val="-2"/>
        </w:rPr>
        <w:t>（</w:t>
      </w:r>
      <w:r>
        <w:rPr>
          <w:rFonts w:ascii="Times New Roman" w:hAnsi="Times New Roman" w:cs="Times New Roman" w:eastAsia="Times New Roman" w:hint="default"/>
          <w:spacing w:val="-2"/>
        </w:rPr>
        <w:t>2</w:t>
      </w:r>
      <w:r>
        <w:rPr>
          <w:spacing w:val="-2"/>
        </w:rPr>
        <w:t>）上述抵押借款</w:t>
      </w:r>
      <w:r>
        <w:rPr>
          <w:rFonts w:ascii="Times New Roman" w:hAnsi="Times New Roman" w:cs="Times New Roman" w:eastAsia="Times New Roman" w:hint="default"/>
          <w:spacing w:val="-2"/>
        </w:rPr>
        <w:t>39,240</w:t>
      </w:r>
      <w:r>
        <w:rPr>
          <w:spacing w:val="-2"/>
        </w:rPr>
        <w:t>万元由本公司及子公司吉林紫鑫红石种养殖有限公司、吉林紫鑫般若药业有</w:t>
      </w:r>
      <w:r>
        <w:rPr/>
        <w:t> 限公司、吉林草还丹药业有限公司、吉林紫鑫初元药业有限公司以房屋产权及土地使用权提供抵押。</w:t>
      </w:r>
    </w:p>
    <w:p>
      <w:pPr>
        <w:pStyle w:val="BodyText"/>
        <w:spacing w:line="240" w:lineRule="auto" w:before="65"/>
        <w:ind w:left="565" w:right="0"/>
        <w:jc w:val="left"/>
      </w:pPr>
      <w:r>
        <w:rPr/>
        <w:t>（</w:t>
      </w: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日止，上述短期借款中无逾期的借款。</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7、应付票据" w:id="266"/>
      <w:bookmarkEnd w:id="266"/>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4,894,450.00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4,894,450.00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left="154" w:right="0"/>
        <w:jc w:val="left"/>
        <w:rPr>
          <w:b w:val="0"/>
          <w:bCs w:val="0"/>
        </w:rPr>
      </w:pPr>
      <w:bookmarkStart w:name="18、应付账款" w:id="267"/>
      <w:bookmarkEnd w:id="267"/>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应付账款列示" w:id="268"/>
      <w:bookmarkEnd w:id="268"/>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40,711,088.96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50,088,081.00</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19,644,677.25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26,622,960.80</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13,439,865.89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5,449,236.00</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4,917,499.27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4,983,182.50</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78,713,131.37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87,143,460.30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账龄超过1年的重要应付账款" w:id="269"/>
      <w:bookmarkEnd w:id="26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240" w:lineRule="auto" w:before="0"/>
        <w:ind w:right="0"/>
        <w:jc w:val="left"/>
      </w:pPr>
      <w:r>
        <w:rPr/>
        <w:t>（</w:t>
      </w:r>
      <w:r>
        <w:rPr>
          <w:rFonts w:ascii="Times New Roman" w:hAnsi="Times New Roman" w:cs="Times New Roman" w:eastAsia="Times New Roman" w:hint="default"/>
        </w:rPr>
        <w:t>1</w:t>
      </w:r>
      <w:r>
        <w:rPr/>
        <w:t>）应付账款期末余额中无账龄超过一年的大额应付款项。</w:t>
      </w:r>
    </w:p>
    <w:p>
      <w:pPr>
        <w:spacing w:line="240" w:lineRule="auto" w:before="10"/>
        <w:rPr>
          <w:rFonts w:ascii="宋体" w:hAnsi="宋体" w:cs="宋体" w:eastAsia="宋体" w:hint="default"/>
          <w:sz w:val="22"/>
          <w:szCs w:val="22"/>
        </w:rPr>
      </w:pPr>
    </w:p>
    <w:p>
      <w:pPr>
        <w:pStyle w:val="BodyText"/>
        <w:spacing w:line="386" w:lineRule="auto" w:before="0"/>
        <w:ind w:right="1128"/>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以上表决权股份的股东单位或关联方单位的款项；无应付其他关</w:t>
      </w:r>
      <w:r>
        <w:rPr>
          <w:spacing w:val="-98"/>
        </w:rPr>
        <w:t> </w:t>
      </w:r>
      <w:r>
        <w:rPr>
          <w:spacing w:val="-98"/>
        </w:rPr>
      </w:r>
      <w:r>
        <w:rPr/>
        <w:t>联方的款项。</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19、预收款项" w:id="270"/>
      <w:bookmarkEnd w:id="270"/>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预收款项列示" w:id="271"/>
      <w:bookmarkEnd w:id="27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1,484,629.78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1,700,352.74</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46,502.23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1,531,132.01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1,700,352.74</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期末建造合同形成的已结算未完工项目情况" w:id="272"/>
      <w:bookmarkEnd w:id="272"/>
      <w:r>
        <w:rPr>
          <w:b w:val="0"/>
          <w:bCs w:val="0"/>
        </w:rPr>
      </w: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558"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240" w:lineRule="auto" w:before="0"/>
        <w:ind w:left="574" w:right="0"/>
        <w:jc w:val="left"/>
      </w:pPr>
      <w:r>
        <w:rPr/>
        <w:t>（</w:t>
      </w:r>
      <w:r>
        <w:rPr>
          <w:rFonts w:ascii="Times New Roman" w:hAnsi="Times New Roman" w:cs="Times New Roman" w:eastAsia="Times New Roman" w:hint="default"/>
        </w:rPr>
        <w:t>1</w:t>
      </w:r>
      <w:r>
        <w:rPr/>
        <w:t>）预收款项期末余额中无账龄超过一年的大额预收款项。</w:t>
      </w:r>
    </w:p>
    <w:p>
      <w:pPr>
        <w:pStyle w:val="BodyText"/>
        <w:spacing w:line="386" w:lineRule="auto" w:before="177"/>
        <w:ind w:right="1128" w:firstLine="420"/>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以上表决权股份的股东单位或关联方单位的款项；无预收其 他关联方的款项。</w:t>
      </w:r>
    </w:p>
    <w:p>
      <w:pPr>
        <w:spacing w:line="240" w:lineRule="auto" w:before="12"/>
        <w:rPr>
          <w:rFonts w:ascii="宋体" w:hAnsi="宋体" w:cs="宋体" w:eastAsia="宋体" w:hint="default"/>
          <w:sz w:val="27"/>
          <w:szCs w:val="27"/>
        </w:rPr>
      </w:pPr>
    </w:p>
    <w:p>
      <w:pPr>
        <w:pStyle w:val="Heading4"/>
        <w:spacing w:line="240" w:lineRule="auto"/>
        <w:ind w:right="0"/>
        <w:jc w:val="left"/>
        <w:rPr>
          <w:b w:val="0"/>
          <w:bCs w:val="0"/>
        </w:rPr>
      </w:pPr>
      <w:bookmarkStart w:name="20、应付职工薪酬" w:id="273"/>
      <w:bookmarkEnd w:id="273"/>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应付职工薪酬列示" w:id="274"/>
      <w:bookmarkEnd w:id="27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55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288,948.47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60,639,433.18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60,526,173.95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402,207.70</w:t>
            </w:r>
          </w:p>
        </w:tc>
      </w:tr>
      <w:tr>
        <w:trPr>
          <w:trHeight w:val="55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8,385,821.10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8,409,138.50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15,834.00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1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3" w:right="0"/>
              <w:jc w:val="left"/>
              <w:rPr>
                <w:rFonts w:ascii="Times New Roman" w:hAnsi="Times New Roman" w:cs="Times New Roman" w:eastAsia="Times New Roman" w:hint="default"/>
                <w:sz w:val="18"/>
                <w:szCs w:val="18"/>
              </w:rPr>
            </w:pPr>
            <w:r>
              <w:rPr>
                <w:rFonts w:ascii="Times New Roman"/>
                <w:sz w:val="18"/>
              </w:rPr>
              <w:t>328,099.87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69,025,254.28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68,935,312.45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418,041.70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短期薪酬列示" w:id="275"/>
      <w:bookmarkEnd w:id="27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52,612,639.56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52,616,925.74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1,684,173.19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1,684,173.19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2,557,711.00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2,552,296.61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12,708.21</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2,225,514.13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2,220,637.13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11,246.20</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233,801.28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233,626.43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562.31</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98,395.59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98,033.05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899.70</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2,512,464.29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2,512,464.29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30"/>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277,368.47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1,272,445.14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1,160,314.12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389,499.49</w:t>
            </w:r>
          </w:p>
        </w:tc>
      </w:tr>
      <w:tr>
        <w:trPr>
          <w:trHeight w:val="559"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288,948.47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60,639,433.18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60,526,173.95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402,207.70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设定提存计划列示" w:id="276"/>
      <w:bookmarkEnd w:id="27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35,998.00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7,822,136.70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7,843,054.70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15,080.00</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563,684.40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566,083.80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754.00</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39,151.40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8,385,821.10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8,409,138.50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15,834.00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本报告期内不存在欠缴性质的款项。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4"/>
        <w:spacing w:line="240" w:lineRule="auto"/>
        <w:ind w:right="0"/>
        <w:jc w:val="left"/>
        <w:rPr>
          <w:b w:val="0"/>
          <w:bCs w:val="0"/>
        </w:rPr>
      </w:pPr>
      <w:bookmarkStart w:name="21、应交税费" w:id="277"/>
      <w:bookmarkEnd w:id="277"/>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12,250,795.74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4,252,066.49</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4,379,980.59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198,236.49</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116,786.43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81,392.09</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630,026.96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212,984.57</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174,098.47</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255,906.57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275,449.32</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32,320.98</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367,523.87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124,831.78</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245,015.92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83,221.19</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18,246,036.08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5,434,601.38</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2、其他应付款" w:id="278"/>
      <w:bookmarkEnd w:id="278"/>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按款项性质列示其他应付款" w:id="279"/>
      <w:bookmarkEnd w:id="27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13,573,400.04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12,751,940.04</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12,744,228.15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139,680.54</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109,291.00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127,047.72</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157,190.71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107,691.80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26,584,109.90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13,126,360.10</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账龄超过1年的重要其他应付款"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240" w:lineRule="auto" w:before="0"/>
        <w:ind w:right="0"/>
        <w:jc w:val="left"/>
      </w:pPr>
      <w:r>
        <w:rPr/>
        <w:t>（</w:t>
      </w:r>
      <w:r>
        <w:rPr>
          <w:rFonts w:ascii="Times New Roman" w:hAnsi="Times New Roman" w:cs="Times New Roman" w:eastAsia="Times New Roman" w:hint="default"/>
        </w:rPr>
        <w:t>1</w:t>
      </w:r>
      <w:r>
        <w:rPr/>
        <w:t>）其他应付款期末余额中账龄超过一年的大额应付款项为定向增发个人缴纳保证金。</w:t>
      </w:r>
    </w:p>
    <w:p>
      <w:pPr>
        <w:spacing w:line="240" w:lineRule="auto" w:before="8"/>
        <w:rPr>
          <w:rFonts w:ascii="宋体" w:hAnsi="宋体" w:cs="宋体" w:eastAsia="宋体" w:hint="default"/>
          <w:sz w:val="22"/>
          <w:szCs w:val="22"/>
        </w:rPr>
      </w:pPr>
    </w:p>
    <w:p>
      <w:pPr>
        <w:pStyle w:val="BodyText"/>
        <w:spacing w:line="386" w:lineRule="auto" w:before="0"/>
        <w:ind w:right="1128"/>
        <w:jc w:val="left"/>
      </w:pPr>
      <w:r>
        <w:rPr/>
        <w:t>（</w:t>
      </w:r>
      <w:r>
        <w:rPr>
          <w:rFonts w:ascii="Times New Roman" w:hAnsi="Times New Roman" w:cs="Times New Roman" w:eastAsia="Times New Roman" w:hint="default"/>
        </w:rPr>
        <w:t>2</w:t>
      </w:r>
      <w:r>
        <w:rPr/>
        <w:t>）期末余额中无持有本公司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以上表决权股份的股东单位或关联方单位的款项；无应付其他关</w:t>
      </w:r>
      <w:r>
        <w:rPr>
          <w:spacing w:val="-98"/>
        </w:rPr>
        <w:t> </w:t>
      </w:r>
      <w:r>
        <w:rPr>
          <w:spacing w:val="-98"/>
        </w:rPr>
      </w:r>
      <w:r>
        <w:rPr/>
        <w:t>联方的款项。</w:t>
      </w:r>
    </w:p>
    <w:p>
      <w:pPr>
        <w:spacing w:line="240" w:lineRule="auto" w:before="12"/>
        <w:rPr>
          <w:rFonts w:ascii="宋体" w:hAnsi="宋体" w:cs="宋体" w:eastAsia="宋体" w:hint="default"/>
          <w:sz w:val="27"/>
          <w:szCs w:val="27"/>
        </w:rPr>
      </w:pPr>
    </w:p>
    <w:p>
      <w:pPr>
        <w:pStyle w:val="Heading4"/>
        <w:spacing w:line="240" w:lineRule="auto"/>
        <w:ind w:right="0"/>
        <w:jc w:val="left"/>
        <w:rPr>
          <w:b w:val="0"/>
          <w:bCs w:val="0"/>
        </w:rPr>
      </w:pPr>
      <w:bookmarkStart w:name="23、一年内到期的非流动负债" w:id="281"/>
      <w:bookmarkEnd w:id="281"/>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4、其他流动负债" w:id="282"/>
      <w:bookmarkEnd w:id="282"/>
      <w:r>
        <w:rPr>
          <w:b w:val="0"/>
          <w:bCs w:val="0"/>
        </w:rPr>
      </w:r>
      <w:r>
        <w:rPr>
          <w:rFonts w:ascii="Times New Roman" w:hAnsi="Times New Roman" w:cs="Times New Roman" w:eastAsia="Times New Roman" w:hint="default"/>
        </w:rPr>
        <w:t>24</w:t>
      </w:r>
      <w:r>
        <w:rPr/>
        <w:t>、其他流动负债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融资借款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line="240" w:lineRule="auto" w:before="7"/>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87"/>
        <w:gridCol w:w="821"/>
        <w:gridCol w:w="787"/>
      </w:tblGrid>
      <w:tr>
        <w:trPr>
          <w:trHeight w:val="55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33"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33"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821" w:type="dxa"/>
            <w:tcBorders>
              <w:top w:val="single" w:sz="4" w:space="0" w:color="000000"/>
              <w:left w:val="single" w:sz="13" w:space="0" w:color="D2D2D2"/>
              <w:bottom w:val="single" w:sz="4" w:space="0" w:color="000000"/>
              <w:right w:val="single" w:sz="9" w:space="0" w:color="D2D2D2"/>
            </w:tcBorders>
            <w:shd w:val="clear" w:color="auto" w:fill="E0FFFF"/>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51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123"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25"/>
          <w:szCs w:val="25"/>
        </w:rPr>
      </w:pPr>
    </w:p>
    <w:p>
      <w:pPr>
        <w:pStyle w:val="BodyText"/>
        <w:spacing w:line="240" w:lineRule="auto" w:before="0"/>
        <w:ind w:right="0"/>
        <w:jc w:val="left"/>
      </w:pPr>
      <w:r>
        <w:rPr/>
        <w:t>本公司本期其他流动负债为子公司吉林紫鑫般若药业有限公司融资借款增加所致。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ind w:right="0"/>
        <w:jc w:val="left"/>
        <w:rPr>
          <w:b w:val="0"/>
          <w:bCs w:val="0"/>
        </w:rPr>
      </w:pPr>
      <w:bookmarkStart w:name="25、长期借款" w:id="283"/>
      <w:bookmarkEnd w:id="283"/>
      <w:r>
        <w:rPr>
          <w:b w:val="0"/>
          <w:bCs w:val="0"/>
        </w:rPr>
      </w:r>
      <w:r>
        <w:rPr>
          <w:rFonts w:ascii="Times New Roman" w:hAnsi="Times New Roman" w:cs="Times New Roman" w:eastAsia="Times New Roman" w:hint="default"/>
        </w:rPr>
        <w:t>25</w:t>
      </w:r>
      <w:r>
        <w:rPr/>
        <w:t>、长期借款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长期借款分类" w:id="284"/>
      <w:bookmarkEnd w:id="28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199,500,000.00</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199,500,000.00</w:t>
            </w:r>
          </w:p>
        </w:tc>
      </w:tr>
    </w:tbl>
    <w:p>
      <w:pPr>
        <w:spacing w:line="240" w:lineRule="auto" w:before="6"/>
        <w:rPr>
          <w:rFonts w:ascii="宋体" w:hAnsi="宋体" w:cs="宋体" w:eastAsia="宋体" w:hint="default"/>
          <w:sz w:val="6"/>
          <w:szCs w:val="6"/>
        </w:rPr>
      </w:pPr>
    </w:p>
    <w:p>
      <w:pPr>
        <w:spacing w:line="518" w:lineRule="auto" w:before="44"/>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pStyle w:val="BodyText"/>
        <w:spacing w:line="391" w:lineRule="auto" w:before="117"/>
        <w:ind w:right="1129"/>
        <w:jc w:val="both"/>
      </w:pPr>
      <w:r>
        <w:rPr>
          <w:spacing w:val="-2"/>
        </w:rPr>
        <w:t>（</w:t>
      </w:r>
      <w:r>
        <w:rPr>
          <w:rFonts w:ascii="Times New Roman" w:hAnsi="Times New Roman" w:cs="Times New Roman" w:eastAsia="Times New Roman" w:hint="default"/>
          <w:spacing w:val="-2"/>
        </w:rPr>
        <w:t>1</w:t>
      </w:r>
      <w:r>
        <w:rPr>
          <w:spacing w:val="-2"/>
        </w:rPr>
        <w:t>）本公司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6</w:t>
      </w:r>
      <w:r>
        <w:rPr>
          <w:spacing w:val="-2"/>
        </w:rPr>
        <w:t>日与吉林九台农村商业银行股份有限公司梅河口支行签订的编号</w:t>
      </w:r>
      <w:r>
        <w:rPr>
          <w:rFonts w:ascii="Times New Roman" w:hAnsi="Times New Roman" w:cs="Times New Roman" w:eastAsia="Times New Roman" w:hint="default"/>
          <w:spacing w:val="-2"/>
        </w:rPr>
        <w:t>MYT151001</w:t>
      </w:r>
      <w:r>
        <w:rPr>
          <w:spacing w:val="-2"/>
        </w:rPr>
        <w:t>号人</w:t>
      </w:r>
      <w:r>
        <w:rPr>
          <w:spacing w:val="-68"/>
        </w:rPr>
        <w:t> </w:t>
      </w:r>
      <w:r>
        <w:rPr>
          <w:spacing w:val="-1"/>
        </w:rPr>
        <w:t>民币资金银团借款合同，由吉林九台农村商业银行股份有限公司梅河口支行作为牵头行和代理行，长白山</w:t>
      </w:r>
      <w:r>
        <w:rPr>
          <w:spacing w:val="-81"/>
        </w:rPr>
        <w:t> </w:t>
      </w:r>
      <w:r>
        <w:rPr>
          <w:spacing w:val="-81"/>
        </w:rPr>
      </w:r>
      <w:r>
        <w:rPr/>
        <w:t>农村商业银行股份有限公司、吉林春城农村商业银行股份有限公司作为参加行，取得抵押借款</w:t>
      </w:r>
      <w:r>
        <w:rPr>
          <w:rFonts w:ascii="Times New Roman" w:hAnsi="Times New Roman" w:cs="Times New Roman" w:eastAsia="Times New Roman" w:hint="default"/>
        </w:rPr>
        <w:t>1</w:t>
      </w:r>
      <w:r>
        <w:rPr/>
        <w:t>亿元，借</w:t>
      </w:r>
      <w:r>
        <w:rPr>
          <w:spacing w:val="-24"/>
        </w:rPr>
        <w:t> </w:t>
      </w:r>
      <w:r>
        <w:rPr>
          <w:spacing w:val="-24"/>
        </w:rPr>
      </w:r>
      <w:r>
        <w:rPr>
          <w:spacing w:val="3"/>
        </w:rPr>
        <w:t>款期限为</w:t>
      </w:r>
      <w:r>
        <w:rPr>
          <w:rFonts w:ascii="Times New Roman" w:hAnsi="Times New Roman" w:cs="Times New Roman" w:eastAsia="Times New Roman" w:hint="default"/>
          <w:spacing w:val="3"/>
        </w:rPr>
        <w:t>3</w:t>
      </w:r>
      <w:r>
        <w:rPr>
          <w:spacing w:val="3"/>
        </w:rPr>
        <w:t>年。上述抵押借款</w:t>
      </w:r>
      <w:r>
        <w:rPr>
          <w:rFonts w:ascii="Times New Roman" w:hAnsi="Times New Roman" w:cs="Times New Roman" w:eastAsia="Times New Roman" w:hint="default"/>
          <w:spacing w:val="3"/>
        </w:rPr>
        <w:t>1</w:t>
      </w:r>
      <w:r>
        <w:rPr>
          <w:spacing w:val="3"/>
        </w:rPr>
        <w:t>亿元由子公司吉林紫鑫禺拙药业有限公司以房屋产权及土地使用权提供抵</w:t>
      </w:r>
      <w:r>
        <w:rPr>
          <w:spacing w:val="-85"/>
        </w:rPr>
        <w:t> </w:t>
      </w:r>
      <w:r>
        <w:rPr>
          <w:spacing w:val="-85"/>
        </w:rPr>
      </w:r>
      <w:r>
        <w:rPr/>
        <w:t>押。</w:t>
      </w:r>
    </w:p>
    <w:p>
      <w:pPr>
        <w:pStyle w:val="BodyText"/>
        <w:spacing w:line="240" w:lineRule="auto" w:before="61"/>
        <w:ind w:left="154" w:right="0"/>
        <w:jc w:val="both"/>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日止，上述长期借款中无逾期的借款。</w:t>
      </w:r>
    </w:p>
    <w:p>
      <w:pPr>
        <w:spacing w:line="240" w:lineRule="auto" w:before="0"/>
        <w:rPr>
          <w:rFonts w:ascii="宋体" w:hAnsi="宋体" w:cs="宋体" w:eastAsia="宋体" w:hint="default"/>
          <w:sz w:val="22"/>
          <w:szCs w:val="22"/>
        </w:rPr>
      </w:pPr>
    </w:p>
    <w:p>
      <w:pPr>
        <w:pStyle w:val="Heading4"/>
        <w:spacing w:line="240" w:lineRule="auto" w:before="189"/>
        <w:ind w:left="154" w:right="0"/>
        <w:jc w:val="both"/>
        <w:rPr>
          <w:b w:val="0"/>
          <w:bCs w:val="0"/>
        </w:rPr>
      </w:pPr>
      <w:bookmarkStart w:name="26、专项应付款" w:id="285"/>
      <w:bookmarkEnd w:id="285"/>
      <w:r>
        <w:rPr>
          <w:b w:val="0"/>
          <w:bCs w:val="0"/>
        </w:rPr>
      </w:r>
      <w:r>
        <w:rPr>
          <w:rFonts w:ascii="Times New Roman" w:hAnsi="Times New Roman" w:cs="Times New Roman" w:eastAsia="Times New Roman" w:hint="default"/>
        </w:rPr>
        <w:t>26</w:t>
      </w:r>
      <w:r>
        <w:rPr/>
        <w:t>、专项应付款</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19"/>
              <w:jc w:val="left"/>
              <w:rPr>
                <w:rFonts w:ascii="宋体" w:hAnsi="宋体" w:cs="宋体" w:eastAsia="宋体" w:hint="default"/>
                <w:sz w:val="18"/>
                <w:szCs w:val="18"/>
              </w:rPr>
            </w:pPr>
            <w:r>
              <w:rPr>
                <w:rFonts w:ascii="宋体" w:hAnsi="宋体" w:cs="宋体" w:eastAsia="宋体" w:hint="default"/>
                <w:sz w:val="18"/>
                <w:szCs w:val="18"/>
              </w:rPr>
              <w:t>调整改造项目转贷 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386" w:lineRule="auto" w:before="0"/>
        <w:ind w:right="1132" w:firstLine="420"/>
        <w:jc w:val="both"/>
      </w:pPr>
      <w:r>
        <w:rPr/>
        <w:t>根据通化市财政局文件通市财建</w:t>
      </w:r>
      <w:r>
        <w:rPr>
          <w:rFonts w:ascii="Times New Roman" w:hAnsi="Times New Roman" w:cs="Times New Roman" w:eastAsia="Times New Roman" w:hint="default"/>
        </w:rPr>
        <w:t>[2004]61</w:t>
      </w:r>
      <w:r>
        <w:rPr/>
        <w:t>号《关于下达</w:t>
      </w:r>
      <w:r>
        <w:rPr>
          <w:rFonts w:ascii="Times New Roman" w:hAnsi="Times New Roman" w:cs="Times New Roman" w:eastAsia="Times New Roman" w:hint="default"/>
        </w:rPr>
        <w:t>2004</w:t>
      </w:r>
      <w:r>
        <w:rPr/>
        <w:t>年东北老工业基地调整改造国债转贷支出 计划的通知》，</w:t>
      </w:r>
      <w:r>
        <w:rPr>
          <w:rFonts w:ascii="Times New Roman" w:hAnsi="Times New Roman" w:cs="Times New Roman" w:eastAsia="Times New Roman" w:hint="default"/>
        </w:rPr>
        <w:t>2005</w:t>
      </w:r>
      <w:r>
        <w:rPr/>
        <w:t>年柳河县财政局拨入本公司</w:t>
      </w:r>
      <w:r>
        <w:rPr>
          <w:rFonts w:ascii="Times New Roman" w:hAnsi="Times New Roman" w:cs="Times New Roman" w:eastAsia="Times New Roman" w:hint="default"/>
        </w:rPr>
        <w:t>160</w:t>
      </w:r>
      <w:r>
        <w:rPr/>
        <w:t>万元中央国债地方转贷资金，专项用于东北地区等老</w:t>
      </w:r>
      <w:r>
        <w:rPr>
          <w:spacing w:val="-32"/>
        </w:rPr>
        <w:t> </w:t>
      </w:r>
      <w:r>
        <w:rPr>
          <w:spacing w:val="-32"/>
        </w:rPr>
      </w:r>
      <w:r>
        <w:rPr/>
        <w:t>工业基地调整改造项目建设，本期偿还上述转贷资金</w:t>
      </w:r>
      <w:r>
        <w:rPr>
          <w:rFonts w:ascii="Times New Roman" w:hAnsi="Times New Roman" w:cs="Times New Roman" w:eastAsia="Times New Roman" w:hint="default"/>
        </w:rPr>
        <w:t>14</w:t>
      </w:r>
      <w:r>
        <w:rPr/>
        <w:t>万元。</w:t>
      </w:r>
    </w:p>
    <w:p>
      <w:pPr>
        <w:spacing w:line="240" w:lineRule="auto" w:before="8"/>
        <w:rPr>
          <w:rFonts w:ascii="宋体" w:hAnsi="宋体" w:cs="宋体" w:eastAsia="宋体" w:hint="default"/>
          <w:sz w:val="25"/>
          <w:szCs w:val="25"/>
        </w:rPr>
      </w:pPr>
    </w:p>
    <w:p>
      <w:pPr>
        <w:pStyle w:val="Heading4"/>
        <w:spacing w:line="240" w:lineRule="auto"/>
        <w:ind w:left="154" w:right="0"/>
        <w:jc w:val="left"/>
        <w:rPr>
          <w:b w:val="0"/>
          <w:bCs w:val="0"/>
        </w:rPr>
      </w:pPr>
      <w:bookmarkStart w:name="27、递延收益" w:id="286"/>
      <w:bookmarkEnd w:id="286"/>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53,223,425.24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4,204,220.01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145,739,205.23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委托合作款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2,621,200.00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2,821,200.00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5"/>
              <w:jc w:val="center"/>
              <w:rPr>
                <w:rFonts w:ascii="宋体" w:hAnsi="宋体" w:cs="宋体" w:eastAsia="宋体" w:hint="default"/>
                <w:sz w:val="18"/>
                <w:szCs w:val="18"/>
              </w:rPr>
            </w:pPr>
            <w:r>
              <w:rPr>
                <w:rFonts w:ascii="宋体" w:hAnsi="宋体" w:cs="宋体" w:eastAsia="宋体" w:hint="default"/>
                <w:sz w:val="18"/>
                <w:szCs w:val="18"/>
              </w:rPr>
              <w:t>合作单位无偿投入</w:t>
            </w:r>
          </w:p>
        </w:tc>
      </w:tr>
      <w:tr>
        <w:trPr>
          <w:trHeight w:val="55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53,423,425.24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99,341,200.00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4,204,220.01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148,560,405.23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无偿划拨土地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765,829.15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75,434,170.85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基础项目建设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4,906,218.00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245,310.90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4,660,907.10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东北老工业基地 基建投资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369,565.80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12,550,434.20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紫鑫般若药业有 限公司污水深度 处理与中水回用 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2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万益心 丸等微丸、</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万更年宁等水丸</w:t>
            </w:r>
          </w:p>
          <w:p>
            <w:pPr>
              <w:pStyle w:val="TableParagraph"/>
              <w:spacing w:line="240" w:lineRule="auto" w:before="74"/>
              <w:ind w:left="22" w:right="0"/>
              <w:jc w:val="both"/>
              <w:rPr>
                <w:rFonts w:ascii="宋体" w:hAnsi="宋体" w:cs="宋体" w:eastAsia="宋体" w:hint="default"/>
                <w:sz w:val="18"/>
                <w:szCs w:val="18"/>
              </w:rPr>
            </w:pPr>
            <w:r>
              <w:rPr>
                <w:rFonts w:ascii="宋体" w:hAnsi="宋体" w:cs="宋体" w:eastAsia="宋体" w:hint="default"/>
                <w:sz w:val="18"/>
                <w:szCs w:val="18"/>
              </w:rPr>
              <w:t>和水蜜丸等大小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1"/>
              <w:jc w:val="right"/>
              <w:rPr>
                <w:rFonts w:ascii="Times New Roman" w:hAnsi="Times New Roman" w:cs="Times New Roman" w:eastAsia="Times New Roman" w:hint="default"/>
                <w:sz w:val="18"/>
                <w:szCs w:val="18"/>
              </w:rPr>
            </w:pPr>
            <w:r>
              <w:rPr>
                <w:rFonts w:ascii="Times New Roman"/>
                <w:spacing w:val="-1"/>
                <w:sz w:val="18"/>
              </w:rPr>
              <w:t>5,652,499.94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665,000.04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4,987,499.90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120003pt;margin-top:303.139984pt;width:74.2pt;height:23.4pt;mso-position-horizontal-relative:page;mso-position-vertical-relative:page;z-index:-10444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303.139984pt;width:68pt;height:23.4pt;mso-position-horizontal-relative:page;mso-position-vertical-relative:page;z-index:-1044472" coordorigin="2506,6063" coordsize="1360,468">
            <v:shape style="position:absolute;left:2506;top:6063;width:1360;height:468" coordorigin="2506,6063" coordsize="1360,468" path="m2506,6531l3866,6531,3866,6063,2506,6063,2506,65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296"/>
        <w:gridCol w:w="1073"/>
        <w:gridCol w:w="1367"/>
        <w:gridCol w:w="1367"/>
        <w:gridCol w:w="1368"/>
        <w:gridCol w:w="1367"/>
        <w:gridCol w:w="1367"/>
      </w:tblGrid>
      <w:tr>
        <w:trPr>
          <w:trHeight w:val="51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蜜丸能力</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医药产业发展专 项资金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生物核酸综合检 测分析系统开发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药物组合及其设 备研究项目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05" w:right="0"/>
              <w:jc w:val="lef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化学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类新药 米格列奈钙的临 </w:t>
            </w:r>
            <w:r>
              <w:rPr>
                <w:rFonts w:ascii="宋体" w:hAnsi="宋体" w:cs="宋体" w:eastAsia="宋体" w:hint="default"/>
                <w:spacing w:val="-5"/>
                <w:sz w:val="18"/>
                <w:szCs w:val="18"/>
              </w:rPr>
              <w:t>床研究项目（</w:t>
            </w:r>
            <w:r>
              <w:rPr>
                <w:rFonts w:ascii="Times New Roman" w:hAnsi="Times New Roman" w:cs="Times New Roman" w:eastAsia="Times New Roman" w:hint="default"/>
                <w:spacing w:val="-5"/>
                <w:sz w:val="18"/>
                <w:szCs w:val="18"/>
              </w:rPr>
              <w:t>13</w:t>
            </w:r>
          </w:p>
        </w:tc>
        <w:tc>
          <w:tcPr>
            <w:tcW w:w="296" w:type="dxa"/>
            <w:tcBorders>
              <w:top w:val="single" w:sz="4" w:space="0" w:color="000000"/>
              <w:left w:val="single" w:sz="4" w:space="0" w:color="000000"/>
              <w:bottom w:val="single" w:sz="4" w:space="0" w:color="000000"/>
              <w:right w:val="nil" w:sz="6" w:space="0" w:color="auto"/>
            </w:tcBorders>
          </w:tcPr>
          <w:p>
            <w:pPr/>
          </w:p>
        </w:tc>
        <w:tc>
          <w:tcPr>
            <w:tcW w:w="107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450,000.00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产业转型升级项 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3,430,000.00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环境保护专项治 理资金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口服液制剂车间</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改造</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4,593,600.00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4,384,800.00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万支生 物发酵蜜环菌脑 心舒产业化项目</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万瓶人 参酵素饮料产业 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4,555,899.95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355,280.04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4,200,619.91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基础设施建设</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25,032,499.90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1,054,000.08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23,978,499.82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71"/>
              <w:jc w:val="both"/>
              <w:rPr>
                <w:rFonts w:ascii="宋体" w:hAnsi="宋体" w:cs="宋体" w:eastAsia="宋体" w:hint="default"/>
                <w:sz w:val="18"/>
                <w:szCs w:val="18"/>
              </w:rPr>
            </w:pP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吨人</w:t>
            </w:r>
            <w:r>
              <w:rPr>
                <w:rFonts w:ascii="宋体" w:hAnsi="宋体" w:cs="宋体" w:eastAsia="宋体" w:hint="default"/>
                <w:spacing w:val="1"/>
                <w:sz w:val="18"/>
                <w:szCs w:val="18"/>
              </w:rPr>
              <w:t> </w:t>
            </w:r>
            <w:r>
              <w:rPr>
                <w:rFonts w:ascii="宋体" w:hAnsi="宋体" w:cs="宋体" w:eastAsia="宋体" w:hint="default"/>
                <w:sz w:val="18"/>
                <w:szCs w:val="18"/>
              </w:rPr>
              <w:t>参系列化制品项</w:t>
            </w:r>
            <w:r>
              <w:rPr>
                <w:rFonts w:ascii="宋体" w:hAnsi="宋体" w:cs="宋体" w:eastAsia="宋体" w:hint="default"/>
                <w:sz w:val="18"/>
                <w:szCs w:val="18"/>
              </w:rPr>
              <w:t> 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759,999.95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727,999.91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人参加工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GMP</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937,707.50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49,833.96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887,873.54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51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项目建设奖金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人参果蔬发酵饮 料、人参果蔬发 酵咀嚼片项目专 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现代农业发展引 导资金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农业发展引导资 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人参蜜片生产控 制系统升级改造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53,223,425.24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4,004,220.01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145,739,205.23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7"/>
          <w:szCs w:val="7"/>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8、股本" w:id="287"/>
      <w:bookmarkEnd w:id="287"/>
      <w:r>
        <w:rPr>
          <w:b w:val="0"/>
          <w:bCs w:val="0"/>
        </w:rPr>
      </w:r>
      <w:r>
        <w:rPr>
          <w:rFonts w:ascii="Times New Roman" w:hAnsi="Times New Roman" w:cs="Times New Roman" w:eastAsia="Times New Roman" w:hint="default"/>
        </w:rPr>
        <w:t>28</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8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7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8"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8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512,991,382.00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512,991,382.00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29、资本公积" w:id="288"/>
      <w:bookmarkEnd w:id="288"/>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9" w:right="0"/>
              <w:jc w:val="left"/>
              <w:rPr>
                <w:rFonts w:ascii="Times New Roman" w:hAnsi="Times New Roman" w:cs="Times New Roman" w:eastAsia="Times New Roman" w:hint="default"/>
                <w:sz w:val="18"/>
                <w:szCs w:val="18"/>
              </w:rPr>
            </w:pPr>
            <w:r>
              <w:rPr>
                <w:rFonts w:ascii="Times New Roman"/>
                <w:sz w:val="18"/>
              </w:rPr>
              <w:t>719,482,283.90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719,482,283.90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9" w:right="0"/>
              <w:jc w:val="left"/>
              <w:rPr>
                <w:rFonts w:ascii="Times New Roman" w:hAnsi="Times New Roman" w:cs="Times New Roman" w:eastAsia="Times New Roman" w:hint="default"/>
                <w:sz w:val="18"/>
                <w:szCs w:val="18"/>
              </w:rPr>
            </w:pPr>
            <w:r>
              <w:rPr>
                <w:rFonts w:ascii="Times New Roman"/>
                <w:sz w:val="18"/>
              </w:rPr>
              <w:t>719,482,283.90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719,482,283.90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30、其他综合收益" w:id="289"/>
      <w:bookmarkEnd w:id="289"/>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55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99"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4"/>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4"/>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4"/>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525"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477" w:lineRule="auto" w:before="1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7"/>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14"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4,469,666.65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4,503,399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4,469,666.65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4,503,399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4,469,666.65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33,733.33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4,503,399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1、盈余公积" w:id="290"/>
      <w:bookmarkEnd w:id="290"/>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70,389,269.23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3,596,419.08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73,985,688.31</w:t>
            </w:r>
          </w:p>
        </w:tc>
      </w:tr>
      <w:tr>
        <w:trPr>
          <w:trHeight w:val="55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70,389,269.23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3,596,419.08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73,985,688.31</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32、未分配利润" w:id="291"/>
      <w:bookmarkEnd w:id="291"/>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685,842,155.54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640,074,582.30</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685,842,155.54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640,074,582.30</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39,591,514.07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47,193,156.40</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3,596,419.08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1,425,583.16</w:t>
            </w: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19,493,672.49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702,343,578.04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685,842,155.54</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4"/>
        <w:spacing w:line="240" w:lineRule="auto"/>
        <w:ind w:left="154" w:right="0"/>
        <w:jc w:val="left"/>
        <w:rPr>
          <w:b w:val="0"/>
          <w:bCs w:val="0"/>
        </w:rPr>
      </w:pPr>
      <w:bookmarkStart w:name="33、营业收入和营业成本" w:id="292"/>
      <w:bookmarkEnd w:id="292"/>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83"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0"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4"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633,221,900.00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210,150,020.34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774,006,886.55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346,437,986.51</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38,128.20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34,307.60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1,707,747.30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1,473,104.62</w:t>
            </w:r>
          </w:p>
        </w:tc>
      </w:tr>
      <w:tr>
        <w:trPr>
          <w:trHeight w:val="558"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633,260,028.20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210,184,327.94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775,714,633.85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347,911,091.13</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4、营业税金及附加" w:id="293"/>
      <w:bookmarkEnd w:id="293"/>
      <w:r>
        <w:rPr>
          <w:b w:val="0"/>
          <w:bCs w:val="0"/>
        </w:rPr>
      </w:r>
      <w:r>
        <w:rPr>
          <w:rFonts w:ascii="Times New Roman" w:hAnsi="Times New Roman" w:cs="Times New Roman" w:eastAsia="Times New Roman" w:hint="default"/>
        </w:rPr>
        <w:t>34</w:t>
      </w:r>
      <w:r>
        <w:rPr/>
        <w:t>、营业税金及附加</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2,985,594.81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2,846,674.21</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1,774,049.41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1,711,726.19</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1,182,699.62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1,110,949.33</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5,942,343.84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5,669,349.73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5、销售费用" w:id="294"/>
      <w:bookmarkEnd w:id="294"/>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29,559,401.97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27,449,659.08</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27,279,239.64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31,014,218.81</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16,900,582.90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10,785,850.99</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1,634,812.25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1,936,494.43</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30,857,509.26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30,483,192.95</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9,180,186.30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16,187,607.17</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4,679,866.88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3,964,276.51</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120,091,599.20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121,821,299.94</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6、管理费用" w:id="295"/>
      <w:bookmarkEnd w:id="295"/>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36,546,470.34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28,747,203.90</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4,496,008.07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2,759,260.20</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17,455,054.53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15,078,690.52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3,772,870.56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3,397,801.59</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3,706,757.45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3,563,296.35</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8,081,552.32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6,879,424.89</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研究与开发费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14,487,703.78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22,983,168.29</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38,835,242.19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31,195,031.54</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1,694,515.07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3,738,424.71</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23,701,997.80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17,555,121.64</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152,778,172.11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135,897,423.63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7、财务费用" w:id="296"/>
      <w:bookmarkEnd w:id="296"/>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138,819,895.97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135,894,231.69</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355,555.04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363,244.64</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395,328.91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601,880.86</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904,908.51</w:t>
            </w:r>
          </w:p>
        </w:tc>
      </w:tr>
      <w:tr>
        <w:trPr>
          <w:trHeight w:val="55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139,692,669.84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137,037,776.42</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38、资产减值损失" w:id="297"/>
      <w:bookmarkEnd w:id="297"/>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5,763,917.06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20,297,535.01</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5,763,917.06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20,297,535.01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9、投资收益" w:id="298"/>
      <w:bookmarkEnd w:id="298"/>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-600,000.00</w:t>
            </w:r>
            <w:r>
              <w:rPr>
                <w:rFonts w:ascii="Times New Roman"/>
                <w:sz w:val="18"/>
              </w:rPr>
            </w:r>
          </w:p>
        </w:tc>
      </w:tr>
      <w:tr>
        <w:trPr>
          <w:trHeight w:val="558"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559"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before="0"/>
        <w:ind w:right="0"/>
        <w:jc w:val="left"/>
      </w:pPr>
      <w:r>
        <w:rPr/>
        <w:t>可供出售金融资产在持有期间的投资收益详见附注</w:t>
      </w:r>
      <w:r>
        <w:rPr>
          <w:rFonts w:ascii="Times New Roman" w:hAnsi="Times New Roman" w:cs="Times New Roman" w:eastAsia="Times New Roman" w:hint="default"/>
        </w:rPr>
        <w:t>8</w:t>
      </w:r>
      <w:r>
        <w:rPr/>
        <w:t>（</w:t>
      </w:r>
      <w:r>
        <w:rPr>
          <w:rFonts w:ascii="Times New Roman" w:hAnsi="Times New Roman" w:cs="Times New Roman" w:eastAsia="Times New Roman" w:hint="default"/>
        </w:rPr>
        <w:t>3</w:t>
      </w:r>
      <w:r>
        <w:rPr/>
        <w:t>）中说明。</w:t>
      </w:r>
    </w:p>
    <w:p>
      <w:pPr>
        <w:spacing w:line="240" w:lineRule="auto" w:before="0"/>
        <w:rPr>
          <w:rFonts w:ascii="宋体" w:hAnsi="宋体" w:cs="宋体" w:eastAsia="宋体" w:hint="default"/>
          <w:sz w:val="22"/>
          <w:szCs w:val="22"/>
        </w:rPr>
      </w:pPr>
    </w:p>
    <w:p>
      <w:pPr>
        <w:pStyle w:val="Heading4"/>
        <w:spacing w:line="240" w:lineRule="auto" w:before="189"/>
        <w:ind w:right="0"/>
        <w:jc w:val="left"/>
        <w:rPr>
          <w:b w:val="0"/>
          <w:bCs w:val="0"/>
        </w:rPr>
      </w:pPr>
      <w:bookmarkStart w:name="40、营业外收入" w:id="299"/>
      <w:bookmarkEnd w:id="299"/>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239"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48"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239"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35,071,948.56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31,241,012.38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1,111,372.42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26,169.27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36,183,320.98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31,267,181.65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line="240" w:lineRule="auto" w:before="6"/>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吉林省质量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省级科技创</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5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新资金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科技合作高 新技术产业 化资金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企业挖潜资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其他资源勘 探信息资金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2,782,538.00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其他支持中 小企业发展 和管理支出</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其他支持中 小企业发展 和管理支出</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675,345.55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其他支持中 小企业发展 和管理支出</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9,014,251.00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吉林省名牌 产品奖励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无偿划拨土 地</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765,829.15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基础项目建 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245,310.90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东北老工业 基地基建投 资</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369,565.80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紫鑫般若污 水深度处理 与中水回用 工程</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东北老工业 基地调整改 造项目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吉林省科技 创新和科研 成果转化资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省级中小企 业和民营经 济发展引导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省级重点产 业发展引导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流动资金贷 款贴息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企业稳岗补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5,852,240.00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口服液制剂 技改扶持资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产业转型升</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51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级项目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省级经济结 构战略调整 引导资金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政策减免税 收返还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639,854.00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企业稳岗补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瓶人参酵素 饮料产业化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355,280.04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355,280.04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基地设施建 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1,054,000.08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1,054,000.08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年加工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吨人参系列 化制品项目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32,000.04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63" w:lineRule="auto" w:before="129"/>
              <w:ind w:left="22" w:right="57"/>
              <w:jc w:val="left"/>
              <w:rPr>
                <w:rFonts w:ascii="宋体" w:hAnsi="宋体" w:cs="宋体" w:eastAsia="宋体" w:hint="default"/>
                <w:sz w:val="18"/>
                <w:szCs w:val="18"/>
              </w:rPr>
            </w:pPr>
            <w:r>
              <w:rPr>
                <w:rFonts w:ascii="宋体" w:hAnsi="宋体" w:cs="宋体" w:eastAsia="宋体" w:hint="default"/>
                <w:sz w:val="18"/>
                <w:szCs w:val="18"/>
              </w:rPr>
              <w:t>人参加工 </w:t>
            </w:r>
            <w:r>
              <w:rPr>
                <w:rFonts w:ascii="Times New Roman" w:hAnsi="Times New Roman" w:cs="Times New Roman" w:eastAsia="Times New Roman" w:hint="default"/>
                <w:sz w:val="18"/>
                <w:szCs w:val="18"/>
              </w:rPr>
              <w:t>GMP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项目建 设奖金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49,833.96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62,292.50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2"/>
              <w:jc w:val="left"/>
              <w:rPr>
                <w:rFonts w:ascii="宋体" w:hAnsi="宋体" w:cs="宋体" w:eastAsia="宋体" w:hint="default"/>
                <w:sz w:val="18"/>
                <w:szCs w:val="18"/>
              </w:rPr>
            </w:pPr>
            <w:r>
              <w:rPr>
                <w:rFonts w:ascii="宋体" w:hAnsi="宋体" w:cs="宋体" w:eastAsia="宋体" w:hint="default"/>
                <w:sz w:val="18"/>
                <w:szCs w:val="18"/>
              </w:rPr>
              <w:t>省级节能减 </w:t>
            </w:r>
            <w:r>
              <w:rPr>
                <w:rFonts w:ascii="宋体" w:hAnsi="宋体" w:cs="宋体" w:eastAsia="宋体" w:hint="default"/>
                <w:spacing w:val="-12"/>
                <w:sz w:val="18"/>
                <w:szCs w:val="18"/>
              </w:rPr>
              <w:t>排、应对气候</w:t>
            </w:r>
            <w:r>
              <w:rPr>
                <w:rFonts w:ascii="宋体" w:hAnsi="宋体" w:cs="宋体" w:eastAsia="宋体" w:hint="default"/>
                <w:sz w:val="18"/>
                <w:szCs w:val="18"/>
              </w:rPr>
              <w:t> 变化和生态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财政局拨付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24,040,277.0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88"/>
              <w:ind w:left="22" w:right="131"/>
              <w:jc w:val="left"/>
              <w:rPr>
                <w:rFonts w:ascii="宋体" w:hAnsi="宋体" w:cs="宋体" w:eastAsia="宋体" w:hint="default"/>
                <w:sz w:val="18"/>
                <w:szCs w:val="18"/>
              </w:rPr>
            </w:pPr>
            <w:r>
              <w:rPr>
                <w:rFonts w:ascii="宋体" w:hAnsi="宋体" w:cs="宋体" w:eastAsia="宋体" w:hint="default"/>
                <w:sz w:val="18"/>
                <w:szCs w:val="18"/>
              </w:rPr>
              <w:t>企业扶持资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吉林省人才 开发专项补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吉林省科技 厅专项补贴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重点产业发 展引导资金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省名牌奖励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延边科学技 术局年度科 技发展计划 项目经费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延吉突出发 展民营经济 实施办法专 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敦化市人力 资源和社会 保障局拨付 实习补助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54,160.32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省级重点产 业发展引导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65" w:lineRule="auto" w:before="129"/>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年吉林 省科技创新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财政局拨付 企业扶持资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财政局拨付 企业扶持资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1,648,402.36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35,071,948.5</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31,241,012.3</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7"/>
          <w:szCs w:val="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1、营业外支出" w:id="300"/>
      <w:bookmarkEnd w:id="300"/>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239"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548"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239"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327,136.96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327,136.96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777,499.13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1,131,887.45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777,499.13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1,469,024.41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42、所得税费用" w:id="301"/>
      <w:bookmarkEnd w:id="301"/>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所得税费用表" w:id="302"/>
      <w:bookmarkEnd w:id="30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6,405,148.92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1,119,562.56</w:t>
            </w:r>
          </w:p>
        </w:tc>
      </w:tr>
      <w:tr>
        <w:trPr>
          <w:trHeight w:val="55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-1,624,462.74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-1,989,610.44</w:t>
            </w:r>
          </w:p>
        </w:tc>
      </w:tr>
      <w:tr>
        <w:trPr>
          <w:trHeight w:val="55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4,780,686.18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-870,047.88</w:t>
            </w:r>
            <w:r>
              <w:rPr>
                <w:rFonts w:ascii="Times New Roman"/>
                <w:sz w:val="18"/>
              </w:rPr>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会计利润与所得税费用调整过程" w:id="303"/>
      <w:bookmarkEnd w:id="30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44,012,820.06</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6,601,923.01</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328,235.13</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23,747.73</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-13,526,803.69</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1,307,381.00</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-2,138,407.99</w:t>
            </w:r>
          </w:p>
        </w:tc>
      </w:tr>
      <w:tr>
        <w:trPr>
          <w:trHeight w:val="1026"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13,809,073.73</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本期递延所得税费用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-1,624,462.74</w:t>
            </w:r>
          </w:p>
        </w:tc>
      </w:tr>
      <w:tr>
        <w:trPr>
          <w:trHeight w:val="55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4,780,686.18</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43、现金流量表项目" w:id="304"/>
      <w:bookmarkEnd w:id="304"/>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收到的其他与经营活动有关的现金" w:id="305"/>
      <w:bookmarkEnd w:id="3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7"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54,208,928.55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33,319,039.68</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355,555.04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363,244.64</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4,514,395.05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42,252.51</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59,078,878.64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33,724,536.83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left="154" w:right="0"/>
        <w:jc w:val="left"/>
        <w:rPr>
          <w:b w:val="0"/>
          <w:bCs w:val="0"/>
        </w:rPr>
      </w:pPr>
      <w:bookmarkStart w:name="（2）支付的其他与经营活动有关的现金" w:id="306"/>
      <w:bookmarkEnd w:id="3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各项销售费用合计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84,945,414.70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81,290,093.07</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各项管理费用合计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32,920,415.47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44,997,883.62</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8,846,615.50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23,889,139.87</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财务费用合计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1,188,555.04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1,506,789.37</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127,901,000.71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151,683,905.93</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left="154" w:right="0"/>
        <w:jc w:val="left"/>
        <w:rPr>
          <w:b w:val="0"/>
          <w:bCs w:val="0"/>
        </w:rPr>
      </w:pPr>
      <w:bookmarkStart w:name="（3）收到的其他与投资活动有关的现金" w:id="307"/>
      <w:bookmarkEnd w:id="30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9"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51,869.47</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51,869.47</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4）收到的其他与筹资活动有关的现金" w:id="308"/>
      <w:bookmarkEnd w:id="308"/>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定向增发保证金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55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left="154" w:right="0"/>
        <w:jc w:val="left"/>
        <w:rPr>
          <w:b w:val="0"/>
          <w:bCs w:val="0"/>
        </w:rPr>
      </w:pPr>
      <w:bookmarkStart w:name="44、现金流量表补充资料" w:id="309"/>
      <w:bookmarkEnd w:id="309"/>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现金流量表补充资料" w:id="310"/>
      <w:bookmarkEnd w:id="31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39,232,133.88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46,948,363.11</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5,763,917.06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20,297,535.01</w:t>
            </w:r>
          </w:p>
        </w:tc>
      </w:tr>
      <w:tr>
        <w:trPr>
          <w:trHeight w:val="102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61,043,581.58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53,739,184.23</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6,675,713.05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5,746,354.10</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825,493.43</w:t>
            </w:r>
          </w:p>
        </w:tc>
      </w:tr>
      <w:tr>
        <w:trPr>
          <w:trHeight w:val="102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327,136.96</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138,819,895.97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135,894,231.69</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-9,200,000.00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r>
        <w:rPr/>
        <w:pict>
          <v:group style="position:absolute;margin-left:223.339996pt;margin-top:71.909981pt;width:151.25pt;height:28.6pt;mso-position-horizontal-relative:page;mso-position-vertical-relative:page;z-index:-1044448" coordorigin="4467,1438" coordsize="3025,572">
            <v:group style="position:absolute;left:4478;top:1450;width:2;height:549" coordorigin="4478,1450" coordsize="2,549">
              <v:shape style="position:absolute;left:4478;top:1450;width:2;height:549" coordorigin="4478,1450" coordsize="0,549" path="m4478,1450l4478,1998e" filled="false" stroked="true" strokeweight="1.140pt" strokecolor="#ffffff">
                <v:path arrowok="t"/>
              </v:shape>
            </v:group>
            <v:group style="position:absolute;left:4490;top:1450;width:3002;height:549" coordorigin="4490,1450" coordsize="3002,549">
              <v:shape style="position:absolute;left:4490;top:1450;width:3002;height:549" coordorigin="4490,1450" coordsize="3002,549" path="m4490,1998l7491,1998,7491,1450,4490,1450,4490,199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2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1" w:right="0"/>
              <w:jc w:val="left"/>
              <w:rPr>
                <w:rFonts w:ascii="Times New Roman" w:hAnsi="Times New Roman" w:cs="Times New Roman" w:eastAsia="Times New Roman" w:hint="default"/>
                <w:sz w:val="18"/>
                <w:szCs w:val="18"/>
              </w:rPr>
            </w:pPr>
            <w:r>
              <w:rPr>
                <w:rFonts w:ascii="Times New Roman"/>
                <w:sz w:val="18"/>
              </w:rPr>
              <w:t>-1,624,462.74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-1,987,110.43</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-120,367,083.95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-136,949,782.90</w:t>
            </w:r>
          </w:p>
        </w:tc>
      </w:tr>
      <w:tr>
        <w:trPr>
          <w:trHeight w:val="102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39,391,606.20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-124,531,434.64</w:t>
            </w:r>
          </w:p>
        </w:tc>
      </w:tr>
      <w:tr>
        <w:trPr>
          <w:trHeight w:val="102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51" w:lineRule="auto" w:before="129"/>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58,184,643.87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13,509,602.55</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217,319,944.92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4,619,573.11</w:t>
            </w:r>
          </w:p>
        </w:tc>
      </w:tr>
      <w:tr>
        <w:trPr>
          <w:trHeight w:val="239"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451" w:lineRule="auto" w:before="129"/>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48"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239"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706,753,820.33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134,102,455.21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111,615,632.78</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572,651,365.12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22,486,822.43</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2）现金和现金等价物的构成" w:id="311"/>
      <w:bookmarkEnd w:id="31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706,753,820.33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14,952.17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20,521.70</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706,738,868.16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134,081,933.51</w:t>
            </w:r>
          </w:p>
        </w:tc>
      </w:tr>
      <w:tr>
        <w:trPr>
          <w:trHeight w:val="55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706,753,820.33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134,102,455.21</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5、所有者权益变动表项目注释" w:id="312"/>
      <w:bookmarkEnd w:id="312"/>
      <w:r>
        <w:rPr>
          <w:b w:val="0"/>
          <w:bCs w:val="0"/>
        </w:rPr>
      </w:r>
      <w:r>
        <w:rPr>
          <w:rFonts w:ascii="Times New Roman" w:hAnsi="Times New Roman" w:cs="Times New Roman" w:eastAsia="Times New Roman" w:hint="default"/>
        </w:rPr>
        <w:t>45</w:t>
      </w:r>
      <w:r>
        <w:rPr/>
        <w:t>、所有者权益变动表项目注释</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6"/>
          <w:szCs w:val="16"/>
        </w:rPr>
      </w:pPr>
    </w:p>
    <w:p>
      <w:pPr>
        <w:spacing w:line="489" w:lineRule="auto" w:before="0"/>
        <w:ind w:left="154" w:right="537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所有者权益对上年期末余额无调整。</w:t>
      </w:r>
    </w:p>
    <w:p>
      <w:pPr>
        <w:spacing w:after="0" w:line="48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rPr>
          <w:b w:val="0"/>
          <w:bCs w:val="0"/>
        </w:rPr>
      </w:pPr>
      <w:bookmarkStart w:name="八、在其他主体中的权益" w:id="313"/>
      <w:bookmarkEnd w:id="313"/>
      <w:r>
        <w:rPr>
          <w:b w:val="0"/>
          <w:bCs w:val="0"/>
        </w:rPr>
      </w:r>
      <w:r>
        <w:rPr/>
        <w:t>八、在其他主体中的权益</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在子公司中的权益" w:id="314"/>
      <w:bookmarkEnd w:id="31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right="0"/>
        <w:jc w:val="left"/>
        <w:rPr>
          <w:b w:val="0"/>
          <w:bCs w:val="0"/>
        </w:rPr>
      </w:pPr>
      <w:bookmarkStart w:name="（1）企业集团的构成" w:id="315"/>
      <w:bookmarkEnd w:id="3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58"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558"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吉林草还丹药业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吉林紫鑫敦化医 药药材有限公司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敦化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吉林紫鑫初元药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延吉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吉林紫鑫般若药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磐石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吉林紫鑫禺拙药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吉林紫鑫红石种 养殖有限公司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柳河县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中药材种植销售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吉林紫鑫人参销 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柳河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人参销售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吉林紫鑫人参研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人参产品研发及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吉林紫鑫药物研 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药品研发及技术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7"/>
              <w:jc w:val="left"/>
              <w:rPr>
                <w:rFonts w:ascii="宋体" w:hAnsi="宋体" w:cs="宋体" w:eastAsia="宋体" w:hint="default"/>
                <w:sz w:val="18"/>
                <w:szCs w:val="18"/>
              </w:rPr>
            </w:pPr>
            <w:r>
              <w:rPr>
                <w:rFonts w:ascii="宋体" w:hAnsi="宋体" w:cs="宋体" w:eastAsia="宋体" w:hint="default"/>
                <w:sz w:val="18"/>
                <w:szCs w:val="18"/>
              </w:rPr>
              <w:t>吉林中科紫鑫科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9"/>
              <w:ind w:left="22" w:right="72"/>
              <w:jc w:val="left"/>
              <w:rPr>
                <w:rFonts w:ascii="宋体" w:hAnsi="宋体" w:cs="宋体" w:eastAsia="宋体" w:hint="default"/>
                <w:sz w:val="18"/>
                <w:szCs w:val="18"/>
              </w:rPr>
            </w:pPr>
            <w:r>
              <w:rPr>
                <w:rFonts w:ascii="宋体" w:hAnsi="宋体" w:cs="宋体" w:eastAsia="宋体" w:hint="default"/>
                <w:sz w:val="18"/>
                <w:szCs w:val="18"/>
              </w:rPr>
              <w:t>研发、设备生产 及销售，专利权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518"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的转让</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4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2"/>
              <w:jc w:val="both"/>
              <w:rPr>
                <w:rFonts w:ascii="宋体" w:hAnsi="宋体" w:cs="宋体" w:eastAsia="宋体" w:hint="default"/>
                <w:sz w:val="18"/>
                <w:szCs w:val="18"/>
              </w:rPr>
            </w:pPr>
            <w:r>
              <w:rPr>
                <w:rFonts w:ascii="宋体" w:hAnsi="宋体" w:cs="宋体" w:eastAsia="宋体" w:hint="default"/>
                <w:sz w:val="18"/>
                <w:szCs w:val="18"/>
              </w:rPr>
              <w:t>从事节能减排、 环境保护等反面 的相关交易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77"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6"/>
        <w:rPr>
          <w:rFonts w:ascii="宋体" w:hAnsi="宋体" w:cs="宋体" w:eastAsia="宋体" w:hint="default"/>
          <w:b/>
          <w:bCs/>
          <w:sz w:val="6"/>
          <w:szCs w:val="6"/>
        </w:rPr>
      </w:pPr>
    </w:p>
    <w:p>
      <w:pPr>
        <w:spacing w:line="518" w:lineRule="auto" w:before="44"/>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518" w:lineRule="auto" w:before="63"/>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9"/>
        <w:rPr>
          <w:rFonts w:ascii="宋体" w:hAnsi="宋体" w:cs="宋体" w:eastAsia="宋体" w:hint="default"/>
          <w:sz w:val="22"/>
          <w:szCs w:val="22"/>
        </w:rPr>
      </w:pPr>
    </w:p>
    <w:p>
      <w:pPr>
        <w:pStyle w:val="Heading4"/>
        <w:spacing w:line="240" w:lineRule="auto"/>
        <w:ind w:left="154" w:right="0"/>
        <w:jc w:val="left"/>
        <w:rPr>
          <w:b w:val="0"/>
          <w:bCs w:val="0"/>
        </w:rPr>
      </w:pPr>
      <w:bookmarkStart w:name="（2）重要的非全资子公司" w:id="316"/>
      <w:bookmarkEnd w:id="3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1077"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54"/>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54"/>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102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82"/>
              <w:jc w:val="left"/>
              <w:rPr>
                <w:rFonts w:ascii="宋体" w:hAnsi="宋体" w:cs="宋体" w:eastAsia="宋体" w:hint="default"/>
                <w:sz w:val="18"/>
                <w:szCs w:val="18"/>
              </w:rPr>
            </w:pPr>
            <w:r>
              <w:rPr>
                <w:rFonts w:ascii="宋体" w:hAnsi="宋体" w:cs="宋体" w:eastAsia="宋体" w:hint="default"/>
                <w:sz w:val="18"/>
                <w:szCs w:val="18"/>
              </w:rPr>
              <w:t>北方环境能源交易所有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-306,603.63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1,956,785.42</w:t>
            </w:r>
          </w:p>
        </w:tc>
      </w:tr>
    </w:tbl>
    <w:p>
      <w:pPr>
        <w:spacing w:line="240" w:lineRule="auto" w:before="6"/>
        <w:rPr>
          <w:rFonts w:ascii="宋体" w:hAnsi="宋体" w:cs="宋体" w:eastAsia="宋体" w:hint="default"/>
          <w:sz w:val="6"/>
          <w:szCs w:val="6"/>
        </w:rPr>
      </w:pPr>
    </w:p>
    <w:p>
      <w:pPr>
        <w:spacing w:line="518"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2"/>
        <w:rPr>
          <w:rFonts w:ascii="宋体" w:hAnsi="宋体" w:cs="宋体" w:eastAsia="宋体" w:hint="default"/>
          <w:sz w:val="20"/>
          <w:szCs w:val="20"/>
        </w:rPr>
      </w:pPr>
    </w:p>
    <w:p>
      <w:pPr>
        <w:pStyle w:val="Heading3"/>
        <w:spacing w:line="240" w:lineRule="auto"/>
        <w:ind w:left="154" w:right="0"/>
        <w:jc w:val="left"/>
        <w:rPr>
          <w:b w:val="0"/>
          <w:bCs w:val="0"/>
        </w:rPr>
      </w:pPr>
      <w:bookmarkStart w:name="九、与金融工具相关的风险" w:id="317"/>
      <w:bookmarkEnd w:id="317"/>
      <w:r>
        <w:rPr>
          <w:b w:val="0"/>
          <w:bCs w:val="0"/>
        </w:rPr>
      </w:r>
      <w:r>
        <w:rPr/>
        <w:t>九、与金融工具相关的风险</w:t>
      </w:r>
      <w:r>
        <w:rPr>
          <w:b w:val="0"/>
          <w:bCs w:val="0"/>
        </w:rPr>
      </w:r>
    </w:p>
    <w:p>
      <w:pPr>
        <w:spacing w:line="240" w:lineRule="auto" w:before="0"/>
        <w:rPr>
          <w:rFonts w:ascii="宋体" w:hAnsi="宋体" w:cs="宋体" w:eastAsia="宋体" w:hint="default"/>
          <w:b/>
          <w:bCs/>
          <w:sz w:val="24"/>
          <w:szCs w:val="24"/>
        </w:rPr>
      </w:pPr>
    </w:p>
    <w:p>
      <w:pPr>
        <w:pStyle w:val="BodyText"/>
        <w:spacing w:line="408" w:lineRule="auto" w:before="163"/>
        <w:ind w:left="154" w:right="1130" w:firstLine="420"/>
        <w:jc w:val="both"/>
      </w:pPr>
      <w:r>
        <w:rPr>
          <w:spacing w:val="-1"/>
        </w:rPr>
        <w:t>本公司在经营过程中面临各种金融风险，如信用风险、市场风险和流动性风险等。公司董事会全面负</w:t>
      </w:r>
      <w:r>
        <w:rPr/>
        <w:t> </w:t>
      </w:r>
      <w:r>
        <w:rPr>
          <w:spacing w:val="-1"/>
        </w:rPr>
        <w:t>责风险管理目标和政策的确定，并对风险管理目标和政策承担最终责任，但是董事会已授权本公司总经理</w:t>
      </w:r>
      <w:r>
        <w:rPr>
          <w:spacing w:val="-80"/>
        </w:rPr>
        <w:t> </w:t>
      </w:r>
      <w:r>
        <w:rPr>
          <w:spacing w:val="-80"/>
        </w:rPr>
      </w:r>
      <w:r>
        <w:rPr>
          <w:spacing w:val="-1"/>
        </w:rPr>
        <w:t>办公室设计和实施能确保风险管理目标和政策得以有效执行的程序。董事会通过总经理办公室递交的报告</w:t>
      </w:r>
      <w:r>
        <w:rPr>
          <w:spacing w:val="-81"/>
        </w:rPr>
        <w:t> </w:t>
      </w:r>
      <w:r>
        <w:rPr>
          <w:spacing w:val="-81"/>
        </w:rPr>
      </w:r>
      <w:r>
        <w:rPr>
          <w:spacing w:val="-1"/>
        </w:rPr>
        <w:t>来审查已执行程序的有效性以及风险管理目标和政策的合理性。本公司的内部审计师也会审计风险管理的</w:t>
      </w:r>
      <w:r>
        <w:rPr>
          <w:spacing w:val="-81"/>
        </w:rPr>
        <w:t> </w:t>
      </w:r>
      <w:r>
        <w:rPr>
          <w:spacing w:val="-81"/>
        </w:rPr>
      </w:r>
      <w:r>
        <w:rPr>
          <w:spacing w:val="-1"/>
        </w:rPr>
        <w:t>政策和程序，并且将有关发现汇报给审计委员会。本公司风险管理的总体目标是在不过度影响公司竞争力</w:t>
      </w:r>
      <w:r>
        <w:rPr>
          <w:spacing w:val="-81"/>
        </w:rPr>
        <w:t> </w:t>
      </w:r>
      <w:r>
        <w:rPr>
          <w:spacing w:val="-81"/>
        </w:rPr>
      </w:r>
      <w:r>
        <w:rPr/>
        <w:t>和应变力的情况下，制定尽可能降低风险的风险管理政策。</w:t>
      </w:r>
    </w:p>
    <w:p>
      <w:pPr>
        <w:pStyle w:val="BodyText"/>
        <w:spacing w:line="240" w:lineRule="auto"/>
        <w:ind w:left="574" w:right="0"/>
        <w:jc w:val="left"/>
      </w:pPr>
      <w:r>
        <w:rPr/>
        <w:t>（一）信用风险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信用风险是指金融工具的一方不履行义务，造成另一方发生财务损失的风险。本公司主要面临赊销导</w:t>
      </w:r>
      <w:r>
        <w:rPr/>
        <w:t> </w:t>
      </w: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400" w:lineRule="auto"/>
        <w:ind w:right="1117" w:firstLine="420"/>
        <w:jc w:val="left"/>
      </w:pPr>
      <w:r>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 </w:t>
      </w:r>
      <w:r>
        <w:rPr>
          <w:spacing w:val="-1"/>
        </w:rPr>
        <w:t>客户会放在受限制客户名单里，并且只有在额外批准的前提下，公司才可在未来期间内对其赊销，否则必</w:t>
      </w:r>
      <w:r>
        <w:rPr>
          <w:spacing w:val="-83"/>
        </w:rPr>
        <w:t> </w:t>
      </w:r>
      <w:r>
        <w:rPr>
          <w:spacing w:val="-83"/>
        </w:rPr>
      </w:r>
      <w:r>
        <w:rPr/>
        <w:t>须要求其提前支付相应款项。</w:t>
      </w:r>
    </w:p>
    <w:p>
      <w:pPr>
        <w:pStyle w:val="BodyText"/>
        <w:spacing w:line="408" w:lineRule="auto" w:before="52"/>
        <w:ind w:left="573" w:right="1093"/>
        <w:jc w:val="left"/>
      </w:pPr>
      <w:r>
        <w:rPr/>
        <w:t>（二）市场风险 金融工具的市场风险，是指金融工具的公允价值或未来现金流量因市场价格变动而发生波动的风险，</w:t>
      </w:r>
    </w:p>
    <w:p>
      <w:pPr>
        <w:pStyle w:val="BodyText"/>
        <w:spacing w:line="240" w:lineRule="auto"/>
        <w:ind w:right="0"/>
        <w:jc w:val="both"/>
      </w:pPr>
      <w:r>
        <w:rPr/>
        <w:t>包括汇率风险、利率风险和其他价格风险。</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pPr>
      <w:r>
        <w:rPr/>
        <w:t>（三）流动性风险 </w:t>
      </w:r>
      <w:r>
        <w:rPr>
          <w:spacing w:val="-1"/>
        </w:rPr>
        <w:t>流动风险，是指企业在履行以交付现金或其他金融资产的方式结算的义务时发生资金短缺的风险。本</w:t>
      </w:r>
    </w:p>
    <w:p>
      <w:pPr>
        <w:pStyle w:val="BodyText"/>
        <w:spacing w:line="398" w:lineRule="auto"/>
        <w:ind w:right="113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spacing w:line="240" w:lineRule="auto" w:before="4"/>
        <w:rPr>
          <w:rFonts w:ascii="宋体" w:hAnsi="宋体" w:cs="宋体" w:eastAsia="宋体" w:hint="default"/>
          <w:sz w:val="25"/>
          <w:szCs w:val="25"/>
        </w:rPr>
      </w:pPr>
    </w:p>
    <w:p>
      <w:pPr>
        <w:pStyle w:val="Heading3"/>
        <w:spacing w:line="240" w:lineRule="auto"/>
        <w:ind w:right="0"/>
        <w:jc w:val="both"/>
        <w:rPr>
          <w:b w:val="0"/>
          <w:bCs w:val="0"/>
        </w:rPr>
      </w:pPr>
      <w:bookmarkStart w:name="十、关联方及关联交易" w:id="318"/>
      <w:bookmarkEnd w:id="318"/>
      <w:r>
        <w:rPr>
          <w:b w:val="0"/>
          <w:bCs w:val="0"/>
        </w:rPr>
      </w:r>
      <w:r>
        <w:rPr/>
        <w:t>十、关联方及关联交易</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both"/>
        <w:rPr>
          <w:b w:val="0"/>
          <w:bCs w:val="0"/>
        </w:rPr>
      </w:pPr>
      <w:bookmarkStart w:name="1、本企业的母公司情况" w:id="319"/>
      <w:bookmarkEnd w:id="31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20"/>
              <w:jc w:val="left"/>
              <w:rPr>
                <w:rFonts w:ascii="宋体" w:hAnsi="宋体" w:cs="宋体" w:eastAsia="宋体" w:hint="default"/>
                <w:sz w:val="18"/>
                <w:szCs w:val="18"/>
              </w:rPr>
            </w:pPr>
            <w:r>
              <w:rPr>
                <w:rFonts w:ascii="宋体" w:hAnsi="宋体" w:cs="宋体" w:eastAsia="宋体" w:hint="default"/>
                <w:sz w:val="18"/>
                <w:szCs w:val="18"/>
              </w:rPr>
              <w:t>敦化市康平投资有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敦化市胜利南大街</w:t>
            </w: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43.17%</w:t>
            </w:r>
          </w:p>
        </w:tc>
      </w:tr>
    </w:tbl>
    <w:p>
      <w:pPr>
        <w:spacing w:line="240" w:lineRule="auto" w:before="6"/>
        <w:rPr>
          <w:rFonts w:ascii="宋体" w:hAnsi="宋体" w:cs="宋体" w:eastAsia="宋体" w:hint="default"/>
          <w:b/>
          <w:bCs/>
          <w:sz w:val="6"/>
          <w:szCs w:val="6"/>
        </w:rPr>
      </w:pPr>
    </w:p>
    <w:p>
      <w:pPr>
        <w:spacing w:line="518" w:lineRule="auto" w:before="44"/>
        <w:ind w:left="154" w:right="769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本企业最终控制方是郭春生及其家族。 其他说明：</w:t>
      </w:r>
    </w:p>
    <w:p>
      <w:pPr>
        <w:spacing w:after="0" w:line="51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本企业的子公司情况" w:id="320"/>
      <w:bookmarkEnd w:id="32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本企业子公司的情况详见附注在其他主体中的权益。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其他关联方情况" w:id="321"/>
      <w:bookmarkEnd w:id="321"/>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55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敦化市华韵工贸有限责任公司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55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仲维光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持股超过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的自然人股东</w:t>
            </w:r>
          </w:p>
        </w:tc>
      </w:tr>
    </w:tbl>
    <w:p>
      <w:pPr>
        <w:spacing w:line="240" w:lineRule="auto" w:before="6"/>
        <w:rPr>
          <w:rFonts w:ascii="宋体" w:hAnsi="宋体" w:cs="宋体" w:eastAsia="宋体" w:hint="default"/>
          <w:b/>
          <w:bCs/>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4、关联交易情况" w:id="322"/>
      <w:bookmarkEnd w:id="322"/>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关联担保情况" w:id="323"/>
      <w:bookmarkEnd w:id="323"/>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55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line="240" w:lineRule="auto" w:before="7"/>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line="240" w:lineRule="auto" w:before="5"/>
        <w:rPr>
          <w:rFonts w:ascii="宋体" w:hAnsi="宋体" w:cs="宋体" w:eastAsia="宋体" w:hint="default"/>
          <w:sz w:val="17"/>
          <w:szCs w:val="17"/>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55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8"/>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8"/>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8"/>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57"/>
              <w:jc w:val="center"/>
              <w:rPr>
                <w:rFonts w:ascii="宋体" w:hAnsi="宋体" w:cs="宋体" w:eastAsia="宋体" w:hint="default"/>
                <w:sz w:val="18"/>
                <w:szCs w:val="18"/>
              </w:rPr>
            </w:pPr>
            <w:r>
              <w:rPr>
                <w:rFonts w:ascii="宋体" w:hAnsi="宋体" w:cs="宋体" w:eastAsia="宋体" w:hint="default"/>
                <w:sz w:val="18"/>
                <w:szCs w:val="18"/>
              </w:rPr>
              <w:t>敦化市康平投资有限责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51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任公司、仲维光</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18"/>
          <w:szCs w:val="18"/>
        </w:rPr>
      </w:pPr>
    </w:p>
    <w:p>
      <w:pPr>
        <w:pStyle w:val="BodyText"/>
        <w:spacing w:line="386" w:lineRule="auto" w:before="0"/>
        <w:ind w:left="154" w:right="0"/>
        <w:jc w:val="left"/>
      </w:pPr>
      <w:r>
        <w:rPr/>
        <w:t>敦化康平投资有限责任公司以其持有本公司股权</w:t>
      </w:r>
      <w:r>
        <w:rPr>
          <w:rFonts w:ascii="Times New Roman" w:hAnsi="Times New Roman" w:cs="Times New Roman" w:eastAsia="Times New Roman" w:hint="default"/>
        </w:rPr>
        <w:t>11,448</w:t>
      </w:r>
      <w:r>
        <w:rPr/>
        <w:t>万股以及仲维光以其持有本公司股权</w:t>
      </w:r>
      <w:r>
        <w:rPr>
          <w:rFonts w:ascii="Times New Roman" w:hAnsi="Times New Roman" w:cs="Times New Roman" w:eastAsia="Times New Roman" w:hint="default"/>
        </w:rPr>
        <w:t>3,000</w:t>
      </w:r>
      <w:r>
        <w:rPr/>
        <w:t>万股为</w:t>
      </w:r>
      <w:r>
        <w:rPr>
          <w:spacing w:val="-30"/>
        </w:rPr>
        <w:t> </w:t>
      </w:r>
      <w:r>
        <w:rPr>
          <w:spacing w:val="-30"/>
        </w:rPr>
      </w:r>
      <w:r>
        <w:rPr/>
        <w:t>公司质押取得贷款</w:t>
      </w:r>
      <w:r>
        <w:rPr>
          <w:rFonts w:ascii="Times New Roman" w:hAnsi="Times New Roman" w:cs="Times New Roman" w:eastAsia="Times New Roman" w:hint="default"/>
        </w:rPr>
        <w:t>62,500</w:t>
      </w:r>
      <w:r>
        <w:rPr/>
        <w:t>万元。</w:t>
      </w:r>
    </w:p>
    <w:p>
      <w:pPr>
        <w:spacing w:line="240" w:lineRule="auto" w:before="8"/>
        <w:rPr>
          <w:rFonts w:ascii="宋体" w:hAnsi="宋体" w:cs="宋体" w:eastAsia="宋体" w:hint="default"/>
          <w:sz w:val="25"/>
          <w:szCs w:val="25"/>
        </w:rPr>
      </w:pPr>
    </w:p>
    <w:p>
      <w:pPr>
        <w:pStyle w:val="Heading4"/>
        <w:spacing w:line="240" w:lineRule="auto"/>
        <w:ind w:left="154" w:right="0"/>
        <w:jc w:val="left"/>
        <w:rPr>
          <w:b w:val="0"/>
          <w:bCs w:val="0"/>
        </w:rPr>
      </w:pPr>
      <w:bookmarkStart w:name="（2）关联方资金拆借" w:id="324"/>
      <w:bookmarkEnd w:id="324"/>
      <w:r>
        <w:rPr>
          <w:b w:val="0"/>
          <w:bCs w:val="0"/>
        </w:rPr>
      </w:r>
      <w:r>
        <w:rPr/>
        <w:t>（</w:t>
      </w:r>
      <w:r>
        <w:rPr>
          <w:rFonts w:ascii="Times New Roman" w:hAnsi="Times New Roman" w:cs="Times New Roman" w:eastAsia="Times New Roman" w:hint="default"/>
        </w:rPr>
        <w:t>2</w:t>
      </w:r>
      <w:r>
        <w:rPr/>
        <w:t>）关联方资金拆借</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55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8"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78"/>
              <w:jc w:val="left"/>
              <w:rPr>
                <w:rFonts w:ascii="宋体" w:hAnsi="宋体" w:cs="宋体" w:eastAsia="宋体" w:hint="default"/>
                <w:sz w:val="18"/>
                <w:szCs w:val="18"/>
              </w:rPr>
            </w:pPr>
            <w:r>
              <w:rPr>
                <w:rFonts w:ascii="宋体" w:hAnsi="宋体" w:cs="宋体" w:eastAsia="宋体" w:hint="default"/>
                <w:sz w:val="18"/>
                <w:szCs w:val="18"/>
              </w:rPr>
              <w:t>敦化市康平投资有限责 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35,000,000.00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55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关键管理人员报酬" w:id="325"/>
      <w:bookmarkEnd w:id="325"/>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55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1,482,771.40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1,621,168.00</w:t>
            </w:r>
          </w:p>
        </w:tc>
      </w:tr>
    </w:tbl>
    <w:p>
      <w:pPr>
        <w:spacing w:line="240" w:lineRule="auto" w:before="1"/>
        <w:rPr>
          <w:rFonts w:ascii="宋体" w:hAnsi="宋体" w:cs="宋体" w:eastAsia="宋体" w:hint="default"/>
          <w:sz w:val="25"/>
          <w:szCs w:val="25"/>
        </w:rPr>
      </w:pPr>
    </w:p>
    <w:p>
      <w:pPr>
        <w:spacing w:line="652" w:lineRule="auto" w:before="35"/>
        <w:ind w:left="154" w:right="7392" w:firstLine="0"/>
        <w:jc w:val="left"/>
        <w:rPr>
          <w:rFonts w:ascii="宋体" w:hAnsi="宋体" w:cs="宋体" w:eastAsia="宋体" w:hint="default"/>
          <w:sz w:val="21"/>
          <w:szCs w:val="21"/>
        </w:rPr>
      </w:pPr>
      <w:bookmarkStart w:name="（4）其他关联交易"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t>本公司本期不存在其他关联方交易。 </w:t>
      </w:r>
      <w:bookmarkStart w:name="5、其他" w:id="327"/>
      <w:bookmarkEnd w:id="327"/>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77"/>
        <w:ind w:left="154" w:right="0"/>
        <w:jc w:val="left"/>
      </w:pPr>
      <w:r>
        <w:rPr/>
        <w:t>除上述关联交易外，本公司本期不存在其他关联方交易。</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rPr>
          <w:b w:val="0"/>
          <w:bCs w:val="0"/>
        </w:rPr>
      </w:pPr>
      <w:bookmarkStart w:name="十一、承诺及或有事项" w:id="328"/>
      <w:bookmarkEnd w:id="328"/>
      <w:r>
        <w:rPr>
          <w:b w:val="0"/>
          <w:bCs w:val="0"/>
        </w:rPr>
      </w:r>
      <w:r>
        <w:rPr/>
        <w:t>十一、承诺及或有事项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重要承诺事项" w:id="329"/>
      <w:bookmarkEnd w:id="32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0"/>
        <w:rPr>
          <w:rFonts w:ascii="宋体" w:hAnsi="宋体" w:cs="宋体" w:eastAsia="宋体" w:hint="default"/>
          <w:sz w:val="18"/>
          <w:szCs w:val="18"/>
        </w:rPr>
      </w:pPr>
    </w:p>
    <w:p>
      <w:pPr>
        <w:pStyle w:val="BodyText"/>
        <w:spacing w:line="240" w:lineRule="auto" w:before="0"/>
        <w:ind w:right="0"/>
        <w:jc w:val="left"/>
      </w:pPr>
      <w:r>
        <w:rPr/>
        <w:t>截至本财务报表签发日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w:t>
      </w:r>
      <w:r>
        <w:rPr/>
        <w:t>，本公司无影响对本财务报表阅读和理解的重大承诺事项。</w:t>
      </w:r>
    </w:p>
    <w:p>
      <w:pPr>
        <w:spacing w:line="240" w:lineRule="auto" w:before="0"/>
        <w:rPr>
          <w:rFonts w:ascii="宋体" w:hAnsi="宋体" w:cs="宋体" w:eastAsia="宋体" w:hint="default"/>
          <w:sz w:val="22"/>
          <w:szCs w:val="22"/>
        </w:rPr>
      </w:pPr>
    </w:p>
    <w:p>
      <w:pPr>
        <w:pStyle w:val="Heading4"/>
        <w:spacing w:line="240" w:lineRule="auto" w:before="189"/>
        <w:ind w:right="0"/>
        <w:jc w:val="left"/>
        <w:rPr>
          <w:b w:val="0"/>
          <w:bCs w:val="0"/>
        </w:rPr>
      </w:pPr>
      <w:bookmarkStart w:name="2、或有事项" w:id="330"/>
      <w:bookmarkEnd w:id="33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22"/>
          <w:szCs w:val="22"/>
        </w:rPr>
      </w:pPr>
    </w:p>
    <w:p>
      <w:pPr>
        <w:spacing w:line="633" w:lineRule="auto" w:before="189"/>
        <w:ind w:left="153" w:right="1268" w:firstLine="0"/>
        <w:jc w:val="left"/>
        <w:rPr>
          <w:rFonts w:ascii="宋体" w:hAnsi="宋体" w:cs="宋体" w:eastAsia="宋体" w:hint="default"/>
          <w:sz w:val="21"/>
          <w:szCs w:val="21"/>
        </w:rPr>
      </w:pPr>
      <w:bookmarkStart w:name="（1）资产负债表日存在的重要或有事项"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截至本财务报表签发日</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，本公司无其他影响对本财务报表阅读和理解的重大或有事项。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公司没有需要披露的重要或有事项，也应予以说明" w:id="332"/>
      <w:bookmarkEnd w:id="33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line="609" w:lineRule="auto" w:before="0"/>
        <w:ind w:left="153" w:right="7333" w:firstLine="0"/>
        <w:jc w:val="left"/>
        <w:rPr>
          <w:rFonts w:ascii="宋体" w:hAnsi="宋体" w:cs="宋体" w:eastAsia="宋体" w:hint="default"/>
          <w:sz w:val="21"/>
          <w:szCs w:val="21"/>
        </w:rPr>
      </w:pPr>
      <w:bookmarkStart w:name="3、其他" w:id="333"/>
      <w:bookmarkEnd w:id="33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资产负债表日后事项" w:id="334"/>
      <w:bookmarkEnd w:id="33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335"/>
      <w:bookmarkEnd w:id="33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4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239"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48"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239"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154"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456" w:lineRule="auto" w:before="129"/>
              <w:ind w:left="16" w:right="21"/>
              <w:jc w:val="left"/>
              <w:rPr>
                <w:rFonts w:ascii="宋体" w:hAnsi="宋体" w:cs="宋体" w:eastAsia="宋体" w:hint="default"/>
                <w:sz w:val="18"/>
                <w:szCs w:val="18"/>
              </w:rPr>
            </w:pPr>
            <w:r>
              <w:rPr>
                <w:rFonts w:ascii="宋体" w:hAnsi="宋体" w:cs="宋体" w:eastAsia="宋体" w:hint="default"/>
                <w:sz w:val="18"/>
                <w:szCs w:val="18"/>
              </w:rPr>
              <w:t>根据本公司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月第五 届董事第十八次董事会决议 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年第三次临时股东大 会决议、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年董事会公告 及修改后的章程规定，本公</w:t>
            </w:r>
          </w:p>
          <w:p>
            <w:pPr>
              <w:pStyle w:val="TableParagraph"/>
              <w:spacing w:line="240" w:lineRule="auto" w:before="70"/>
              <w:ind w:left="16" w:right="0"/>
              <w:jc w:val="left"/>
              <w:rPr>
                <w:rFonts w:ascii="宋体" w:hAnsi="宋体" w:cs="宋体" w:eastAsia="宋体" w:hint="default"/>
                <w:sz w:val="18"/>
                <w:szCs w:val="18"/>
              </w:rPr>
            </w:pPr>
            <w:r>
              <w:rPr>
                <w:rFonts w:ascii="宋体" w:hAnsi="宋体" w:cs="宋体" w:eastAsia="宋体" w:hint="default"/>
                <w:sz w:val="18"/>
                <w:szCs w:val="18"/>
              </w:rPr>
              <w:t>司拟定向发行人民币普通股</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549"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019"/>
              <w:jc w:val="righ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115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478"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159,235,664</w:t>
            </w:r>
          </w:p>
        </w:tc>
        <w:tc>
          <w:tcPr>
            <w:tcW w:w="2391" w:type="dxa"/>
            <w:vMerge w:val="restart"/>
            <w:tcBorders>
              <w:top w:val="single" w:sz="4" w:space="0" w:color="000000"/>
              <w:left w:val="single" w:sz="4" w:space="0" w:color="000000"/>
              <w:right w:val="single" w:sz="4" w:space="0" w:color="000000"/>
            </w:tcBorders>
          </w:tcPr>
          <w:p>
            <w:pPr>
              <w:pStyle w:val="TableParagraph"/>
              <w:spacing w:line="6593" w:lineRule="exact"/>
              <w:ind w:right="-49"/>
              <w:jc w:val="left"/>
              <w:rPr>
                <w:rFonts w:ascii="宋体" w:hAnsi="宋体" w:cs="宋体" w:eastAsia="宋体" w:hint="default"/>
                <w:sz w:val="20"/>
                <w:szCs w:val="20"/>
              </w:rPr>
            </w:pPr>
            <w:r>
              <w:rPr>
                <w:rFonts w:ascii="宋体" w:hAnsi="宋体" w:cs="宋体" w:eastAsia="宋体" w:hint="default"/>
                <w:position w:val="-131"/>
                <w:sz w:val="20"/>
                <w:szCs w:val="20"/>
              </w:rPr>
              <w:pict>
                <v:group style="width:119pt;height:329.7pt;mso-position-horizontal-relative:char;mso-position-vertical-relative:line" coordorigin="0,0" coordsize="2380,6594">
                  <v:group style="position:absolute;left:0;top:0;width:2380;height:6594" coordorigin="0,0" coordsize="2380,6594">
                    <v:shape style="position:absolute;left:0;top:0;width:2380;height:6594" coordorigin="0,0" coordsize="2380,6594" path="m0,6593l2380,6593,2380,0,0,0,0,6593xe" filled="true" fillcolor="#ffffff" stroked="false">
                      <v:path arrowok="t"/>
                      <v:fill type="solid"/>
                    </v:shape>
                  </v:group>
                </v:group>
              </w:pict>
            </w:r>
            <w:r>
              <w:rPr>
                <w:rFonts w:ascii="宋体" w:hAnsi="宋体" w:cs="宋体" w:eastAsia="宋体" w:hint="default"/>
                <w:position w:val="-131"/>
                <w:sz w:val="20"/>
                <w:szCs w:val="20"/>
              </w:rPr>
            </w:r>
          </w:p>
        </w:tc>
        <w:tc>
          <w:tcPr>
            <w:tcW w:w="2389" w:type="dxa"/>
            <w:vMerge w:val="restart"/>
            <w:tcBorders>
              <w:top w:val="single" w:sz="4" w:space="0" w:color="000000"/>
              <w:left w:val="single" w:sz="4" w:space="0" w:color="000000"/>
              <w:right w:val="single" w:sz="4" w:space="0" w:color="000000"/>
            </w:tcBorders>
          </w:tcPr>
          <w:p>
            <w:pPr/>
          </w:p>
        </w:tc>
      </w:tr>
      <w:tr>
        <w:trPr>
          <w:trHeight w:val="46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日经中国证</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3"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券监督管理委员会《关于核</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准吉林紫鑫药业股份有限公</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司非公开发行股票的批复》</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73"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2409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宋体" w:hAnsi="宋体" w:cs="宋体" w:eastAsia="宋体" w:hint="default"/>
                <w:spacing w:val="-87"/>
                <w:sz w:val="18"/>
                <w:szCs w:val="18"/>
              </w:rPr>
              <w:t>）</w:t>
            </w:r>
            <w:r>
              <w:rPr>
                <w:rFonts w:ascii="宋体" w:hAnsi="宋体" w:cs="宋体" w:eastAsia="宋体" w:hint="default"/>
                <w:sz w:val="18"/>
                <w:szCs w:val="18"/>
              </w:rPr>
              <w:t>核</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准，截止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3"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本公司本次非公开发行普通</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73"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股）股票实际发行</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127,388,531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股，每股面值</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8"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元，每股发行价格</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12.56</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63"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元，本次发行共募集货币资</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474"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1,599,999,949.36</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508"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r>
        <w:rPr/>
        <w:pict>
          <v:shape style="position:absolute;margin-left:281.200012pt;margin-top:-346.566345pt;width:134.2pt;height:329.7pt;mso-position-horizontal-relative:page;mso-position-vertical-relative:paragraph;z-index:-1044400" type="#_x0000_t202" filled="false" stroked="false">
            <v:textbox inset="0,0,0,0">
              <w:txbxContent>
                <w:p>
                  <w:pPr>
                    <w:spacing w:before="88"/>
                    <w:ind w:left="0" w:right="0" w:firstLine="2"/>
                    <w:jc w:val="left"/>
                    <w:rPr>
                      <w:rFonts w:ascii="宋体" w:hAnsi="宋体" w:cs="宋体" w:eastAsia="宋体" w:hint="default"/>
                      <w:sz w:val="18"/>
                      <w:szCs w:val="18"/>
                    </w:rPr>
                  </w:pPr>
                  <w:r>
                    <w:rPr>
                      <w:rFonts w:ascii="宋体" w:hAnsi="宋体" w:cs="宋体" w:eastAsia="宋体" w:hint="default"/>
                      <w:sz w:val="18"/>
                      <w:szCs w:val="18"/>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w:t>
                  </w:r>
                </w:p>
              </w:txbxContent>
            </v:textbox>
            <w10:wrap type="none"/>
          </v:shape>
        </w:pict>
      </w:r>
      <w:bookmarkStart w:name="2、其他资产负债表日后事项说明" w:id="336"/>
      <w:bookmarkEnd w:id="336"/>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0"/>
        <w:jc w:val="left"/>
      </w:pPr>
      <w:r>
        <w:rPr/>
        <w:t>截至本财务报表签发日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w:t>
      </w:r>
      <w:r>
        <w:rPr/>
        <w:t>，除上述事项外，本公司无其他影响对本财务报表阅读和理解的</w:t>
      </w:r>
      <w:r>
        <w:rPr>
          <w:spacing w:val="-65"/>
        </w:rPr>
        <w:t> </w:t>
      </w:r>
      <w:r>
        <w:rPr>
          <w:spacing w:val="-65"/>
        </w:rPr>
      </w:r>
      <w:r>
        <w:rPr/>
        <w:t>资产负债表日后事项。</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十三、其他重要事项" w:id="337"/>
      <w:bookmarkEnd w:id="337"/>
      <w:r>
        <w:rPr>
          <w:b w:val="0"/>
          <w:bCs w:val="0"/>
        </w:rPr>
      </w:r>
      <w:r>
        <w:rPr/>
        <w:t>十三、其他重要事项</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前期会计差错更正" w:id="338"/>
      <w:bookmarkEnd w:id="33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追溯重述法" w:id="339"/>
      <w:bookmarkEnd w:id="33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026"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2）未来适用法" w:id="340"/>
      <w:bookmarkEnd w:id="34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55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2、债务重组" w:id="341"/>
      <w:bookmarkEnd w:id="34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3、资产置换" w:id="342"/>
      <w:bookmarkEnd w:id="34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非货币性资产交换" w:id="343"/>
      <w:bookmarkEnd w:id="34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2）其他资产置换" w:id="344"/>
      <w:bookmarkEnd w:id="34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4、年金计划" w:id="345"/>
      <w:bookmarkEnd w:id="34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5、终止经营" w:id="346"/>
      <w:bookmarkEnd w:id="34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49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6、分部信息" w:id="347"/>
      <w:bookmarkEnd w:id="34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8"/>
        <w:ind w:left="154" w:right="0"/>
        <w:jc w:val="left"/>
        <w:rPr>
          <w:b w:val="0"/>
          <w:bCs w:val="0"/>
        </w:rPr>
      </w:pPr>
      <w:bookmarkStart w:name="（1）报告分部的确定依据与会计政策" w:id="348"/>
      <w:bookmarkEnd w:id="34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2）报告分部的财务信息" w:id="349"/>
      <w:bookmarkEnd w:id="34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558"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3）公司无报告分部的，或者不能披露各报告分部的资产总额和负债总额的，应说明原因" w:id="350"/>
      <w:bookmarkEnd w:id="35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4）其他说明" w:id="351"/>
      <w:bookmarkEnd w:id="35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90"/>
        <w:ind w:right="0"/>
        <w:jc w:val="left"/>
        <w:rPr>
          <w:b w:val="0"/>
          <w:bCs w:val="0"/>
        </w:rPr>
      </w:pPr>
      <w:bookmarkStart w:name="7、其他对投资者决策有影响的重要交易和事项" w:id="352"/>
      <w:bookmarkEnd w:id="35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0"/>
        <w:rPr>
          <w:rFonts w:ascii="宋体" w:hAnsi="宋体" w:cs="宋体" w:eastAsia="宋体" w:hint="default"/>
          <w:b/>
          <w:bCs/>
          <w:sz w:val="22"/>
          <w:szCs w:val="22"/>
        </w:rPr>
      </w:pPr>
    </w:p>
    <w:p>
      <w:pPr>
        <w:spacing w:line="624" w:lineRule="auto" w:before="189"/>
        <w:ind w:left="153" w:right="1688" w:firstLine="0"/>
        <w:jc w:val="left"/>
        <w:rPr>
          <w:rFonts w:ascii="宋体" w:hAnsi="宋体" w:cs="宋体" w:eastAsia="宋体" w:hint="default"/>
          <w:sz w:val="24"/>
          <w:szCs w:val="24"/>
        </w:rPr>
      </w:pPr>
      <w:bookmarkStart w:name="8、其他" w:id="353"/>
      <w:bookmarkEnd w:id="35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截至本财务报表签发日</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，本公司无影响对本财务报表阅读和理解的其他重大事项。 </w:t>
      </w:r>
      <w:bookmarkStart w:name="十四、母公司财务报表主要项目注释" w:id="354"/>
      <w:bookmarkEnd w:id="354"/>
      <w:r>
        <w:rPr>
          <w:rFonts w:ascii="宋体" w:hAnsi="宋体" w:cs="宋体" w:eastAsia="宋体" w:hint="default"/>
          <w:sz w:val="21"/>
          <w:szCs w:val="21"/>
        </w:rPr>
      </w:r>
      <w:r>
        <w:rPr>
          <w:rFonts w:ascii="宋体" w:hAnsi="宋体" w:cs="宋体" w:eastAsia="宋体" w:hint="default"/>
          <w:b/>
          <w:bCs/>
          <w:sz w:val="24"/>
          <w:szCs w:val="24"/>
        </w:rPr>
        <w:t>十四、母公司财务报表主要项目注释</w:t>
      </w:r>
      <w:r>
        <w:rPr>
          <w:rFonts w:ascii="宋体" w:hAnsi="宋体" w:cs="宋体" w:eastAsia="宋体" w:hint="default"/>
          <w:sz w:val="24"/>
          <w:szCs w:val="24"/>
        </w:rPr>
      </w:r>
    </w:p>
    <w:p>
      <w:pPr>
        <w:pStyle w:val="Heading4"/>
        <w:spacing w:line="240" w:lineRule="auto" w:before="93"/>
        <w:ind w:right="0"/>
        <w:jc w:val="left"/>
        <w:rPr>
          <w:b w:val="0"/>
          <w:bCs w:val="0"/>
        </w:rPr>
      </w:pPr>
      <w:bookmarkStart w:name="1、应收账款" w:id="355"/>
      <w:bookmarkEnd w:id="35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应收账款分类披露" w:id="356"/>
      <w:bookmarkEnd w:id="35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559"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39"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7"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30"/>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2"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78"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139,656,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652.74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22.57%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8,885,02</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130,771,6</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28.32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120,299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,395.77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7,511,901</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112,787,49</w:t>
            </w: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4.64</w:t>
            </w: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30"/>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479,000,</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2" w:right="0"/>
              <w:jc w:val="center"/>
              <w:rPr>
                <w:rFonts w:ascii="Times New Roman" w:hAnsi="Times New Roman" w:cs="Times New Roman" w:eastAsia="Times New Roman" w:hint="default"/>
                <w:sz w:val="18"/>
                <w:szCs w:val="18"/>
              </w:rPr>
            </w:pPr>
            <w:r>
              <w:rPr>
                <w:rFonts w:ascii="Times New Roman"/>
                <w:sz w:val="18"/>
              </w:rPr>
              <w:t>194.01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77.43%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15,989,4</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92.47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463,010,7</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01.54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448,154</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11,398,34</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0.33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436,755,97</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0.54</w:t>
            </w:r>
          </w:p>
        </w:tc>
      </w:tr>
      <w:tr>
        <w:trPr>
          <w:trHeight w:val="559"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618,656,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24,874,5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593,782,3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568,453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18,910,24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549,543,46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51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5" w:right="0"/>
              <w:jc w:val="left"/>
              <w:rPr>
                <w:rFonts w:ascii="Times New Roman" w:hAnsi="Times New Roman" w:cs="Times New Roman" w:eastAsia="Times New Roman" w:hint="default"/>
                <w:sz w:val="18"/>
                <w:szCs w:val="18"/>
              </w:rPr>
            </w:pPr>
            <w:r>
              <w:rPr>
                <w:rFonts w:ascii="Times New Roman"/>
                <w:sz w:val="18"/>
              </w:rPr>
              <w:t>846.75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23" w:right="0"/>
              <w:jc w:val="left"/>
              <w:rPr>
                <w:rFonts w:ascii="Times New Roman" w:hAnsi="Times New Roman" w:cs="Times New Roman" w:eastAsia="Times New Roman" w:hint="default"/>
                <w:sz w:val="18"/>
                <w:szCs w:val="18"/>
              </w:rPr>
            </w:pPr>
            <w:r>
              <w:rPr>
                <w:rFonts w:ascii="Times New Roman"/>
                <w:sz w:val="18"/>
              </w:rPr>
              <w:t>16.89</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2" w:right="0"/>
              <w:jc w:val="left"/>
              <w:rPr>
                <w:rFonts w:ascii="Times New Roman" w:hAnsi="Times New Roman" w:cs="Times New Roman" w:eastAsia="Times New Roman" w:hint="default"/>
                <w:sz w:val="18"/>
                <w:szCs w:val="18"/>
              </w:rPr>
            </w:pPr>
            <w:r>
              <w:rPr>
                <w:rFonts w:ascii="Times New Roman"/>
                <w:sz w:val="18"/>
              </w:rPr>
              <w:t>29.86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0" w:right="0"/>
              <w:jc w:val="left"/>
              <w:rPr>
                <w:rFonts w:ascii="Times New Roman" w:hAnsi="Times New Roman" w:cs="Times New Roman" w:eastAsia="Times New Roman" w:hint="default"/>
                <w:sz w:val="18"/>
                <w:szCs w:val="18"/>
              </w:rPr>
            </w:pPr>
            <w:r>
              <w:rPr>
                <w:rFonts w:ascii="Times New Roman"/>
                <w:sz w:val="18"/>
              </w:rPr>
              <w:t>,706.64</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66" w:right="0"/>
              <w:jc w:val="left"/>
              <w:rPr>
                <w:rFonts w:ascii="Times New Roman" w:hAnsi="Times New Roman" w:cs="Times New Roman" w:eastAsia="Times New Roman" w:hint="default"/>
                <w:sz w:val="18"/>
                <w:szCs w:val="18"/>
              </w:rPr>
            </w:pPr>
            <w:r>
              <w:rPr>
                <w:rFonts w:ascii="Times New Roman"/>
                <w:sz w:val="18"/>
              </w:rPr>
              <w:t>1.46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84" w:right="0"/>
              <w:jc w:val="left"/>
              <w:rPr>
                <w:rFonts w:ascii="Times New Roman" w:hAnsi="Times New Roman" w:cs="Times New Roman" w:eastAsia="Times New Roman" w:hint="default"/>
                <w:sz w:val="18"/>
                <w:szCs w:val="18"/>
              </w:rPr>
            </w:pPr>
            <w:r>
              <w:rPr>
                <w:rFonts w:ascii="Times New Roman"/>
                <w:sz w:val="18"/>
              </w:rPr>
              <w:t>5.18</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12"/>
        <w:rPr>
          <w:rFonts w:ascii="宋体" w:hAnsi="宋体" w:cs="宋体" w:eastAsia="宋体" w:hint="default"/>
          <w:sz w:val="20"/>
          <w:szCs w:val="20"/>
        </w:rPr>
      </w:pPr>
    </w:p>
    <w:p>
      <w:pPr>
        <w:spacing w:line="489"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8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84"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69"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78"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89"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553"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291,260,550.21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11,815,245.17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40,985,096.99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2,701,912.66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6.59%</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253,032,715.64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1,903,631.00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15,599,271.12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3,119,854.22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17,778,662.79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5,333,598.84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618,656,846.75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24,874,516.89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w:t>
            </w:r>
          </w:p>
        </w:tc>
      </w:tr>
    </w:tbl>
    <w:p>
      <w:pPr>
        <w:spacing w:line="240" w:lineRule="auto" w:before="6"/>
        <w:rPr>
          <w:rFonts w:ascii="宋体" w:hAnsi="宋体" w:cs="宋体" w:eastAsia="宋体" w:hint="default"/>
          <w:sz w:val="6"/>
          <w:szCs w:val="6"/>
        </w:rPr>
      </w:pPr>
    </w:p>
    <w:p>
      <w:pPr>
        <w:spacing w:line="518" w:lineRule="auto" w:before="44"/>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489" w:lineRule="auto" w:before="63"/>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按欠款方归集的期末余额前五名的应收账款情况" w:id="357"/>
      <w:bookmarkEnd w:id="357"/>
      <w:r>
        <w:rPr>
          <w:b w:val="0"/>
          <w:bCs w:val="0"/>
        </w:rPr>
      </w: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0"/>
        <w:jc w:val="left"/>
      </w:pPr>
      <w:r>
        <w:rPr>
          <w:spacing w:val="-2"/>
        </w:rPr>
        <w:t>按欠款方集中度归集的期末余额前五名应收账款汇总金额</w:t>
      </w:r>
      <w:r>
        <w:rPr>
          <w:rFonts w:ascii="Times New Roman" w:hAnsi="Times New Roman" w:cs="Times New Roman" w:eastAsia="Times New Roman" w:hint="default"/>
          <w:spacing w:val="-2"/>
        </w:rPr>
        <w:t>420,611,219.08</w:t>
      </w:r>
      <w:r>
        <w:rPr>
          <w:spacing w:val="-2"/>
        </w:rPr>
        <w:t>元，占应收账款期末余额合计数的</w:t>
      </w:r>
      <w:r>
        <w:rPr>
          <w:spacing w:val="-73"/>
        </w:rPr>
        <w:t> </w:t>
      </w:r>
      <w:r>
        <w:rPr>
          <w:spacing w:val="-73"/>
        </w:rPr>
      </w:r>
      <w:r>
        <w:rPr/>
        <w:t>比例</w:t>
      </w:r>
      <w:r>
        <w:rPr>
          <w:rFonts w:ascii="Times New Roman" w:hAnsi="Times New Roman" w:cs="Times New Roman" w:eastAsia="Times New Roman" w:hint="default"/>
        </w:rPr>
        <w:t>67.99%</w:t>
      </w:r>
      <w:r>
        <w:rPr/>
        <w:t>，相应计提的坏账准备期末余额汇总金额</w:t>
      </w:r>
      <w:r>
        <w:rPr>
          <w:rFonts w:ascii="Times New Roman" w:hAnsi="Times New Roman" w:cs="Times New Roman" w:eastAsia="Times New Roman" w:hint="default"/>
        </w:rPr>
        <w:t>5,240,829.72</w:t>
      </w:r>
      <w:r>
        <w:rPr/>
        <w:t>元。</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633" w:lineRule="auto" w:before="174"/>
        <w:ind w:left="153" w:right="4873" w:firstLine="0"/>
        <w:jc w:val="left"/>
        <w:rPr>
          <w:rFonts w:ascii="宋体" w:hAnsi="宋体" w:cs="宋体" w:eastAsia="宋体" w:hint="default"/>
          <w:sz w:val="21"/>
          <w:szCs w:val="21"/>
        </w:rPr>
      </w:pPr>
      <w:bookmarkStart w:name="（3）因金融资产转移而终止确认的应收账款"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t>本公司本期不存在因金融资产转移而终止确认的应收款项情况。</w:t>
      </w:r>
    </w:p>
    <w:p>
      <w:pPr>
        <w:pStyle w:val="Heading4"/>
        <w:spacing w:line="240" w:lineRule="auto" w:before="149"/>
        <w:ind w:right="0"/>
        <w:jc w:val="left"/>
        <w:rPr>
          <w:b w:val="0"/>
          <w:bCs w:val="0"/>
        </w:rPr>
      </w:pPr>
      <w:bookmarkStart w:name="（4）转移应收账款且继续涉入形成的资产、负债金额" w:id="359"/>
      <w:bookmarkEnd w:id="359"/>
      <w:r>
        <w:rPr>
          <w:b w:val="0"/>
          <w:bCs w:val="0"/>
        </w:rPr>
      </w:r>
      <w:r>
        <w:rPr/>
        <w:t>（</w:t>
      </w:r>
      <w:r>
        <w:rPr>
          <w:rFonts w:ascii="Times New Roman" w:hAnsi="Times New Roman" w:cs="Times New Roman" w:eastAsia="Times New Roman" w:hint="default"/>
        </w:rPr>
        <w:t>4</w:t>
      </w:r>
      <w:r>
        <w:rPr/>
        <w:t>）转移应收账款且继续涉入形成的资产、负债金额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8"/>
          <w:szCs w:val="18"/>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）应收账款期末余额中无持有本公司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以上表决权股份的股东单位的欠款。</w:t>
      </w:r>
    </w:p>
    <w:p>
      <w:pPr>
        <w:pStyle w:val="BodyText"/>
        <w:spacing w:line="240" w:lineRule="auto" w:before="177"/>
        <w:ind w:left="574" w:right="0"/>
        <w:jc w:val="left"/>
      </w:pPr>
      <w:r>
        <w:rPr/>
        <w:t>（</w:t>
      </w:r>
      <w:r>
        <w:rPr>
          <w:rFonts w:ascii="Times New Roman" w:hAnsi="Times New Roman" w:cs="Times New Roman" w:eastAsia="Times New Roman" w:hint="default"/>
        </w:rPr>
        <w:t>2</w:t>
      </w:r>
      <w:r>
        <w:rPr/>
        <w:t>）应收关联方账款情况</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120"/>
        <w:gridCol w:w="1380"/>
        <w:gridCol w:w="1620"/>
        <w:gridCol w:w="1506"/>
        <w:gridCol w:w="1800"/>
      </w:tblGrid>
      <w:tr>
        <w:trPr>
          <w:trHeight w:val="979" w:hRule="exact"/>
        </w:trPr>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80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7"/>
              <w:jc w:val="center"/>
              <w:rPr>
                <w:rFonts w:ascii="宋体" w:hAnsi="宋体" w:cs="宋体" w:eastAsia="宋体" w:hint="default"/>
                <w:sz w:val="18"/>
                <w:szCs w:val="18"/>
              </w:rPr>
            </w:pPr>
            <w:r>
              <w:rPr>
                <w:rFonts w:ascii="宋体" w:hAnsi="宋体" w:cs="宋体" w:eastAsia="宋体" w:hint="default"/>
                <w:sz w:val="18"/>
                <w:szCs w:val="18"/>
              </w:rPr>
              <w:t>占应收账款总额的比</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r>
      <w:tr>
        <w:trPr>
          <w:trHeight w:val="977"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234,206,670.70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85" w:right="0"/>
              <w:jc w:val="left"/>
              <w:rPr>
                <w:rFonts w:ascii="宋体" w:hAnsi="宋体" w:cs="宋体" w:eastAsia="宋体" w:hint="default"/>
                <w:sz w:val="18"/>
                <w:szCs w:val="18"/>
              </w:rPr>
            </w:pPr>
            <w:r>
              <w:rPr>
                <w:rFonts w:ascii="宋体" w:hAnsi="宋体" w:cs="宋体" w:eastAsia="宋体" w:hint="default"/>
                <w:sz w:val="18"/>
                <w:szCs w:val="18"/>
              </w:rPr>
              <w:t>一至二年</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37.86%</w:t>
            </w:r>
          </w:p>
        </w:tc>
      </w:tr>
      <w:tr>
        <w:trPr>
          <w:trHeight w:val="976"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101,184,586.10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85" w:right="0"/>
              <w:jc w:val="left"/>
              <w:rPr>
                <w:rFonts w:ascii="宋体" w:hAnsi="宋体" w:cs="宋体" w:eastAsia="宋体" w:hint="default"/>
                <w:sz w:val="18"/>
                <w:szCs w:val="18"/>
              </w:rPr>
            </w:pPr>
            <w:r>
              <w:rPr>
                <w:rFonts w:ascii="宋体" w:hAnsi="宋体" w:cs="宋体" w:eastAsia="宋体" w:hint="default"/>
                <w:sz w:val="18"/>
                <w:szCs w:val="18"/>
              </w:rPr>
              <w:t>一年以内</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16.36%</w:t>
            </w:r>
          </w:p>
        </w:tc>
      </w:tr>
      <w:tr>
        <w:trPr>
          <w:trHeight w:val="508"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吉林紫鑫禺拙药业有限公司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97,936.55</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0.02%</w:t>
            </w:r>
          </w:p>
        </w:tc>
      </w:tr>
      <w:tr>
        <w:trPr>
          <w:trHeight w:val="509"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51,408.20</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0.01%</w:t>
            </w:r>
          </w:p>
        </w:tc>
      </w:tr>
      <w:tr>
        <w:trPr>
          <w:trHeight w:val="508"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6,790.17</w:t>
            </w:r>
          </w:p>
        </w:tc>
        <w:tc>
          <w:tcPr>
            <w:tcW w:w="15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0.00%</w:t>
            </w:r>
          </w:p>
        </w:tc>
      </w:tr>
      <w:tr>
        <w:trPr>
          <w:trHeight w:val="508" w:hRule="exact"/>
        </w:trPr>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80" w:type="dxa"/>
            <w:tcBorders>
              <w:top w:val="single" w:sz="12" w:space="0" w:color="000000"/>
              <w:left w:val="single" w:sz="6" w:space="0" w:color="000000"/>
              <w:bottom w:val="single" w:sz="12" w:space="0" w:color="000000"/>
              <w:right w:val="single" w:sz="6" w:space="0" w:color="000000"/>
            </w:tcBorders>
          </w:tcPr>
          <w:p>
            <w:pP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335,547,391.72</w:t>
            </w:r>
          </w:p>
        </w:tc>
        <w:tc>
          <w:tcPr>
            <w:tcW w:w="1506" w:type="dxa"/>
            <w:tcBorders>
              <w:top w:val="single" w:sz="12" w:space="0" w:color="000000"/>
              <w:left w:val="single" w:sz="6" w:space="0" w:color="000000"/>
              <w:bottom w:val="single" w:sz="12" w:space="0" w:color="000000"/>
              <w:right w:val="single" w:sz="6" w:space="0" w:color="000000"/>
            </w:tcBorders>
          </w:tcPr>
          <w:p>
            <w:pPr/>
          </w:p>
        </w:tc>
        <w:tc>
          <w:tcPr>
            <w:tcW w:w="180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54.25%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5"/>
        <w:ind w:left="574" w:right="0"/>
        <w:jc w:val="left"/>
      </w:pPr>
      <w:r>
        <w:rPr/>
        <w:t>（</w:t>
      </w:r>
      <w:r>
        <w:rPr>
          <w:rFonts w:ascii="Times New Roman" w:hAnsi="Times New Roman" w:cs="Times New Roman" w:eastAsia="Times New Roman" w:hint="default"/>
        </w:rPr>
        <w:t>4</w:t>
      </w:r>
      <w:r>
        <w:rPr/>
        <w:t>）本公司本期不存在未全部终止确认的被转移的应收账款情况。</w:t>
      </w:r>
    </w:p>
    <w:p>
      <w:pPr>
        <w:pStyle w:val="BodyText"/>
        <w:spacing w:line="240" w:lineRule="auto" w:before="177"/>
        <w:ind w:left="573" w:right="0"/>
        <w:jc w:val="left"/>
      </w:pPr>
      <w:r>
        <w:rPr/>
        <w:t>（</w:t>
      </w:r>
      <w:r>
        <w:rPr>
          <w:rFonts w:ascii="Times New Roman" w:hAnsi="Times New Roman" w:cs="Times New Roman" w:eastAsia="Times New Roman" w:hint="default"/>
        </w:rPr>
        <w:t>5</w:t>
      </w:r>
      <w:r>
        <w:rPr/>
        <w:t>）本公司本期不存在以应收款项为标的进行证券化的情况。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2、其他应收款" w:id="360"/>
      <w:bookmarkEnd w:id="36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right="0"/>
        <w:jc w:val="left"/>
        <w:rPr>
          <w:b w:val="0"/>
          <w:bCs w:val="0"/>
        </w:rPr>
      </w:pPr>
      <w:bookmarkStart w:name="（1）其他应收款分类披露" w:id="361"/>
      <w:bookmarkEnd w:id="36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55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4"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4"/>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19"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36"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477" w:lineRule="auto" w:before="1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2"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8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239"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3,479,00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8.39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208,740.</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3,270,267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47,513,</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957.10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2,900,671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44,613,285.</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96</w:t>
            </w: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494"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1,121,76</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2,554.99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3,562,94</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7.87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1,118,199</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,607.12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551,302</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,794.76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1,163,421</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550,139,37</w:t>
            </w: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3.74</w:t>
            </w:r>
          </w:p>
        </w:tc>
      </w:tr>
      <w:tr>
        <w:trPr>
          <w:trHeight w:val="239"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1,125,24</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1,563.38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3,771,68</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13" w:right="0"/>
              <w:jc w:val="left"/>
              <w:rPr>
                <w:rFonts w:ascii="Times New Roman" w:hAnsi="Times New Roman" w:cs="Times New Roman" w:eastAsia="Times New Roman" w:hint="default"/>
                <w:sz w:val="18"/>
                <w:szCs w:val="18"/>
              </w:rPr>
            </w:pPr>
            <w:r>
              <w:rPr>
                <w:rFonts w:ascii="Times New Roman"/>
                <w:sz w:val="18"/>
              </w:rPr>
              <w:t>8.37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1,121,469</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,875.01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598,816</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,751.86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4,064,092</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594,752,65</w:t>
            </w: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9.70</w:t>
            </w:r>
          </w:p>
        </w:tc>
      </w:tr>
      <w:tr>
        <w:trPr>
          <w:trHeight w:val="549"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239"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240" w:lineRule="auto" w:before="12"/>
        <w:rPr>
          <w:rFonts w:ascii="宋体" w:hAnsi="宋体" w:cs="宋体" w:eastAsia="宋体" w:hint="default"/>
          <w:sz w:val="20"/>
          <w:szCs w:val="20"/>
        </w:rPr>
      </w:pPr>
    </w:p>
    <w:p>
      <w:pPr>
        <w:spacing w:line="489"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8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84"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4"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74"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89"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55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720,579,504.92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2,473,549.62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267,122,696.28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1,037,123.05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0.39%</w:t>
            </w:r>
          </w:p>
        </w:tc>
      </w:tr>
      <w:tr>
        <w:trPr>
          <w:trHeight w:val="559"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137,023,545.86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3,107.54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515,816.32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257,908.16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r>
      <w:tr>
        <w:trPr>
          <w:trHeight w:val="558"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1,125,241,563.38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3,771,688.37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7"/>
        <w:rPr>
          <w:rFonts w:ascii="宋体" w:hAnsi="宋体" w:cs="宋体" w:eastAsia="宋体" w:hint="default"/>
          <w:sz w:val="6"/>
          <w:szCs w:val="6"/>
        </w:rPr>
      </w:pPr>
    </w:p>
    <w:p>
      <w:pPr>
        <w:spacing w:line="518" w:lineRule="auto" w:before="44"/>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489" w:lineRule="auto" w:before="6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8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其他应收款按款项性质分类情况" w:id="362"/>
      <w:bookmarkEnd w:id="362"/>
      <w:r>
        <w:rPr>
          <w:b w:val="0"/>
          <w:bCs w:val="0"/>
        </w:rPr>
      </w:r>
      <w:r>
        <w:rPr/>
        <w:t>（</w:t>
      </w:r>
      <w:r>
        <w:rPr>
          <w:rFonts w:ascii="Times New Roman" w:hAnsi="Times New Roman" w:cs="Times New Roman" w:eastAsia="Times New Roman" w:hint="default"/>
        </w:rPr>
        <w:t>2</w:t>
      </w:r>
      <w:r>
        <w:rPr/>
        <w:t>）其他应收款按款项性质分类情况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557"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558"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1,125,241,563.38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598,816,751.86</w:t>
            </w:r>
          </w:p>
        </w:tc>
      </w:tr>
      <w:tr>
        <w:trPr>
          <w:trHeight w:val="559"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1,125,241,563.38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598,816,751.86</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3）按欠款方归集的期末余额前五名的其他应收款情况" w:id="363"/>
      <w:bookmarkEnd w:id="363"/>
      <w:r>
        <w:rPr>
          <w:b w:val="0"/>
          <w:bCs w:val="0"/>
        </w:rPr>
      </w:r>
      <w:r>
        <w:rPr/>
        <w:t>（</w:t>
      </w:r>
      <w:r>
        <w:rPr>
          <w:rFonts w:ascii="Times New Roman" w:hAnsi="Times New Roman" w:cs="Times New Roman" w:eastAsia="Times New Roman" w:hint="default"/>
        </w:rPr>
        <w:t>3</w:t>
      </w:r>
      <w:r>
        <w:rPr/>
        <w:t>）按欠款方归集的期末余额前五名的其他应收款情况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吉林紫鑫红石种养殖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621,480,385.81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吉林中科紫鑫科技有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243,855,600.00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吉林紫鑫初元药业有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115,482,981.49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吉林紫鑫般若药业有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70,249,657.06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吉林紫鑫敦化医药药 材有限公司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19,436,182.08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1,070,504,806.44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95.13%</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spacing w:line="633" w:lineRule="auto" w:before="35"/>
        <w:ind w:left="154" w:right="4872" w:firstLine="0"/>
        <w:jc w:val="left"/>
        <w:rPr>
          <w:rFonts w:ascii="宋体" w:hAnsi="宋体" w:cs="宋体" w:eastAsia="宋体" w:hint="default"/>
          <w:sz w:val="21"/>
          <w:szCs w:val="21"/>
        </w:rPr>
      </w:pPr>
      <w:bookmarkStart w:name="（4）因金融资产转移而终止确认的其他应收款"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本公司本期不存在因金融资产转移而终止确认的应收款项情况。</w:t>
      </w:r>
    </w:p>
    <w:p>
      <w:pPr>
        <w:pStyle w:val="Heading4"/>
        <w:spacing w:line="240" w:lineRule="auto" w:before="148"/>
        <w:ind w:right="0"/>
        <w:jc w:val="left"/>
        <w:rPr>
          <w:b w:val="0"/>
          <w:bCs w:val="0"/>
        </w:rPr>
      </w:pPr>
      <w:bookmarkStart w:name="（5）转移其他应收款且继续涉入形成的资产、负债金额" w:id="365"/>
      <w:bookmarkEnd w:id="365"/>
      <w:r>
        <w:rPr>
          <w:b w:val="0"/>
          <w:bCs w:val="0"/>
        </w:rPr>
      </w:r>
      <w:r>
        <w:rPr/>
        <w:t>（</w:t>
      </w: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24"/>
          <w:szCs w:val="2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）其他应收款期末余额中无持有本公司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以上表决权股份的股东单位欠款情况。</w:t>
      </w:r>
    </w:p>
    <w:p>
      <w:pPr>
        <w:pStyle w:val="BodyText"/>
        <w:spacing w:line="240" w:lineRule="auto" w:before="176"/>
        <w:ind w:left="573" w:right="0"/>
        <w:jc w:val="left"/>
      </w:pPr>
      <w:r>
        <w:rPr/>
        <w:t>（</w:t>
      </w:r>
      <w:r>
        <w:rPr>
          <w:rFonts w:ascii="Times New Roman" w:hAnsi="Times New Roman" w:cs="Times New Roman" w:eastAsia="Times New Roman" w:hint="default"/>
        </w:rPr>
        <w:t>2</w:t>
      </w:r>
      <w:r>
        <w:rPr/>
        <w:t>）应收关联方欠款情况</w:t>
      </w:r>
    </w:p>
    <w:p>
      <w:pPr>
        <w:spacing w:line="240" w:lineRule="auto" w:before="9"/>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3240"/>
        <w:gridCol w:w="1440"/>
        <w:gridCol w:w="1800"/>
        <w:gridCol w:w="1535"/>
        <w:gridCol w:w="1580"/>
      </w:tblGrid>
      <w:tr>
        <w:trPr>
          <w:trHeight w:val="979" w:hRule="exact"/>
        </w:trPr>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5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6"/>
              <w:jc w:val="center"/>
              <w:rPr>
                <w:rFonts w:ascii="宋体" w:hAnsi="宋体" w:cs="宋体" w:eastAsia="宋体" w:hint="default"/>
                <w:sz w:val="18"/>
                <w:szCs w:val="18"/>
              </w:rPr>
            </w:pPr>
            <w:r>
              <w:rPr>
                <w:rFonts w:ascii="宋体" w:hAnsi="宋体" w:cs="宋体" w:eastAsia="宋体" w:hint="default"/>
                <w:sz w:val="18"/>
                <w:szCs w:val="18"/>
              </w:rPr>
              <w:t>占其他应收款总额</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621,480,385.81</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55.23%</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吉林中科紫鑫科技有限公司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243,855,600.00</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21.67%</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115,482,981.49</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10.26%</w:t>
            </w:r>
          </w:p>
        </w:tc>
      </w:tr>
      <w:tr>
        <w:trPr>
          <w:trHeight w:val="509"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70,249,657.06</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6.24%</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吉林紫鑫敦化医药药材有限公司</w:t>
            </w:r>
          </w:p>
        </w:tc>
        <w:tc>
          <w:tcPr>
            <w:tcW w:w="14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19,436,182.08</w:t>
            </w:r>
          </w:p>
        </w:tc>
        <w:tc>
          <w:tcPr>
            <w:tcW w:w="15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1.73%</w:t>
            </w:r>
          </w:p>
        </w:tc>
      </w:tr>
      <w:tr>
        <w:trPr>
          <w:trHeight w:val="508" w:hRule="exact"/>
        </w:trPr>
        <w:tc>
          <w:tcPr>
            <w:tcW w:w="3240" w:type="dxa"/>
            <w:tcBorders>
              <w:top w:val="single" w:sz="12"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12" w:space="0" w:color="000000"/>
              <w:left w:val="single" w:sz="6" w:space="0" w:color="000000"/>
              <w:bottom w:val="single" w:sz="12" w:space="0" w:color="000000"/>
              <w:right w:val="single" w:sz="6" w:space="0" w:color="000000"/>
            </w:tcBorders>
          </w:tcPr>
          <w:p>
            <w:pP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2"/>
              <w:jc w:val="right"/>
              <w:rPr>
                <w:rFonts w:ascii="Times New Roman" w:hAnsi="Times New Roman" w:cs="Times New Roman" w:eastAsia="Times New Roman" w:hint="default"/>
                <w:sz w:val="18"/>
                <w:szCs w:val="18"/>
              </w:rPr>
            </w:pPr>
            <w:r>
              <w:rPr>
                <w:rFonts w:ascii="Times New Roman"/>
                <w:spacing w:val="-1"/>
                <w:sz w:val="18"/>
              </w:rPr>
              <w:t>1,070,504,806.44</w:t>
            </w:r>
          </w:p>
        </w:tc>
        <w:tc>
          <w:tcPr>
            <w:tcW w:w="1535" w:type="dxa"/>
            <w:tcBorders>
              <w:top w:val="single" w:sz="12" w:space="0" w:color="000000"/>
              <w:left w:val="single" w:sz="6" w:space="0" w:color="000000"/>
              <w:bottom w:val="single" w:sz="12" w:space="0" w:color="000000"/>
              <w:right w:val="single" w:sz="6" w:space="0" w:color="000000"/>
            </w:tcBorders>
          </w:tcPr>
          <w:p>
            <w:pPr/>
          </w:p>
        </w:tc>
        <w:tc>
          <w:tcPr>
            <w:tcW w:w="158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6"/>
              <w:jc w:val="right"/>
              <w:rPr>
                <w:rFonts w:ascii="Times New Roman" w:hAnsi="Times New Roman" w:cs="Times New Roman" w:eastAsia="Times New Roman" w:hint="default"/>
                <w:sz w:val="18"/>
                <w:szCs w:val="18"/>
              </w:rPr>
            </w:pPr>
            <w:r>
              <w:rPr>
                <w:rFonts w:ascii="Times New Roman"/>
                <w:sz w:val="18"/>
              </w:rPr>
              <w:t>95.13%</w:t>
            </w:r>
          </w:p>
        </w:tc>
      </w:tr>
    </w:tbl>
    <w:p>
      <w:pPr>
        <w:pStyle w:val="BodyText"/>
        <w:spacing w:line="240" w:lineRule="auto" w:before="63"/>
        <w:ind w:left="574" w:right="0"/>
        <w:jc w:val="left"/>
      </w:pPr>
      <w:r>
        <w:rPr/>
        <w:t>（</w:t>
      </w:r>
      <w:r>
        <w:rPr>
          <w:rFonts w:ascii="Times New Roman" w:hAnsi="Times New Roman" w:cs="Times New Roman" w:eastAsia="Times New Roman" w:hint="default"/>
        </w:rPr>
        <w:t>3</w:t>
      </w:r>
      <w:r>
        <w:rPr/>
        <w:t>）本公司本期不存在未全部终止确认的被转移的应收款项情况。</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bookmarkStart w:name="3、长期股权投资" w:id="366"/>
      <w:bookmarkEnd w:id="36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55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1,173,687,641.41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1,173,687,641.41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1,173,687,641.41</w:t>
            </w:r>
          </w:p>
        </w:tc>
      </w:tr>
      <w:tr>
        <w:trPr>
          <w:trHeight w:val="55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1,173,687,641.41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1,173,687,641.41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1,173,687,641.41</w:t>
            </w:r>
          </w:p>
        </w:tc>
      </w:tr>
    </w:tbl>
    <w:p>
      <w:pPr>
        <w:spacing w:line="240" w:lineRule="auto" w:before="1"/>
        <w:rPr>
          <w:rFonts w:ascii="宋体" w:hAnsi="宋体" w:cs="宋体" w:eastAsia="宋体" w:hint="default"/>
          <w:sz w:val="25"/>
          <w:szCs w:val="25"/>
        </w:rPr>
      </w:pPr>
    </w:p>
    <w:p>
      <w:pPr>
        <w:pStyle w:val="Heading4"/>
        <w:spacing w:line="240" w:lineRule="auto" w:before="35"/>
        <w:ind w:left="154" w:right="0"/>
        <w:jc w:val="left"/>
        <w:rPr>
          <w:b w:val="0"/>
          <w:bCs w:val="0"/>
        </w:rPr>
      </w:pPr>
      <w:bookmarkStart w:name="（1）对子公司投资" w:id="367"/>
      <w:bookmarkEnd w:id="36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1026"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吉林紫鑫般若药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159,890,000.00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吉林紫鑫初元药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吉林草还丹药业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293,337,641.41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293,337,641.41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吉林紫鑫禺拙药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299,540,000.00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299,540,000.00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吉林紫鑫敦化医 药药材有限公司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吉林紫鑫红石种 养殖有限公司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吉林紫鑫人参销 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吉林紫鑫药物研 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吉林紫鑫人参研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吉林中科紫鑫科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8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51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153"/>
              <w:jc w:val="left"/>
              <w:rPr>
                <w:rFonts w:ascii="宋体" w:hAnsi="宋体" w:cs="宋体" w:eastAsia="宋体" w:hint="default"/>
                <w:sz w:val="18"/>
                <w:szCs w:val="18"/>
              </w:rPr>
            </w:pPr>
            <w:r>
              <w:rPr>
                <w:rFonts w:ascii="宋体" w:hAnsi="宋体" w:cs="宋体" w:eastAsia="宋体" w:hint="default"/>
                <w:sz w:val="18"/>
                <w:szCs w:val="18"/>
              </w:rPr>
              <w:t>北方环境能源交 易所有限公司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1,173,687,641.41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1,173,687,641.41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5"/>
          <w:szCs w:val="25"/>
        </w:rPr>
      </w:pPr>
    </w:p>
    <w:p>
      <w:pPr>
        <w:pStyle w:val="Heading4"/>
        <w:spacing w:line="240" w:lineRule="auto" w:before="35"/>
        <w:ind w:left="834" w:right="0"/>
        <w:jc w:val="left"/>
        <w:rPr>
          <w:b w:val="0"/>
          <w:bCs w:val="0"/>
        </w:rPr>
      </w:pPr>
      <w:bookmarkStart w:name="4、营业收入和营业成本" w:id="368"/>
      <w:bookmarkEnd w:id="36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8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84"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74"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74"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83"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392,273,925.06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90,966,266.30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497,617,630.37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216,194,213.18</w:t>
            </w:r>
          </w:p>
        </w:tc>
      </w:tr>
      <w:tr>
        <w:trPr>
          <w:trHeight w:val="55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125,471.61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125,471.61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210,858.35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210,858.35</w:t>
            </w:r>
          </w:p>
        </w:tc>
      </w:tr>
      <w:tr>
        <w:trPr>
          <w:trHeight w:val="559"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392,399,396.67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91,091,737.91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497,828,488.72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216,405,071.53</w:t>
            </w:r>
          </w:p>
        </w:tc>
      </w:tr>
    </w:tbl>
    <w:p>
      <w:pPr>
        <w:spacing w:line="240" w:lineRule="auto" w:before="6"/>
        <w:rPr>
          <w:rFonts w:ascii="宋体" w:hAnsi="宋体" w:cs="宋体" w:eastAsia="宋体" w:hint="default"/>
          <w:sz w:val="6"/>
          <w:szCs w:val="6"/>
        </w:rPr>
      </w:pPr>
    </w:p>
    <w:p>
      <w:pPr>
        <w:spacing w:before="44"/>
        <w:ind w:left="8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4"/>
          <w:szCs w:val="24"/>
        </w:rPr>
      </w:pPr>
    </w:p>
    <w:p>
      <w:pPr>
        <w:pStyle w:val="BodyText"/>
        <w:spacing w:line="240" w:lineRule="auto" w:before="0"/>
        <w:ind w:left="1254" w:right="0"/>
        <w:jc w:val="left"/>
      </w:pPr>
      <w:r>
        <w:rPr/>
        <w:t>（</w:t>
      </w:r>
      <w:r>
        <w:rPr>
          <w:rFonts w:ascii="Times New Roman" w:hAnsi="Times New Roman" w:cs="Times New Roman" w:eastAsia="Times New Roman" w:hint="default"/>
        </w:rPr>
        <w:t>1</w:t>
      </w:r>
      <w:r>
        <w:rPr/>
        <w:t>）按行业分类：</w:t>
      </w:r>
    </w:p>
    <w:p>
      <w:pPr>
        <w:spacing w:line="240" w:lineRule="auto" w:before="9"/>
        <w:rPr>
          <w:rFonts w:ascii="宋体" w:hAnsi="宋体" w:cs="宋体" w:eastAsia="宋体" w:hint="default"/>
          <w:sz w:val="8"/>
          <w:szCs w:val="8"/>
        </w:rPr>
      </w:pPr>
    </w:p>
    <w:tbl>
      <w:tblPr>
        <w:tblW w:w="0" w:type="auto"/>
        <w:jc w:val="left"/>
        <w:tblInd w:w="463" w:type="dxa"/>
        <w:tblLayout w:type="fixed"/>
        <w:tblCellMar>
          <w:top w:w="0" w:type="dxa"/>
          <w:left w:w="0" w:type="dxa"/>
          <w:bottom w:w="0" w:type="dxa"/>
          <w:right w:w="0" w:type="dxa"/>
        </w:tblCellMar>
        <w:tblLook w:val="01E0"/>
      </w:tblPr>
      <w:tblGrid>
        <w:gridCol w:w="1148"/>
        <w:gridCol w:w="1516"/>
        <w:gridCol w:w="1620"/>
        <w:gridCol w:w="1496"/>
        <w:gridCol w:w="1495"/>
        <w:gridCol w:w="1583"/>
        <w:gridCol w:w="1506"/>
      </w:tblGrid>
      <w:tr>
        <w:trPr>
          <w:trHeight w:val="511" w:hRule="exact"/>
        </w:trPr>
        <w:tc>
          <w:tcPr>
            <w:tcW w:w="1148" w:type="dxa"/>
            <w:vMerge w:val="restart"/>
            <w:tcBorders>
              <w:top w:val="single" w:sz="6" w:space="0" w:color="000000"/>
              <w:left w:val="single" w:sz="6" w:space="0" w:color="000000"/>
              <w:right w:val="single" w:sz="6" w:space="0" w:color="000000"/>
            </w:tcBorders>
          </w:tcPr>
          <w:p>
            <w:pPr>
              <w:pStyle w:val="TableParagraph"/>
              <w:spacing w:line="240" w:lineRule="auto" w:before="99"/>
              <w:ind w:left="314"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55"/>
                <w:sz w:val="18"/>
                <w:szCs w:val="18"/>
              </w:rPr>
              <w:t> </w:t>
            </w:r>
            <w:r>
              <w:rPr>
                <w:rFonts w:ascii="宋体" w:hAnsi="宋体" w:cs="宋体" w:eastAsia="宋体" w:hint="default"/>
                <w:sz w:val="18"/>
                <w:szCs w:val="18"/>
              </w:rPr>
              <w:t>业</w:t>
            </w:r>
          </w:p>
        </w:tc>
        <w:tc>
          <w:tcPr>
            <w:tcW w:w="4632"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584"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8" w:hRule="exact"/>
        </w:trPr>
        <w:tc>
          <w:tcPr>
            <w:tcW w:w="1148" w:type="dxa"/>
            <w:vMerge/>
            <w:tcBorders>
              <w:left w:val="single" w:sz="6" w:space="0" w:color="000000"/>
              <w:bottom w:val="single" w:sz="12" w:space="0" w:color="000000"/>
              <w:right w:val="single" w:sz="6" w:space="0" w:color="000000"/>
            </w:tcBorders>
          </w:tcPr>
          <w:p>
            <w:pP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9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4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80"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2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86"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509" w:hRule="exact"/>
        </w:trPr>
        <w:tc>
          <w:tcPr>
            <w:tcW w:w="1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 w:right="0"/>
              <w:jc w:val="left"/>
              <w:rPr>
                <w:rFonts w:ascii="宋体" w:hAnsi="宋体" w:cs="宋体" w:eastAsia="宋体" w:hint="default"/>
                <w:sz w:val="18"/>
                <w:szCs w:val="18"/>
              </w:rPr>
            </w:pPr>
            <w:r>
              <w:rPr>
                <w:rFonts w:ascii="宋体" w:hAnsi="宋体" w:cs="宋体" w:eastAsia="宋体" w:hint="default"/>
                <w:sz w:val="18"/>
                <w:szCs w:val="18"/>
              </w:rPr>
              <w:t>医药行业</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74" w:right="0"/>
              <w:jc w:val="left"/>
              <w:rPr>
                <w:rFonts w:ascii="Times New Roman" w:hAnsi="Times New Roman" w:cs="Times New Roman" w:eastAsia="Times New Roman" w:hint="default"/>
                <w:sz w:val="18"/>
                <w:szCs w:val="18"/>
              </w:rPr>
            </w:pPr>
            <w:r>
              <w:rPr>
                <w:rFonts w:ascii="Times New Roman"/>
                <w:sz w:val="18"/>
              </w:rPr>
              <w:t>392,399,396.67</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91,091,737.91</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53" w:right="0"/>
              <w:jc w:val="left"/>
              <w:rPr>
                <w:rFonts w:ascii="Times New Roman" w:hAnsi="Times New Roman" w:cs="Times New Roman" w:eastAsia="Times New Roman" w:hint="default"/>
                <w:sz w:val="18"/>
                <w:szCs w:val="18"/>
              </w:rPr>
            </w:pPr>
            <w:r>
              <w:rPr>
                <w:rFonts w:ascii="Times New Roman"/>
                <w:sz w:val="18"/>
              </w:rPr>
              <w:t>301,307,658.76</w:t>
            </w:r>
          </w:p>
        </w:tc>
        <w:tc>
          <w:tcPr>
            <w:tcW w:w="1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53" w:right="0"/>
              <w:jc w:val="left"/>
              <w:rPr>
                <w:rFonts w:ascii="Times New Roman" w:hAnsi="Times New Roman" w:cs="Times New Roman" w:eastAsia="Times New Roman" w:hint="default"/>
                <w:sz w:val="18"/>
                <w:szCs w:val="18"/>
              </w:rPr>
            </w:pPr>
            <w:r>
              <w:rPr>
                <w:rFonts w:ascii="Times New Roman"/>
                <w:sz w:val="18"/>
              </w:rPr>
              <w:t>497,828,488.72</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441" w:right="0"/>
              <w:jc w:val="left"/>
              <w:rPr>
                <w:rFonts w:ascii="Times New Roman" w:hAnsi="Times New Roman" w:cs="Times New Roman" w:eastAsia="Times New Roman" w:hint="default"/>
                <w:sz w:val="18"/>
                <w:szCs w:val="18"/>
              </w:rPr>
            </w:pPr>
            <w:r>
              <w:rPr>
                <w:rFonts w:ascii="Times New Roman"/>
                <w:sz w:val="18"/>
              </w:rPr>
              <w:t>216,405,071.53</w:t>
            </w:r>
          </w:p>
        </w:tc>
        <w:tc>
          <w:tcPr>
            <w:tcW w:w="15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left="364" w:right="0"/>
              <w:jc w:val="left"/>
              <w:rPr>
                <w:rFonts w:ascii="Times New Roman" w:hAnsi="Times New Roman" w:cs="Times New Roman" w:eastAsia="Times New Roman" w:hint="default"/>
                <w:sz w:val="18"/>
                <w:szCs w:val="18"/>
              </w:rPr>
            </w:pPr>
            <w:r>
              <w:rPr>
                <w:rFonts w:ascii="Times New Roman"/>
                <w:sz w:val="18"/>
              </w:rPr>
              <w:t>281,423,417.19</w:t>
            </w:r>
          </w:p>
        </w:tc>
      </w:tr>
      <w:tr>
        <w:trPr>
          <w:trHeight w:val="508" w:hRule="exact"/>
        </w:trPr>
        <w:tc>
          <w:tcPr>
            <w:tcW w:w="1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1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74" w:right="0"/>
              <w:jc w:val="left"/>
              <w:rPr>
                <w:rFonts w:ascii="Times New Roman" w:hAnsi="Times New Roman" w:cs="Times New Roman" w:eastAsia="Times New Roman" w:hint="default"/>
                <w:sz w:val="18"/>
                <w:szCs w:val="18"/>
              </w:rPr>
            </w:pPr>
            <w:r>
              <w:rPr>
                <w:rFonts w:ascii="Times New Roman"/>
                <w:sz w:val="18"/>
              </w:rPr>
              <w:t>392,399,396.67</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91,091,737.91</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53" w:right="0"/>
              <w:jc w:val="left"/>
              <w:rPr>
                <w:rFonts w:ascii="Times New Roman" w:hAnsi="Times New Roman" w:cs="Times New Roman" w:eastAsia="Times New Roman" w:hint="default"/>
                <w:sz w:val="18"/>
                <w:szCs w:val="18"/>
              </w:rPr>
            </w:pPr>
            <w:r>
              <w:rPr>
                <w:rFonts w:ascii="Times New Roman"/>
                <w:sz w:val="18"/>
              </w:rPr>
              <w:t>301,307,658.76</w:t>
            </w:r>
          </w:p>
        </w:tc>
        <w:tc>
          <w:tcPr>
            <w:tcW w:w="1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353" w:right="0"/>
              <w:jc w:val="left"/>
              <w:rPr>
                <w:rFonts w:ascii="Times New Roman" w:hAnsi="Times New Roman" w:cs="Times New Roman" w:eastAsia="Times New Roman" w:hint="default"/>
                <w:sz w:val="18"/>
                <w:szCs w:val="18"/>
              </w:rPr>
            </w:pPr>
            <w:r>
              <w:rPr>
                <w:rFonts w:ascii="Times New Roman"/>
                <w:sz w:val="18"/>
              </w:rPr>
              <w:t>497,828,488.72</w:t>
            </w:r>
          </w:p>
        </w:tc>
        <w:tc>
          <w:tcPr>
            <w:tcW w:w="15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left="441" w:right="0"/>
              <w:jc w:val="left"/>
              <w:rPr>
                <w:rFonts w:ascii="Times New Roman" w:hAnsi="Times New Roman" w:cs="Times New Roman" w:eastAsia="Times New Roman" w:hint="default"/>
                <w:sz w:val="18"/>
                <w:szCs w:val="18"/>
              </w:rPr>
            </w:pPr>
            <w:r>
              <w:rPr>
                <w:rFonts w:ascii="Times New Roman"/>
                <w:sz w:val="18"/>
              </w:rPr>
              <w:t>216,405,071.53</w:t>
            </w:r>
          </w:p>
        </w:tc>
        <w:tc>
          <w:tcPr>
            <w:tcW w:w="15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left="364" w:right="0"/>
              <w:jc w:val="left"/>
              <w:rPr>
                <w:rFonts w:ascii="Times New Roman" w:hAnsi="Times New Roman" w:cs="Times New Roman" w:eastAsia="Times New Roman" w:hint="default"/>
                <w:sz w:val="18"/>
                <w:szCs w:val="18"/>
              </w:rPr>
            </w:pPr>
            <w:r>
              <w:rPr>
                <w:rFonts w:ascii="Times New Roman"/>
                <w:sz w:val="18"/>
              </w:rPr>
              <w:t>281,423,417.19</w:t>
            </w:r>
          </w:p>
        </w:tc>
      </w:tr>
    </w:tbl>
    <w:p>
      <w:pPr>
        <w:spacing w:line="240" w:lineRule="auto" w:before="4"/>
        <w:rPr>
          <w:rFonts w:ascii="宋体" w:hAnsi="宋体" w:cs="宋体" w:eastAsia="宋体" w:hint="default"/>
          <w:sz w:val="11"/>
          <w:szCs w:val="11"/>
        </w:rPr>
      </w:pPr>
    </w:p>
    <w:p>
      <w:pPr>
        <w:pStyle w:val="BodyText"/>
        <w:spacing w:line="240" w:lineRule="auto" w:before="35"/>
        <w:ind w:left="1254" w:right="0"/>
        <w:jc w:val="left"/>
      </w:pPr>
      <w:r>
        <w:rPr/>
        <w:t>（</w:t>
      </w:r>
      <w:r>
        <w:rPr>
          <w:rFonts w:ascii="Times New Roman" w:hAnsi="Times New Roman" w:cs="Times New Roman" w:eastAsia="Times New Roman" w:hint="default"/>
        </w:rPr>
        <w:t>2</w:t>
      </w:r>
      <w:r>
        <w:rPr/>
        <w:t>）按品种分类：</w:t>
      </w:r>
    </w:p>
    <w:p>
      <w:pPr>
        <w:spacing w:line="240" w:lineRule="auto" w:before="9"/>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688"/>
        <w:gridCol w:w="1566"/>
        <w:gridCol w:w="1566"/>
        <w:gridCol w:w="1566"/>
        <w:gridCol w:w="1566"/>
        <w:gridCol w:w="1566"/>
        <w:gridCol w:w="1566"/>
      </w:tblGrid>
      <w:tr>
        <w:trPr>
          <w:trHeight w:val="511" w:hRule="exact"/>
        </w:trPr>
        <w:tc>
          <w:tcPr>
            <w:tcW w:w="1688" w:type="dxa"/>
            <w:vMerge w:val="restart"/>
            <w:tcBorders>
              <w:top w:val="single" w:sz="6" w:space="0" w:color="000000"/>
              <w:left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pacing w:val="55"/>
                <w:sz w:val="18"/>
                <w:szCs w:val="18"/>
              </w:rPr>
              <w:t> </w:t>
            </w:r>
            <w:r>
              <w:rPr>
                <w:rFonts w:ascii="宋体" w:hAnsi="宋体" w:cs="宋体" w:eastAsia="宋体" w:hint="default"/>
                <w:sz w:val="18"/>
                <w:szCs w:val="18"/>
              </w:rPr>
              <w:t>种</w:t>
            </w:r>
          </w:p>
        </w:tc>
        <w:tc>
          <w:tcPr>
            <w:tcW w:w="469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699"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1688" w:type="dxa"/>
            <w:vMerge/>
            <w:tcBorders>
              <w:left w:val="single" w:sz="6" w:space="0" w:color="000000"/>
              <w:bottom w:val="single" w:sz="12" w:space="0" w:color="000000"/>
              <w:right w:val="single" w:sz="6" w:space="0" w:color="000000"/>
            </w:tcBorders>
          </w:tcPr>
          <w:p>
            <w:pP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16"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416"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508"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四妙丸</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123,034,071.04</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17,992,152.68</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105,041,918.36</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98,074,027.48</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13,765,160.49</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84,308,866.99</w:t>
            </w:r>
          </w:p>
        </w:tc>
      </w:tr>
      <w:tr>
        <w:trPr>
          <w:trHeight w:val="508"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活血通脉片</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21,403,118.57</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11,772,434.47</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9,630,684.10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19,171,381.42</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10,570,785.28</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8,600,596.14</w:t>
            </w:r>
          </w:p>
        </w:tc>
      </w:tr>
      <w:tr>
        <w:trPr>
          <w:trHeight w:val="509"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肾复康胶囊</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28,756,163.20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5,568,265.01</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23,187,898.19</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24,458,443.89</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4,390,366.23</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20,068,077.66</w:t>
            </w:r>
          </w:p>
        </w:tc>
      </w:tr>
      <w:tr>
        <w:trPr>
          <w:trHeight w:val="508"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复方益肝灵片</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16,456,996.80</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3,764,595.81</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12,692,400.99</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12,823,533.75</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2,607,532.11</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10,216,001.64</w:t>
            </w:r>
          </w:p>
        </w:tc>
      </w:tr>
      <w:tr>
        <w:trPr>
          <w:trHeight w:val="508"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萆薢分清丸</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24,663,547.85</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3,259,133.14</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21,404,414.71</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19,652,745.65</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2,608,106.41</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17,044,639.24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300" w:right="0"/>
        </w:sectPr>
      </w:pPr>
    </w:p>
    <w:p>
      <w:pPr>
        <w:spacing w:line="240" w:lineRule="auto" w:before="6"/>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688"/>
        <w:gridCol w:w="1566"/>
        <w:gridCol w:w="1566"/>
        <w:gridCol w:w="1566"/>
        <w:gridCol w:w="1566"/>
        <w:gridCol w:w="1566"/>
        <w:gridCol w:w="1566"/>
      </w:tblGrid>
      <w:tr>
        <w:trPr>
          <w:trHeight w:val="511" w:hRule="exact"/>
        </w:trPr>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当归补血丸</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14,846,008.13</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2,159,694.06</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12,686,314.07</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12,509,037.92</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2,374,656.52</w:t>
            </w:r>
          </w:p>
        </w:tc>
        <w:tc>
          <w:tcPr>
            <w:tcW w:w="15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9"/>
              <w:ind w:right="7"/>
              <w:jc w:val="right"/>
              <w:rPr>
                <w:rFonts w:ascii="Times New Roman" w:hAnsi="Times New Roman" w:cs="Times New Roman" w:eastAsia="Times New Roman" w:hint="default"/>
                <w:sz w:val="18"/>
                <w:szCs w:val="18"/>
              </w:rPr>
            </w:pPr>
            <w:r>
              <w:rPr>
                <w:rFonts w:ascii="Times New Roman"/>
                <w:spacing w:val="-1"/>
                <w:sz w:val="18"/>
              </w:rPr>
              <w:t>10,134,381.40</w:t>
            </w:r>
          </w:p>
        </w:tc>
      </w:tr>
      <w:tr>
        <w:trPr>
          <w:trHeight w:val="508"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藿胆片</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70,225,252.47</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8,739,411.98</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61,485,840.49</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55,321,646.76</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5,486,152.40</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49,835,494.36</w:t>
            </w:r>
          </w:p>
        </w:tc>
      </w:tr>
      <w:tr>
        <w:trPr>
          <w:trHeight w:val="509"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内消瘰疬丸</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21,589,796.56</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6,375,601.33</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15,214,195.23</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18,171,367.26</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5,337,362.61</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12,834,004.65</w:t>
            </w:r>
          </w:p>
        </w:tc>
      </w:tr>
      <w:tr>
        <w:trPr>
          <w:trHeight w:val="508"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71,424,442.05</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31,460,449.43</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39,963,992.62</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56,454,839.73</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27,321,440.82</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29,133,398.91</w:t>
            </w:r>
          </w:p>
        </w:tc>
      </w:tr>
      <w:tr>
        <w:trPr>
          <w:trHeight w:val="508"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人参系列产品</w:t>
            </w:r>
          </w:p>
        </w:tc>
        <w:tc>
          <w:tcPr>
            <w:tcW w:w="1566" w:type="dxa"/>
            <w:tcBorders>
              <w:top w:val="single" w:sz="12" w:space="0" w:color="000000"/>
              <w:left w:val="single" w:sz="6" w:space="0" w:color="000000"/>
              <w:bottom w:val="single" w:sz="12" w:space="0" w:color="000000"/>
              <w:right w:val="single" w:sz="6" w:space="0" w:color="000000"/>
            </w:tcBorders>
          </w:tcPr>
          <w:p>
            <w:pPr/>
          </w:p>
        </w:tc>
        <w:tc>
          <w:tcPr>
            <w:tcW w:w="1566" w:type="dxa"/>
            <w:tcBorders>
              <w:top w:val="single" w:sz="12" w:space="0" w:color="000000"/>
              <w:left w:val="single" w:sz="6" w:space="0" w:color="000000"/>
              <w:bottom w:val="single" w:sz="12" w:space="0" w:color="000000"/>
              <w:right w:val="single" w:sz="6" w:space="0" w:color="000000"/>
            </w:tcBorders>
          </w:tcPr>
          <w:p>
            <w:pPr/>
          </w:p>
        </w:tc>
        <w:tc>
          <w:tcPr>
            <w:tcW w:w="1566" w:type="dxa"/>
            <w:tcBorders>
              <w:top w:val="single" w:sz="12" w:space="0" w:color="000000"/>
              <w:left w:val="single" w:sz="6" w:space="0" w:color="000000"/>
              <w:bottom w:val="single" w:sz="12" w:space="0" w:color="000000"/>
              <w:right w:val="single" w:sz="6" w:space="0" w:color="000000"/>
            </w:tcBorders>
          </w:tcPr>
          <w:p>
            <w:pP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181,191,464.86</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141,943,508.66</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39,247,956.20</w:t>
            </w:r>
          </w:p>
        </w:tc>
      </w:tr>
      <w:tr>
        <w:trPr>
          <w:trHeight w:val="509" w:hRule="exact"/>
        </w:trPr>
        <w:tc>
          <w:tcPr>
            <w:tcW w:w="16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392,399,396.67</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91,091,737.91</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301,307,658.76</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497,828,488.72</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216,405,071.53</w:t>
            </w:r>
          </w:p>
        </w:tc>
        <w:tc>
          <w:tcPr>
            <w:tcW w:w="15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281,423,417.19</w:t>
            </w:r>
          </w:p>
        </w:tc>
      </w:tr>
    </w:tbl>
    <w:p>
      <w:pPr>
        <w:spacing w:line="240" w:lineRule="auto" w:before="4"/>
        <w:rPr>
          <w:rFonts w:ascii="宋体" w:hAnsi="宋体" w:cs="宋体" w:eastAsia="宋体" w:hint="default"/>
          <w:sz w:val="11"/>
          <w:szCs w:val="11"/>
        </w:rPr>
      </w:pPr>
    </w:p>
    <w:p>
      <w:pPr>
        <w:pStyle w:val="BodyText"/>
        <w:spacing w:line="240" w:lineRule="auto" w:before="35"/>
        <w:ind w:left="1254" w:right="0"/>
        <w:jc w:val="left"/>
      </w:pPr>
      <w:r>
        <w:rPr/>
        <w:t>（</w:t>
      </w:r>
      <w:r>
        <w:rPr>
          <w:rFonts w:ascii="Times New Roman" w:hAnsi="Times New Roman" w:cs="Times New Roman" w:eastAsia="Times New Roman" w:hint="default"/>
        </w:rPr>
        <w:t>3</w:t>
      </w:r>
      <w:r>
        <w:rPr/>
        <w:t>）按地区分类：</w:t>
      </w:r>
    </w:p>
    <w:p>
      <w:pPr>
        <w:spacing w:line="240" w:lineRule="auto" w:before="9"/>
        <w:rPr>
          <w:rFonts w:ascii="宋体" w:hAnsi="宋体" w:cs="宋体" w:eastAsia="宋体" w:hint="default"/>
          <w:sz w:val="8"/>
          <w:szCs w:val="8"/>
        </w:rPr>
      </w:pPr>
    </w:p>
    <w:tbl>
      <w:tblPr>
        <w:tblW w:w="0" w:type="auto"/>
        <w:jc w:val="left"/>
        <w:tblInd w:w="330" w:type="dxa"/>
        <w:tblLayout w:type="fixed"/>
        <w:tblCellMar>
          <w:top w:w="0" w:type="dxa"/>
          <w:left w:w="0" w:type="dxa"/>
          <w:bottom w:w="0" w:type="dxa"/>
          <w:right w:w="0" w:type="dxa"/>
        </w:tblCellMar>
        <w:tblLook w:val="01E0"/>
      </w:tblPr>
      <w:tblGrid>
        <w:gridCol w:w="1473"/>
        <w:gridCol w:w="1525"/>
        <w:gridCol w:w="1528"/>
        <w:gridCol w:w="1525"/>
        <w:gridCol w:w="1528"/>
        <w:gridCol w:w="1526"/>
        <w:gridCol w:w="1526"/>
      </w:tblGrid>
      <w:tr>
        <w:trPr>
          <w:trHeight w:val="511" w:hRule="exact"/>
        </w:trPr>
        <w:tc>
          <w:tcPr>
            <w:tcW w:w="1473" w:type="dxa"/>
            <w:vMerge w:val="restart"/>
            <w:tcBorders>
              <w:top w:val="single" w:sz="6" w:space="0" w:color="000000"/>
              <w:left w:val="single" w:sz="6" w:space="0" w:color="000000"/>
              <w:right w:val="single" w:sz="6" w:space="0" w:color="000000"/>
            </w:tcBorders>
          </w:tcPr>
          <w:p>
            <w:pPr>
              <w:pStyle w:val="TableParagraph"/>
              <w:spacing w:line="240" w:lineRule="auto" w:before="99"/>
              <w:ind w:left="476" w:right="0"/>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5"/>
                <w:sz w:val="18"/>
                <w:szCs w:val="18"/>
              </w:rPr>
              <w:t> </w:t>
            </w:r>
            <w:r>
              <w:rPr>
                <w:rFonts w:ascii="宋体" w:hAnsi="宋体" w:cs="宋体" w:eastAsia="宋体" w:hint="default"/>
                <w:sz w:val="18"/>
                <w:szCs w:val="18"/>
              </w:rPr>
              <w:t>区</w:t>
            </w:r>
          </w:p>
        </w:tc>
        <w:tc>
          <w:tcPr>
            <w:tcW w:w="4578"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581"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8" w:hRule="exact"/>
        </w:trPr>
        <w:tc>
          <w:tcPr>
            <w:tcW w:w="1473" w:type="dxa"/>
            <w:vMerge/>
            <w:tcBorders>
              <w:left w:val="single" w:sz="6" w:space="0" w:color="000000"/>
              <w:bottom w:val="single" w:sz="12" w:space="0" w:color="000000"/>
              <w:right w:val="single" w:sz="6" w:space="0" w:color="000000"/>
            </w:tcBorders>
          </w:tcPr>
          <w:p>
            <w:pP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9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9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94"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39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8"/>
              <w:ind w:left="396"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509" w:hRule="exact"/>
        </w:trPr>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176,699,469.89</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41,077,960.44</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135,621,509.45</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289,285,800.64</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154,483,689.21</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134,802,111.43</w:t>
            </w:r>
          </w:p>
        </w:tc>
      </w:tr>
      <w:tr>
        <w:trPr>
          <w:trHeight w:val="508" w:hRule="exact"/>
        </w:trPr>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23,790,082.94</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5,516,144.27</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18,273,938.67</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62,561,942.53</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26,547,387.08</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36,014,555.45</w:t>
            </w:r>
          </w:p>
        </w:tc>
      </w:tr>
      <w:tr>
        <w:trPr>
          <w:trHeight w:val="508" w:hRule="exact"/>
        </w:trPr>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85,617,023.61</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19,851,795.18</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65,765,228.43</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56,909,097.51</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13,353,954.40</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43,555,143.11</w:t>
            </w:r>
          </w:p>
        </w:tc>
      </w:tr>
      <w:tr>
        <w:trPr>
          <w:trHeight w:val="509" w:hRule="exact"/>
        </w:trPr>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59,569,717.19</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13,812,274.40</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45,757,442.79</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50,111,630.95</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12,877,912.18</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37,233,718.77</w:t>
            </w:r>
          </w:p>
        </w:tc>
      </w:tr>
      <w:tr>
        <w:trPr>
          <w:trHeight w:val="508" w:hRule="exact"/>
        </w:trPr>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20,336,386.82</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4,715,344.79</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15,621,042.03</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14,112,789.33</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3,311,624.21</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10,801,165.12</w:t>
            </w:r>
          </w:p>
        </w:tc>
      </w:tr>
      <w:tr>
        <w:trPr>
          <w:trHeight w:val="508" w:hRule="exact"/>
        </w:trPr>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26,386,716.22</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6,118,218.83</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20,268,497.39</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24,847,227.76</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5,830,504.45</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19,016,723.31</w:t>
            </w:r>
          </w:p>
        </w:tc>
      </w:tr>
      <w:tr>
        <w:trPr>
          <w:trHeight w:val="509" w:hRule="exact"/>
        </w:trPr>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7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392,399,396.67</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91,091,737.91</w:t>
            </w:r>
          </w:p>
        </w:tc>
        <w:tc>
          <w:tcPr>
            <w:tcW w:w="15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301,307,658.76</w:t>
            </w:r>
          </w:p>
        </w:tc>
        <w:tc>
          <w:tcPr>
            <w:tcW w:w="15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pacing w:val="-1"/>
                <w:sz w:val="18"/>
              </w:rPr>
              <w:t>497,828,488.72</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216,405,071.53</w:t>
            </w:r>
          </w:p>
        </w:tc>
        <w:tc>
          <w:tcPr>
            <w:tcW w:w="152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pacing w:val="-1"/>
                <w:sz w:val="18"/>
              </w:rPr>
              <w:t>281,423,417.19</w:t>
            </w:r>
          </w:p>
        </w:tc>
      </w:tr>
    </w:tbl>
    <w:p>
      <w:pPr>
        <w:spacing w:line="240" w:lineRule="auto" w:before="1"/>
        <w:rPr>
          <w:rFonts w:ascii="宋体" w:hAnsi="宋体" w:cs="宋体" w:eastAsia="宋体" w:hint="default"/>
          <w:sz w:val="25"/>
          <w:szCs w:val="25"/>
        </w:rPr>
      </w:pPr>
    </w:p>
    <w:p>
      <w:pPr>
        <w:pStyle w:val="Heading4"/>
        <w:spacing w:line="240" w:lineRule="auto" w:before="35"/>
        <w:ind w:left="834" w:right="0"/>
        <w:jc w:val="left"/>
        <w:rPr>
          <w:b w:val="0"/>
          <w:bCs w:val="0"/>
        </w:rPr>
      </w:pPr>
      <w:bookmarkStart w:name="5、投资收益" w:id="369"/>
      <w:bookmarkEnd w:id="36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13"/>
          <w:szCs w:val="13"/>
        </w:rPr>
      </w:pPr>
    </w:p>
    <w:tbl>
      <w:tblPr>
        <w:tblW w:w="0" w:type="auto"/>
        <w:jc w:val="left"/>
        <w:tblInd w:w="829" w:type="dxa"/>
        <w:tblLayout w:type="fixed"/>
        <w:tblCellMar>
          <w:top w:w="0" w:type="dxa"/>
          <w:left w:w="0" w:type="dxa"/>
          <w:bottom w:w="0" w:type="dxa"/>
          <w:right w:w="0" w:type="dxa"/>
        </w:tblCellMar>
        <w:tblLook w:val="01E0"/>
      </w:tblPr>
      <w:tblGrid>
        <w:gridCol w:w="3324"/>
        <w:gridCol w:w="3059"/>
        <w:gridCol w:w="3186"/>
      </w:tblGrid>
      <w:tr>
        <w:trPr>
          <w:trHeight w:val="55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9"/>
              <w:ind w:left="22" w:right="51"/>
              <w:jc w:val="left"/>
              <w:rPr>
                <w:rFonts w:ascii="宋体" w:hAnsi="宋体" w:cs="宋体" w:eastAsia="宋体" w:hint="default"/>
                <w:sz w:val="18"/>
                <w:szCs w:val="18"/>
              </w:rPr>
            </w:pPr>
            <w:r>
              <w:rPr>
                <w:rFonts w:ascii="宋体" w:hAnsi="宋体" w:cs="宋体" w:eastAsia="宋体" w:hint="default"/>
                <w:sz w:val="18"/>
                <w:szCs w:val="18"/>
              </w:rPr>
              <w:t>非同一控制下企业合并过程对前期投资成 本调整情况</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-600,000.00</w:t>
            </w:r>
            <w:r>
              <w:rPr>
                <w:rFonts w:ascii="Times New Roman"/>
                <w:sz w:val="18"/>
              </w:rPr>
            </w:r>
          </w:p>
        </w:tc>
      </w:tr>
      <w:tr>
        <w:trPr>
          <w:trHeight w:val="558"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300" w:right="0"/>
        </w:sectPr>
      </w:pPr>
    </w:p>
    <w:p>
      <w:pPr>
        <w:spacing w:line="240" w:lineRule="auto" w:before="0"/>
        <w:rPr>
          <w:rFonts w:ascii="宋体" w:hAnsi="宋体" w:cs="宋体" w:eastAsia="宋体" w:hint="default"/>
          <w:sz w:val="20"/>
          <w:szCs w:val="20"/>
        </w:rPr>
      </w:pPr>
    </w:p>
    <w:p>
      <w:pPr>
        <w:pStyle w:val="Heading4"/>
        <w:spacing w:line="240" w:lineRule="auto" w:before="174"/>
        <w:ind w:right="0"/>
        <w:jc w:val="left"/>
        <w:rPr>
          <w:b w:val="0"/>
          <w:bCs w:val="0"/>
        </w:rPr>
      </w:pPr>
      <w:bookmarkStart w:name="6、其他" w:id="370"/>
      <w:bookmarkEnd w:id="370"/>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2"/>
          <w:szCs w:val="22"/>
        </w:rPr>
      </w:pPr>
    </w:p>
    <w:p>
      <w:pPr>
        <w:pStyle w:val="BodyText"/>
        <w:spacing w:line="386" w:lineRule="auto" w:before="189"/>
        <w:ind w:right="1289" w:firstLine="42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日长春农村商业银行股份有限公司召开的</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 利润分配方案，</w:t>
      </w:r>
      <w:r>
        <w:rPr>
          <w:rFonts w:ascii="Times New Roman" w:hAnsi="Times New Roman" w:cs="Times New Roman" w:eastAsia="Times New Roman" w:hint="default"/>
        </w:rPr>
        <w:t>“</w:t>
      </w:r>
      <w:r>
        <w:rPr/>
        <w:t>按照每股</w:t>
      </w:r>
      <w:r>
        <w:rPr>
          <w:rFonts w:ascii="Times New Roman" w:hAnsi="Times New Roman" w:cs="Times New Roman" w:eastAsia="Times New Roman" w:hint="default"/>
        </w:rPr>
        <w:t>0.2</w:t>
      </w:r>
      <w:r>
        <w:rPr/>
        <w:t>元（含税）的比例，向本行截止</w:t>
      </w:r>
      <w:r>
        <w:rPr>
          <w:rFonts w:ascii="Times New Roman" w:hAnsi="Times New Roman" w:cs="Times New Roman" w:eastAsia="Times New Roman" w:hint="default"/>
        </w:rPr>
        <w:t>2014</w:t>
      </w:r>
      <w:r>
        <w:rPr/>
        <w:t>年末登记在册的股东进行现金分红</w:t>
      </w:r>
      <w:r>
        <w:rPr>
          <w:rFonts w:ascii="Times New Roman" w:hAnsi="Times New Roman" w:cs="Times New Roman" w:eastAsia="Times New Roman" w:hint="default"/>
        </w:rPr>
        <w:t>”</w:t>
      </w:r>
      <w:r>
        <w:rPr/>
        <w:t>， 本期确认投资收益</w:t>
      </w:r>
      <w:r>
        <w:rPr>
          <w:rFonts w:ascii="Times New Roman" w:hAnsi="Times New Roman" w:cs="Times New Roman" w:eastAsia="Times New Roman" w:hint="default"/>
        </w:rPr>
        <w:t>980</w:t>
      </w:r>
      <w:r>
        <w:rPr/>
        <w:t>万元。</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bookmarkStart w:name="十五、补充资料" w:id="371"/>
      <w:bookmarkEnd w:id="371"/>
      <w:r>
        <w:rPr>
          <w:b w:val="0"/>
          <w:bCs w:val="0"/>
        </w:rPr>
      </w:r>
      <w:r>
        <w:rPr/>
        <w:t>十五、补充资料</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63"/>
        <w:ind w:right="0"/>
        <w:jc w:val="left"/>
        <w:rPr>
          <w:b w:val="0"/>
          <w:bCs w:val="0"/>
        </w:rPr>
      </w:pPr>
      <w:bookmarkStart w:name="1、当期非经常性损益明细表" w:id="372"/>
      <w:bookmarkEnd w:id="37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9"/>
          <w:szCs w:val="19"/>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49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35,071,948.56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333,873.29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5,502,746.69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-12,750.00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29,915,825.16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40" w:lineRule="auto" w:before="8"/>
        <w:rPr>
          <w:rFonts w:ascii="宋体" w:hAnsi="宋体" w:cs="宋体" w:eastAsia="宋体" w:hint="default"/>
          <w:sz w:val="16"/>
          <w:szCs w:val="16"/>
        </w:rPr>
      </w:pPr>
    </w:p>
    <w:p>
      <w:pPr>
        <w:spacing w:line="451" w:lineRule="auto" w:before="0"/>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115"/>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净资产收益率及每股收益" w:id="373"/>
      <w:bookmarkEnd w:id="37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5"/>
      </w:tblGrid>
      <w:tr>
        <w:trPr>
          <w:trHeight w:val="558"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58"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558"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0.08</w:t>
            </w:r>
          </w:p>
        </w:tc>
      </w:tr>
      <w:tr>
        <w:trPr>
          <w:trHeight w:val="1026"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r>
    </w:tbl>
    <w:p>
      <w:pPr>
        <w:spacing w:line="240" w:lineRule="auto" w:before="1"/>
        <w:rPr>
          <w:rFonts w:ascii="宋体" w:hAnsi="宋体" w:cs="宋体" w:eastAsia="宋体" w:hint="default"/>
          <w:b/>
          <w:bCs/>
          <w:sz w:val="25"/>
          <w:szCs w:val="25"/>
        </w:rPr>
      </w:pPr>
    </w:p>
    <w:p>
      <w:pPr>
        <w:pStyle w:val="Heading4"/>
        <w:spacing w:line="240" w:lineRule="auto" w:before="35"/>
        <w:ind w:left="154" w:right="0"/>
        <w:jc w:val="left"/>
        <w:rPr>
          <w:b w:val="0"/>
          <w:bCs w:val="0"/>
        </w:rPr>
      </w:pPr>
      <w:bookmarkStart w:name="3、境内外会计准则下会计数据差异" w:id="374"/>
      <w:bookmarkEnd w:id="37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9"/>
        <w:ind w:left="154" w:right="0"/>
        <w:jc w:val="left"/>
        <w:rPr>
          <w:b w:val="0"/>
          <w:bCs w:val="0"/>
        </w:rPr>
      </w:pPr>
      <w:bookmarkStart w:name="（1）同时按照国际会计准则与按中国会计准则披露的财务报告中净利润和净资产差异情况" w:id="375"/>
      <w:bookmarkEnd w:id="37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bookmarkStart w:name="（2）同时按照境外会计准则与按中国会计准则披露的财务报告中净利润和净资产差异情况" w:id="376"/>
      <w:bookmarkEnd w:id="37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4"/>
        <w:spacing w:line="386" w:lineRule="auto"/>
        <w:ind w:right="0"/>
        <w:jc w:val="left"/>
        <w:rPr>
          <w:b w:val="0"/>
          <w:bCs w:val="0"/>
        </w:rPr>
      </w:pPr>
      <w:bookmarkStart w:name="（3）境内外会计准则下会计数据差异原因说明，对已经境外审计机构审计的数据进行差异" w:id="377"/>
      <w:bookmarkEnd w:id="37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9"/>
        </w:rPr>
        <w:t> </w:t>
      </w:r>
      <w:r>
        <w:rPr>
          <w:spacing w:val="-69"/>
        </w:rPr>
      </w:r>
      <w:r>
        <w:rPr/>
        <w:t>明该境外机构的名称</w:t>
      </w:r>
      <w:r>
        <w:rPr>
          <w:b w:val="0"/>
          <w:bCs w:val="0"/>
        </w:rPr>
      </w:r>
    </w:p>
    <w:p>
      <w:pPr>
        <w:spacing w:line="240" w:lineRule="auto" w:before="12"/>
        <w:rPr>
          <w:rFonts w:ascii="宋体" w:hAnsi="宋体" w:cs="宋体" w:eastAsia="宋体" w:hint="default"/>
          <w:b/>
          <w:bCs/>
          <w:sz w:val="27"/>
          <w:szCs w:val="27"/>
        </w:rPr>
      </w:pPr>
    </w:p>
    <w:p>
      <w:pPr>
        <w:spacing w:line="633" w:lineRule="auto" w:before="0"/>
        <w:ind w:left="153" w:right="7603" w:firstLine="0"/>
        <w:jc w:val="left"/>
        <w:rPr>
          <w:rFonts w:ascii="宋体" w:hAnsi="宋体" w:cs="宋体" w:eastAsia="宋体" w:hint="default"/>
          <w:sz w:val="21"/>
          <w:szCs w:val="21"/>
        </w:rPr>
      </w:pPr>
      <w:r>
        <w:rPr/>
        <w:pict>
          <v:shape style="position:absolute;margin-left:56.34pt;margin-top:58.643684pt;width:475.35pt;height:280.7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15"/>
                    <w:gridCol w:w="1800"/>
                    <w:gridCol w:w="1854"/>
                  </w:tblGrid>
                  <w:tr>
                    <w:trPr>
                      <w:trHeight w:val="511" w:hRule="exact"/>
                    </w:trPr>
                    <w:tc>
                      <w:tcPr>
                        <w:tcW w:w="5815"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99"/>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5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left="4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39,591,514.07</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right"/>
                          <w:rPr>
                            <w:rFonts w:ascii="Times New Roman" w:hAnsi="Times New Roman" w:cs="Times New Roman" w:eastAsia="Times New Roman" w:hint="default"/>
                            <w:sz w:val="18"/>
                            <w:szCs w:val="18"/>
                          </w:rPr>
                        </w:pPr>
                        <w:r>
                          <w:rPr>
                            <w:rFonts w:ascii="Times New Roman"/>
                            <w:spacing w:val="-1"/>
                            <w:sz w:val="18"/>
                          </w:rPr>
                          <w:t>47,193,156.40</w:t>
                        </w: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归属于本公司普通股股东的期初净资产</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3"/>
                          <w:jc w:val="right"/>
                          <w:rPr>
                            <w:rFonts w:ascii="Times New Roman" w:hAnsi="Times New Roman" w:cs="Times New Roman" w:eastAsia="Times New Roman" w:hint="default"/>
                            <w:sz w:val="18"/>
                            <w:szCs w:val="18"/>
                          </w:rPr>
                        </w:pPr>
                        <w:r>
                          <w:rPr>
                            <w:rFonts w:ascii="Times New Roman"/>
                            <w:spacing w:val="-1"/>
                            <w:sz w:val="18"/>
                          </w:rPr>
                          <w:t>1,993,174,757.32</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pacing w:val="-1"/>
                            <w:sz w:val="18"/>
                          </w:rPr>
                          <w:t>1,945,947,867.60</w:t>
                        </w: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报告期新增的归属于本公司普通股股东的净资产</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本期增加净资产月份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436"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bl>
                <w:p>
                  <w:pPr/>
                </w:p>
              </w:txbxContent>
            </v:textbox>
            <w10:wrap type="none"/>
          </v:shape>
        </w:pict>
      </w:r>
      <w:bookmarkStart w:name="4、其他" w:id="378"/>
      <w:bookmarkEnd w:id="37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加权平均净资产收益率的计算过程</w:t>
      </w:r>
    </w:p>
    <w:p>
      <w:pPr>
        <w:spacing w:after="0" w:line="63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5815"/>
        <w:gridCol w:w="1800"/>
        <w:gridCol w:w="1854"/>
      </w:tblGrid>
      <w:tr>
        <w:trPr>
          <w:trHeight w:val="511" w:hRule="exact"/>
        </w:trPr>
        <w:tc>
          <w:tcPr>
            <w:tcW w:w="58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2" w:right="0"/>
              <w:jc w:val="left"/>
              <w:rPr>
                <w:rFonts w:ascii="宋体" w:hAnsi="宋体" w:cs="宋体" w:eastAsia="宋体" w:hint="default"/>
                <w:sz w:val="18"/>
                <w:szCs w:val="18"/>
              </w:rPr>
            </w:pPr>
            <w:r>
              <w:rPr>
                <w:rFonts w:ascii="宋体" w:hAnsi="宋体" w:cs="宋体" w:eastAsia="宋体" w:hint="default"/>
                <w:sz w:val="18"/>
                <w:szCs w:val="18"/>
              </w:rPr>
              <w:t>报告期减少的归属于本公司普通股股东的净资产</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pacing w:val="-1"/>
                <w:sz w:val="18"/>
              </w:rPr>
              <w:t>19,493,672.49</w:t>
            </w:r>
          </w:p>
        </w:tc>
        <w:tc>
          <w:tcPr>
            <w:tcW w:w="1854" w:type="dxa"/>
            <w:tcBorders>
              <w:top w:val="single" w:sz="6"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pacing w:val="-1"/>
                <w:sz w:val="18"/>
              </w:rPr>
              <w:t>19,493,672.49</w:t>
            </w: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本期较少净资产月份</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3</w:t>
            </w: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1"/>
              <w:jc w:val="right"/>
              <w:rPr>
                <w:rFonts w:ascii="Times New Roman" w:hAnsi="Times New Roman" w:cs="Times New Roman" w:eastAsia="Times New Roman" w:hint="default"/>
                <w:sz w:val="18"/>
                <w:szCs w:val="18"/>
              </w:rPr>
            </w:pPr>
            <w:r>
              <w:rPr>
                <w:rFonts w:ascii="Times New Roman"/>
                <w:sz w:val="18"/>
              </w:rPr>
              <w:t>3</w:t>
            </w: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54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因其他交易或事项引起的归属于公司普通股股东的净资产增减变动月份</w:t>
            </w:r>
          </w:p>
        </w:tc>
        <w:tc>
          <w:tcPr>
            <w:tcW w:w="1800" w:type="dxa"/>
            <w:tcBorders>
              <w:top w:val="single" w:sz="12" w:space="0" w:color="000000"/>
              <w:left w:val="single" w:sz="6" w:space="0" w:color="000000"/>
              <w:bottom w:val="single" w:sz="12" w:space="0" w:color="000000"/>
              <w:right w:val="single" w:sz="6" w:space="0" w:color="000000"/>
            </w:tcBorders>
          </w:tcPr>
          <w:p>
            <w:pPr/>
          </w:p>
        </w:tc>
        <w:tc>
          <w:tcPr>
            <w:tcW w:w="1854" w:type="dxa"/>
            <w:tcBorders>
              <w:top w:val="single" w:sz="12" w:space="0" w:color="000000"/>
              <w:left w:val="single" w:sz="6" w:space="0" w:color="000000"/>
              <w:bottom w:val="single" w:sz="12" w:space="0" w:color="000000"/>
              <w:right w:val="nil" w:sz="6" w:space="0" w:color="auto"/>
            </w:tcBorders>
          </w:tcPr>
          <w:p>
            <w:pPr/>
          </w:p>
        </w:tc>
      </w:tr>
      <w:tr>
        <w:trPr>
          <w:trHeight w:val="508"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当期净资产加权平均数</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3"/>
              <w:jc w:val="right"/>
              <w:rPr>
                <w:rFonts w:ascii="Times New Roman" w:hAnsi="Times New Roman" w:cs="Times New Roman" w:eastAsia="Times New Roman" w:hint="default"/>
                <w:sz w:val="18"/>
                <w:szCs w:val="18"/>
              </w:rPr>
            </w:pPr>
            <w:r>
              <w:rPr>
                <w:rFonts w:ascii="Times New Roman"/>
                <w:spacing w:val="-1"/>
                <w:sz w:val="18"/>
              </w:rPr>
              <w:t>1,998,350,259.99</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9"/>
              <w:jc w:val="right"/>
              <w:rPr>
                <w:rFonts w:ascii="Times New Roman" w:hAnsi="Times New Roman" w:cs="Times New Roman" w:eastAsia="Times New Roman" w:hint="default"/>
                <w:sz w:val="18"/>
                <w:szCs w:val="18"/>
              </w:rPr>
            </w:pPr>
            <w:r>
              <w:rPr>
                <w:rFonts w:ascii="Times New Roman"/>
                <w:spacing w:val="-1"/>
                <w:sz w:val="18"/>
              </w:rPr>
              <w:t>1,970,053,732.87</w:t>
            </w:r>
          </w:p>
        </w:tc>
      </w:tr>
      <w:tr>
        <w:trPr>
          <w:trHeight w:val="509" w:hRule="exact"/>
        </w:trPr>
        <w:tc>
          <w:tcPr>
            <w:tcW w:w="581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8"/>
              <w:ind w:left="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right"/>
              <w:rPr>
                <w:rFonts w:ascii="Times New Roman" w:hAnsi="Times New Roman" w:cs="Times New Roman" w:eastAsia="Times New Roman" w:hint="default"/>
                <w:sz w:val="18"/>
                <w:szCs w:val="18"/>
              </w:rPr>
            </w:pPr>
            <w:r>
              <w:rPr>
                <w:rFonts w:ascii="Times New Roman"/>
                <w:sz w:val="18"/>
              </w:rPr>
              <w:t>1.98%</w:t>
            </w:r>
          </w:p>
        </w:tc>
        <w:tc>
          <w:tcPr>
            <w:tcW w:w="18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right"/>
              <w:rPr>
                <w:rFonts w:ascii="Times New Roman" w:hAnsi="Times New Roman" w:cs="Times New Roman" w:eastAsia="Times New Roman" w:hint="default"/>
                <w:sz w:val="18"/>
                <w:szCs w:val="18"/>
              </w:rPr>
            </w:pPr>
            <w:r>
              <w:rPr>
                <w:rFonts w:ascii="Times New Roman"/>
                <w:sz w:val="18"/>
              </w:rPr>
              <w:t>2.40%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1"/>
        <w:spacing w:line="240" w:lineRule="auto"/>
        <w:ind w:left="3286" w:right="0"/>
        <w:jc w:val="left"/>
        <w:rPr>
          <w:b w:val="0"/>
          <w:bCs w:val="0"/>
        </w:rPr>
      </w:pPr>
      <w:bookmarkStart w:name="第十一节 备查文件目录" w:id="379"/>
      <w:bookmarkEnd w:id="379"/>
      <w:r>
        <w:rPr>
          <w:b w:val="0"/>
          <w:bCs w:val="0"/>
        </w:rPr>
      </w:r>
      <w:bookmarkStart w:name="_bookmark10" w:id="380"/>
      <w:bookmarkEnd w:id="380"/>
      <w:r>
        <w:rPr>
          <w:b w:val="0"/>
          <w:bCs w:val="0"/>
        </w:rPr>
      </w:r>
      <w:r>
        <w:rPr/>
        <w:t>第十一节</w:t>
      </w:r>
      <w:r>
        <w:rPr>
          <w:spacing w:val="-8"/>
        </w:rPr>
        <w:t> </w:t>
      </w:r>
      <w:r>
        <w:rPr/>
        <w:t>备查文件目录</w:t>
      </w:r>
      <w:r>
        <w:rPr>
          <w:b w:val="0"/>
          <w:bCs w:val="0"/>
        </w:rPr>
      </w:r>
    </w:p>
    <w:p>
      <w:pPr>
        <w:spacing w:line="240" w:lineRule="auto" w:before="9"/>
        <w:rPr>
          <w:rFonts w:ascii="宋体" w:hAnsi="宋体" w:cs="宋体" w:eastAsia="宋体" w:hint="default"/>
          <w:b/>
          <w:bCs/>
          <w:sz w:val="41"/>
          <w:szCs w:val="41"/>
        </w:rPr>
      </w:pPr>
    </w:p>
    <w:p>
      <w:pPr>
        <w:pStyle w:val="BodyText"/>
        <w:spacing w:line="403" w:lineRule="auto" w:before="0"/>
        <w:ind w:right="3193"/>
        <w:jc w:val="left"/>
      </w:pPr>
      <w:r>
        <w:rPr/>
        <w:t>一、载有公司法定代表人、财务总监、会计机构负责人签名并盖章的财务报告。 二、载有会计师事务所盖章，中国注册会计师签名并盖章的审计报告原件。 三、报告期内在中国证监会指定报纸上公开披露过的所有公司文件的正本的原稿。 四、载有公司董事长郭春林先生签名的公司</w:t>
      </w:r>
      <w:r>
        <w:rPr>
          <w:rFonts w:ascii="Times New Roman" w:hAnsi="Times New Roman" w:cs="Times New Roman" w:eastAsia="Times New Roman" w:hint="default"/>
        </w:rPr>
        <w:t>2015</w:t>
      </w:r>
      <w:r>
        <w:rPr/>
        <w:t>年度报告文本。 五、以上备查文件的备置地点：公司董事会秘书办公室。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614" w:lineRule="auto" w:before="166"/>
        <w:ind w:left="7607" w:right="1180" w:hanging="401"/>
        <w:jc w:val="left"/>
      </w:pPr>
      <w:r>
        <w:rPr/>
        <w:t>吉林紫鑫药业股份有限公司 董事长：郭春林</w:t>
      </w:r>
    </w:p>
    <w:p>
      <w:pPr>
        <w:pStyle w:val="BodyText"/>
        <w:spacing w:line="240" w:lineRule="auto" w:before="102"/>
        <w:ind w:left="0" w:right="1690"/>
        <w:jc w:val="righ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6032" type="#_x0000_t75" stroked="false">
          <v:imagedata r:id="rId1" o:title=""/>
        </v:shape>
      </w:pict>
    </w:r>
    <w:r>
      <w:rPr/>
      <w:pict>
        <v:shape style="position:absolute;margin-left:533.179993pt;margin-top:795.517944pt;width:6.5pt;height:11pt;mso-position-horizontal-relative:page;mso-position-vertical-relative:page;z-index:-10460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5984" type="#_x0000_t75" stroked="false">
          <v:imagedata r:id="rId1" o:title=""/>
        </v:shape>
      </w:pict>
    </w:r>
    <w:r>
      <w:rPr/>
      <w:pict>
        <v:shape style="position:absolute;margin-left:527.679993pt;margin-top:781.957947pt;width:13pt;height:11pt;mso-position-horizontal-relative:page;mso-position-vertical-relative:page;z-index:-1045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5936" type="#_x0000_t75" stroked="false">
          <v:imagedata r:id="rId1" o:title=""/>
        </v:shape>
      </w:pict>
    </w:r>
    <w:r>
      <w:rPr/>
      <w:pict>
        <v:shape style="position:absolute;margin-left:524.179993pt;margin-top:781.957947pt;width:15.5pt;height:11pt;mso-position-horizontal-relative:page;mso-position-vertical-relative:page;z-index:-10459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5888" type="#_x0000_t75" stroked="false">
          <v:imagedata r:id="rId1" o:title=""/>
        </v:shape>
      </w:pict>
    </w:r>
    <w:r>
      <w:rPr/>
      <w:pict>
        <v:shape style="position:absolute;margin-left:523.179993pt;margin-top:781.957947pt;width:17.5pt;height:11pt;mso-position-horizontal-relative:page;mso-position-vertical-relative:page;z-index:-104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5840" type="#_x0000_t75" stroked="false">
          <v:imagedata r:id="rId1" o:title=""/>
        </v:shape>
      </w:pict>
    </w:r>
    <w:r>
      <w:rPr/>
      <w:pict>
        <v:shape style="position:absolute;margin-left:524.179993pt;margin-top:781.957947pt;width:15.5pt;height:11pt;mso-position-horizontal-relative:page;mso-position-vertical-relative:page;z-index:-10458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45792" type="#_x0000_t75" stroked="false">
          <v:imagedata r:id="rId1" o:title=""/>
        </v:shape>
      </w:pict>
    </w:r>
    <w:r>
      <w:rPr/>
      <w:pict>
        <v:shape style="position:absolute;margin-left:523.179993pt;margin-top:781.957947pt;width:17.5pt;height:11pt;mso-position-horizontal-relative:page;mso-position-vertical-relative:page;z-index:-1045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0460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吉林紫鑫药业股份有限公司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1"/>
      <w:ind w:left="153"/>
    </w:pPr>
    <w:rPr>
      <w:rFonts w:ascii="宋体" w:hAnsi="宋体" w:eastAsia="宋体"/>
      <w:sz w:val="21"/>
      <w:szCs w:val="21"/>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Times New Roman" w:hAnsi="Times New Roman" w:eastAsia="Times New Roman"/>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linzixin.com.cn/" TargetMode="External"/><Relationship Id="rId10" Type="http://schemas.openxmlformats.org/officeDocument/2006/relationships/hyperlink" Target="mailto:zixin@zxpc.cc"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5.jpeg"/><Relationship Id="rId17" Type="http://schemas.openxmlformats.org/officeDocument/2006/relationships/footer" Target="footer5.xml"/><Relationship Id="rId18"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吉林紫鑫药业股份有限公司</dc:creator>
  <dc:title>吉林紫鑫药业股份有限公司2015年年度报告全文</dc:title>
  <dcterms:created xsi:type="dcterms:W3CDTF">2020-05-04T12:26:03Z</dcterms:created>
  <dcterms:modified xsi:type="dcterms:W3CDTF">2020-05-04T12:26:03Z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Office Word 2007</vt:lpwstr>
  </property>
  <property fmtid="{D5CDD505-2E9C-101B-9397-08002B2CF9AE}" pid="4" name="LastSaved">
    <vt:filetime>2020-05-04T00:00:00Z</vt:filetime>
  </property>
</Properties>
</file>