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0"/>
          <w:szCs w:val="20"/>
        </w:rPr>
      </w:pPr>
    </w:p>
    <w:p>
      <w:pPr>
        <w:spacing w:line="2220"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drawing>
          <wp:inline distT="0" distB="0" distL="0" distR="0">
            <wp:extent cx="1409699" cy="14097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699" cy="1409700"/>
                    </a:xfrm>
                    <a:prstGeom prst="rect">
                      <a:avLst/>
                    </a:prstGeom>
                  </pic:spPr>
                </pic:pic>
              </a:graphicData>
            </a:graphic>
          </wp:inline>
        </w:drawing>
      </w:r>
      <w:r>
        <w:rPr>
          <w:rFonts w:ascii="Times New Roman" w:hAnsi="Times New Roman" w:cs="Times New Roman" w:eastAsia="Times New Roman" w:hint="default"/>
          <w:position w:val="-43"/>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p>
      <w:pPr>
        <w:spacing w:line="460" w:lineRule="exact" w:before="0"/>
        <w:ind w:left="135" w:right="1112" w:firstLine="0"/>
        <w:jc w:val="center"/>
        <w:rPr>
          <w:rFonts w:ascii="宋体" w:hAnsi="宋体" w:cs="宋体" w:eastAsia="宋体" w:hint="default"/>
          <w:sz w:val="36"/>
          <w:szCs w:val="36"/>
        </w:rPr>
      </w:pPr>
      <w:r>
        <w:rPr>
          <w:rFonts w:ascii="宋体" w:hAnsi="宋体" w:cs="宋体" w:eastAsia="宋体" w:hint="default"/>
          <w:b/>
          <w:bCs/>
          <w:sz w:val="36"/>
          <w:szCs w:val="36"/>
        </w:rPr>
        <w:t>吉林紫鑫药业股份有限公司</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before="316"/>
        <w:ind w:left="135" w:right="111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12"/>
        <w:rPr>
          <w:rFonts w:ascii="宋体" w:hAnsi="宋体" w:cs="宋体" w:eastAsia="宋体" w:hint="default"/>
          <w:b/>
          <w:bCs/>
          <w:sz w:val="43"/>
          <w:szCs w:val="43"/>
        </w:rPr>
      </w:pPr>
    </w:p>
    <w:p>
      <w:pPr>
        <w:spacing w:before="0"/>
        <w:ind w:left="135" w:right="111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27"/>
          <w:szCs w:val="27"/>
        </w:rPr>
      </w:pPr>
    </w:p>
    <w:p>
      <w:pPr>
        <w:pStyle w:val="Heading1"/>
        <w:spacing w:line="240" w:lineRule="auto" w:before="1"/>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408" w:lineRule="auto" w:before="237"/>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公司负责人郭春林、主管会计工作负责人贺玉及会计机构负责人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彭瑞佳声明：保证年度报告中财务报告的真实、准确、完整。</w:t>
      </w:r>
      <w:r>
        <w:rPr>
          <w:rFonts w:ascii="宋体" w:hAnsi="宋体" w:cs="宋体" w:eastAsia="宋体" w:hint="default"/>
          <w:sz w:val="28"/>
          <w:szCs w:val="28"/>
        </w:rPr>
      </w:r>
    </w:p>
    <w:p>
      <w:pPr>
        <w:spacing w:line="408" w:lineRule="auto" w:before="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公司可能存在新产品开发风险、规模快速扩张带来的管理风险、原材料风</w:t>
      </w:r>
      <w:r>
        <w:rPr>
          <w:rFonts w:ascii="宋体" w:hAnsi="宋体" w:cs="宋体" w:eastAsia="宋体" w:hint="default"/>
          <w:spacing w:val="3"/>
          <w:sz w:val="28"/>
          <w:szCs w:val="28"/>
        </w:rPr>
      </w:r>
    </w:p>
    <w:p>
      <w:pPr>
        <w:spacing w:line="393" w:lineRule="auto" w:before="61"/>
        <w:ind w:left="153" w:right="1132" w:firstLine="0"/>
        <w:jc w:val="both"/>
        <w:rPr>
          <w:rFonts w:ascii="宋体" w:hAnsi="宋体" w:cs="宋体" w:eastAsia="宋体" w:hint="default"/>
          <w:sz w:val="28"/>
          <w:szCs w:val="28"/>
        </w:rPr>
      </w:pPr>
      <w:r>
        <w:rPr>
          <w:rFonts w:ascii="宋体" w:hAnsi="宋体" w:cs="宋体" w:eastAsia="宋体" w:hint="default"/>
          <w:b/>
          <w:bCs/>
          <w:spacing w:val="-1"/>
          <w:w w:val="95"/>
          <w:sz w:val="28"/>
          <w:szCs w:val="28"/>
        </w:rPr>
        <w:t>险、人才储备风险等，具体风险详见第四节经营情况讨论与分析第九部分</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公司</w:t>
      </w:r>
      <w:r>
        <w:rPr>
          <w:rFonts w:ascii="宋体" w:hAnsi="宋体" w:cs="宋体" w:eastAsia="宋体" w:hint="default"/>
          <w:b/>
          <w:bCs/>
          <w:spacing w:val="34"/>
          <w:w w:val="95"/>
          <w:sz w:val="28"/>
          <w:szCs w:val="28"/>
        </w:rPr>
        <w:t> </w:t>
      </w:r>
      <w:r>
        <w:rPr>
          <w:rFonts w:ascii="宋体" w:hAnsi="宋体" w:cs="宋体" w:eastAsia="宋体" w:hint="default"/>
          <w:b/>
          <w:bCs/>
          <w:spacing w:val="-2"/>
          <w:sz w:val="28"/>
          <w:szCs w:val="28"/>
        </w:rPr>
        <w:t>未来发展的展望</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中可能面对的风险。本报告中如有涉及未来的计划、发展战略</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等方面的内容，均不构成本公司对投资者的实质承诺，敬请广大投资者注意投</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资风险。</w:t>
      </w:r>
      <w:r>
        <w:rPr>
          <w:rFonts w:ascii="宋体" w:hAnsi="宋体" w:cs="宋体" w:eastAsia="宋体" w:hint="default"/>
          <w:sz w:val="28"/>
          <w:szCs w:val="28"/>
        </w:rPr>
      </w:r>
    </w:p>
    <w:p>
      <w:pPr>
        <w:spacing w:before="78"/>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before="99"/>
        <w:ind w:left="135" w:right="1111" w:firstLine="0"/>
        <w:jc w:val="center"/>
        <w:rPr>
          <w:rFonts w:ascii="宋体" w:hAnsi="宋体" w:cs="宋体" w:eastAsia="宋体" w:hint="default"/>
          <w:sz w:val="52"/>
          <w:szCs w:val="52"/>
        </w:rPr>
      </w:pPr>
      <w:r>
        <w:rPr>
          <w:rFonts w:ascii="宋体" w:hAnsi="宋体" w:cs="宋体" w:eastAsia="宋体" w:hint="default"/>
          <w:b/>
          <w:bCs/>
          <w:sz w:val="52"/>
          <w:szCs w:val="52"/>
        </w:rPr>
        <w:t>目录</w:t>
      </w:r>
      <w:r>
        <w:rPr>
          <w:rFonts w:ascii="宋体" w:hAnsi="宋体" w:cs="宋体" w:eastAsia="宋体" w:hint="default"/>
          <w:sz w:val="52"/>
          <w:szCs w:val="52"/>
        </w:rPr>
      </w:r>
    </w:p>
    <w:sdt>
      <w:sdtPr>
        <w:docPartObj>
          <w:docPartGallery w:val="Table of Contents"/>
          <w:docPartUnique/>
        </w:docPartObj>
      </w:sdtPr>
      <w:sdtEndPr/>
      <w:sdtContent>
        <w:p>
          <w:pPr>
            <w:pStyle w:val="TOC1"/>
            <w:tabs>
              <w:tab w:pos="9782" w:val="right" w:leader="dot"/>
            </w:tabs>
            <w:spacing w:line="240" w:lineRule="auto" w:before="914"/>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19</w:t>
            </w:r>
            <w:r>
              <w:rPr>
                <w:rFonts w:ascii="Times New Roman" w:hAnsi="Times New Roman" w:cs="Times New Roman" w:eastAsia="Times New Roman" w:hint="default"/>
                <w:b w:val="0"/>
                <w:bCs w:val="0"/>
              </w:rPr>
            </w:r>
          </w:hyperlink>
        </w:p>
        <w:p>
          <w:pPr>
            <w:pStyle w:val="TOC1"/>
            <w:tabs>
              <w:tab w:pos="978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8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9782" w:val="right" w:leader="dot"/>
            </w:tabs>
            <w:spacing w:line="240" w:lineRule="auto" w:before="177"/>
            <w:ind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财务报告</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t>193</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425"/>
        <w:ind w:left="135" w:right="111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78"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79"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0"/>
              <w:ind w:left="22" w:right="0"/>
              <w:jc w:val="left"/>
              <w:rPr>
                <w:rFonts w:ascii="宋体" w:hAnsi="宋体" w:cs="宋体" w:eastAsia="宋体" w:hint="default"/>
                <w:sz w:val="18"/>
                <w:szCs w:val="18"/>
              </w:rPr>
            </w:pPr>
            <w:r>
              <w:rPr>
                <w:rFonts w:ascii="宋体" w:hAnsi="宋体" w:cs="宋体" w:eastAsia="宋体" w:hint="default"/>
                <w:sz w:val="18"/>
                <w:szCs w:val="18"/>
              </w:rPr>
              <w:t>公司、本公司、紫鑫药业、紫鑫</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left="22" w:right="0"/>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p>
        </w:tc>
      </w:tr>
      <w:tr>
        <w:trPr>
          <w:trHeight w:val="47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控股股东、第一大股东、康平公司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敦化市康平投资有限责任公司</w:t>
            </w:r>
          </w:p>
        </w:tc>
      </w:tr>
      <w:tr>
        <w:trPr>
          <w:trHeight w:val="47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敦化医药材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吉林紫鑫敦化医药药材有限公司</w:t>
            </w:r>
          </w:p>
        </w:tc>
      </w:tr>
      <w:tr>
        <w:trPr>
          <w:trHeight w:val="479"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红石种养殖</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吉林紫鑫红石种养殖有限公司</w:t>
            </w:r>
          </w:p>
        </w:tc>
      </w:tr>
      <w:tr>
        <w:trPr>
          <w:trHeight w:val="47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草还丹药业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吉林草还丹药业有限公司</w:t>
            </w:r>
          </w:p>
        </w:tc>
      </w:tr>
      <w:tr>
        <w:trPr>
          <w:trHeight w:val="47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紫鑫般若</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吉林紫鑫般若药业有限公司</w:t>
            </w:r>
          </w:p>
        </w:tc>
      </w:tr>
      <w:tr>
        <w:trPr>
          <w:trHeight w:val="479"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紫鑫初元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吉林紫鑫初元药业有限公司</w:t>
            </w:r>
          </w:p>
        </w:tc>
      </w:tr>
      <w:tr>
        <w:trPr>
          <w:trHeight w:val="47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紫鑫药研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吉林紫鑫药物研究有限公司</w:t>
            </w:r>
          </w:p>
        </w:tc>
      </w:tr>
      <w:tr>
        <w:trPr>
          <w:trHeight w:val="47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紫鑫禺拙</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吉林紫鑫禺拙药业有限公司</w:t>
            </w:r>
          </w:p>
        </w:tc>
      </w:tr>
      <w:tr>
        <w:trPr>
          <w:trHeight w:val="479"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紫鑫参研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吉林紫鑫人参研发有限公司</w:t>
            </w:r>
          </w:p>
        </w:tc>
      </w:tr>
      <w:tr>
        <w:trPr>
          <w:trHeight w:val="47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紫鑫金桂药业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吉林紫鑫金桂药业有限公司</w:t>
            </w:r>
          </w:p>
        </w:tc>
      </w:tr>
      <w:tr>
        <w:trPr>
          <w:trHeight w:val="47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紫鑫高科技食品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吉林紫鑫高科技功能食品有限公司</w:t>
            </w:r>
          </w:p>
        </w:tc>
      </w:tr>
      <w:tr>
        <w:trPr>
          <w:trHeight w:val="479"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0"/>
              <w:ind w:left="22" w:right="0"/>
              <w:jc w:val="left"/>
              <w:rPr>
                <w:rFonts w:ascii="宋体" w:hAnsi="宋体" w:cs="宋体" w:eastAsia="宋体" w:hint="default"/>
                <w:sz w:val="18"/>
                <w:szCs w:val="18"/>
              </w:rPr>
            </w:pPr>
            <w:r>
              <w:rPr>
                <w:rFonts w:ascii="宋体" w:hAnsi="宋体" w:cs="宋体" w:eastAsia="宋体" w:hint="default"/>
                <w:sz w:val="18"/>
                <w:szCs w:val="18"/>
              </w:rPr>
              <w:t>紫鑫参售</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left="22" w:right="0"/>
              <w:jc w:val="left"/>
              <w:rPr>
                <w:rFonts w:ascii="宋体" w:hAnsi="宋体" w:cs="宋体" w:eastAsia="宋体" w:hint="default"/>
                <w:sz w:val="18"/>
                <w:szCs w:val="18"/>
              </w:rPr>
            </w:pPr>
            <w:r>
              <w:rPr>
                <w:rFonts w:ascii="宋体" w:hAnsi="宋体" w:cs="宋体" w:eastAsia="宋体" w:hint="default"/>
                <w:sz w:val="18"/>
                <w:szCs w:val="18"/>
              </w:rPr>
              <w:t>吉林紫鑫人参销售有限公司</w:t>
            </w:r>
          </w:p>
        </w:tc>
      </w:tr>
      <w:tr>
        <w:trPr>
          <w:trHeight w:val="47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吉林中科紫鑫</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吉林中科紫鑫科技有限公司</w:t>
            </w:r>
          </w:p>
        </w:tc>
      </w:tr>
      <w:tr>
        <w:trPr>
          <w:trHeight w:val="47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香港中科紫鑫</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香港中科紫鑫科技有限公司</w:t>
            </w:r>
          </w:p>
        </w:tc>
      </w:tr>
      <w:tr>
        <w:trPr>
          <w:trHeight w:val="479"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北京中科紫鑫</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北京中科紫鑫科技有限责任公司</w:t>
            </w:r>
          </w:p>
        </w:tc>
      </w:tr>
      <w:tr>
        <w:trPr>
          <w:trHeight w:val="47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敦化中科紫鑫</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敦化市中科紫鑫科技有限公司</w:t>
            </w:r>
          </w:p>
        </w:tc>
      </w:tr>
      <w:tr>
        <w:trPr>
          <w:trHeight w:val="47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环能交易所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北方环境能源交易所有限公司</w:t>
            </w:r>
          </w:p>
        </w:tc>
      </w:tr>
      <w:tr>
        <w:trPr>
          <w:trHeight w:val="479"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紫鑫参工堂</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吉林紫鑫参工堂生物科技有限公司</w:t>
            </w:r>
          </w:p>
        </w:tc>
      </w:tr>
      <w:tr>
        <w:trPr>
          <w:trHeight w:val="47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长春农商行</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长春农村商业银行股份有限公司</w:t>
            </w:r>
          </w:p>
        </w:tc>
      </w:tr>
      <w:tr>
        <w:trPr>
          <w:trHeight w:val="47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吉林紫鑫药业股份有限公司董事会</w:t>
            </w:r>
          </w:p>
        </w:tc>
      </w:tr>
      <w:tr>
        <w:trPr>
          <w:trHeight w:val="479"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吉林紫鑫药业股份有限公司监事会</w:t>
            </w:r>
          </w:p>
        </w:tc>
      </w:tr>
      <w:tr>
        <w:trPr>
          <w:trHeight w:val="47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7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79"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7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47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吉林紫鑫药业股份有限公司章程</w:t>
            </w:r>
          </w:p>
        </w:tc>
      </w:tr>
      <w:tr>
        <w:trPr>
          <w:trHeight w:val="94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OTC</w:t>
            </w:r>
            <w:r>
              <w:rPr>
                <w:rFonts w:ascii="宋体" w:hAnsi="宋体" w:cs="宋体" w:eastAsia="宋体" w:hint="default"/>
                <w:sz w:val="18"/>
                <w:szCs w:val="18"/>
              </w:rPr>
              <w:t>、非处方药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不需凭执业医师或执业助理医师开具的处方便可自行购买和使用的</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药品</w:t>
            </w:r>
          </w:p>
        </w:tc>
      </w:tr>
      <w:tr>
        <w:trPr>
          <w:trHeight w:val="94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处方药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pacing w:val="-2"/>
                <w:sz w:val="18"/>
                <w:szCs w:val="18"/>
              </w:rPr>
              <w:t>凭执业医师或执业助理医师开具的处方才可以调配、购买和使用的药</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品</w:t>
            </w:r>
          </w:p>
        </w:tc>
      </w:tr>
      <w:tr>
        <w:trPr>
          <w:trHeight w:val="94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中准会计师事务所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pacing w:val="-2"/>
                <w:sz w:val="18"/>
                <w:szCs w:val="18"/>
              </w:rPr>
              <w:t>中准会计师事务所有限公司，后更名为中准会计师事务所（特殊普通</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合伙）</w:t>
            </w:r>
          </w:p>
        </w:tc>
      </w:tr>
      <w:tr>
        <w:trPr>
          <w:trHeight w:val="47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京都律师事务所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北京市京都律师事务所</w:t>
            </w:r>
          </w:p>
        </w:tc>
      </w:tr>
      <w:tr>
        <w:trPr>
          <w:trHeight w:val="47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东吴证券</w:t>
            </w:r>
            <w:r>
              <w:rPr>
                <w:rFonts w:ascii="Times New Roman" w:hAnsi="Times New Roman" w:cs="Times New Roman" w:eastAsia="Times New Roman" w:hint="default"/>
                <w:sz w:val="18"/>
                <w:szCs w:val="18"/>
              </w:rPr>
              <w:t>/</w:t>
            </w:r>
            <w:r>
              <w:rPr>
                <w:rFonts w:ascii="宋体" w:hAnsi="宋体" w:cs="宋体" w:eastAsia="宋体" w:hint="default"/>
                <w:sz w:val="18"/>
                <w:szCs w:val="18"/>
              </w:rPr>
              <w:t>主承销商</w:t>
            </w:r>
            <w:r>
              <w:rPr>
                <w:rFonts w:ascii="Times New Roman" w:hAnsi="Times New Roman" w:cs="Times New Roman" w:eastAsia="Times New Roman" w:hint="default"/>
                <w:sz w:val="18"/>
                <w:szCs w:val="18"/>
              </w:rPr>
              <w:t>/</w:t>
            </w:r>
            <w:r>
              <w:rPr>
                <w:rFonts w:ascii="宋体" w:hAnsi="宋体" w:cs="宋体" w:eastAsia="宋体" w:hint="default"/>
                <w:sz w:val="18"/>
                <w:szCs w:val="18"/>
              </w:rPr>
              <w:t>保荐机构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东吴证券股份有限公司</w:t>
            </w:r>
          </w:p>
        </w:tc>
      </w:tr>
      <w:tr>
        <w:trPr>
          <w:trHeight w:val="94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88"/>
              <w:ind w:left="22" w:right="130"/>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年度非公开发行人民币普通股（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股）股票</w:t>
            </w:r>
          </w:p>
        </w:tc>
      </w:tr>
      <w:tr>
        <w:trPr>
          <w:trHeight w:val="47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员工持股计划</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年员工持股计划</w:t>
            </w:r>
          </w:p>
        </w:tc>
      </w:tr>
      <w:tr>
        <w:trPr>
          <w:trHeight w:val="47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指人民币元、人民币万元</w:t>
            </w:r>
          </w:p>
        </w:tc>
      </w:tr>
      <w:tr>
        <w:trPr>
          <w:trHeight w:val="47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月的会计期间</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6"/>
          <w:szCs w:val="16"/>
        </w:rPr>
      </w:pPr>
    </w:p>
    <w:p>
      <w:pPr>
        <w:pStyle w:val="Heading1"/>
        <w:spacing w:line="240" w:lineRule="auto" w:before="1"/>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10"/>
        <w:rPr>
          <w:rFonts w:ascii="宋体" w:hAnsi="宋体" w:cs="宋体" w:eastAsia="宋体" w:hint="default"/>
          <w:b/>
          <w:bCs/>
          <w:sz w:val="12"/>
          <w:szCs w:val="12"/>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79"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sz w:val="18"/>
                <w:szCs w:val="18"/>
              </w:rPr>
              <w:t>紫鑫药业</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left="27" w:right="0"/>
              <w:jc w:val="left"/>
              <w:rPr>
                <w:rFonts w:ascii="Times New Roman" w:hAnsi="Times New Roman" w:cs="Times New Roman" w:eastAsia="Times New Roman" w:hint="default"/>
                <w:sz w:val="18"/>
                <w:szCs w:val="18"/>
              </w:rPr>
            </w:pPr>
            <w:r>
              <w:rPr>
                <w:rFonts w:ascii="Times New Roman"/>
                <w:sz w:val="18"/>
              </w:rPr>
              <w:t>002118</w:t>
            </w:r>
          </w:p>
        </w:tc>
      </w:tr>
      <w:tr>
        <w:trPr>
          <w:trHeight w:val="478"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78"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88"/>
              <w:ind w:left="28" w:right="0"/>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p>
        </w:tc>
      </w:tr>
      <w:tr>
        <w:trPr>
          <w:trHeight w:val="478"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88"/>
              <w:ind w:left="28" w:right="0"/>
              <w:jc w:val="left"/>
              <w:rPr>
                <w:rFonts w:ascii="宋体" w:hAnsi="宋体" w:cs="宋体" w:eastAsia="宋体" w:hint="default"/>
                <w:sz w:val="18"/>
                <w:szCs w:val="18"/>
              </w:rPr>
            </w:pPr>
            <w:r>
              <w:rPr>
                <w:rFonts w:ascii="宋体" w:hAnsi="宋体" w:cs="宋体" w:eastAsia="宋体" w:hint="default"/>
                <w:sz w:val="18"/>
                <w:szCs w:val="18"/>
              </w:rPr>
              <w:t>紫鑫药业</w:t>
            </w:r>
          </w:p>
        </w:tc>
      </w:tr>
      <w:tr>
        <w:trPr>
          <w:trHeight w:val="479"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9"/>
              <w:ind w:left="28" w:right="0"/>
              <w:jc w:val="left"/>
              <w:rPr>
                <w:rFonts w:ascii="Times New Roman" w:hAnsi="Times New Roman" w:cs="Times New Roman" w:eastAsia="Times New Roman" w:hint="default"/>
                <w:sz w:val="18"/>
                <w:szCs w:val="18"/>
              </w:rPr>
            </w:pPr>
            <w:r>
              <w:rPr>
                <w:rFonts w:ascii="Times New Roman"/>
                <w:sz w:val="18"/>
              </w:rPr>
              <w:t>JILIN ZIXIN PHARMACEUTICAL INDUSTRIAL</w:t>
            </w:r>
            <w:r>
              <w:rPr>
                <w:rFonts w:ascii="Times New Roman"/>
                <w:spacing w:val="-14"/>
                <w:sz w:val="18"/>
              </w:rPr>
              <w:t> </w:t>
            </w:r>
            <w:r>
              <w:rPr>
                <w:rFonts w:ascii="Times New Roman"/>
                <w:spacing w:val="-3"/>
                <w:sz w:val="18"/>
              </w:rPr>
              <w:t>CO.,LTD</w:t>
            </w:r>
          </w:p>
        </w:tc>
      </w:tr>
      <w:tr>
        <w:trPr>
          <w:trHeight w:val="478"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88"/>
              <w:ind w:left="28" w:right="0"/>
              <w:jc w:val="left"/>
              <w:rPr>
                <w:rFonts w:ascii="宋体" w:hAnsi="宋体" w:cs="宋体" w:eastAsia="宋体" w:hint="default"/>
                <w:sz w:val="18"/>
                <w:szCs w:val="18"/>
              </w:rPr>
            </w:pPr>
            <w:r>
              <w:rPr>
                <w:rFonts w:ascii="宋体" w:hAnsi="宋体" w:cs="宋体" w:eastAsia="宋体" w:hint="default"/>
                <w:sz w:val="18"/>
                <w:szCs w:val="18"/>
              </w:rPr>
              <w:t>郭春林</w:t>
            </w:r>
          </w:p>
        </w:tc>
      </w:tr>
      <w:tr>
        <w:trPr>
          <w:trHeight w:val="478"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88"/>
              <w:ind w:left="28" w:right="0"/>
              <w:jc w:val="left"/>
              <w:rPr>
                <w:rFonts w:ascii="宋体" w:hAnsi="宋体" w:cs="宋体" w:eastAsia="宋体" w:hint="default"/>
                <w:sz w:val="18"/>
                <w:szCs w:val="18"/>
              </w:rPr>
            </w:pPr>
            <w:r>
              <w:rPr>
                <w:rFonts w:ascii="宋体" w:hAnsi="宋体" w:cs="宋体" w:eastAsia="宋体" w:hint="default"/>
                <w:sz w:val="18"/>
                <w:szCs w:val="18"/>
              </w:rPr>
              <w:t>吉林省柳河县英利路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79"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9"/>
              <w:ind w:left="28" w:right="0"/>
              <w:jc w:val="left"/>
              <w:rPr>
                <w:rFonts w:ascii="Times New Roman" w:hAnsi="Times New Roman" w:cs="Times New Roman" w:eastAsia="Times New Roman" w:hint="default"/>
                <w:sz w:val="18"/>
                <w:szCs w:val="18"/>
              </w:rPr>
            </w:pPr>
            <w:r>
              <w:rPr>
                <w:rFonts w:ascii="Times New Roman"/>
                <w:sz w:val="18"/>
              </w:rPr>
              <w:t>135300</w:t>
            </w:r>
          </w:p>
        </w:tc>
      </w:tr>
      <w:tr>
        <w:trPr>
          <w:trHeight w:val="478"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88"/>
              <w:ind w:left="28" w:right="0"/>
              <w:jc w:val="left"/>
              <w:rPr>
                <w:rFonts w:ascii="宋体" w:hAnsi="宋体" w:cs="宋体" w:eastAsia="宋体" w:hint="default"/>
                <w:sz w:val="18"/>
                <w:szCs w:val="18"/>
              </w:rPr>
            </w:pPr>
            <w:r>
              <w:rPr>
                <w:rFonts w:ascii="宋体" w:hAnsi="宋体" w:cs="宋体" w:eastAsia="宋体" w:hint="default"/>
                <w:sz w:val="18"/>
                <w:szCs w:val="18"/>
              </w:rPr>
              <w:t>吉林省长春市南关区东头道街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78"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left="28" w:right="0"/>
              <w:jc w:val="left"/>
              <w:rPr>
                <w:rFonts w:ascii="Times New Roman" w:hAnsi="Times New Roman" w:cs="Times New Roman" w:eastAsia="Times New Roman" w:hint="default"/>
                <w:sz w:val="18"/>
                <w:szCs w:val="18"/>
              </w:rPr>
            </w:pPr>
            <w:r>
              <w:rPr>
                <w:rFonts w:ascii="Times New Roman"/>
                <w:sz w:val="18"/>
              </w:rPr>
              <w:t>130041</w:t>
            </w:r>
          </w:p>
        </w:tc>
      </w:tr>
      <w:tr>
        <w:trPr>
          <w:trHeight w:val="479"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9"/>
              <w:ind w:left="28" w:right="0"/>
              <w:jc w:val="left"/>
              <w:rPr>
                <w:rFonts w:ascii="Times New Roman" w:hAnsi="Times New Roman" w:cs="Times New Roman" w:eastAsia="Times New Roman" w:hint="default"/>
                <w:sz w:val="18"/>
                <w:szCs w:val="18"/>
              </w:rPr>
            </w:pPr>
            <w:hyperlink r:id="rId9">
              <w:r>
                <w:rPr>
                  <w:rFonts w:ascii="Times New Roman"/>
                  <w:sz w:val="18"/>
                </w:rPr>
                <w:t>http://www.jilinzixin.com.cn</w:t>
              </w:r>
            </w:hyperlink>
          </w:p>
        </w:tc>
      </w:tr>
      <w:tr>
        <w:trPr>
          <w:trHeight w:val="478"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left="28" w:right="0"/>
              <w:jc w:val="left"/>
              <w:rPr>
                <w:rFonts w:ascii="Times New Roman" w:hAnsi="Times New Roman" w:cs="Times New Roman" w:eastAsia="Times New Roman" w:hint="default"/>
                <w:sz w:val="18"/>
                <w:szCs w:val="18"/>
              </w:rPr>
            </w:pPr>
            <w:hyperlink r:id="rId10">
              <w:r>
                <w:rPr>
                  <w:rFonts w:ascii="Times New Roman"/>
                  <w:sz w:val="18"/>
                </w:rPr>
                <w:t>zixin@zxpc.cc</w:t>
              </w:r>
            </w:hyperlink>
          </w:p>
        </w:tc>
      </w:tr>
    </w:tbl>
    <w:p>
      <w:pPr>
        <w:pStyle w:val="Heading2"/>
        <w:spacing w:line="240" w:lineRule="auto" w:before="40"/>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79"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7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张万恒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邵旭</w:t>
            </w:r>
          </w:p>
        </w:tc>
      </w:tr>
      <w:tr>
        <w:trPr>
          <w:trHeight w:val="47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吉林省长春市南关区东头道街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吉林省长春市南关区东头道街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79"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sz w:val="18"/>
              </w:rPr>
              <w:t>0431-81916633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sz w:val="18"/>
              </w:rPr>
              <w:t>0431-81916633</w:t>
            </w:r>
          </w:p>
        </w:tc>
      </w:tr>
      <w:tr>
        <w:trPr>
          <w:trHeight w:val="47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0431-88698366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0431-88698366</w:t>
            </w:r>
          </w:p>
        </w:tc>
      </w:tr>
      <w:tr>
        <w:trPr>
          <w:trHeight w:val="479"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22" w:right="0"/>
              <w:jc w:val="left"/>
              <w:rPr>
                <w:rFonts w:ascii="Times New Roman" w:hAnsi="Times New Roman" w:cs="Times New Roman" w:eastAsia="Times New Roman" w:hint="default"/>
                <w:sz w:val="18"/>
                <w:szCs w:val="18"/>
              </w:rPr>
            </w:pPr>
            <w:hyperlink r:id="rId10">
              <w:r>
                <w:rPr>
                  <w:rFonts w:ascii="Times New Roman"/>
                  <w:sz w:val="18"/>
                </w:rPr>
                <w:t>zixin@zxpc.cc</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Times New Roman" w:hAnsi="Times New Roman" w:cs="Times New Roman" w:eastAsia="Times New Roman" w:hint="default"/>
                <w:sz w:val="18"/>
                <w:szCs w:val="18"/>
              </w:rPr>
            </w:pPr>
            <w:hyperlink r:id="rId10">
              <w:r>
                <w:rPr>
                  <w:rFonts w:ascii="Times New Roman"/>
                  <w:sz w:val="18"/>
                </w:rPr>
                <w:t>zixin@zxpc.cc</w:t>
              </w:r>
            </w:hyperlink>
          </w:p>
        </w:tc>
      </w:tr>
    </w:tbl>
    <w:p>
      <w:pPr>
        <w:pStyle w:val="Heading2"/>
        <w:spacing w:line="240" w:lineRule="auto" w:before="40"/>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78"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78"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78"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pStyle w:val="Heading2"/>
        <w:spacing w:line="240" w:lineRule="auto" w:before="40"/>
        <w:ind w:left="154"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7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7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7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有）</w:t>
            </w:r>
          </w:p>
        </w:tc>
        <w:tc>
          <w:tcPr>
            <w:tcW w:w="6379"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pStyle w:val="Heading2"/>
        <w:spacing w:line="240" w:lineRule="auto" w:before="40"/>
        <w:ind w:left="154" w:right="0"/>
        <w:jc w:val="left"/>
        <w:rPr>
          <w:b w:val="0"/>
          <w:bCs w:val="0"/>
        </w:rPr>
      </w:pPr>
      <w:bookmarkStart w:name="五、其他有关资料" w:id="9"/>
      <w:bookmarkEnd w:id="9"/>
      <w:r>
        <w:rPr>
          <w:b w:val="0"/>
          <w:bCs w:val="0"/>
        </w:rPr>
      </w:r>
      <w:r>
        <w:rPr/>
        <w:t>五、其他有关资料</w:t>
      </w:r>
      <w:r>
        <w:rPr>
          <w:b w:val="0"/>
          <w:bCs w:val="0"/>
        </w:rPr>
      </w:r>
    </w:p>
    <w:p>
      <w:pPr>
        <w:spacing w:before="203"/>
        <w:ind w:left="15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78"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中准会计师事务所（特殊普通合伙）</w:t>
            </w:r>
          </w:p>
        </w:tc>
      </w:tr>
      <w:tr>
        <w:trPr>
          <w:trHeight w:val="479"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北京市海淀区首体南路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号国兴大厦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78"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韩波、刘昆</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240" w:lineRule="auto" w:before="10"/>
        <w:rPr>
          <w:rFonts w:ascii="宋体" w:hAnsi="宋体" w:cs="宋体" w:eastAsia="宋体" w:hint="default"/>
          <w:sz w:val="17"/>
          <w:szCs w:val="17"/>
        </w:rPr>
      </w:pPr>
    </w:p>
    <w:p>
      <w:pPr>
        <w:spacing w:line="451"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7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78"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4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东吴证券股份有限公司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3" w:right="114"/>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深圳市南山区科技工业园科 苑路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号金融科技大厦</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18</w:t>
            </w:r>
          </w:p>
          <w:p>
            <w:pPr>
              <w:pStyle w:val="TableParagraph"/>
              <w:spacing w:line="240" w:lineRule="auto" w:before="2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楼</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C/D</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蒋序全、李佳佳</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Heading2"/>
        <w:spacing w:line="240" w:lineRule="auto" w:before="40"/>
        <w:ind w:left="154"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before="202"/>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line="240" w:lineRule="auto" w:before="10"/>
        <w:rPr>
          <w:rFonts w:ascii="宋体" w:hAnsi="宋体" w:cs="宋体" w:eastAsia="宋体" w:hint="default"/>
          <w:sz w:val="17"/>
          <w:szCs w:val="1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79"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7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1,327,230,839.27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819,515,547.34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61.95%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633,260,028.20</w:t>
            </w:r>
          </w:p>
        </w:tc>
      </w:tr>
      <w:tr>
        <w:trPr>
          <w:trHeight w:val="94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371,577,386.43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163,166,427.53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127.73%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39,591,514.07</w:t>
            </w:r>
          </w:p>
        </w:tc>
      </w:tr>
      <w:tr>
        <w:trPr>
          <w:trHeight w:val="947"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365,984,300.53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128,975,900.21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183.76%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9,675,688.91</w:t>
            </w:r>
          </w:p>
        </w:tc>
      </w:tr>
      <w:tr>
        <w:trPr>
          <w:trHeight w:val="94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pacing w:val="-1"/>
                <w:sz w:val="18"/>
              </w:rPr>
              <w:t>-1,320,518,734.20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-231,882,651.35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w w:val="95"/>
                <w:sz w:val="18"/>
              </w:rPr>
              <w:t>-469.48%</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217,319,944.92</w:t>
            </w:r>
          </w:p>
        </w:tc>
      </w:tr>
      <w:tr>
        <w:trPr>
          <w:trHeight w:val="47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0.29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123.08%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0.04</w:t>
            </w:r>
          </w:p>
        </w:tc>
      </w:tr>
      <w:tr>
        <w:trPr>
          <w:trHeight w:val="479"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0.29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0.13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123.08%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0.04</w:t>
            </w:r>
          </w:p>
        </w:tc>
      </w:tr>
      <w:tr>
        <w:trPr>
          <w:trHeight w:val="47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9.46%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5.20%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4.26%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7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79"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452" w:right="0"/>
              <w:jc w:val="left"/>
              <w:rPr>
                <w:rFonts w:ascii="Times New Roman" w:hAnsi="Times New Roman" w:cs="Times New Roman" w:eastAsia="Times New Roman" w:hint="default"/>
                <w:sz w:val="18"/>
                <w:szCs w:val="18"/>
              </w:rPr>
            </w:pPr>
            <w:r>
              <w:rPr>
                <w:rFonts w:ascii="Times New Roman"/>
                <w:sz w:val="18"/>
              </w:rPr>
              <w:t>8,879,497,809.11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43" w:right="0"/>
              <w:jc w:val="left"/>
              <w:rPr>
                <w:rFonts w:ascii="Times New Roman" w:hAnsi="Times New Roman" w:cs="Times New Roman" w:eastAsia="Times New Roman" w:hint="default"/>
                <w:sz w:val="18"/>
                <w:szCs w:val="18"/>
              </w:rPr>
            </w:pPr>
            <w:r>
              <w:rPr>
                <w:rFonts w:ascii="Times New Roman"/>
                <w:sz w:val="18"/>
              </w:rPr>
              <w:t>6,633,834,594.08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33.85%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42" w:right="0"/>
              <w:jc w:val="left"/>
              <w:rPr>
                <w:rFonts w:ascii="Times New Roman" w:hAnsi="Times New Roman" w:cs="Times New Roman" w:eastAsia="Times New Roman" w:hint="default"/>
                <w:sz w:val="18"/>
                <w:szCs w:val="18"/>
              </w:rPr>
            </w:pPr>
            <w:r>
              <w:rPr>
                <w:rFonts w:ascii="Times New Roman"/>
                <w:sz w:val="18"/>
              </w:rPr>
              <w:t>4,998,106,954.08</w:t>
            </w:r>
          </w:p>
        </w:tc>
      </w:tr>
      <w:tr>
        <w:trPr>
          <w:trHeight w:val="94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45" w:right="0"/>
              <w:jc w:val="left"/>
              <w:rPr>
                <w:rFonts w:ascii="Times New Roman" w:hAnsi="Times New Roman" w:cs="Times New Roman" w:eastAsia="Times New Roman" w:hint="default"/>
                <w:sz w:val="18"/>
                <w:szCs w:val="18"/>
              </w:rPr>
            </w:pPr>
            <w:r>
              <w:rPr>
                <w:rFonts w:ascii="Times New Roman"/>
                <w:sz w:val="18"/>
              </w:rPr>
              <w:t>4,130,820,879.57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43" w:right="0"/>
              <w:jc w:val="left"/>
              <w:rPr>
                <w:rFonts w:ascii="Times New Roman" w:hAnsi="Times New Roman" w:cs="Times New Roman" w:eastAsia="Times New Roman" w:hint="default"/>
                <w:sz w:val="18"/>
                <w:szCs w:val="18"/>
              </w:rPr>
            </w:pPr>
            <w:r>
              <w:rPr>
                <w:rFonts w:ascii="Times New Roman"/>
                <w:sz w:val="18"/>
              </w:rPr>
              <w:t>3,743,268,487.45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10.35%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42" w:right="0"/>
              <w:jc w:val="left"/>
              <w:rPr>
                <w:rFonts w:ascii="Times New Roman" w:hAnsi="Times New Roman" w:cs="Times New Roman" w:eastAsia="Times New Roman" w:hint="default"/>
                <w:sz w:val="18"/>
                <w:szCs w:val="18"/>
              </w:rPr>
            </w:pPr>
            <w:r>
              <w:rPr>
                <w:rFonts w:ascii="Times New Roman"/>
                <w:sz w:val="18"/>
              </w:rPr>
              <w:t>2,013,306,332.23</w:t>
            </w:r>
          </w:p>
        </w:tc>
      </w:tr>
    </w:tbl>
    <w:p>
      <w:pPr>
        <w:pStyle w:val="Heading2"/>
        <w:spacing w:line="240" w:lineRule="auto" w:before="40"/>
        <w:ind w:left="154"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pStyle w:val="Heading3"/>
        <w:spacing w:line="240" w:lineRule="auto" w:before="177"/>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6"/>
        <w:rPr>
          <w:rFonts w:ascii="宋体" w:hAnsi="宋体" w:cs="宋体" w:eastAsia="宋体" w:hint="default"/>
          <w:b/>
          <w:bCs/>
          <w:sz w:val="15"/>
          <w:szCs w:val="15"/>
        </w:rPr>
      </w:pPr>
    </w:p>
    <w:p>
      <w:pPr>
        <w:spacing w:line="451" w:lineRule="auto" w:before="0"/>
        <w:ind w:left="153" w:right="2293"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 </w:t>
      </w:r>
      <w:bookmarkStart w:name="2、同时按照境外会计准则与按照中国会计准则披露的财务报告中净利润和净资产差异情况" w:id="13"/>
      <w:bookmarkEnd w:id="13"/>
      <w:r>
        <w:rPr>
          <w:rFonts w:ascii="宋体" w:hAnsi="宋体" w:cs="宋体" w:eastAsia="宋体" w:hint="default"/>
          <w:sz w:val="18"/>
          <w:szCs w:val="18"/>
        </w:rPr>
      </w:r>
      <w:r>
        <w:rPr>
          <w:rFonts w:ascii="Times New Roman" w:hAnsi="Times New Roman" w:cs="Times New Roman" w:eastAsia="Times New Roman" w:hint="default"/>
          <w:b/>
          <w:bCs/>
          <w:w w:val="95"/>
          <w:sz w:val="21"/>
          <w:szCs w:val="21"/>
        </w:rPr>
        <w:t>2</w:t>
      </w:r>
      <w:r>
        <w:rPr>
          <w:rFonts w:ascii="宋体" w:hAnsi="宋体" w:cs="宋体" w:eastAsia="宋体" w:hint="default"/>
          <w:b/>
          <w:bCs/>
          <w:w w:val="95"/>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451" w:lineRule="auto" w:before="0"/>
        <w:ind w:left="15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pStyle w:val="Heading2"/>
        <w:spacing w:line="240" w:lineRule="auto" w:before="25"/>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79"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7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180,364,167.93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273,148,761.17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296,966,449.26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576,751,460.91</w:t>
            </w:r>
          </w:p>
        </w:tc>
      </w:tr>
      <w:tr>
        <w:trPr>
          <w:trHeight w:val="47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35,272,594.96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75,071,121.23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48,577,118.60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212,656,551.64</w:t>
            </w:r>
          </w:p>
        </w:tc>
      </w:tr>
      <w:tr>
        <w:trPr>
          <w:trHeight w:val="947"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33,513,114.76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60,017,804.24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47,163,948.55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225,289,432.98</w:t>
            </w:r>
          </w:p>
        </w:tc>
      </w:tr>
      <w:tr>
        <w:trPr>
          <w:trHeight w:val="47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-113,433,754.27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-513,709,238.07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-1,231,167,968.54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537,792,226.68</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line="240" w:lineRule="auto" w:before="10"/>
        <w:rPr>
          <w:rFonts w:ascii="宋体" w:hAnsi="宋体" w:cs="宋体" w:eastAsia="宋体" w:hint="default"/>
          <w:sz w:val="17"/>
          <w:szCs w:val="1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3"/>
          <w:szCs w:val="13"/>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before="2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79"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94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108,371.75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52" w:right="0"/>
              <w:jc w:val="left"/>
              <w:rPr>
                <w:rFonts w:ascii="Times New Roman" w:hAnsi="Times New Roman" w:cs="Times New Roman" w:eastAsia="Times New Roman" w:hint="default"/>
                <w:sz w:val="18"/>
                <w:szCs w:val="18"/>
              </w:rPr>
            </w:pPr>
            <w:r>
              <w:rPr>
                <w:rFonts w:ascii="Times New Roman"/>
                <w:sz w:val="18"/>
              </w:rPr>
              <w:t>36,896,291.54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35,107,267.63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54" w:right="0"/>
              <w:jc w:val="left"/>
              <w:rPr>
                <w:rFonts w:ascii="Times New Roman" w:hAnsi="Times New Roman" w:cs="Times New Roman" w:eastAsia="Times New Roman" w:hint="default"/>
                <w:sz w:val="18"/>
                <w:szCs w:val="18"/>
              </w:rPr>
            </w:pPr>
            <w:r>
              <w:rPr>
                <w:rFonts w:ascii="Times New Roman"/>
                <w:sz w:val="18"/>
              </w:rPr>
              <w:t>35,071,948.56</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78"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-9,386,533.41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4,110,660.62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333,873.29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-16,861,049.65</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5,055,622.58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5,127,356.04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5,502,746.69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8,416.64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w w:val="95"/>
                <w:sz w:val="18"/>
              </w:rPr>
              <w:t>-12,750.00</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5,593,085.90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34,190,527.32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29,915,825.16</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88"/>
        <w:ind w:left="514" w:right="0" w:firstLine="0"/>
        <w:jc w:val="left"/>
        <w:rPr>
          <w:rFonts w:ascii="宋体" w:hAnsi="宋体" w:cs="宋体" w:eastAsia="宋体" w:hint="default"/>
          <w:sz w:val="18"/>
          <w:szCs w:val="18"/>
        </w:rPr>
      </w:pPr>
      <w:r>
        <w:rPr>
          <w:rFonts w:ascii="宋体" w:hAnsi="宋体" w:cs="宋体" w:eastAsia="宋体" w:hint="default"/>
          <w:sz w:val="18"/>
          <w:szCs w:val="18"/>
        </w:rPr>
        <w:t>对公司根据《公开发行证券的公司信息披露解释性公告第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非经常性损益》定义界定的非经常性损益项目，以及</w:t>
      </w:r>
    </w:p>
    <w:p>
      <w:pPr>
        <w:spacing w:line="240" w:lineRule="auto" w:before="9"/>
        <w:rPr>
          <w:rFonts w:ascii="宋体" w:hAnsi="宋体" w:cs="宋体" w:eastAsia="宋体" w:hint="default"/>
          <w:sz w:val="16"/>
          <w:szCs w:val="16"/>
        </w:rPr>
      </w:pPr>
    </w:p>
    <w:p>
      <w:pPr>
        <w:spacing w:line="451" w:lineRule="auto" w:before="0"/>
        <w:ind w:left="153" w:right="1118" w:firstLine="0"/>
        <w:jc w:val="left"/>
        <w:rPr>
          <w:rFonts w:ascii="宋体" w:hAnsi="宋体" w:cs="宋体" w:eastAsia="宋体" w:hint="default"/>
          <w:sz w:val="18"/>
          <w:szCs w:val="18"/>
        </w:rPr>
      </w:pPr>
      <w:r>
        <w:rPr>
          <w:rFonts w:ascii="宋体" w:hAnsi="宋体" w:cs="宋体" w:eastAsia="宋体" w:hint="default"/>
          <w:spacing w:val="-2"/>
          <w:sz w:val="18"/>
          <w:szCs w:val="18"/>
        </w:rPr>
        <w:t>把《公开发行证券的公司信息披露解释性公告第</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非经常性损益》中列举的非经常性损益项目界定为经常性损益的项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目，应说明原因</w:t>
      </w:r>
    </w:p>
    <w:p>
      <w:pPr>
        <w:spacing w:before="7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6"/>
          <w:szCs w:val="16"/>
        </w:rPr>
      </w:pPr>
    </w:p>
    <w:p>
      <w:pPr>
        <w:spacing w:line="451" w:lineRule="auto" w:before="0"/>
        <w:ind w:left="153" w:right="1116" w:firstLine="36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w:t>
      </w:r>
      <w:r>
        <w:rPr>
          <w:rFonts w:ascii="宋体" w:hAnsi="宋体" w:cs="宋体" w:eastAsia="宋体" w:hint="default"/>
          <w:sz w:val="18"/>
          <w:szCs w:val="18"/>
        </w:rPr>
        <w:t> 损益项目界定为经常性损益的项目的情形。</w:t>
      </w:r>
    </w:p>
    <w:p>
      <w:pPr>
        <w:spacing w:after="0" w:line="451"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1"/>
        <w:spacing w:line="240" w:lineRule="auto"/>
        <w:ind w:right="1113"/>
        <w:jc w:val="center"/>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pStyle w:val="Heading2"/>
        <w:spacing w:line="240" w:lineRule="auto" w:before="193"/>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477" w:lineRule="auto" w:before="203"/>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29"/>
        <w:ind w:left="154" w:right="1017" w:firstLine="420"/>
        <w:jc w:val="left"/>
      </w:pPr>
      <w:r>
        <w:rPr>
          <w:spacing w:val="-3"/>
        </w:rPr>
        <w:t>（一）报告期内，公司董事会面对国家宏观经济调整、医药行业监管力度加大等环境变化，积极应对，</w:t>
      </w:r>
      <w:r>
        <w:rPr/>
        <w:t> 狠抓市场建设，优化产品结构，积极挖潜增效，加强资金管理，强化质量控制，加快科研开发，努力推进 公司三大板块产业，公司经营情况总体良好。</w:t>
      </w:r>
    </w:p>
    <w:p>
      <w:pPr>
        <w:pStyle w:val="BodyText"/>
        <w:spacing w:line="408" w:lineRule="auto"/>
        <w:ind w:left="634" w:right="1032" w:hanging="60"/>
        <w:jc w:val="left"/>
      </w:pPr>
      <w:r>
        <w:rPr/>
        <w:t>（二）报告期内公司所从事的主要业务及产品 报告期内，公司主要从事中成药与人参产品的研发、生产和销售，而基因测序仪及配套试剂的研发、</w:t>
      </w:r>
    </w:p>
    <w:p>
      <w:pPr>
        <w:pStyle w:val="BodyText"/>
        <w:spacing w:line="398" w:lineRule="auto"/>
        <w:ind w:right="1131"/>
        <w:jc w:val="both"/>
      </w:pPr>
      <w:r>
        <w:rPr>
          <w:spacing w:val="-1"/>
        </w:rPr>
        <w:t>生产和销售是公司目前正在大力发展的业务。随着基因测序仪业务的不断成熟，公司已形成中成药、人参</w:t>
      </w:r>
      <w:r>
        <w:rPr>
          <w:spacing w:val="-83"/>
        </w:rPr>
        <w:t> </w:t>
      </w:r>
      <w:r>
        <w:rPr>
          <w:spacing w:val="-83"/>
        </w:rPr>
      </w:r>
      <w:r>
        <w:rPr/>
        <w:t>产品、基因测序三大核心业务并驾齐驱的业务结构与发展格局，逐渐形成具有</w:t>
      </w:r>
      <w:r>
        <w:rPr>
          <w:rFonts w:ascii="Times New Roman" w:hAnsi="Times New Roman" w:cs="Times New Roman" w:eastAsia="Times New Roman" w:hint="default"/>
        </w:rPr>
        <w:t>“</w:t>
      </w:r>
      <w:r>
        <w:rPr/>
        <w:t>紫鑫特色</w:t>
      </w:r>
      <w:r>
        <w:rPr>
          <w:rFonts w:ascii="Times New Roman" w:hAnsi="Times New Roman" w:cs="Times New Roman" w:eastAsia="Times New Roman" w:hint="default"/>
        </w:rPr>
        <w:t>”</w:t>
      </w:r>
      <w:r>
        <w:rPr/>
        <w:t>的大健康产业链 一体化经营模式。</w:t>
      </w:r>
    </w:p>
    <w:p>
      <w:pPr>
        <w:pStyle w:val="BodyText"/>
        <w:spacing w:line="240" w:lineRule="auto" w:before="54"/>
        <w:ind w:left="633" w:right="0"/>
        <w:jc w:val="left"/>
      </w:pPr>
      <w:r>
        <w:rPr/>
        <w:t>公司的主要产品如下：</w:t>
      </w:r>
    </w:p>
    <w:p>
      <w:pPr>
        <w:spacing w:line="240" w:lineRule="auto" w:before="10"/>
        <w:rPr>
          <w:rFonts w:ascii="宋体" w:hAnsi="宋体" w:cs="宋体" w:eastAsia="宋体" w:hint="default"/>
          <w:sz w:val="14"/>
          <w:szCs w:val="14"/>
        </w:rPr>
      </w:pPr>
    </w:p>
    <w:p>
      <w:pPr>
        <w:pStyle w:val="BodyText"/>
        <w:spacing w:line="386" w:lineRule="auto" w:before="0"/>
        <w:ind w:left="633" w:right="1121"/>
        <w:jc w:val="left"/>
      </w:pPr>
      <w:r>
        <w:rPr>
          <w:rFonts w:ascii="Times New Roman" w:hAnsi="Times New Roman" w:cs="Times New Roman" w:eastAsia="Times New Roman" w:hint="default"/>
        </w:rPr>
        <w:t>1</w:t>
      </w:r>
      <w:r>
        <w:rPr/>
        <w:t>、中成药产业概况 </w:t>
      </w:r>
      <w:r>
        <w:rPr>
          <w:spacing w:val="-2"/>
        </w:rPr>
        <w:t>公司生产的中成药以治疗风湿免疫类、耳鼻喉类、泌尿系统、心脑血管、肝胆类和消化系统类疾病为</w:t>
      </w:r>
    </w:p>
    <w:p>
      <w:pPr>
        <w:pStyle w:val="BodyText"/>
        <w:spacing w:line="386" w:lineRule="auto" w:before="65"/>
        <w:ind w:right="0"/>
        <w:jc w:val="left"/>
      </w:pPr>
      <w:r>
        <w:rPr/>
        <w:t>主，生产药品的剂型共分为</w:t>
      </w:r>
      <w:r>
        <w:rPr>
          <w:rFonts w:ascii="Times New Roman" w:hAnsi="Times New Roman" w:cs="Times New Roman" w:eastAsia="Times New Roman" w:hint="default"/>
        </w:rPr>
        <w:t>9</w:t>
      </w:r>
      <w:r>
        <w:rPr/>
        <w:t>种，包括丸剂、片剂、硬胶囊剂、口服液、颗粒剂、口服溶液剂、合剂、软 </w:t>
      </w:r>
      <w:r>
        <w:rPr>
          <w:spacing w:val="-1"/>
        </w:rPr>
        <w:t>胶囊剂和锭剂。公司中成药产品储备丰富，目前共取得药品批准文号</w:t>
      </w:r>
      <w:r>
        <w:rPr>
          <w:rFonts w:ascii="Times New Roman" w:hAnsi="Times New Roman" w:cs="Times New Roman" w:eastAsia="Times New Roman" w:hint="default"/>
          <w:spacing w:val="-1"/>
        </w:rPr>
        <w:t>205</w:t>
      </w:r>
      <w:r>
        <w:rPr>
          <w:spacing w:val="-1"/>
        </w:rPr>
        <w:t>个，涉及</w:t>
      </w:r>
      <w:r>
        <w:rPr>
          <w:rFonts w:ascii="Times New Roman" w:hAnsi="Times New Roman" w:cs="Times New Roman" w:eastAsia="Times New Roman" w:hint="default"/>
          <w:spacing w:val="-1"/>
        </w:rPr>
        <w:t>172</w:t>
      </w:r>
      <w:r>
        <w:rPr>
          <w:spacing w:val="-1"/>
        </w:rPr>
        <w:t>种药品（在生产药品</w:t>
      </w:r>
      <w:r>
        <w:rPr>
          <w:spacing w:val="-85"/>
        </w:rPr>
        <w:t> </w:t>
      </w:r>
      <w:r>
        <w:rPr>
          <w:spacing w:val="-85"/>
        </w:rPr>
      </w:r>
      <w:r>
        <w:rPr>
          <w:rFonts w:ascii="Times New Roman" w:hAnsi="Times New Roman" w:cs="Times New Roman" w:eastAsia="Times New Roman" w:hint="default"/>
          <w:spacing w:val="-1"/>
        </w:rPr>
        <w:t>67</w:t>
      </w:r>
      <w:r>
        <w:rPr>
          <w:spacing w:val="-1"/>
        </w:rPr>
        <w:t>种），其中</w:t>
      </w:r>
      <w:r>
        <w:rPr>
          <w:rFonts w:ascii="Times New Roman" w:hAnsi="Times New Roman" w:cs="Times New Roman" w:eastAsia="Times New Roman" w:hint="default"/>
          <w:spacing w:val="-1"/>
        </w:rPr>
        <w:t>OTC</w:t>
      </w:r>
      <w:r>
        <w:rPr>
          <w:spacing w:val="-1"/>
        </w:rPr>
        <w:t>药品</w:t>
      </w:r>
      <w:r>
        <w:rPr>
          <w:rFonts w:ascii="Times New Roman" w:hAnsi="Times New Roman" w:cs="Times New Roman" w:eastAsia="Times New Roman" w:hint="default"/>
          <w:spacing w:val="-1"/>
        </w:rPr>
        <w:t>92</w:t>
      </w:r>
      <w:r>
        <w:rPr>
          <w:spacing w:val="-1"/>
        </w:rPr>
        <w:t>个药品批准文号，处方药品</w:t>
      </w:r>
      <w:r>
        <w:rPr>
          <w:rFonts w:ascii="Times New Roman" w:hAnsi="Times New Roman" w:cs="Times New Roman" w:eastAsia="Times New Roman" w:hint="default"/>
          <w:spacing w:val="-1"/>
        </w:rPr>
        <w:t>113</w:t>
      </w:r>
      <w:r>
        <w:rPr>
          <w:spacing w:val="-1"/>
        </w:rPr>
        <w:t>个药品批准文号。公司目前拥有独家品种</w:t>
      </w:r>
      <w:r>
        <w:rPr>
          <w:rFonts w:ascii="Times New Roman" w:hAnsi="Times New Roman" w:cs="Times New Roman" w:eastAsia="Times New Roman" w:hint="default"/>
          <w:spacing w:val="-1"/>
        </w:rPr>
        <w:t>5</w:t>
      </w:r>
      <w:r>
        <w:rPr>
          <w:spacing w:val="-1"/>
        </w:rPr>
        <w:t>种，优</w:t>
      </w:r>
      <w:r>
        <w:rPr>
          <w:spacing w:val="-83"/>
        </w:rPr>
        <w:t> </w:t>
      </w:r>
      <w:r>
        <w:rPr>
          <w:spacing w:val="-83"/>
        </w:rPr>
      </w:r>
      <w:r>
        <w:rPr/>
        <w:t>质优价药品</w:t>
      </w:r>
      <w:r>
        <w:rPr>
          <w:rFonts w:ascii="Times New Roman" w:hAnsi="Times New Roman" w:cs="Times New Roman" w:eastAsia="Times New Roman" w:hint="default"/>
        </w:rPr>
        <w:t>8</w:t>
      </w:r>
      <w:r>
        <w:rPr/>
        <w:t>种，国家中药二级保护药品</w:t>
      </w:r>
      <w:r>
        <w:rPr>
          <w:rFonts w:ascii="Times New Roman" w:hAnsi="Times New Roman" w:cs="Times New Roman" w:eastAsia="Times New Roman" w:hint="default"/>
        </w:rPr>
        <w:t>3</w:t>
      </w:r>
      <w:r>
        <w:rPr/>
        <w:t>种，有</w:t>
      </w:r>
      <w:r>
        <w:rPr>
          <w:rFonts w:ascii="Times New Roman" w:hAnsi="Times New Roman" w:cs="Times New Roman" w:eastAsia="Times New Roman" w:hint="default"/>
        </w:rPr>
        <w:t>48</w:t>
      </w:r>
      <w:r>
        <w:rPr/>
        <w:t>个药品批准文号的药品进入国家基本药物目录，</w:t>
      </w:r>
      <w:r>
        <w:rPr>
          <w:rFonts w:ascii="Times New Roman" w:hAnsi="Times New Roman" w:cs="Times New Roman" w:eastAsia="Times New Roman" w:hint="default"/>
        </w:rPr>
        <w:t>128</w:t>
      </w:r>
      <w:r>
        <w:rPr/>
        <w:t>个 </w:t>
      </w:r>
      <w:r>
        <w:rPr>
          <w:spacing w:val="-1"/>
        </w:rPr>
        <w:t>药品批准文号的药品列入国家医保目录（</w:t>
      </w:r>
      <w:r>
        <w:rPr>
          <w:rFonts w:ascii="Times New Roman" w:hAnsi="Times New Roman" w:cs="Times New Roman" w:eastAsia="Times New Roman" w:hint="default"/>
          <w:spacing w:val="-1"/>
        </w:rPr>
        <w:t>2017</w:t>
      </w:r>
      <w:r>
        <w:rPr>
          <w:spacing w:val="-1"/>
        </w:rPr>
        <w:t>年版）。公司主要中成药产品包括四妙丸、藿胆片、肾复康</w:t>
      </w:r>
      <w:r>
        <w:rPr>
          <w:spacing w:val="-82"/>
        </w:rPr>
        <w:t> </w:t>
      </w:r>
      <w:r>
        <w:rPr>
          <w:spacing w:val="-82"/>
        </w:rPr>
      </w:r>
      <w:r>
        <w:rPr/>
        <w:t>胶囊、活血通脉片、萆薢分清丸、内消瘰疬丸、二丁颗粒、小儿白贝和海贝胃疡等产品。</w:t>
      </w:r>
    </w:p>
    <w:p>
      <w:pPr>
        <w:pStyle w:val="BodyText"/>
        <w:spacing w:line="386" w:lineRule="auto" w:before="65"/>
        <w:ind w:left="634" w:right="1120"/>
        <w:jc w:val="left"/>
      </w:pPr>
      <w:r>
        <w:rPr>
          <w:rFonts w:ascii="Times New Roman" w:hAnsi="Times New Roman" w:cs="Times New Roman" w:eastAsia="Times New Roman" w:hint="default"/>
        </w:rPr>
        <w:t>2</w:t>
      </w:r>
      <w:r>
        <w:rPr/>
        <w:t>、人参产业概况 </w:t>
      </w:r>
      <w:r>
        <w:rPr>
          <w:spacing w:val="-2"/>
        </w:rPr>
        <w:t>公司的人参产品分为粗加工产品和深加工产品。粗加工产品包括白参、红参、生晒参等系列产品；深</w:t>
      </w:r>
    </w:p>
    <w:p>
      <w:pPr>
        <w:pStyle w:val="BodyText"/>
        <w:spacing w:line="398" w:lineRule="auto" w:before="65"/>
        <w:ind w:left="154" w:right="1023"/>
        <w:jc w:val="left"/>
      </w:pPr>
      <w:r>
        <w:rPr>
          <w:spacing w:val="-3"/>
        </w:rPr>
        <w:t>加工产品包括人参双耳饮料、人参果蔬发酵饮料、鲜人参蜜片、玉红颜红参阿胶糕、模压红参、林下金参、</w:t>
      </w:r>
      <w:r>
        <w:rPr>
          <w:spacing w:val="-94"/>
        </w:rPr>
        <w:t> </w:t>
      </w:r>
      <w:r>
        <w:rPr>
          <w:spacing w:val="-94"/>
        </w:rPr>
      </w:r>
      <w:r>
        <w:rPr/>
        <w:t>双佳金参、人参茎叶提取物、人参提取物和红参红枣固体饮料等，公司现已取得</w:t>
      </w:r>
      <w:r>
        <w:rPr>
          <w:rFonts w:ascii="Times New Roman" w:hAnsi="Times New Roman" w:cs="Times New Roman" w:eastAsia="Times New Roman" w:hint="default"/>
        </w:rPr>
        <w:t>4</w:t>
      </w:r>
      <w:r>
        <w:rPr/>
        <w:t>个系列人参食品生产许 可证，涉及产品包括饮料、糖果制品、蜜饯、含茶制品和代用茶等。</w:t>
      </w:r>
    </w:p>
    <w:p>
      <w:pPr>
        <w:pStyle w:val="BodyText"/>
        <w:spacing w:line="386" w:lineRule="auto" w:before="55"/>
        <w:ind w:left="634" w:right="1032"/>
        <w:jc w:val="left"/>
      </w:pPr>
      <w:r>
        <w:rPr>
          <w:rFonts w:ascii="Times New Roman" w:hAnsi="Times New Roman" w:cs="Times New Roman" w:eastAsia="Times New Roman" w:hint="default"/>
        </w:rPr>
        <w:t>3</w:t>
      </w:r>
      <w:r>
        <w:rPr/>
        <w:t>、基因测序仪产业概况 基因测序仪及配套试剂的研发、生产和销售是公司目前大力发展的业务，公司为发展基因测序项目，</w:t>
      </w:r>
    </w:p>
    <w:p>
      <w:pPr>
        <w:pStyle w:val="BodyText"/>
        <w:spacing w:line="240" w:lineRule="auto" w:before="65"/>
        <w:ind w:left="154" w:right="0"/>
        <w:jc w:val="left"/>
      </w:pPr>
      <w:r>
        <w:rPr/>
        <w:t>已分别成立了吉林中科紫鑫科技有限公司、北京中科紫鑫科技有限责任公司、敦化市中科紫鑫科技有限公</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93" w:lineRule="auto" w:before="174"/>
        <w:ind w:right="1014"/>
        <w:jc w:val="left"/>
      </w:pPr>
      <w:r>
        <w:rPr/>
        <w:t>司、香港中科紫鑫科技有限公司、</w:t>
      </w:r>
      <w:r>
        <w:rPr>
          <w:rFonts w:ascii="Times New Roman" w:hAnsi="Times New Roman" w:cs="Times New Roman" w:eastAsia="Times New Roman" w:hint="default"/>
        </w:rPr>
        <w:t>Zixin Pharmaceuticals USA</w:t>
      </w:r>
      <w:r>
        <w:rPr>
          <w:rFonts w:ascii="Times New Roman" w:hAnsi="Times New Roman" w:cs="Times New Roman" w:eastAsia="Times New Roman" w:hint="default"/>
          <w:spacing w:val="-39"/>
        </w:rPr>
        <w:t> </w:t>
      </w:r>
      <w:r>
        <w:rPr>
          <w:rFonts w:ascii="Times New Roman" w:hAnsi="Times New Roman" w:cs="Times New Roman" w:eastAsia="Times New Roman" w:hint="default"/>
        </w:rPr>
        <w:t>CORP</w:t>
      </w:r>
      <w:r>
        <w:rPr/>
        <w:t>，公司自主基因测序技术团队为多年来 从事基因组学与生物信息学基础研究和应用开发工作的资深人员，具备充分的技术服务专业基础，技术已 </w:t>
      </w:r>
      <w:r>
        <w:rPr>
          <w:spacing w:val="-4"/>
        </w:rPr>
        <w:t>经达到国际一流水平。公司自主研制开发的国产第二代高通量</w:t>
      </w:r>
      <w:r>
        <w:rPr>
          <w:rFonts w:ascii="Times New Roman" w:hAnsi="Times New Roman" w:cs="Times New Roman" w:eastAsia="Times New Roman" w:hint="default"/>
          <w:spacing w:val="-4"/>
        </w:rPr>
        <w:t>DNA</w:t>
      </w:r>
      <w:r>
        <w:rPr>
          <w:spacing w:val="-4"/>
        </w:rPr>
        <w:t>测序仪</w:t>
      </w:r>
      <w:r>
        <w:rPr>
          <w:rFonts w:ascii="Times New Roman" w:hAnsi="Times New Roman" w:cs="Times New Roman" w:eastAsia="Times New Roman" w:hint="default"/>
          <w:spacing w:val="-4"/>
        </w:rPr>
        <w:t>BIGIS</w:t>
      </w:r>
      <w:r>
        <w:rPr>
          <w:spacing w:val="-4"/>
        </w:rPr>
        <w:t>产品，成功解决</w:t>
      </w:r>
      <w:r>
        <w:rPr>
          <w:rFonts w:ascii="Times New Roman" w:hAnsi="Times New Roman" w:cs="Times New Roman" w:eastAsia="Times New Roman" w:hint="default"/>
          <w:spacing w:val="-4"/>
        </w:rPr>
        <w:t>“</w:t>
      </w:r>
      <w:r>
        <w:rPr>
          <w:spacing w:val="-4"/>
        </w:rPr>
        <w:t>读长较短</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14"/>
        </w:rPr>
        <w:t> </w:t>
      </w:r>
      <w:r>
        <w:rPr>
          <w:spacing w:val="-1"/>
        </w:rPr>
        <w:t>的关键技术难题。</w:t>
      </w:r>
      <w:r>
        <w:rPr>
          <w:rFonts w:ascii="Times New Roman" w:hAnsi="Times New Roman" w:cs="Times New Roman" w:eastAsia="Times New Roman" w:hint="default"/>
          <w:spacing w:val="-1"/>
        </w:rPr>
        <w:t>BIGIS</w:t>
      </w:r>
      <w:r>
        <w:rPr>
          <w:spacing w:val="-1"/>
        </w:rPr>
        <w:t>测序仪是目前国内达到或部分超越国际主流设备技术指标的国产化第二代测序仪，</w:t>
      </w:r>
      <w:r>
        <w:rPr/>
        <w:t> </w:t>
      </w:r>
      <w:r>
        <w:rPr>
          <w:spacing w:val="-2"/>
        </w:rPr>
        <w:t>具有高通量、高读长、高精确度等优势</w:t>
      </w:r>
      <w:r>
        <w:rPr>
          <w:rFonts w:ascii="Times New Roman" w:hAnsi="Times New Roman" w:cs="Times New Roman" w:eastAsia="Times New Roman" w:hint="default"/>
          <w:spacing w:val="-2"/>
        </w:rPr>
        <w:t>,</w:t>
      </w:r>
      <w:r>
        <w:rPr>
          <w:spacing w:val="-2"/>
        </w:rPr>
        <w:t>目前</w:t>
      </w:r>
      <w:r>
        <w:rPr>
          <w:rFonts w:ascii="Times New Roman" w:hAnsi="Times New Roman" w:cs="Times New Roman" w:eastAsia="Times New Roman" w:hint="default"/>
          <w:spacing w:val="-2"/>
        </w:rPr>
        <w:t>Bigis</w:t>
      </w:r>
      <w:r>
        <w:rPr>
          <w:spacing w:val="-2"/>
        </w:rPr>
        <w:t>二代基因测序仪已进入认证和规模化生产的阶段，通过与</w:t>
      </w:r>
      <w:r>
        <w:rPr/>
        <w:t> 耶鲁大学合作研究项目，充分利用其研发团队和技术资源，进一步提高公司基因测序仪项目取得的阶段性 成果，促进公司新一代测序平台的研发，在</w:t>
      </w:r>
      <w:r>
        <w:rPr>
          <w:rFonts w:ascii="Times New Roman" w:hAnsi="Times New Roman" w:cs="Times New Roman" w:eastAsia="Times New Roman" w:hint="default"/>
        </w:rPr>
        <w:t>Bigis</w:t>
      </w:r>
      <w:r>
        <w:rPr/>
        <w:t>二代测序仪的基础上公司进一步研究开发了焦磷酸一代半 测序仪、生物芯片、数字</w:t>
      </w:r>
      <w:r>
        <w:rPr>
          <w:rFonts w:ascii="Times New Roman" w:hAnsi="Times New Roman" w:cs="Times New Roman" w:eastAsia="Times New Roman" w:hint="default"/>
        </w:rPr>
        <w:t>PCR</w:t>
      </w:r>
      <w:r>
        <w:rPr/>
        <w:t>等一批高科技物美价廉的新产品，用于精准医疗检测的更有效普及，服务于 社会，惠益于大众，为人类健康做出贡献，同时公司加快基因测序仪产业化及研究开发国际化进程，使公 司能够第一时间接触和投资世界最先进项目的机会，及时获取国际市场的最新信息，将国际先进测序仪技 </w:t>
      </w:r>
      <w:r>
        <w:rPr>
          <w:spacing w:val="-2"/>
        </w:rPr>
        <w:t>术引进国内市场</w:t>
      </w:r>
      <w:r>
        <w:rPr>
          <w:rFonts w:ascii="Times New Roman" w:hAnsi="Times New Roman" w:cs="Times New Roman" w:eastAsia="Times New Roman" w:hint="default"/>
          <w:spacing w:val="-2"/>
        </w:rPr>
        <w:t>,</w:t>
      </w:r>
      <w:r>
        <w:rPr>
          <w:spacing w:val="-2"/>
        </w:rPr>
        <w:t>加速推进公司品牌、生产、人才、技术的国际化运作，提升品牌形象，进一步提升公司核</w:t>
      </w:r>
      <w:r>
        <w:rPr>
          <w:spacing w:val="-88"/>
        </w:rPr>
        <w:t> </w:t>
      </w:r>
      <w:r>
        <w:rPr>
          <w:spacing w:val="-88"/>
        </w:rPr>
      </w:r>
      <w:r>
        <w:rPr/>
        <w:t>心竞争力。</w:t>
      </w:r>
    </w:p>
    <w:p>
      <w:pPr>
        <w:pStyle w:val="BodyText"/>
        <w:spacing w:line="240" w:lineRule="auto" w:before="58"/>
        <w:ind w:left="634" w:right="0"/>
        <w:jc w:val="left"/>
      </w:pPr>
      <w:r>
        <w:rPr/>
        <w:t>（三）经营模式</w:t>
      </w:r>
    </w:p>
    <w:p>
      <w:pPr>
        <w:spacing w:line="240" w:lineRule="auto" w:before="10"/>
        <w:rPr>
          <w:rFonts w:ascii="宋体" w:hAnsi="宋体" w:cs="宋体" w:eastAsia="宋体" w:hint="default"/>
          <w:sz w:val="14"/>
          <w:szCs w:val="14"/>
        </w:rPr>
      </w:pPr>
    </w:p>
    <w:p>
      <w:pPr>
        <w:pStyle w:val="BodyText"/>
        <w:spacing w:line="240" w:lineRule="auto" w:before="0"/>
        <w:ind w:left="634" w:right="0"/>
        <w:jc w:val="left"/>
      </w:pPr>
      <w:r>
        <w:rPr>
          <w:rFonts w:ascii="Times New Roman" w:hAnsi="Times New Roman" w:cs="Times New Roman" w:eastAsia="Times New Roman" w:hint="default"/>
        </w:rPr>
        <w:t>1</w:t>
      </w:r>
      <w:r>
        <w:rPr/>
        <w:t>、采购模式</w:t>
      </w:r>
    </w:p>
    <w:p>
      <w:pPr>
        <w:pStyle w:val="BodyText"/>
        <w:spacing w:line="386" w:lineRule="auto" w:before="177"/>
        <w:ind w:left="634" w:right="1120"/>
        <w:jc w:val="left"/>
      </w:pPr>
      <w:r>
        <w:rPr/>
        <w:t>（</w:t>
      </w:r>
      <w:r>
        <w:rPr>
          <w:rFonts w:ascii="Times New Roman" w:hAnsi="Times New Roman" w:cs="Times New Roman" w:eastAsia="Times New Roman" w:hint="default"/>
        </w:rPr>
        <w:t>1</w:t>
      </w:r>
      <w:r>
        <w:rPr/>
        <w:t>）中药原材料的采购模式 </w:t>
      </w:r>
      <w:r>
        <w:rPr>
          <w:spacing w:val="-2"/>
        </w:rPr>
        <w:t>公司中药原材料主要通过招标采购。受自然条件的限制，我国中药材四分之三以上的品种产于黄河以</w:t>
      </w:r>
    </w:p>
    <w:p>
      <w:pPr>
        <w:pStyle w:val="BodyText"/>
        <w:spacing w:line="408" w:lineRule="auto" w:before="65"/>
        <w:ind w:left="154" w:right="0"/>
        <w:jc w:val="left"/>
      </w:pPr>
      <w:r>
        <w:rPr>
          <w:spacing w:val="-1"/>
        </w:rPr>
        <w:t>南，形成了安徽亳州、河北安国、河南禹州和江西樟树四大药材交易市场，公司目前的中药原材料主要通</w:t>
      </w:r>
      <w:r>
        <w:rPr>
          <w:spacing w:val="-86"/>
        </w:rPr>
        <w:t> </w:t>
      </w:r>
      <w:r>
        <w:rPr>
          <w:spacing w:val="-86"/>
        </w:rPr>
      </w:r>
      <w:r>
        <w:rPr/>
        <w:t>过亳州和安国两大市场进行采购。</w:t>
      </w:r>
    </w:p>
    <w:p>
      <w:pPr>
        <w:pStyle w:val="BodyText"/>
        <w:spacing w:line="408" w:lineRule="auto"/>
        <w:ind w:left="154" w:right="1110" w:firstLine="480"/>
        <w:jc w:val="both"/>
      </w:pPr>
      <w:r>
        <w:rPr>
          <w:spacing w:val="-2"/>
        </w:rPr>
        <w:t>对于大宗包装材料、辅助原材料采购，公司通过对供应商评估选择供货单位，签订购货合同，明确双</w:t>
      </w:r>
      <w:r>
        <w:rPr/>
        <w:t> </w:t>
      </w:r>
      <w:r>
        <w:rPr>
          <w:spacing w:val="-1"/>
        </w:rPr>
        <w:t>方责任。购货合同要经过供应部、法务部、质检部、财务部和主管经理（主管经理授权人）审阅后方可执</w:t>
      </w:r>
      <w:r>
        <w:rPr>
          <w:spacing w:val="-83"/>
        </w:rPr>
        <w:t> </w:t>
      </w:r>
      <w:r>
        <w:rPr>
          <w:spacing w:val="-83"/>
        </w:rPr>
      </w:r>
      <w:r>
        <w:rPr/>
        <w:t>行。另外采购部门要储存两家或两家以上供应单位的详细资料，以备选择，保证特殊情况时能及时保质、 </w:t>
      </w:r>
      <w:r>
        <w:rPr>
          <w:spacing w:val="-1"/>
        </w:rPr>
        <w:t>保量地满足生产所需材料。质检部要对供应商进行质量体系审核并做出认定，认定资料由质量保证部存档</w:t>
      </w:r>
      <w:r>
        <w:rPr>
          <w:spacing w:val="-81"/>
        </w:rPr>
        <w:t> </w:t>
      </w:r>
      <w:r>
        <w:rPr>
          <w:spacing w:val="-81"/>
        </w:rPr>
      </w:r>
      <w:r>
        <w:rPr/>
        <w:t>备查。</w:t>
      </w:r>
    </w:p>
    <w:p>
      <w:pPr>
        <w:pStyle w:val="BodyText"/>
        <w:spacing w:line="408" w:lineRule="auto"/>
        <w:ind w:left="154" w:right="1050" w:firstLine="480"/>
        <w:jc w:val="both"/>
      </w:pPr>
      <w:r>
        <w:rPr/>
        <w:t>对于地产中药材实行当地直接采购，例如人参、五味子、细辛等，从种植户直接采购既保证了质量， 又降低了采购成本。</w:t>
      </w:r>
    </w:p>
    <w:p>
      <w:pPr>
        <w:pStyle w:val="BodyText"/>
        <w:spacing w:line="386" w:lineRule="auto"/>
        <w:ind w:left="634" w:right="1120"/>
        <w:jc w:val="left"/>
      </w:pPr>
      <w:r>
        <w:rPr/>
        <w:t>（</w:t>
      </w:r>
      <w:r>
        <w:rPr>
          <w:rFonts w:ascii="Times New Roman" w:hAnsi="Times New Roman" w:cs="Times New Roman" w:eastAsia="Times New Roman" w:hint="default"/>
        </w:rPr>
        <w:t>2</w:t>
      </w:r>
      <w:r>
        <w:rPr/>
        <w:t>）人参的采购模式 </w:t>
      </w:r>
      <w:r>
        <w:rPr>
          <w:spacing w:val="-2"/>
        </w:rPr>
        <w:t>公司人参主要以向本地贸易商采购的方式完成。人参按产鲜季节和加工季节不同，所采购人参分水参</w:t>
      </w:r>
    </w:p>
    <w:p>
      <w:pPr>
        <w:pStyle w:val="BodyText"/>
        <w:spacing w:line="408" w:lineRule="auto" w:before="65"/>
        <w:ind w:left="154" w:right="1131"/>
        <w:jc w:val="both"/>
      </w:pPr>
      <w:r>
        <w:rPr>
          <w:spacing w:val="-1"/>
        </w:rPr>
        <w:t>和干品。人参作为吉林省的地道药材，吉林省内现有多个根据人参产地半径而形成的人参交易市场，如万</w:t>
      </w:r>
      <w:r>
        <w:rPr>
          <w:spacing w:val="-83"/>
        </w:rPr>
        <w:t> </w:t>
      </w:r>
      <w:r>
        <w:rPr>
          <w:spacing w:val="-83"/>
        </w:rPr>
      </w:r>
      <w:r>
        <w:rPr>
          <w:spacing w:val="-1"/>
        </w:rPr>
        <w:t>良人参市场、通化人参市场、青河人参市场等，公司通过向人参市场的贸易商进行采购。为保证所采人参</w:t>
      </w:r>
      <w:r>
        <w:rPr>
          <w:spacing w:val="-86"/>
        </w:rPr>
        <w:t> </w:t>
      </w:r>
      <w:r>
        <w:rPr>
          <w:spacing w:val="-86"/>
        </w:rPr>
      </w:r>
      <w:r>
        <w:rPr>
          <w:spacing w:val="-1"/>
        </w:rPr>
        <w:t>的规格和质量符合标准，公司首先对贸易商进行评估，包括资信评估和货品质量评估等，选择合格供应商</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后与之签订购货合同，明确双方责任。购货合同要经过供应部、法务部、质检部、财务部和主管经理（主</w:t>
      </w:r>
      <w:r>
        <w:rPr>
          <w:spacing w:val="-83"/>
        </w:rPr>
        <w:t> </w:t>
      </w:r>
      <w:r>
        <w:rPr>
          <w:spacing w:val="-83"/>
        </w:rPr>
      </w:r>
      <w:r>
        <w:rPr/>
        <w:t>管经理授权人）审阅后方可执行。</w:t>
      </w:r>
    </w:p>
    <w:p>
      <w:pPr>
        <w:pStyle w:val="BodyText"/>
        <w:spacing w:line="386" w:lineRule="auto"/>
        <w:ind w:left="633" w:right="1208"/>
        <w:jc w:val="left"/>
      </w:pPr>
      <w:r>
        <w:rPr>
          <w:rFonts w:ascii="Times New Roman" w:hAnsi="Times New Roman" w:cs="Times New Roman" w:eastAsia="Times New Roman" w:hint="default"/>
        </w:rPr>
        <w:t>2</w:t>
      </w:r>
      <w:r>
        <w:rPr/>
        <w:t>、生产模式 公司及生产型子公司所有中成药产品均严格按照</w:t>
      </w:r>
      <w:r>
        <w:rPr>
          <w:rFonts w:ascii="Times New Roman" w:hAnsi="Times New Roman" w:cs="Times New Roman" w:eastAsia="Times New Roman" w:hint="default"/>
        </w:rPr>
        <w:t>GMP</w:t>
      </w:r>
      <w:r>
        <w:rPr/>
        <w:t>规范进行生产，计划部门根据销售部门提供的</w:t>
      </w:r>
    </w:p>
    <w:p>
      <w:pPr>
        <w:pStyle w:val="BodyText"/>
        <w:spacing w:line="408" w:lineRule="auto" w:before="35"/>
        <w:ind w:left="154" w:right="1131"/>
        <w:jc w:val="both"/>
      </w:pPr>
      <w:r>
        <w:rPr>
          <w:spacing w:val="-1"/>
        </w:rPr>
        <w:t>各产品年度销售预测以及月度发货情况，结合各产品产能，制定生产计划；生产部门协调和督促生产计划</w:t>
      </w:r>
      <w:r>
        <w:rPr>
          <w:spacing w:val="-83"/>
        </w:rPr>
        <w:t> </w:t>
      </w:r>
      <w:r>
        <w:rPr>
          <w:spacing w:val="-83"/>
        </w:rPr>
      </w:r>
      <w:r>
        <w:rPr>
          <w:spacing w:val="-1"/>
        </w:rPr>
        <w:t>的完成，同时对产品的生产过程、质量标准、卫生规范等执行情况进行严格监督管理，由各生产车间负责</w:t>
      </w:r>
      <w:r>
        <w:rPr>
          <w:spacing w:val="-86"/>
        </w:rPr>
        <w:t> </w:t>
      </w:r>
      <w:r>
        <w:rPr>
          <w:spacing w:val="-86"/>
        </w:rPr>
      </w:r>
      <w:r>
        <w:rPr>
          <w:spacing w:val="-1"/>
        </w:rPr>
        <w:t>具体产品的生产管理；质量保证部、质量检验部对在整个生产过程中关键生产环节的原料、中间产品、半</w:t>
      </w:r>
      <w:r>
        <w:rPr>
          <w:spacing w:val="-85"/>
        </w:rPr>
        <w:t> </w:t>
      </w:r>
      <w:r>
        <w:rPr>
          <w:spacing w:val="-85"/>
        </w:rPr>
      </w:r>
      <w:r>
        <w:rPr/>
        <w:t>成品、产成品的质量进行检验监控。</w:t>
      </w:r>
    </w:p>
    <w:p>
      <w:pPr>
        <w:pStyle w:val="BodyText"/>
        <w:spacing w:line="240" w:lineRule="auto"/>
        <w:ind w:left="634" w:right="0"/>
        <w:jc w:val="left"/>
      </w:pPr>
      <w:r>
        <w:rPr>
          <w:rFonts w:ascii="Times New Roman" w:hAnsi="Times New Roman" w:cs="Times New Roman" w:eastAsia="Times New Roman" w:hint="default"/>
        </w:rPr>
        <w:t>3</w:t>
      </w:r>
      <w:r>
        <w:rPr/>
        <w:t>、销售模式</w:t>
      </w:r>
    </w:p>
    <w:p>
      <w:pPr>
        <w:pStyle w:val="BodyText"/>
        <w:spacing w:line="386" w:lineRule="auto" w:before="177"/>
        <w:ind w:left="634" w:right="1120"/>
        <w:jc w:val="left"/>
      </w:pPr>
      <w:r>
        <w:rPr/>
        <w:t>（</w:t>
      </w:r>
      <w:r>
        <w:rPr>
          <w:rFonts w:ascii="Times New Roman" w:hAnsi="Times New Roman" w:cs="Times New Roman" w:eastAsia="Times New Roman" w:hint="default"/>
        </w:rPr>
        <w:t>1</w:t>
      </w:r>
      <w:r>
        <w:rPr/>
        <w:t>）中成药产品的销售模式 </w:t>
      </w:r>
      <w:r>
        <w:rPr>
          <w:spacing w:val="-2"/>
        </w:rPr>
        <w:t>在中成药产品方面，公司现已形成两类三种分销管理渠道：一类为国家基本药物销售渠道；另一类为</w:t>
      </w:r>
    </w:p>
    <w:p>
      <w:pPr>
        <w:pStyle w:val="BodyText"/>
        <w:spacing w:line="240" w:lineRule="auto" w:before="65"/>
        <w:ind w:left="154" w:right="0"/>
        <w:jc w:val="both"/>
      </w:pPr>
      <w:r>
        <w:rPr/>
        <w:t>非国家基本药物销售渠道，分为处方药销售渠道和</w:t>
      </w:r>
      <w:r>
        <w:rPr>
          <w:rFonts w:ascii="Times New Roman" w:hAnsi="Times New Roman" w:cs="Times New Roman" w:eastAsia="Times New Roman" w:hint="default"/>
        </w:rPr>
        <w:t>OTC</w:t>
      </w:r>
      <w:r>
        <w:rPr/>
        <w:t>销售渠道两种，具体形式如下：</w:t>
      </w:r>
    </w:p>
    <w:p>
      <w:pPr>
        <w:pStyle w:val="BodyText"/>
        <w:spacing w:line="408" w:lineRule="auto" w:before="177"/>
        <w:ind w:left="633" w:right="1033"/>
        <w:jc w:val="left"/>
      </w:pPr>
      <w:r>
        <w:rPr/>
        <w:t>①国家基本药物销售 近年来国家大力深化医疗改革，积极推行全民医保制度。由于国家基本药物全部纳入国家医保目录，</w:t>
      </w:r>
    </w:p>
    <w:p>
      <w:pPr>
        <w:pStyle w:val="BodyText"/>
        <w:spacing w:line="408" w:lineRule="auto"/>
        <w:ind w:right="1131"/>
        <w:jc w:val="both"/>
      </w:pPr>
      <w:r>
        <w:rPr>
          <w:spacing w:val="-1"/>
        </w:rPr>
        <w:t>并实行全额报销，使得基本药物对于普通老百姓有着很强的吸引力。国家基本药物制度的建立和推广，增</w:t>
      </w:r>
      <w:r>
        <w:rPr>
          <w:spacing w:val="-83"/>
        </w:rPr>
        <w:t> </w:t>
      </w:r>
      <w:r>
        <w:rPr>
          <w:spacing w:val="-83"/>
        </w:rPr>
      </w:r>
      <w:r>
        <w:rPr>
          <w:spacing w:val="-1"/>
        </w:rPr>
        <w:t>加了政府对农村、基层医疗机构资源的投入，同时推动基本药物向大医院覆盖，这对基本药物的销售市场</w:t>
      </w:r>
      <w:r>
        <w:rPr>
          <w:spacing w:val="-83"/>
        </w:rPr>
        <w:t> </w:t>
      </w:r>
      <w:r>
        <w:rPr>
          <w:spacing w:val="-83"/>
        </w:rPr>
      </w:r>
      <w:r>
        <w:rPr>
          <w:spacing w:val="-1"/>
        </w:rPr>
        <w:t>形成刚性支柱。考虑到基本药物在国家医保中的核心地位和在我国医药市场的巨大优势，公司积极响应国</w:t>
      </w:r>
      <w:r>
        <w:rPr>
          <w:spacing w:val="-81"/>
        </w:rPr>
        <w:t> </w:t>
      </w:r>
      <w:r>
        <w:rPr>
          <w:spacing w:val="-81"/>
        </w:rPr>
      </w:r>
      <w:r>
        <w:rPr>
          <w:spacing w:val="-1"/>
        </w:rPr>
        <w:t>家政策，成立专门营销团队负责国家基本药物销售，积极参与各省基本药物的招标采购，并将基本药物销</w:t>
      </w:r>
      <w:r>
        <w:rPr>
          <w:spacing w:val="-83"/>
        </w:rPr>
        <w:t> </w:t>
      </w:r>
      <w:r>
        <w:rPr>
          <w:spacing w:val="-83"/>
        </w:rPr>
      </w:r>
      <w:r>
        <w:rPr/>
        <w:t>售作为公司未来中成药销售的重点。</w:t>
      </w:r>
    </w:p>
    <w:p>
      <w:pPr>
        <w:pStyle w:val="BodyText"/>
        <w:spacing w:line="398" w:lineRule="auto"/>
        <w:ind w:right="1131" w:firstLine="480"/>
        <w:jc w:val="left"/>
      </w:pPr>
      <w:r>
        <w:rPr/>
        <w:t>公司基本药物销售模式具体为：政府或医院通过基本药物集中采购平台对基本药物实行统一招标采 </w:t>
      </w:r>
      <w:r>
        <w:rPr>
          <w:spacing w:val="-2"/>
        </w:rPr>
        <w:t>购，公司根据国家相关政策在全国范围内对基本药物进行投标，产品中标后，通过公开招标的方式确定</w:t>
      </w:r>
      <w:r>
        <w:rPr>
          <w:rFonts w:ascii="Times New Roman" w:hAnsi="Times New Roman" w:cs="Times New Roman" w:eastAsia="Times New Roman" w:hint="default"/>
          <w:spacing w:val="-2"/>
        </w:rPr>
        <w:t>2-3</w:t>
      </w:r>
      <w:r>
        <w:rPr>
          <w:rFonts w:ascii="Times New Roman" w:hAnsi="Times New Roman" w:cs="Times New Roman" w:eastAsia="Times New Roman" w:hint="default"/>
        </w:rPr>
        <w:t> </w:t>
      </w:r>
      <w:r>
        <w:rPr/>
        <w:t>家药品经营企业，对基本药物进行统一配送。</w:t>
      </w:r>
    </w:p>
    <w:p>
      <w:pPr>
        <w:pStyle w:val="BodyText"/>
        <w:spacing w:line="408" w:lineRule="auto" w:before="54"/>
        <w:ind w:left="633" w:right="1121"/>
        <w:jc w:val="left"/>
      </w:pPr>
      <w:r>
        <w:rPr/>
        <w:t>②非国家基本药物销售 </w:t>
      </w:r>
      <w:r>
        <w:rPr>
          <w:spacing w:val="-2"/>
        </w:rPr>
        <w:t>处方药销售：又称为临床销售，是公司的主要销售模式之一。近年来我国老龄化问题日趋严重，恶性</w:t>
      </w:r>
    </w:p>
    <w:p>
      <w:pPr>
        <w:pStyle w:val="BodyText"/>
        <w:spacing w:line="386" w:lineRule="auto"/>
        <w:ind w:right="1130"/>
        <w:jc w:val="both"/>
      </w:pPr>
      <w:r>
        <w:rPr>
          <w:spacing w:val="-2"/>
        </w:rPr>
        <w:t>肿瘤和慢性疾病高发，使得市场对处方药的需求日益旺盛。目前，公司与全国</w:t>
      </w:r>
      <w:r>
        <w:rPr>
          <w:rFonts w:ascii="Times New Roman" w:hAnsi="Times New Roman" w:cs="Times New Roman" w:eastAsia="Times New Roman" w:hint="default"/>
          <w:spacing w:val="-2"/>
        </w:rPr>
        <w:t>4,000</w:t>
      </w:r>
      <w:r>
        <w:rPr>
          <w:spacing w:val="-2"/>
        </w:rPr>
        <w:t>多家二级甲等以上的医</w:t>
      </w:r>
      <w:r>
        <w:rPr>
          <w:spacing w:val="-84"/>
        </w:rPr>
        <w:t> </w:t>
      </w:r>
      <w:r>
        <w:rPr>
          <w:spacing w:val="-1"/>
        </w:rPr>
        <w:t>院以及</w:t>
      </w:r>
      <w:r>
        <w:rPr>
          <w:rFonts w:ascii="Times New Roman" w:hAnsi="Times New Roman" w:cs="Times New Roman" w:eastAsia="Times New Roman" w:hint="default"/>
          <w:spacing w:val="-1"/>
        </w:rPr>
        <w:t>1000</w:t>
      </w:r>
      <w:r>
        <w:rPr>
          <w:spacing w:val="-1"/>
        </w:rPr>
        <w:t>多家医药经销单位建立了长期稳定的业务关系，并且凭借优良的产品质量获得了较高的市场忠</w:t>
      </w:r>
      <w:r>
        <w:rPr>
          <w:spacing w:val="-79"/>
        </w:rPr>
        <w:t> </w:t>
      </w:r>
      <w:r>
        <w:rPr>
          <w:spacing w:val="-79"/>
        </w:rPr>
      </w:r>
      <w:r>
        <w:rPr/>
        <w:t>诚度和信任度。</w:t>
      </w:r>
    </w:p>
    <w:p>
      <w:pPr>
        <w:pStyle w:val="BodyText"/>
        <w:spacing w:line="408" w:lineRule="auto" w:before="65"/>
        <w:ind w:right="1121" w:firstLine="480"/>
        <w:jc w:val="left"/>
      </w:pPr>
      <w:r>
        <w:rPr>
          <w:spacing w:val="-2"/>
        </w:rPr>
        <w:t>公司处方药销售模式具体为：各地医院对药品进行集中招标采购，药品中标后通过当地几家有实力且</w:t>
      </w:r>
      <w:r>
        <w:rPr/>
        <w:t> 经当地政府和医院批准的药品批发公司进行配送，经过药事委员会的许可进入医院。</w:t>
      </w:r>
    </w:p>
    <w:p>
      <w:pPr>
        <w:pStyle w:val="BodyText"/>
        <w:spacing w:line="240" w:lineRule="auto"/>
        <w:ind w:left="633" w:right="0"/>
        <w:jc w:val="left"/>
      </w:pPr>
      <w:r>
        <w:rPr>
          <w:rFonts w:ascii="Times New Roman" w:hAnsi="Times New Roman" w:cs="Times New Roman" w:eastAsia="Times New Roman" w:hint="default"/>
        </w:rPr>
        <w:t>OTC</w:t>
      </w:r>
      <w:r>
        <w:rPr/>
        <w:t>销售：又称零售市场销售。随着我国居民人均收入的增长、卫生保健知识的丰富、专利到期处方</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药向</w:t>
      </w:r>
      <w:r>
        <w:rPr>
          <w:rFonts w:ascii="Times New Roman" w:hAnsi="Times New Roman" w:cs="Times New Roman" w:eastAsia="Times New Roman" w:hint="default"/>
        </w:rPr>
        <w:t>OTC</w:t>
      </w:r>
      <w:r>
        <w:rPr/>
        <w:t>转变的加快，</w:t>
      </w:r>
      <w:r>
        <w:rPr>
          <w:rFonts w:ascii="Times New Roman" w:hAnsi="Times New Roman" w:cs="Times New Roman" w:eastAsia="Times New Roman" w:hint="default"/>
        </w:rPr>
        <w:t>OTC</w:t>
      </w:r>
      <w:r>
        <w:rPr/>
        <w:t>市场的巨大潜力开始逐步得到体现。公司在保证原有销售体系稳定的基础上，</w:t>
      </w:r>
    </w:p>
    <w:p>
      <w:pPr>
        <w:pStyle w:val="BodyText"/>
        <w:spacing w:line="386" w:lineRule="auto" w:before="177"/>
        <w:ind w:left="634" w:right="0" w:hanging="48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月成立了</w:t>
      </w:r>
      <w:r>
        <w:rPr>
          <w:rFonts w:ascii="Times New Roman" w:hAnsi="Times New Roman" w:cs="Times New Roman" w:eastAsia="Times New Roman" w:hint="default"/>
        </w:rPr>
        <w:t>OTC</w:t>
      </w:r>
      <w:r>
        <w:rPr/>
        <w:t>事业部逐步加大零售市场的开发。 </w:t>
      </w:r>
      <w:r>
        <w:rPr>
          <w:spacing w:val="-5"/>
        </w:rPr>
        <w:t>公司</w:t>
      </w:r>
      <w:r>
        <w:rPr>
          <w:rFonts w:ascii="Times New Roman" w:hAnsi="Times New Roman" w:cs="Times New Roman" w:eastAsia="Times New Roman" w:hint="default"/>
          <w:spacing w:val="-5"/>
        </w:rPr>
        <w:t>OTC</w:t>
      </w:r>
      <w:r>
        <w:rPr>
          <w:spacing w:val="-5"/>
        </w:rPr>
        <w:t>销售包含两种模式：一是管理办事处模式，即公司将全国市场分为华东、华南、华北、华中、</w:t>
      </w:r>
    </w:p>
    <w:p>
      <w:pPr>
        <w:pStyle w:val="BodyText"/>
        <w:spacing w:line="398" w:lineRule="auto" w:before="36"/>
        <w:ind w:right="1118"/>
        <w:jc w:val="left"/>
      </w:pPr>
      <w:r>
        <w:rPr/>
        <w:t>西南、西北等</w:t>
      </w:r>
      <w:r>
        <w:rPr>
          <w:rFonts w:ascii="Times New Roman" w:hAnsi="Times New Roman" w:cs="Times New Roman" w:eastAsia="Times New Roman" w:hint="default"/>
        </w:rPr>
        <w:t>6</w:t>
      </w:r>
      <w:r>
        <w:rPr/>
        <w:t>个销售区域，设立各区域的</w:t>
      </w:r>
      <w:r>
        <w:rPr>
          <w:rFonts w:ascii="Times New Roman" w:hAnsi="Times New Roman" w:cs="Times New Roman" w:eastAsia="Times New Roman" w:hint="default"/>
        </w:rPr>
        <w:t>OTC</w:t>
      </w:r>
      <w:r>
        <w:rPr/>
        <w:t>销售管理办事处，由销售管理办事处根据公司制定的销售 </w:t>
      </w:r>
      <w:r>
        <w:rPr>
          <w:spacing w:val="-1"/>
        </w:rPr>
        <w:t>任务指标完成销售任务，负责建立和管理销售区域内的营销网络，制定各终端客户销售政策，执行监督各</w:t>
      </w:r>
      <w:r>
        <w:rPr>
          <w:spacing w:val="-83"/>
        </w:rPr>
        <w:t> </w:t>
      </w:r>
      <w:r>
        <w:rPr>
          <w:spacing w:val="-83"/>
        </w:rPr>
      </w:r>
      <w:r>
        <w:rPr>
          <w:spacing w:val="-1"/>
        </w:rPr>
        <w:t>项销售目标，并对区域内的经销代理商进行有效管理；二是终端直供模式，即公司成立</w:t>
      </w:r>
      <w:r>
        <w:rPr>
          <w:rFonts w:ascii="Times New Roman" w:hAnsi="Times New Roman" w:cs="Times New Roman" w:eastAsia="Times New Roman" w:hint="default"/>
          <w:spacing w:val="-1"/>
        </w:rPr>
        <w:t>OTC</w:t>
      </w:r>
      <w:r>
        <w:rPr>
          <w:spacing w:val="-1"/>
        </w:rPr>
        <w:t>招商管理事业</w:t>
      </w:r>
      <w:r>
        <w:rPr>
          <w:spacing w:val="-81"/>
        </w:rPr>
        <w:t> </w:t>
      </w:r>
      <w:r>
        <w:rPr>
          <w:spacing w:val="-1"/>
        </w:rPr>
        <w:t>部，直接与国内大型连锁药店展开合作，由生产企业将产品直接供货到大型连锁药店公司。目前与公司建</w:t>
      </w:r>
      <w:r>
        <w:rPr>
          <w:spacing w:val="-83"/>
        </w:rPr>
        <w:t> </w:t>
      </w:r>
      <w:r>
        <w:rPr>
          <w:spacing w:val="-83"/>
        </w:rPr>
      </w:r>
      <w:r>
        <w:rPr>
          <w:spacing w:val="-1"/>
        </w:rPr>
        <w:t>立合作关系的百强连锁共</w:t>
      </w:r>
      <w:r>
        <w:rPr>
          <w:rFonts w:ascii="Times New Roman" w:hAnsi="Times New Roman" w:cs="Times New Roman" w:eastAsia="Times New Roman" w:hint="default"/>
          <w:spacing w:val="-1"/>
        </w:rPr>
        <w:t>32</w:t>
      </w:r>
      <w:r>
        <w:rPr>
          <w:spacing w:val="-1"/>
        </w:rPr>
        <w:t>家，通过一年销售覆盖终端约</w:t>
      </w:r>
      <w:r>
        <w:rPr>
          <w:rFonts w:ascii="Times New Roman" w:hAnsi="Times New Roman" w:cs="Times New Roman" w:eastAsia="Times New Roman" w:hint="default"/>
          <w:spacing w:val="-1"/>
        </w:rPr>
        <w:t>17</w:t>
      </w:r>
      <w:r>
        <w:rPr>
          <w:spacing w:val="-1"/>
        </w:rPr>
        <w:t>万家。全国市场河北、广东、山东、河南、吉</w:t>
      </w:r>
      <w:r>
        <w:rPr>
          <w:spacing w:val="-86"/>
        </w:rPr>
        <w:t> </w:t>
      </w:r>
      <w:r>
        <w:rPr>
          <w:spacing w:val="-86"/>
        </w:rPr>
      </w:r>
      <w:r>
        <w:rPr>
          <w:spacing w:val="-1"/>
        </w:rPr>
        <w:t>林省级样板市场打造成型。洛阳、东莞、邯郸、衡水、威海地级样板市场打造成型，成为全国地总学习的</w:t>
      </w:r>
      <w:r>
        <w:rPr>
          <w:spacing w:val="-83"/>
        </w:rPr>
        <w:t> </w:t>
      </w:r>
      <w:r>
        <w:rPr>
          <w:spacing w:val="-83"/>
        </w:rPr>
      </w:r>
      <w:r>
        <w:rPr/>
        <w:t>标兵。</w:t>
      </w:r>
    </w:p>
    <w:p>
      <w:pPr>
        <w:pStyle w:val="BodyText"/>
        <w:spacing w:line="386" w:lineRule="auto" w:before="54"/>
        <w:ind w:left="633" w:right="1121"/>
        <w:jc w:val="left"/>
      </w:pPr>
      <w:r>
        <w:rPr/>
        <w:t>（</w:t>
      </w:r>
      <w:r>
        <w:rPr>
          <w:rFonts w:ascii="Times New Roman" w:hAnsi="Times New Roman" w:cs="Times New Roman" w:eastAsia="Times New Roman" w:hint="default"/>
        </w:rPr>
        <w:t>2</w:t>
      </w:r>
      <w:r>
        <w:rPr/>
        <w:t>）人参产品的销售模式 </w:t>
      </w:r>
      <w:r>
        <w:rPr>
          <w:spacing w:val="-2"/>
        </w:rPr>
        <w:t>在人参产品方面，人参产品分为粗加工产品和深加工产品。粗加工产品包括白参、红参、生晒参等系</w:t>
      </w:r>
    </w:p>
    <w:p>
      <w:pPr>
        <w:pStyle w:val="BodyText"/>
        <w:spacing w:line="408" w:lineRule="auto" w:before="65"/>
        <w:ind w:right="1024"/>
        <w:jc w:val="left"/>
      </w:pPr>
      <w:r>
        <w:rPr>
          <w:spacing w:val="-3"/>
        </w:rPr>
        <w:t>列产品；深加工产品包括人参双耳饮料、人参果蔬发酵饮料、鲜人参蜜片、玉红颜红参阿胶糕、模压红参、</w:t>
      </w:r>
      <w:r>
        <w:rPr>
          <w:spacing w:val="-94"/>
        </w:rPr>
        <w:t> </w:t>
      </w:r>
      <w:r>
        <w:rPr>
          <w:spacing w:val="-94"/>
        </w:rPr>
      </w:r>
      <w:r>
        <w:rPr/>
        <w:t>林下金参、双佳金参、人参茎叶提取物、人参提取物和红参红枣固体饮料等。</w:t>
      </w:r>
    </w:p>
    <w:p>
      <w:pPr>
        <w:pStyle w:val="BodyText"/>
        <w:spacing w:line="408" w:lineRule="auto"/>
        <w:ind w:right="1121" w:firstLine="480"/>
        <w:jc w:val="left"/>
      </w:pPr>
      <w:r>
        <w:rPr>
          <w:spacing w:val="-2"/>
        </w:rPr>
        <w:t>①人参粗加工产品、人参茎叶提取物、人参提取物等产品，主要客户为医药制造公司、药材批发流通</w:t>
      </w:r>
      <w:r>
        <w:rPr/>
        <w:t> 公司、连锁药店以及贸易公司等。</w:t>
      </w:r>
    </w:p>
    <w:p>
      <w:pPr>
        <w:pStyle w:val="BodyText"/>
        <w:spacing w:line="408" w:lineRule="auto"/>
        <w:ind w:left="633" w:right="2293"/>
        <w:jc w:val="left"/>
      </w:pPr>
      <w:r>
        <w:rPr/>
        <w:t>②人参深加工产品主要通过两种销售渠道，即流通渠道和药店渠道，具体形式如下： 流通渠道销售：流通渠道销售主要是针对大型商超、参茸店、专卖店等进行系统运作。</w:t>
      </w:r>
    </w:p>
    <w:p>
      <w:pPr>
        <w:pStyle w:val="BodyText"/>
        <w:spacing w:line="408" w:lineRule="auto"/>
        <w:ind w:right="1024" w:firstLine="841"/>
        <w:jc w:val="left"/>
      </w:pPr>
      <w:r>
        <w:rPr/>
        <w:t>药店模式：由于人参具有特殊的药用价值，公司与各大连锁药房进行洽谈，通过产品入驻或设立 </w:t>
      </w:r>
      <w:r>
        <w:rPr>
          <w:spacing w:val="-3"/>
        </w:rPr>
        <w:t>专柜的形式，进行药店渠道的市场销售。公司通过药店渠道的建设，将在全国各大连锁药房形成有效覆盖，</w:t>
      </w:r>
      <w:r>
        <w:rPr>
          <w:spacing w:val="-90"/>
        </w:rPr>
        <w:t> </w:t>
      </w:r>
      <w:r>
        <w:rPr>
          <w:spacing w:val="-90"/>
        </w:rPr>
      </w:r>
      <w:r>
        <w:rPr/>
        <w:t>提高公司人参产品的渗透力。</w:t>
      </w:r>
    </w:p>
    <w:p>
      <w:pPr>
        <w:pStyle w:val="BodyText"/>
        <w:spacing w:line="408" w:lineRule="auto"/>
        <w:ind w:left="634" w:right="1120"/>
        <w:jc w:val="left"/>
      </w:pPr>
      <w:r>
        <w:rPr/>
        <w:t>（四）主要业绩驱动 </w:t>
      </w:r>
      <w:r>
        <w:rPr>
          <w:spacing w:val="-2"/>
        </w:rPr>
        <w:t>公司业绩驱动因素主要为以下五个方面：一是国家对健康产业重视，公司产品资源丰富、质量过硬带</w:t>
      </w:r>
    </w:p>
    <w:p>
      <w:pPr>
        <w:pStyle w:val="BodyText"/>
        <w:spacing w:line="393" w:lineRule="auto"/>
        <w:ind w:right="1118"/>
        <w:jc w:val="left"/>
        <w:rPr>
          <w:rFonts w:ascii="宋体" w:hAnsi="宋体" w:cs="宋体" w:eastAsia="宋体" w:hint="default"/>
          <w:sz w:val="24"/>
          <w:szCs w:val="24"/>
        </w:rPr>
      </w:pPr>
      <w:r>
        <w:rPr>
          <w:spacing w:val="-1"/>
        </w:rPr>
        <w:t>来发展新机遇；二是公司中成药</w:t>
      </w:r>
      <w:r>
        <w:rPr>
          <w:rFonts w:ascii="Times New Roman" w:hAnsi="Times New Roman" w:cs="Times New Roman" w:eastAsia="Times New Roman" w:hint="default"/>
          <w:spacing w:val="-1"/>
        </w:rPr>
        <w:t>OTC</w:t>
      </w:r>
      <w:r>
        <w:rPr>
          <w:spacing w:val="-1"/>
        </w:rPr>
        <w:t>销售、人参深加工产品销售取得喜人的成绩；三是公司产品结构不断</w:t>
      </w:r>
      <w:r>
        <w:rPr>
          <w:spacing w:val="-82"/>
        </w:rPr>
        <w:t> </w:t>
      </w:r>
      <w:r>
        <w:rPr>
          <w:spacing w:val="-82"/>
        </w:rPr>
      </w:r>
      <w:r>
        <w:rPr>
          <w:spacing w:val="-1"/>
        </w:rPr>
        <w:t>优化；四是持续推进精益生产，加强成本管控，产品盈利能力提升；五是营销模式加速创新。未来，公司</w:t>
      </w:r>
      <w:r>
        <w:rPr>
          <w:spacing w:val="-83"/>
        </w:rPr>
        <w:t> </w:t>
      </w:r>
      <w:r>
        <w:rPr>
          <w:spacing w:val="-83"/>
        </w:rPr>
      </w:r>
      <w:r>
        <w:rPr/>
        <w:t>将继续稳步推进创新产品研发及产品结构优化提升，确保公司业绩可持续增长。 </w:t>
      </w:r>
      <w:bookmarkStart w:name="二、主要资产重大变化情况" w:id="19"/>
      <w:bookmarkEnd w:id="19"/>
      <w:r>
        <w:rPr/>
      </w:r>
      <w:r>
        <w:rPr>
          <w:rFonts w:ascii="宋体" w:hAnsi="宋体" w:cs="宋体" w:eastAsia="宋体" w:hint="default"/>
          <w:b/>
          <w:bCs/>
          <w:sz w:val="24"/>
          <w:szCs w:val="24"/>
        </w:rPr>
        <w:t>二、主要资产重大变化情况</w:t>
      </w:r>
      <w:r>
        <w:rPr>
          <w:rFonts w:ascii="宋体" w:hAnsi="宋体" w:cs="宋体" w:eastAsia="宋体" w:hint="default"/>
          <w:sz w:val="24"/>
          <w:szCs w:val="24"/>
        </w:rPr>
      </w:r>
    </w:p>
    <w:p>
      <w:pPr>
        <w:pStyle w:val="Heading3"/>
        <w:spacing w:line="240" w:lineRule="auto" w:before="23"/>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478"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b/>
          <w:bCs/>
          <w:sz w:val="28"/>
          <w:szCs w:val="28"/>
        </w:rPr>
      </w:pPr>
    </w:p>
    <w:p>
      <w:pPr>
        <w:spacing w:line="498" w:lineRule="exact"/>
        <w:ind w:left="149"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78.95pt;height:24.9pt;mso-position-horizontal-relative:char;mso-position-vertical-relative:line" coordorigin="0,0" coordsize="9579,498">
            <v:group style="position:absolute;left:10;top:14;width:3042;height:468" coordorigin="10,14" coordsize="3042,468">
              <v:shape style="position:absolute;left:10;top:14;width:3042;height:468" coordorigin="10,14" coordsize="3042,468" path="m10,482l3051,482,3051,14,10,14,10,482xe" filled="true" fillcolor="#d2d2d2" stroked="false">
                <v:path arrowok="t"/>
                <v:fill type="solid"/>
              </v:shape>
            </v:group>
            <v:group style="position:absolute;left:3062;top:14;width:6508;height:468" coordorigin="3062,14" coordsize="6508,468">
              <v:shape style="position:absolute;left:3062;top:14;width:6508;height:468" coordorigin="3062,14" coordsize="6508,468" path="m3062,482l9569,482,9569,14,3062,14,3062,482xe" filled="true" fillcolor="#d2d2d2" stroked="false">
                <v:path arrowok="t"/>
                <v:fill type="solid"/>
              </v:shape>
            </v:group>
            <v:group style="position:absolute;left:10;top:10;width:3043;height:2" coordorigin="10,10" coordsize="3043,2">
              <v:shape style="position:absolute;left:10;top:10;width:3043;height:2" coordorigin="10,10" coordsize="3043,0" path="m10,10l3052,10e" filled="false" stroked="true" strokeweight=".48pt" strokecolor="#000000">
                <v:path arrowok="t"/>
              </v:shape>
            </v:group>
            <v:group style="position:absolute;left:3062;top:10;width:6508;height:2" coordorigin="3062,10" coordsize="6508,2">
              <v:shape style="position:absolute;left:3062;top:10;width:6508;height:2" coordorigin="3062,10" coordsize="6508,0" path="m3062,10l9569,10e" filled="false" stroked="true" strokeweight=".48pt" strokecolor="#000000">
                <v:path arrowok="t"/>
              </v:shape>
            </v:group>
            <v:group style="position:absolute;left:5;top:5;width:2;height:489" coordorigin="5,5" coordsize="2,489">
              <v:shape style="position:absolute;left:5;top:5;width:2;height:489" coordorigin="5,5" coordsize="0,489" path="m5,5l5,493e" filled="false" stroked="true" strokeweight=".48pt" strokecolor="#000000">
                <v:path arrowok="t"/>
              </v:shape>
            </v:group>
            <v:group style="position:absolute;left:10;top:488;width:3043;height:2" coordorigin="10,488" coordsize="3043,2">
              <v:shape style="position:absolute;left:10;top:488;width:3043;height:2" coordorigin="10,488" coordsize="3043,0" path="m10,488l3052,488e" filled="false" stroked="true" strokeweight=".48pt" strokecolor="#000000">
                <v:path arrowok="t"/>
              </v:shape>
            </v:group>
            <v:group style="position:absolute;left:3057;top:5;width:2;height:489" coordorigin="3057,5" coordsize="2,489">
              <v:shape style="position:absolute;left:3057;top:5;width:2;height:489" coordorigin="3057,5" coordsize="0,489" path="m3057,5l3057,493e" filled="false" stroked="true" strokeweight=".48pt" strokecolor="#000000">
                <v:path arrowok="t"/>
              </v:shape>
            </v:group>
            <v:group style="position:absolute;left:3062;top:488;width:6508;height:2" coordorigin="3062,488" coordsize="6508,2">
              <v:shape style="position:absolute;left:3062;top:488;width:6508;height:2" coordorigin="3062,488" coordsize="6508,0" path="m3062,488l9569,488e" filled="false" stroked="true" strokeweight=".48pt" strokecolor="#000000">
                <v:path arrowok="t"/>
              </v:shape>
            </v:group>
            <v:group style="position:absolute;left:9574;top:5;width:2;height:489" coordorigin="9574,5" coordsize="2,489">
              <v:shape style="position:absolute;left:9574;top:5;width:2;height:489" coordorigin="9574,5" coordsize="0,489" path="m9574,5l9574,493e" filled="false" stroked="true" strokeweight=".48pt" strokecolor="#000000">
                <v:path arrowok="t"/>
              </v:shape>
            </v:group>
          </v:group>
        </w:pict>
      </w:r>
      <w:r>
        <w:rPr>
          <w:rFonts w:ascii="宋体" w:hAnsi="宋体" w:cs="宋体" w:eastAsia="宋体" w:hint="default"/>
          <w:position w:val="-9"/>
          <w:sz w:val="20"/>
          <w:szCs w:val="20"/>
        </w:rPr>
      </w:r>
    </w:p>
    <w:p>
      <w:pPr>
        <w:pStyle w:val="Heading3"/>
        <w:spacing w:line="240" w:lineRule="auto" w:before="58"/>
        <w:ind w:left="154" w:right="0"/>
        <w:jc w:val="both"/>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6"/>
        <w:rPr>
          <w:rFonts w:ascii="宋体" w:hAnsi="宋体" w:cs="宋体" w:eastAsia="宋体" w:hint="default"/>
          <w:b/>
          <w:bCs/>
          <w:sz w:val="15"/>
          <w:szCs w:val="15"/>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13"/>
          <w:szCs w:val="13"/>
        </w:rPr>
      </w:pPr>
    </w:p>
    <w:p>
      <w:pPr>
        <w:pStyle w:val="Heading2"/>
        <w:spacing w:line="240" w:lineRule="auto"/>
        <w:ind w:right="0"/>
        <w:jc w:val="both"/>
        <w:rPr>
          <w:b w:val="0"/>
          <w:bCs w:val="0"/>
        </w:rPr>
      </w:pPr>
      <w:bookmarkStart w:name="三、核心竞争力分析" w:id="22"/>
      <w:bookmarkEnd w:id="22"/>
      <w:r>
        <w:rPr>
          <w:b w:val="0"/>
          <w:bCs w:val="0"/>
        </w:rPr>
      </w:r>
      <w:r>
        <w:rPr/>
        <w:t>三、核心竞争力分析</w:t>
      </w:r>
      <w:r>
        <w:rPr>
          <w:b w:val="0"/>
          <w:bCs w:val="0"/>
        </w:rPr>
      </w:r>
    </w:p>
    <w:p>
      <w:pPr>
        <w:spacing w:line="477" w:lineRule="auto" w:before="202"/>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29"/>
        <w:ind w:left="634" w:right="1196"/>
        <w:jc w:val="left"/>
      </w:pPr>
      <w:r>
        <w:rPr/>
        <w:t>（一）品牌优势 公司</w:t>
      </w:r>
      <w:r>
        <w:rPr>
          <w:rFonts w:ascii="Times New Roman" w:hAnsi="Times New Roman" w:cs="Times New Roman" w:eastAsia="Times New Roman" w:hint="default"/>
        </w:rPr>
        <w:t>“</w:t>
      </w:r>
      <w:r>
        <w:rPr/>
        <w:t>紫鑫</w:t>
      </w:r>
      <w:r>
        <w:rPr>
          <w:rFonts w:ascii="Times New Roman" w:hAnsi="Times New Roman" w:cs="Times New Roman" w:eastAsia="Times New Roman" w:hint="default"/>
        </w:rPr>
        <w:t>”</w:t>
      </w:r>
      <w:r>
        <w:rPr/>
        <w:t>商标为中国驰名商标和吉林省著名商标。公司被评为</w:t>
      </w:r>
      <w:r>
        <w:rPr>
          <w:rFonts w:ascii="Times New Roman" w:hAnsi="Times New Roman" w:cs="Times New Roman" w:eastAsia="Times New Roman" w:hint="default"/>
        </w:rPr>
        <w:t>“</w:t>
      </w:r>
      <w:r>
        <w:rPr/>
        <w:t>中国医药行业重质量单位</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吉林</w:t>
      </w:r>
    </w:p>
    <w:p>
      <w:pPr>
        <w:pStyle w:val="BodyText"/>
        <w:spacing w:line="386" w:lineRule="auto" w:before="14"/>
        <w:ind w:right="1130"/>
        <w:jc w:val="both"/>
      </w:pPr>
      <w:r>
        <w:rPr>
          <w:spacing w:val="-3"/>
        </w:rPr>
        <w:t>省百姓口碑最佳信誉单位</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中国医药行业无假货单位</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“AAA</w:t>
      </w:r>
      <w:r>
        <w:rPr>
          <w:spacing w:val="-3"/>
        </w:rPr>
        <w:t>级中国诚信企业</w:t>
      </w:r>
      <w:r>
        <w:rPr>
          <w:rFonts w:ascii="Times New Roman" w:hAnsi="Times New Roman" w:cs="Times New Roman" w:eastAsia="Times New Roman" w:hint="default"/>
          <w:spacing w:val="-3"/>
        </w:rPr>
        <w:t>”</w:t>
      </w:r>
      <w:r>
        <w:rPr>
          <w:spacing w:val="-3"/>
        </w:rPr>
        <w:t>。民众的美誉度、忠诚度</w:t>
      </w:r>
      <w:r>
        <w:rPr>
          <w:spacing w:val="-64"/>
        </w:rPr>
        <w:t> </w:t>
      </w:r>
      <w:r>
        <w:rPr>
          <w:spacing w:val="-64"/>
        </w:rPr>
      </w:r>
      <w:r>
        <w:rPr/>
        <w:t>非常高，在医药行业已经树立起良好的医药品牌形象。公司的</w:t>
      </w:r>
      <w:r>
        <w:rPr>
          <w:rFonts w:ascii="Times New Roman" w:hAnsi="Times New Roman" w:cs="Times New Roman" w:eastAsia="Times New Roman" w:hint="default"/>
        </w:rPr>
        <w:t>“</w:t>
      </w:r>
      <w:r>
        <w:rPr/>
        <w:t>紫鑫国参</w:t>
      </w:r>
      <w:r>
        <w:rPr>
          <w:rFonts w:ascii="Times New Roman" w:hAnsi="Times New Roman" w:cs="Times New Roman" w:eastAsia="Times New Roman" w:hint="default"/>
        </w:rPr>
        <w:t>”</w:t>
      </w:r>
      <w:r>
        <w:rPr/>
        <w:t>品牌在业界具有一定的优势，人 参果蔬发酵饮料、鲜人参蜜片及红参红枣固体饮料于</w:t>
      </w:r>
      <w:r>
        <w:rPr>
          <w:rFonts w:ascii="Times New Roman" w:hAnsi="Times New Roman" w:cs="Times New Roman" w:eastAsia="Times New Roman" w:hint="default"/>
        </w:rPr>
        <w:t>2013</w:t>
      </w:r>
      <w:r>
        <w:rPr/>
        <w:t>年获得</w:t>
      </w:r>
      <w:r>
        <w:rPr>
          <w:rFonts w:ascii="Times New Roman" w:hAnsi="Times New Roman" w:cs="Times New Roman" w:eastAsia="Times New Roman" w:hint="default"/>
        </w:rPr>
        <w:t>“</w:t>
      </w:r>
      <w:r>
        <w:rPr/>
        <w:t>长白山人参</w:t>
      </w:r>
      <w:r>
        <w:rPr>
          <w:rFonts w:ascii="Times New Roman" w:hAnsi="Times New Roman" w:cs="Times New Roman" w:eastAsia="Times New Roman" w:hint="default"/>
        </w:rPr>
        <w:t>”</w:t>
      </w:r>
      <w:r>
        <w:rPr/>
        <w:t>品牌产品认证；第五届国际 食品安全年度峰会召开，公司主打的人参双耳饮料</w:t>
      </w:r>
      <w:r>
        <w:rPr>
          <w:rFonts w:ascii="Times New Roman" w:hAnsi="Times New Roman" w:cs="Times New Roman" w:eastAsia="Times New Roman" w:hint="default"/>
        </w:rPr>
        <w:t>“</w:t>
      </w:r>
      <w:r>
        <w:rPr/>
        <w:t>参呼吸</w:t>
      </w:r>
      <w:r>
        <w:rPr>
          <w:rFonts w:ascii="Times New Roman" w:hAnsi="Times New Roman" w:cs="Times New Roman" w:eastAsia="Times New Roman" w:hint="default"/>
        </w:rPr>
        <w:t>”</w:t>
      </w:r>
      <w:r>
        <w:rPr/>
        <w:t>荣获国际食品安全协会指定饮品。</w:t>
      </w:r>
      <w:r>
        <w:rPr>
          <w:rFonts w:ascii="Times New Roman" w:hAnsi="Times New Roman" w:cs="Times New Roman" w:eastAsia="Times New Roman" w:hint="default"/>
        </w:rPr>
        <w:t>2016</w:t>
      </w:r>
      <w:r>
        <w:rPr/>
        <w:t>年度中 国医药行业成长五十强企业、优质道地中药材十佳规范化种植基地、医药工业十佳集团金牌采购商。</w:t>
      </w:r>
    </w:p>
    <w:p>
      <w:pPr>
        <w:pStyle w:val="BodyText"/>
        <w:spacing w:line="408" w:lineRule="auto" w:before="65"/>
        <w:ind w:left="633" w:right="1121"/>
        <w:jc w:val="left"/>
      </w:pPr>
      <w:r>
        <w:rPr/>
        <w:t>（二）营销渠道优势 </w:t>
      </w:r>
      <w:r>
        <w:rPr>
          <w:spacing w:val="-2"/>
        </w:rPr>
        <w:t>公司拥有完善的销售系统和市场支持体系，通过长期培育，目前公司建立了一支经验丰富、市场开拓</w:t>
      </w:r>
    </w:p>
    <w:p>
      <w:pPr>
        <w:pStyle w:val="BodyText"/>
        <w:spacing w:line="398" w:lineRule="auto"/>
        <w:ind w:right="1132"/>
        <w:jc w:val="both"/>
      </w:pPr>
      <w:r>
        <w:rPr>
          <w:spacing w:val="-1"/>
        </w:rPr>
        <w:t>能力突出的一流销售队伍，销售目标区域以东北三省、江浙地区为中心，辐射全国除台湾、西藏藏族自治</w:t>
      </w:r>
      <w:r>
        <w:rPr>
          <w:spacing w:val="-86"/>
        </w:rPr>
        <w:t> </w:t>
      </w:r>
      <w:r>
        <w:rPr>
          <w:spacing w:val="-86"/>
        </w:rPr>
      </w:r>
      <w:r>
        <w:rPr>
          <w:spacing w:val="-2"/>
        </w:rPr>
        <w:t>区以外的</w:t>
      </w:r>
      <w:r>
        <w:rPr>
          <w:rFonts w:ascii="Times New Roman" w:hAnsi="Times New Roman" w:cs="Times New Roman" w:eastAsia="Times New Roman" w:hint="default"/>
          <w:spacing w:val="-2"/>
        </w:rPr>
        <w:t>30</w:t>
      </w:r>
      <w:r>
        <w:rPr>
          <w:spacing w:val="-2"/>
        </w:rPr>
        <w:t>个省、市和自治区，与全国</w:t>
      </w:r>
      <w:r>
        <w:rPr>
          <w:rFonts w:ascii="Times New Roman" w:hAnsi="Times New Roman" w:cs="Times New Roman" w:eastAsia="Times New Roman" w:hint="default"/>
          <w:spacing w:val="-2"/>
        </w:rPr>
        <w:t>4,000</w:t>
      </w:r>
      <w:r>
        <w:rPr>
          <w:spacing w:val="-2"/>
        </w:rPr>
        <w:t>多家二级甲等以上医院、</w:t>
      </w:r>
      <w:r>
        <w:rPr>
          <w:rFonts w:ascii="Times New Roman" w:hAnsi="Times New Roman" w:cs="Times New Roman" w:eastAsia="Times New Roman" w:hint="default"/>
          <w:spacing w:val="-2"/>
        </w:rPr>
        <w:t>1000</w:t>
      </w:r>
      <w:r>
        <w:rPr>
          <w:spacing w:val="-2"/>
        </w:rPr>
        <w:t>多家医药经销单位建立了长期稳</w:t>
      </w:r>
      <w:r>
        <w:rPr>
          <w:spacing w:val="-82"/>
        </w:rPr>
        <w:t> </w:t>
      </w:r>
      <w:r>
        <w:rPr>
          <w:spacing w:val="-82"/>
        </w:rPr>
      </w:r>
      <w:r>
        <w:rPr/>
        <w:t>定的业务关系。</w:t>
      </w:r>
    </w:p>
    <w:p>
      <w:pPr>
        <w:pStyle w:val="BodyText"/>
        <w:spacing w:line="408" w:lineRule="auto" w:before="54"/>
        <w:ind w:left="633" w:right="1121"/>
        <w:jc w:val="left"/>
      </w:pPr>
      <w:r>
        <w:rPr/>
        <w:t>（三）质量保证体系优势 </w:t>
      </w:r>
      <w:r>
        <w:rPr>
          <w:spacing w:val="-2"/>
        </w:rPr>
        <w:t>公司的主导品种以治疗心脑血管、骨伤类、消化系统、泌尿系统和风湿免疫类疾病为主，主要产品有</w:t>
      </w:r>
    </w:p>
    <w:p>
      <w:pPr>
        <w:pStyle w:val="BodyText"/>
        <w:spacing w:line="400" w:lineRule="auto"/>
        <w:ind w:right="1130"/>
        <w:jc w:val="both"/>
      </w:pPr>
      <w:r>
        <w:rPr>
          <w:spacing w:val="-1"/>
        </w:rPr>
        <w:t>活血通脉片、醒脑再造胶囊、麝香接骨胶囊、复方益肝灵片、补肾安神口服液、四妙丸等。生产药品剂型</w:t>
      </w:r>
      <w:r>
        <w:rPr>
          <w:spacing w:val="-82"/>
        </w:rPr>
        <w:t> </w:t>
      </w:r>
      <w:r>
        <w:rPr>
          <w:spacing w:val="-82"/>
        </w:rPr>
      </w:r>
      <w:r>
        <w:rPr>
          <w:spacing w:val="-1"/>
        </w:rPr>
        <w:t>包括片剂、硬胶囊剂、口服液、丸剂、颗粒剂、口服溶液剂、合剂和锭剂，公司及公司子公司相关生产线</w:t>
      </w:r>
      <w:r>
        <w:rPr>
          <w:spacing w:val="-85"/>
        </w:rPr>
        <w:t> </w:t>
      </w:r>
      <w:r>
        <w:rPr>
          <w:spacing w:val="-85"/>
        </w:rPr>
      </w:r>
      <w:r>
        <w:rPr>
          <w:spacing w:val="-2"/>
        </w:rPr>
        <w:t>已通过新版《药品生产质量管理规范》（</w:t>
      </w:r>
      <w:r>
        <w:rPr>
          <w:rFonts w:ascii="Times New Roman" w:hAnsi="Times New Roman" w:cs="Times New Roman" w:eastAsia="Times New Roman" w:hint="default"/>
          <w:spacing w:val="-2"/>
        </w:rPr>
        <w:t>GMP</w:t>
      </w:r>
      <w:r>
        <w:rPr>
          <w:spacing w:val="-2"/>
        </w:rPr>
        <w:t>）认证，并获得《药品</w:t>
      </w:r>
      <w:r>
        <w:rPr>
          <w:rFonts w:ascii="Times New Roman" w:hAnsi="Times New Roman" w:cs="Times New Roman" w:eastAsia="Times New Roman" w:hint="default"/>
          <w:spacing w:val="-2"/>
        </w:rPr>
        <w:t>GMP</w:t>
      </w:r>
      <w:r>
        <w:rPr>
          <w:spacing w:val="-2"/>
        </w:rPr>
        <w:t>证书》。公司产品历次无重大质</w:t>
      </w:r>
      <w:r>
        <w:rPr/>
        <w:t> 量事故发生，在市场上享有良好声誉。</w:t>
      </w:r>
    </w:p>
    <w:p>
      <w:pPr>
        <w:pStyle w:val="BodyText"/>
        <w:spacing w:line="408" w:lineRule="auto" w:before="52"/>
        <w:ind w:left="633" w:right="1121"/>
        <w:jc w:val="left"/>
      </w:pPr>
      <w:r>
        <w:rPr/>
        <w:t>（四）丰富的资源优势 </w:t>
      </w:r>
      <w:r>
        <w:rPr>
          <w:spacing w:val="-2"/>
        </w:rPr>
        <w:t>公司生产的中成药以治疗风湿免疫类、耳鼻喉类、泌尿系统、心脑血管、肝胆类和消化系统类疾病为</w:t>
      </w:r>
    </w:p>
    <w:p>
      <w:pPr>
        <w:pStyle w:val="BodyText"/>
        <w:spacing w:line="386" w:lineRule="auto"/>
        <w:ind w:right="0"/>
        <w:jc w:val="left"/>
      </w:pPr>
      <w:r>
        <w:rPr/>
        <w:t>主，生产药品的剂型共分为</w:t>
      </w:r>
      <w:r>
        <w:rPr>
          <w:rFonts w:ascii="Times New Roman" w:hAnsi="Times New Roman" w:cs="Times New Roman" w:eastAsia="Times New Roman" w:hint="default"/>
        </w:rPr>
        <w:t>9</w:t>
      </w:r>
      <w:r>
        <w:rPr/>
        <w:t>种，包括丸剂、片剂、硬胶囊剂、口服液、颗粒剂、口服溶液剂、合剂、软 </w:t>
      </w:r>
      <w:r>
        <w:rPr>
          <w:spacing w:val="-1"/>
        </w:rPr>
        <w:t>胶囊剂和锭剂。公司中成药产品储备丰富，目前共取得药品批准文号</w:t>
      </w:r>
      <w:r>
        <w:rPr>
          <w:rFonts w:ascii="Times New Roman" w:hAnsi="Times New Roman" w:cs="Times New Roman" w:eastAsia="Times New Roman" w:hint="default"/>
          <w:spacing w:val="-1"/>
        </w:rPr>
        <w:t>205</w:t>
      </w:r>
      <w:r>
        <w:rPr>
          <w:spacing w:val="-1"/>
        </w:rPr>
        <w:t>个，涉及</w:t>
      </w:r>
      <w:r>
        <w:rPr>
          <w:rFonts w:ascii="Times New Roman" w:hAnsi="Times New Roman" w:cs="Times New Roman" w:eastAsia="Times New Roman" w:hint="default"/>
          <w:spacing w:val="-1"/>
        </w:rPr>
        <w:t>172</w:t>
      </w:r>
      <w:r>
        <w:rPr>
          <w:spacing w:val="-1"/>
        </w:rPr>
        <w:t>种药品（在生产药品</w:t>
      </w:r>
      <w:r>
        <w:rPr>
          <w:spacing w:val="-86"/>
        </w:rPr>
        <w:t> </w:t>
      </w:r>
      <w:r>
        <w:rPr>
          <w:spacing w:val="-86"/>
        </w:rPr>
      </w:r>
      <w:r>
        <w:rPr>
          <w:rFonts w:ascii="Times New Roman" w:hAnsi="Times New Roman" w:cs="Times New Roman" w:eastAsia="Times New Roman" w:hint="default"/>
          <w:spacing w:val="-1"/>
        </w:rPr>
        <w:t>67</w:t>
      </w:r>
      <w:r>
        <w:rPr>
          <w:spacing w:val="-1"/>
        </w:rPr>
        <w:t>种），其中</w:t>
      </w:r>
      <w:r>
        <w:rPr>
          <w:rFonts w:ascii="Times New Roman" w:hAnsi="Times New Roman" w:cs="Times New Roman" w:eastAsia="Times New Roman" w:hint="default"/>
          <w:spacing w:val="-1"/>
        </w:rPr>
        <w:t>OTC</w:t>
      </w:r>
      <w:r>
        <w:rPr>
          <w:spacing w:val="-1"/>
        </w:rPr>
        <w:t>药品</w:t>
      </w:r>
      <w:r>
        <w:rPr>
          <w:rFonts w:ascii="Times New Roman" w:hAnsi="Times New Roman" w:cs="Times New Roman" w:eastAsia="Times New Roman" w:hint="default"/>
          <w:spacing w:val="-1"/>
        </w:rPr>
        <w:t>92</w:t>
      </w:r>
      <w:r>
        <w:rPr>
          <w:spacing w:val="-1"/>
        </w:rPr>
        <w:t>个药品批准文号，处方药品</w:t>
      </w:r>
      <w:r>
        <w:rPr>
          <w:rFonts w:ascii="Times New Roman" w:hAnsi="Times New Roman" w:cs="Times New Roman" w:eastAsia="Times New Roman" w:hint="default"/>
          <w:spacing w:val="-1"/>
        </w:rPr>
        <w:t>113</w:t>
      </w:r>
      <w:r>
        <w:rPr>
          <w:spacing w:val="-1"/>
        </w:rPr>
        <w:t>个药品批准文号。公司目前拥有独家品种</w:t>
      </w:r>
      <w:r>
        <w:rPr>
          <w:rFonts w:ascii="Times New Roman" w:hAnsi="Times New Roman" w:cs="Times New Roman" w:eastAsia="Times New Roman" w:hint="default"/>
          <w:spacing w:val="-1"/>
        </w:rPr>
        <w:t>5</w:t>
      </w:r>
      <w:r>
        <w:rPr>
          <w:spacing w:val="-1"/>
        </w:rPr>
        <w:t>种，优</w:t>
      </w:r>
    </w:p>
    <w:p>
      <w:pPr>
        <w:spacing w:after="0" w:line="38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left="154" w:right="0"/>
        <w:jc w:val="left"/>
      </w:pPr>
      <w:r>
        <w:rPr/>
        <w:t>质优价药品</w:t>
      </w:r>
      <w:r>
        <w:rPr>
          <w:rFonts w:ascii="Times New Roman" w:hAnsi="Times New Roman" w:cs="Times New Roman" w:eastAsia="Times New Roman" w:hint="default"/>
        </w:rPr>
        <w:t>8</w:t>
      </w:r>
      <w:r>
        <w:rPr/>
        <w:t>种，国家中药二级保护药品</w:t>
      </w:r>
      <w:r>
        <w:rPr>
          <w:rFonts w:ascii="Times New Roman" w:hAnsi="Times New Roman" w:cs="Times New Roman" w:eastAsia="Times New Roman" w:hint="default"/>
        </w:rPr>
        <w:t>3</w:t>
      </w:r>
      <w:r>
        <w:rPr/>
        <w:t>种，有</w:t>
      </w:r>
      <w:r>
        <w:rPr>
          <w:rFonts w:ascii="Times New Roman" w:hAnsi="Times New Roman" w:cs="Times New Roman" w:eastAsia="Times New Roman" w:hint="default"/>
        </w:rPr>
        <w:t>48</w:t>
      </w:r>
      <w:r>
        <w:rPr/>
        <w:t>个药品批准文号的药品进入国家基本药物目录，</w:t>
      </w:r>
      <w:r>
        <w:rPr>
          <w:rFonts w:ascii="Times New Roman" w:hAnsi="Times New Roman" w:cs="Times New Roman" w:eastAsia="Times New Roman" w:hint="default"/>
        </w:rPr>
        <w:t>128</w:t>
      </w:r>
      <w:r>
        <w:rPr/>
        <w:t>个 </w:t>
      </w:r>
      <w:r>
        <w:rPr>
          <w:spacing w:val="-1"/>
        </w:rPr>
        <w:t>药品批准文号的药品列入国家医保目录（</w:t>
      </w:r>
      <w:r>
        <w:rPr>
          <w:rFonts w:ascii="Times New Roman" w:hAnsi="Times New Roman" w:cs="Times New Roman" w:eastAsia="Times New Roman" w:hint="default"/>
          <w:spacing w:val="-1"/>
        </w:rPr>
        <w:t>2017</w:t>
      </w:r>
      <w:r>
        <w:rPr>
          <w:spacing w:val="-1"/>
        </w:rPr>
        <w:t>年版）。公司主要中成药产品包括四妙丸、藿胆片、肾复康</w:t>
      </w:r>
      <w:r>
        <w:rPr>
          <w:spacing w:val="-82"/>
        </w:rPr>
        <w:t> </w:t>
      </w:r>
      <w:r>
        <w:rPr>
          <w:spacing w:val="-82"/>
        </w:rPr>
      </w:r>
      <w:r>
        <w:rPr/>
        <w:t>胶囊、活血通脉片、萆薢分清丸、内消瘰疬丸、二丁颗粒、小儿白贝和海贝胃疡等产品。</w:t>
      </w:r>
    </w:p>
    <w:p>
      <w:pPr>
        <w:pStyle w:val="BodyText"/>
        <w:spacing w:line="400" w:lineRule="auto" w:before="65"/>
        <w:ind w:left="154" w:right="1023" w:firstLine="480"/>
        <w:jc w:val="left"/>
      </w:pPr>
      <w:r>
        <w:rPr>
          <w:spacing w:val="-2"/>
        </w:rPr>
        <w:t>公司的人参产品分为粗加工产品和深加工产品。粗加工产品包括白参、红参、生晒参等系列产品；深</w:t>
      </w:r>
      <w:r>
        <w:rPr/>
        <w:t> </w:t>
      </w:r>
      <w:r>
        <w:rPr>
          <w:spacing w:val="-3"/>
        </w:rPr>
        <w:t>加工产品包括人参双耳饮料、人参果蔬发酵饮料、鲜人参蜜片、玉红颜红参阿胶糕、模压红参、林下金参、</w:t>
      </w:r>
      <w:r>
        <w:rPr>
          <w:spacing w:val="-94"/>
        </w:rPr>
        <w:t> </w:t>
      </w:r>
      <w:r>
        <w:rPr>
          <w:spacing w:val="-94"/>
        </w:rPr>
      </w:r>
      <w:r>
        <w:rPr/>
        <w:t>双佳金参、人参茎叶提取物、人参提取物和红参红枣固体饮料等，公司现已取得</w:t>
      </w:r>
      <w:r>
        <w:rPr>
          <w:rFonts w:ascii="Times New Roman" w:hAnsi="Times New Roman" w:cs="Times New Roman" w:eastAsia="Times New Roman" w:hint="default"/>
        </w:rPr>
        <w:t>4</w:t>
      </w:r>
      <w:r>
        <w:rPr/>
        <w:t>个系列人参食品生产许 可证，涉及产品包括饮料、糖果制品、蜜饯、含茶制品和代用茶等。</w:t>
      </w:r>
    </w:p>
    <w:p>
      <w:pPr>
        <w:pStyle w:val="BodyText"/>
        <w:spacing w:line="240" w:lineRule="auto" w:before="52"/>
        <w:ind w:left="634" w:right="0"/>
        <w:jc w:val="left"/>
      </w:pPr>
      <w:r>
        <w:rPr/>
        <w:t>（五）核心技术优势</w:t>
      </w:r>
    </w:p>
    <w:p>
      <w:pPr>
        <w:spacing w:line="240" w:lineRule="auto" w:before="10"/>
        <w:rPr>
          <w:rFonts w:ascii="宋体" w:hAnsi="宋体" w:cs="宋体" w:eastAsia="宋体" w:hint="default"/>
          <w:sz w:val="14"/>
          <w:szCs w:val="14"/>
        </w:rPr>
      </w:pPr>
    </w:p>
    <w:p>
      <w:pPr>
        <w:pStyle w:val="BodyText"/>
        <w:spacing w:line="240" w:lineRule="auto" w:before="0"/>
        <w:ind w:left="802" w:right="0"/>
        <w:jc w:val="left"/>
      </w:pPr>
      <w:r>
        <w:rPr>
          <w:rFonts w:ascii="Times New Roman" w:hAnsi="Times New Roman" w:cs="Times New Roman" w:eastAsia="Times New Roman" w:hint="default"/>
        </w:rPr>
        <w:t>1</w:t>
      </w:r>
      <w:r>
        <w:rPr/>
        <w:t>、公司在中成药领域的核心技术主要包括以下方面：</w:t>
      </w:r>
    </w:p>
    <w:p>
      <w:pPr>
        <w:pStyle w:val="BodyText"/>
        <w:spacing w:line="386" w:lineRule="auto" w:before="177"/>
        <w:ind w:left="634" w:right="1120"/>
        <w:jc w:val="left"/>
      </w:pPr>
      <w:r>
        <w:rPr/>
        <w:t>（</w:t>
      </w:r>
      <w:r>
        <w:rPr>
          <w:rFonts w:ascii="Times New Roman" w:hAnsi="Times New Roman" w:cs="Times New Roman" w:eastAsia="Times New Roman" w:hint="default"/>
        </w:rPr>
        <w:t>1</w:t>
      </w:r>
      <w:r>
        <w:rPr/>
        <w:t>）桑麻口服液、补肾安神口服液的包合技术 </w:t>
      </w:r>
      <w:r>
        <w:rPr>
          <w:spacing w:val="-2"/>
        </w:rPr>
        <w:t>该技术由公司自行研发，为公司独家拥有，解决了传统中药内在成分质量不稳定的难题，是桑麻口服</w:t>
      </w:r>
    </w:p>
    <w:p>
      <w:pPr>
        <w:pStyle w:val="BodyText"/>
        <w:spacing w:line="240" w:lineRule="auto" w:before="65"/>
        <w:ind w:left="154" w:right="0"/>
        <w:jc w:val="left"/>
      </w:pPr>
      <w:r>
        <w:rPr/>
        <w:t>液、补肾安神口服液生产加工的关键技术之一。</w:t>
      </w:r>
    </w:p>
    <w:p>
      <w:pPr>
        <w:spacing w:line="240" w:lineRule="auto" w:before="10"/>
        <w:rPr>
          <w:rFonts w:ascii="宋体" w:hAnsi="宋体" w:cs="宋体" w:eastAsia="宋体" w:hint="default"/>
          <w:sz w:val="14"/>
          <w:szCs w:val="14"/>
        </w:rPr>
      </w:pPr>
    </w:p>
    <w:p>
      <w:pPr>
        <w:pStyle w:val="BodyText"/>
        <w:spacing w:line="386" w:lineRule="auto" w:before="0"/>
        <w:ind w:left="634" w:right="1120"/>
        <w:jc w:val="left"/>
      </w:pPr>
      <w:r>
        <w:rPr/>
        <w:t>（</w:t>
      </w:r>
      <w:r>
        <w:rPr>
          <w:rFonts w:ascii="Times New Roman" w:hAnsi="Times New Roman" w:cs="Times New Roman" w:eastAsia="Times New Roman" w:hint="default"/>
        </w:rPr>
        <w:t>2</w:t>
      </w:r>
      <w:r>
        <w:rPr/>
        <w:t>）四妙丸、苏子降气丸粉碎、混合技术 </w:t>
      </w:r>
      <w:r>
        <w:rPr>
          <w:spacing w:val="-2"/>
        </w:rPr>
        <w:t>该技术在传统中医药理论指导下，在保证处方中各味药材的原有药效物质基础的前提下，利用现代先</w:t>
      </w:r>
    </w:p>
    <w:p>
      <w:pPr>
        <w:pStyle w:val="BodyText"/>
        <w:spacing w:line="240" w:lineRule="auto" w:before="65"/>
        <w:ind w:left="154" w:right="0"/>
        <w:jc w:val="left"/>
      </w:pPr>
      <w:r>
        <w:rPr/>
        <w:t>进的粉碎、混合技术，以精湛、稳定的工艺，制备出质量均一、稳定、可控，药效显著的优良产品。</w:t>
      </w:r>
    </w:p>
    <w:p>
      <w:pPr>
        <w:spacing w:line="240" w:lineRule="auto" w:before="10"/>
        <w:rPr>
          <w:rFonts w:ascii="宋体" w:hAnsi="宋体" w:cs="宋体" w:eastAsia="宋体" w:hint="default"/>
          <w:sz w:val="14"/>
          <w:szCs w:val="14"/>
        </w:rPr>
      </w:pPr>
    </w:p>
    <w:p>
      <w:pPr>
        <w:pStyle w:val="BodyText"/>
        <w:spacing w:line="386" w:lineRule="auto" w:before="0"/>
        <w:ind w:left="634" w:right="0"/>
        <w:jc w:val="left"/>
      </w:pPr>
      <w:r>
        <w:rPr/>
        <w:t>（</w:t>
      </w:r>
      <w:r>
        <w:rPr>
          <w:rFonts w:ascii="Times New Roman" w:hAnsi="Times New Roman" w:cs="Times New Roman" w:eastAsia="Times New Roman" w:hint="default"/>
        </w:rPr>
        <w:t>3</w:t>
      </w:r>
      <w:r>
        <w:rPr/>
        <w:t>）藿胆片、小儿白贝止咳糖浆的浸膏提取技术 </w:t>
      </w:r>
      <w:r>
        <w:rPr>
          <w:spacing w:val="-5"/>
        </w:rPr>
        <w:t>该技术由公司自行研发，基于传统的中医药理论，利用现代的浸提技术进行开发，充分保留有效物质，</w:t>
      </w:r>
    </w:p>
    <w:p>
      <w:pPr>
        <w:pStyle w:val="BodyText"/>
        <w:spacing w:line="240" w:lineRule="auto" w:before="65"/>
        <w:ind w:left="154" w:right="0"/>
        <w:jc w:val="left"/>
      </w:pPr>
      <w:r>
        <w:rPr/>
        <w:t>保证临床疗效，工艺稳定，质量可控。</w:t>
      </w:r>
    </w:p>
    <w:p>
      <w:pPr>
        <w:spacing w:line="240" w:lineRule="auto" w:before="10"/>
        <w:rPr>
          <w:rFonts w:ascii="宋体" w:hAnsi="宋体" w:cs="宋体" w:eastAsia="宋体" w:hint="default"/>
          <w:sz w:val="14"/>
          <w:szCs w:val="14"/>
        </w:rPr>
      </w:pPr>
    </w:p>
    <w:p>
      <w:pPr>
        <w:pStyle w:val="BodyText"/>
        <w:spacing w:line="386" w:lineRule="auto" w:before="0"/>
        <w:ind w:left="634" w:right="1120" w:firstLine="88"/>
        <w:jc w:val="left"/>
      </w:pPr>
      <w:r>
        <w:rPr>
          <w:rFonts w:ascii="Times New Roman" w:hAnsi="Times New Roman" w:cs="Times New Roman" w:eastAsia="Times New Roman" w:hint="default"/>
        </w:rPr>
        <w:t>2</w:t>
      </w:r>
      <w:r>
        <w:rPr/>
        <w:t>、人参领域 </w:t>
      </w:r>
      <w:r>
        <w:rPr>
          <w:spacing w:val="-2"/>
        </w:rPr>
        <w:t>人参产业的发展在很大程度上取决于人参基础研究和应用研究的创新性及先进性，其为人参种植、加</w:t>
      </w:r>
    </w:p>
    <w:p>
      <w:pPr>
        <w:pStyle w:val="BodyText"/>
        <w:spacing w:line="408" w:lineRule="auto" w:before="65"/>
        <w:ind w:left="154" w:right="1118"/>
        <w:jc w:val="left"/>
      </w:pPr>
      <w:r>
        <w:rPr>
          <w:spacing w:val="-1"/>
        </w:rPr>
        <w:t>工、新产品的研发提供了理论指导和技术支撑。公司率先从基因角度开展人参领域的相关研究，关键技术</w:t>
      </w:r>
      <w:r>
        <w:rPr>
          <w:spacing w:val="-83"/>
        </w:rPr>
        <w:t> </w:t>
      </w:r>
      <w:r>
        <w:rPr>
          <w:spacing w:val="-83"/>
        </w:rPr>
      </w:r>
      <w:r>
        <w:rPr/>
        <w:t>如下：</w:t>
      </w:r>
    </w:p>
    <w:p>
      <w:pPr>
        <w:pStyle w:val="BodyText"/>
        <w:spacing w:line="386" w:lineRule="auto"/>
        <w:ind w:left="634" w:right="1032"/>
        <w:jc w:val="left"/>
      </w:pPr>
      <w:r>
        <w:rPr/>
        <w:t>（</w:t>
      </w:r>
      <w:r>
        <w:rPr>
          <w:rFonts w:ascii="Times New Roman" w:hAnsi="Times New Roman" w:cs="Times New Roman" w:eastAsia="Times New Roman" w:hint="default"/>
        </w:rPr>
        <w:t>1</w:t>
      </w:r>
      <w:r>
        <w:rPr/>
        <w:t>）人参基因组数据库 以第二代测序技术为主结合第一代测序技术为研究手段，应用新的研究策略，对五种人参（大马牙、</w:t>
      </w:r>
    </w:p>
    <w:p>
      <w:pPr>
        <w:pStyle w:val="BodyText"/>
        <w:spacing w:line="408" w:lineRule="auto" w:before="65"/>
        <w:ind w:left="154" w:right="1130"/>
        <w:jc w:val="both"/>
      </w:pPr>
      <w:r>
        <w:rPr>
          <w:spacing w:val="-1"/>
        </w:rPr>
        <w:t>二马牙、高丽参、西洋参、野山参）进行全基因组测序，建立了覆盖全部人参品系的基因组数据库，该数</w:t>
      </w:r>
      <w:r>
        <w:rPr>
          <w:spacing w:val="-83"/>
        </w:rPr>
        <w:t> </w:t>
      </w:r>
      <w:r>
        <w:rPr>
          <w:spacing w:val="-83"/>
        </w:rPr>
      </w:r>
      <w:r>
        <w:rPr>
          <w:spacing w:val="-1"/>
        </w:rPr>
        <w:t>据库的建立，不仅有利于进行基因水平的优良品种的选育及将相关基因组资源和遗传工具应用于新品种培</w:t>
      </w:r>
      <w:r>
        <w:rPr>
          <w:spacing w:val="-81"/>
        </w:rPr>
        <w:t> </w:t>
      </w:r>
      <w:r>
        <w:rPr>
          <w:spacing w:val="-81"/>
        </w:rPr>
      </w:r>
      <w:r>
        <w:rPr>
          <w:spacing w:val="-1"/>
        </w:rPr>
        <w:t>育，推动人参产业的健康发展；有利于指导人参的病虫害防治、林下地栽参和大地栽参的推广，从而推动</w:t>
      </w:r>
      <w:r>
        <w:rPr>
          <w:spacing w:val="-86"/>
        </w:rPr>
        <w:t> </w:t>
      </w:r>
      <w:r>
        <w:rPr>
          <w:spacing w:val="-86"/>
        </w:rPr>
      </w:r>
      <w:r>
        <w:rPr>
          <w:spacing w:val="-1"/>
        </w:rPr>
        <w:t>人参种植的常规化和规范化。亦能推动其他中药材基因组资源的开发，建立类似模式生物的各种资源数据</w:t>
      </w:r>
      <w:r>
        <w:rPr>
          <w:spacing w:val="-80"/>
        </w:rPr>
        <w:t> </w:t>
      </w:r>
      <w:r>
        <w:rPr>
          <w:spacing w:val="-80"/>
        </w:rPr>
      </w:r>
      <w:r>
        <w:rPr/>
        <w:t>库。</w:t>
      </w:r>
    </w:p>
    <w:p>
      <w:pPr>
        <w:pStyle w:val="BodyText"/>
        <w:spacing w:line="240" w:lineRule="auto"/>
        <w:ind w:left="634" w:right="0"/>
        <w:jc w:val="left"/>
      </w:pPr>
      <w:r>
        <w:rPr/>
        <w:t>（</w:t>
      </w:r>
      <w:r>
        <w:rPr>
          <w:rFonts w:ascii="Times New Roman" w:hAnsi="Times New Roman" w:cs="Times New Roman" w:eastAsia="Times New Roman" w:hint="default"/>
        </w:rPr>
        <w:t>2</w:t>
      </w:r>
      <w:r>
        <w:rPr/>
        <w:t>）人参基因组鉴别方法</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10" w:firstLine="480"/>
        <w:jc w:val="both"/>
      </w:pPr>
      <w:r>
        <w:rPr>
          <w:spacing w:val="-2"/>
        </w:rPr>
        <w:t>利用第一代、第二代和第三代测序技术，对野山参、大马牙、二马牙、高丽参、西洋参五种参类进行</w:t>
      </w:r>
      <w:r>
        <w:rPr/>
        <w:t> </w:t>
      </w:r>
      <w:r>
        <w:rPr>
          <w:spacing w:val="-1"/>
        </w:rPr>
        <w:t>基因组文库的构建、基因组测序和组装等程序的全基因组序列分析。通过对五种人参进行基因组水平比较</w:t>
      </w:r>
      <w:r>
        <w:rPr>
          <w:spacing w:val="-81"/>
        </w:rPr>
        <w:t> </w:t>
      </w:r>
      <w:r>
        <w:rPr>
          <w:spacing w:val="-81"/>
        </w:rPr>
      </w:r>
      <w:r>
        <w:rPr/>
        <w:t>研究，筛分出五种人参的本质差别，从而确定各种人参的真正起源；获得人参重要的药用价值功能基因； 并开发人参种质鉴别的系统方法。以人参本源为始，为人参全面研究奠定物质基础。</w:t>
      </w:r>
    </w:p>
    <w:p>
      <w:pPr>
        <w:pStyle w:val="BodyText"/>
        <w:spacing w:line="386" w:lineRule="auto"/>
        <w:ind w:left="633" w:right="1121"/>
        <w:jc w:val="left"/>
      </w:pPr>
      <w:r>
        <w:rPr/>
        <w:t>（</w:t>
      </w:r>
      <w:r>
        <w:rPr>
          <w:rFonts w:ascii="Times New Roman" w:hAnsi="Times New Roman" w:cs="Times New Roman" w:eastAsia="Times New Roman" w:hint="default"/>
        </w:rPr>
        <w:t>3</w:t>
      </w:r>
      <w:r>
        <w:rPr/>
        <w:t>）人参提取物提取纯化方法 </w:t>
      </w:r>
      <w:r>
        <w:rPr>
          <w:spacing w:val="-2"/>
        </w:rPr>
        <w:t>以化学水解法、酶水解法、微生物发酵法、加热加工法以及化学合成等为研究方法，应用新药研发的</w:t>
      </w:r>
    </w:p>
    <w:p>
      <w:pPr>
        <w:pStyle w:val="BodyText"/>
        <w:spacing w:line="408" w:lineRule="auto" w:before="65"/>
        <w:ind w:right="1024"/>
        <w:jc w:val="left"/>
      </w:pPr>
      <w:r>
        <w:rPr>
          <w:spacing w:val="-3"/>
        </w:rPr>
        <w:t>战略，对人参全系统产品（鲜人参、生晒参、红参）进行全面分析，通过对工艺、质量标准进行比较研究，</w:t>
      </w:r>
      <w:r>
        <w:rPr>
          <w:spacing w:val="-97"/>
        </w:rPr>
        <w:t> </w:t>
      </w:r>
      <w:r>
        <w:rPr>
          <w:spacing w:val="-97"/>
        </w:rPr>
      </w:r>
      <w:r>
        <w:rPr/>
        <w:t>获得不同人参皂苷比例的提取物、各种规格产品，满足医药、保健品、饮料、护理产品、功能性食品、化</w:t>
      </w:r>
      <w:r>
        <w:rPr/>
        <w:t> 妆品等行业使用。</w:t>
      </w:r>
    </w:p>
    <w:p>
      <w:pPr>
        <w:pStyle w:val="BodyText"/>
        <w:spacing w:line="386" w:lineRule="auto"/>
        <w:ind w:left="633" w:right="1185" w:firstLine="104"/>
        <w:jc w:val="left"/>
      </w:pPr>
      <w:r>
        <w:rPr>
          <w:rFonts w:ascii="Times New Roman" w:hAnsi="Times New Roman" w:cs="Times New Roman" w:eastAsia="Times New Roman" w:hint="default"/>
        </w:rPr>
        <w:t>3</w:t>
      </w:r>
      <w:r>
        <w:rPr/>
        <w:t>、基因测序领域 公司第二代高通量</w:t>
      </w:r>
      <w:r>
        <w:rPr>
          <w:rFonts w:ascii="Times New Roman" w:hAnsi="Times New Roman" w:cs="Times New Roman" w:eastAsia="Times New Roman" w:hint="default"/>
        </w:rPr>
        <w:t>DNA</w:t>
      </w:r>
      <w:r>
        <w:rPr/>
        <w:t>测序仪</w:t>
      </w:r>
      <w:r>
        <w:rPr>
          <w:rFonts w:ascii="Times New Roman" w:hAnsi="Times New Roman" w:cs="Times New Roman" w:eastAsia="Times New Roman" w:hint="default"/>
        </w:rPr>
        <w:t>BIGIS</w:t>
      </w:r>
      <w:r>
        <w:rPr/>
        <w:t>产品，成功解决</w:t>
      </w:r>
      <w:r>
        <w:rPr>
          <w:rFonts w:ascii="Times New Roman" w:hAnsi="Times New Roman" w:cs="Times New Roman" w:eastAsia="Times New Roman" w:hint="default"/>
        </w:rPr>
        <w:t>“</w:t>
      </w:r>
      <w:r>
        <w:rPr/>
        <w:t>读长较短</w:t>
      </w:r>
      <w:r>
        <w:rPr>
          <w:rFonts w:ascii="Times New Roman" w:hAnsi="Times New Roman" w:cs="Times New Roman" w:eastAsia="Times New Roman" w:hint="default"/>
        </w:rPr>
        <w:t>”</w:t>
      </w:r>
      <w:r>
        <w:rPr/>
        <w:t>的关键技术难题。</w:t>
      </w:r>
      <w:r>
        <w:rPr>
          <w:rFonts w:ascii="Times New Roman" w:hAnsi="Times New Roman" w:cs="Times New Roman" w:eastAsia="Times New Roman" w:hint="default"/>
        </w:rPr>
        <w:t>BIGIS</w:t>
      </w:r>
      <w:r>
        <w:rPr/>
        <w:t>测序仪拥有</w:t>
      </w:r>
    </w:p>
    <w:p>
      <w:pPr>
        <w:pStyle w:val="BodyText"/>
        <w:spacing w:line="408" w:lineRule="auto" w:before="35"/>
        <w:ind w:right="0"/>
        <w:jc w:val="left"/>
      </w:pPr>
      <w:r>
        <w:rPr>
          <w:spacing w:val="-1"/>
        </w:rPr>
        <w:t>自主知识产权，技术已达到或部分超越国际主流设备技术指标的国产化第二代测序仪，具有高通量、高读</w:t>
      </w:r>
      <w:r>
        <w:rPr>
          <w:spacing w:val="-83"/>
        </w:rPr>
        <w:t> </w:t>
      </w:r>
      <w:r>
        <w:rPr>
          <w:spacing w:val="-83"/>
        </w:rPr>
      </w:r>
      <w:r>
        <w:rPr/>
        <w:t>长、高精确度等优势。</w:t>
      </w:r>
    </w:p>
    <w:p>
      <w:pPr>
        <w:pStyle w:val="BodyText"/>
        <w:spacing w:line="408" w:lineRule="auto"/>
        <w:ind w:left="633" w:right="1033"/>
        <w:jc w:val="left"/>
      </w:pPr>
      <w:r>
        <w:rPr/>
        <w:t>（六）科研实力优势 公司拥有一支高层次的科研队伍从事新药、保健食品、特殊用途化妆品的开发，药品知识产权保护，</w:t>
      </w:r>
    </w:p>
    <w:p>
      <w:pPr>
        <w:pStyle w:val="BodyText"/>
        <w:spacing w:line="398" w:lineRule="auto"/>
        <w:ind w:left="633" w:right="1243" w:hanging="480"/>
        <w:jc w:val="left"/>
      </w:pPr>
      <w:r>
        <w:rPr/>
        <w:t>产品二次开发，人参相关深度研究与应用研究，基因测序仪及相关产品的研发等工作。 </w:t>
      </w:r>
      <w:r>
        <w:rPr>
          <w:rFonts w:ascii="Times New Roman" w:hAnsi="Times New Roman" w:cs="Times New Roman" w:eastAsia="Times New Roman" w:hint="default"/>
        </w:rPr>
        <w:t>1</w:t>
      </w:r>
      <w:r>
        <w:rPr/>
        <w:t>、中药科研实力 医药工业属于知识和技术密集型产业，强大的研发能力和先进的生产技术是医药企业赖以生存的根</w:t>
      </w:r>
    </w:p>
    <w:p>
      <w:pPr>
        <w:pStyle w:val="BodyText"/>
        <w:spacing w:line="408" w:lineRule="auto" w:before="54"/>
        <w:ind w:right="0"/>
        <w:jc w:val="left"/>
      </w:pPr>
      <w:r>
        <w:rPr>
          <w:spacing w:val="-1"/>
        </w:rPr>
        <w:t>本。公司自成立以来，就将新产品研发和技术创新视作自身发展的核心，并努力保持研发能力和技术水平</w:t>
      </w:r>
      <w:r>
        <w:rPr>
          <w:spacing w:val="-83"/>
        </w:rPr>
        <w:t> </w:t>
      </w:r>
      <w:r>
        <w:rPr>
          <w:spacing w:val="-83"/>
        </w:rPr>
      </w:r>
      <w:r>
        <w:rPr/>
        <w:t>的先进性和连续性。</w:t>
      </w:r>
    </w:p>
    <w:p>
      <w:pPr>
        <w:pStyle w:val="BodyText"/>
        <w:spacing w:line="408" w:lineRule="auto"/>
        <w:ind w:right="0" w:firstLine="480"/>
        <w:jc w:val="left"/>
      </w:pPr>
      <w:r>
        <w:rPr>
          <w:spacing w:val="-5"/>
        </w:rPr>
        <w:t>公司拥有吉林省唯一一家企业药剂学二级实验室，负责中药的研究和中药材原料的提取、分离及纯化。</w:t>
      </w:r>
      <w:r>
        <w:rPr/>
        <w:t> 子公司吉林紫鑫药物研究有限公司为专门的中药研发机构，负责新药、中间体、原料药、生物药的研发， 同时承担着公司科技项目申报和专利事务管理工作、技术合作和交流等职责。公司重视同国内知名高校和 科研机构加强技术合作，通过依托高校的技术和人才优势，加快推进自身产品的研发进度。公司目前已与 北京大学、吉林大学、中国药科大学、长春理工大学和长春中医药大学等高等院校建立了长期合作关系。 截至本报告出具日，公司及其控股子公司拥有专利</w:t>
      </w:r>
      <w:r>
        <w:rPr>
          <w:rFonts w:ascii="Times New Roman" w:hAnsi="Times New Roman" w:cs="Times New Roman" w:eastAsia="Times New Roman" w:hint="default"/>
        </w:rPr>
        <w:t>69</w:t>
      </w:r>
      <w:r>
        <w:rPr/>
        <w:t>项，其中发明专利</w:t>
      </w:r>
      <w:r>
        <w:rPr>
          <w:rFonts w:ascii="Times New Roman" w:hAnsi="Times New Roman" w:cs="Times New Roman" w:eastAsia="Times New Roman" w:hint="default"/>
        </w:rPr>
        <w:t>38</w:t>
      </w:r>
      <w:r>
        <w:rPr/>
        <w:t>项、实用新型专利</w:t>
      </w:r>
      <w:r>
        <w:rPr>
          <w:rFonts w:ascii="Times New Roman" w:hAnsi="Times New Roman" w:cs="Times New Roman" w:eastAsia="Times New Roman" w:hint="default"/>
        </w:rPr>
        <w:t>31</w:t>
      </w:r>
      <w:r>
        <w:rPr/>
        <w:t>项。</w:t>
      </w:r>
    </w:p>
    <w:p>
      <w:pPr>
        <w:pStyle w:val="BodyText"/>
        <w:spacing w:line="386" w:lineRule="auto" w:before="14"/>
        <w:ind w:left="633" w:right="1121"/>
        <w:jc w:val="left"/>
      </w:pPr>
      <w:r>
        <w:rPr>
          <w:rFonts w:ascii="Times New Roman" w:hAnsi="Times New Roman" w:cs="Times New Roman" w:eastAsia="Times New Roman" w:hint="default"/>
        </w:rPr>
        <w:t>2</w:t>
      </w:r>
      <w:r>
        <w:rPr/>
        <w:t>、人参科研实力 </w:t>
      </w:r>
      <w:r>
        <w:rPr>
          <w:spacing w:val="-2"/>
        </w:rPr>
        <w:t>公司在人参保健产品领域，同样有着较强的研发能力和技术优势。近年来，公司加大对人参新产品的</w:t>
      </w:r>
    </w:p>
    <w:p>
      <w:pPr>
        <w:pStyle w:val="BodyText"/>
        <w:spacing w:line="408" w:lineRule="auto" w:before="65"/>
        <w:ind w:right="0"/>
        <w:jc w:val="left"/>
      </w:pPr>
      <w:r>
        <w:rPr>
          <w:spacing w:val="-1"/>
        </w:rPr>
        <w:t>研发投入，通过与中科院等知名科研机构展开紧密合作，在人参深加工产品的研发、人参加工技术、人参</w:t>
      </w:r>
      <w:r>
        <w:rPr>
          <w:spacing w:val="-86"/>
        </w:rPr>
        <w:t> </w:t>
      </w:r>
      <w:r>
        <w:rPr>
          <w:spacing w:val="-86"/>
        </w:rPr>
      </w:r>
      <w:r>
        <w:rPr>
          <w:spacing w:val="-1"/>
        </w:rPr>
        <w:t>基因测序等核心领域取得了一系列重大的突破。公司成立了专门的人参研发机构：吉林紫鑫人参研发有限</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3"/>
        <w:jc w:val="both"/>
      </w:pPr>
      <w:r>
        <w:rPr>
          <w:spacing w:val="-1"/>
        </w:rPr>
        <w:t>公司，主要负责人参的基础研究（如开展人参的质谱研究）、人参保健食品研究、人参新资源食品的开发</w:t>
      </w:r>
      <w:r>
        <w:rPr>
          <w:spacing w:val="-83"/>
        </w:rPr>
        <w:t> </w:t>
      </w:r>
      <w:r>
        <w:rPr>
          <w:spacing w:val="-83"/>
        </w:rPr>
      </w:r>
      <w:r>
        <w:rPr/>
        <w:t>和人参种植技术的研究等事务。</w:t>
      </w:r>
    </w:p>
    <w:p>
      <w:pPr>
        <w:pStyle w:val="BodyText"/>
        <w:spacing w:line="408" w:lineRule="auto"/>
        <w:ind w:right="1033" w:firstLine="480"/>
        <w:jc w:val="left"/>
      </w:pPr>
      <w:r>
        <w:rPr/>
        <w:t>公司现已掌握人参种植领域的重茬栽培技术，解决了老参地不能重复栽培人参的问题；脱农残技术， 即利用先进的超临界萃取技术，结合现代生物酶降解技术脱除残留的有机氯和有机磷，有助于提高人参提 取液的纯度；脱人参皂苷</w:t>
      </w:r>
      <w:r>
        <w:rPr>
          <w:rFonts w:ascii="Times New Roman" w:hAnsi="Times New Roman" w:cs="Times New Roman" w:eastAsia="Times New Roman" w:hint="default"/>
        </w:rPr>
        <w:t>Ro</w:t>
      </w:r>
      <w:r>
        <w:rPr/>
        <w:t>技术，解决了服用人参过量而引起的</w:t>
      </w:r>
      <w:r>
        <w:rPr>
          <w:rFonts w:ascii="Times New Roman" w:hAnsi="Times New Roman" w:cs="Times New Roman" w:eastAsia="Times New Roman" w:hint="default"/>
        </w:rPr>
        <w:t>“</w:t>
      </w:r>
      <w:r>
        <w:rPr/>
        <w:t>上火</w:t>
      </w:r>
      <w:r>
        <w:rPr>
          <w:rFonts w:ascii="Times New Roman" w:hAnsi="Times New Roman" w:cs="Times New Roman" w:eastAsia="Times New Roman" w:hint="default"/>
        </w:rPr>
        <w:t>”</w:t>
      </w:r>
      <w:r>
        <w:rPr/>
        <w:t>问题。</w:t>
      </w:r>
    </w:p>
    <w:p>
      <w:pPr>
        <w:pStyle w:val="BodyText"/>
        <w:spacing w:line="398" w:lineRule="auto" w:before="14"/>
        <w:ind w:right="1022" w:firstLine="480"/>
        <w:jc w:val="left"/>
      </w:pPr>
      <w:r>
        <w:rPr>
          <w:spacing w:val="-2"/>
        </w:rPr>
        <w:t>此外，公司与通化市政府、中科院北京基因组研究所共同合作的人参基因组图谱在</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2</w:t>
      </w:r>
      <w:r>
        <w:rPr>
          <w:spacing w:val="-2"/>
        </w:rPr>
        <w:t>月底完成。</w:t>
      </w:r>
      <w:r>
        <w:rPr/>
        <w:t> 作为首家单位，此项研发工作的顺利完成，将为人参的育种、加工、产品开发等整个产业提供技术保障， 从根本上解决人参</w:t>
      </w:r>
      <w:r>
        <w:rPr>
          <w:rFonts w:ascii="Times New Roman" w:hAnsi="Times New Roman" w:cs="Times New Roman" w:eastAsia="Times New Roman" w:hint="default"/>
        </w:rPr>
        <w:t>“</w:t>
      </w:r>
      <w:r>
        <w:rPr/>
        <w:t>质</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量</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病</w:t>
      </w:r>
      <w:r>
        <w:rPr>
          <w:rFonts w:ascii="Times New Roman" w:hAnsi="Times New Roman" w:cs="Times New Roman" w:eastAsia="Times New Roman" w:hint="default"/>
        </w:rPr>
        <w:t>”</w:t>
      </w:r>
      <w:r>
        <w:rPr/>
        <w:t>的问题。</w:t>
      </w:r>
    </w:p>
    <w:p>
      <w:pPr>
        <w:pStyle w:val="BodyText"/>
        <w:spacing w:line="386" w:lineRule="auto" w:before="24"/>
        <w:ind w:left="633" w:right="1121"/>
        <w:jc w:val="left"/>
      </w:pPr>
      <w:r>
        <w:rPr>
          <w:rFonts w:ascii="Times New Roman" w:hAnsi="Times New Roman" w:cs="Times New Roman" w:eastAsia="Times New Roman" w:hint="default"/>
        </w:rPr>
        <w:t>3</w:t>
      </w:r>
      <w:r>
        <w:rPr/>
        <w:t>、基因测序仪相关科研实力 </w:t>
      </w:r>
      <w:r>
        <w:rPr>
          <w:spacing w:val="-2"/>
        </w:rPr>
        <w:t>基因测序仪的研发、生产和销售是公司目前大力发展的业务，公司为发展基因测序仪项目，已分别成</w:t>
      </w:r>
    </w:p>
    <w:p>
      <w:pPr>
        <w:pStyle w:val="BodyText"/>
        <w:spacing w:line="403" w:lineRule="auto" w:before="65"/>
        <w:ind w:right="1129"/>
        <w:jc w:val="both"/>
      </w:pPr>
      <w:r>
        <w:rPr>
          <w:spacing w:val="-1"/>
        </w:rPr>
        <w:t>立了吉林中科紫鑫科技有限公司、北京中科紫鑫科技有限责任公司、敦化市中科紫鑫科技有限公司、香港</w:t>
      </w:r>
      <w:r>
        <w:rPr>
          <w:spacing w:val="-83"/>
        </w:rPr>
        <w:t> </w:t>
      </w:r>
      <w:r>
        <w:rPr>
          <w:spacing w:val="-83"/>
        </w:rPr>
      </w:r>
      <w:r>
        <w:rPr/>
        <w:t>中科紫鑫科技有限公司、</w:t>
      </w:r>
      <w:r>
        <w:rPr>
          <w:rFonts w:ascii="Times New Roman" w:hAnsi="Times New Roman" w:cs="Times New Roman" w:eastAsia="Times New Roman" w:hint="default"/>
        </w:rPr>
        <w:t>Zixin</w:t>
      </w:r>
      <w:r>
        <w:rPr>
          <w:rFonts w:ascii="Times New Roman" w:hAnsi="Times New Roman" w:cs="Times New Roman" w:eastAsia="Times New Roman" w:hint="default"/>
          <w:spacing w:val="-14"/>
        </w:rPr>
        <w:t> </w:t>
      </w:r>
      <w:r>
        <w:rPr>
          <w:rFonts w:ascii="Times New Roman" w:hAnsi="Times New Roman" w:cs="Times New Roman" w:eastAsia="Times New Roman" w:hint="default"/>
        </w:rPr>
        <w:t>Pharmaceuticals</w:t>
      </w:r>
      <w:r>
        <w:rPr>
          <w:rFonts w:ascii="Times New Roman" w:hAnsi="Times New Roman" w:cs="Times New Roman" w:eastAsia="Times New Roman" w:hint="default"/>
          <w:spacing w:val="-15"/>
        </w:rPr>
        <w:t> </w:t>
      </w:r>
      <w:r>
        <w:rPr>
          <w:rFonts w:ascii="Times New Roman" w:hAnsi="Times New Roman" w:cs="Times New Roman" w:eastAsia="Times New Roman" w:hint="default"/>
        </w:rPr>
        <w:t>USA</w:t>
      </w:r>
      <w:r>
        <w:rPr>
          <w:rFonts w:ascii="Times New Roman" w:hAnsi="Times New Roman" w:cs="Times New Roman" w:eastAsia="Times New Roman" w:hint="default"/>
          <w:spacing w:val="-16"/>
        </w:rPr>
        <w:t> </w:t>
      </w:r>
      <w:r>
        <w:rPr>
          <w:rFonts w:ascii="Times New Roman" w:hAnsi="Times New Roman" w:cs="Times New Roman" w:eastAsia="Times New Roman" w:hint="default"/>
        </w:rPr>
        <w:t>CORP</w:t>
      </w:r>
      <w:r>
        <w:rPr/>
        <w:t>，公司自主基因测序技术团队为多年来从事基因 </w:t>
      </w:r>
      <w:r>
        <w:rPr>
          <w:spacing w:val="-1"/>
        </w:rPr>
        <w:t>组学与生物信息学基础研究和应用开发工作的资深人员，具备充分的技术服务专业基础，技术已经达到国</w:t>
      </w:r>
      <w:r>
        <w:rPr>
          <w:spacing w:val="-81"/>
        </w:rPr>
        <w:t> </w:t>
      </w:r>
      <w:r>
        <w:rPr>
          <w:spacing w:val="-81"/>
        </w:rPr>
      </w:r>
      <w:r>
        <w:rPr>
          <w:spacing w:val="-1"/>
        </w:rPr>
        <w:t>际一流水平。通过与耶鲁大学合作研究项目，充分利用其研发团队和技术资源，进一步提高公司基因测序</w:t>
      </w:r>
      <w:r>
        <w:rPr>
          <w:spacing w:val="-83"/>
        </w:rPr>
        <w:t> </w:t>
      </w:r>
      <w:r>
        <w:rPr>
          <w:spacing w:val="-83"/>
        </w:rPr>
      </w:r>
      <w:r>
        <w:rPr>
          <w:spacing w:val="-1"/>
        </w:rPr>
        <w:t>仪项目取得的阶段性成果，促进公司新一代测序平台的研发，加快公司基因测序仪产业化及研究开发国际</w:t>
      </w:r>
      <w:r>
        <w:rPr>
          <w:spacing w:val="-81"/>
        </w:rPr>
        <w:t> </w:t>
      </w:r>
      <w:r>
        <w:rPr>
          <w:spacing w:val="-81"/>
        </w:rPr>
      </w:r>
      <w:r>
        <w:rPr>
          <w:spacing w:val="-1"/>
        </w:rPr>
        <w:t>化进程，使公司能够第一时间接触和投资世界最先进项目的机会，及时获取国际市场的最新信息，将国际</w:t>
      </w:r>
      <w:r>
        <w:rPr>
          <w:spacing w:val="-83"/>
        </w:rPr>
        <w:t> </w:t>
      </w:r>
      <w:r>
        <w:rPr>
          <w:spacing w:val="-83"/>
        </w:rPr>
      </w:r>
      <w:r>
        <w:rPr>
          <w:spacing w:val="-2"/>
        </w:rPr>
        <w:t>先进测序仪技术引进国内市场</w:t>
      </w:r>
      <w:r>
        <w:rPr>
          <w:rFonts w:ascii="Times New Roman" w:hAnsi="Times New Roman" w:cs="Times New Roman" w:eastAsia="Times New Roman" w:hint="default"/>
          <w:spacing w:val="-2"/>
        </w:rPr>
        <w:t>,</w:t>
      </w:r>
      <w:r>
        <w:rPr>
          <w:spacing w:val="-2"/>
        </w:rPr>
        <w:t>加速推进公司品牌、生产、人才、技术的国际化运作，提升品牌形象，进一</w:t>
      </w:r>
      <w:r>
        <w:rPr>
          <w:spacing w:val="-86"/>
        </w:rPr>
        <w:t> </w:t>
      </w:r>
      <w:r>
        <w:rPr>
          <w:spacing w:val="-86"/>
        </w:rPr>
      </w:r>
      <w:r>
        <w:rPr/>
        <w:t>步提升公司核心竞争力。</w:t>
      </w:r>
    </w:p>
    <w:p>
      <w:pPr>
        <w:pStyle w:val="BodyText"/>
        <w:spacing w:line="408" w:lineRule="auto" w:before="50"/>
        <w:ind w:left="633" w:right="1190"/>
        <w:jc w:val="left"/>
      </w:pPr>
      <w:r>
        <w:rPr/>
        <w:t>（七）原材料成本优势 公司地处长白山腹地，长白山原产地药材</w:t>
      </w:r>
      <w:r>
        <w:rPr>
          <w:rFonts w:ascii="Times New Roman" w:hAnsi="Times New Roman" w:cs="Times New Roman" w:eastAsia="Times New Roman" w:hint="default"/>
        </w:rPr>
        <w:t>1,400</w:t>
      </w:r>
      <w:r>
        <w:rPr/>
        <w:t>余种，使得公司在原材料资源上拥有明显优势。公司</w:t>
      </w:r>
    </w:p>
    <w:p>
      <w:pPr>
        <w:pStyle w:val="BodyText"/>
        <w:spacing w:line="408" w:lineRule="auto" w:before="14"/>
        <w:ind w:right="1131"/>
        <w:jc w:val="both"/>
      </w:pPr>
      <w:r>
        <w:rPr>
          <w:spacing w:val="-1"/>
        </w:rPr>
        <w:t>立足实施中药现代化和产业化发展战略，充分利用药材资源的天然地域优势，在敦化草还丹基地和柳河红</w:t>
      </w:r>
      <w:r>
        <w:rPr>
          <w:spacing w:val="-81"/>
        </w:rPr>
        <w:t> </w:t>
      </w:r>
      <w:r>
        <w:rPr>
          <w:spacing w:val="-81"/>
        </w:rPr>
      </w:r>
      <w:r>
        <w:rPr>
          <w:spacing w:val="-1"/>
        </w:rPr>
        <w:t>石基地进行中药材的种植，对主要中药原材料进行规模化种植。这将对公司主要原材料的供应形成有力支</w:t>
      </w:r>
      <w:r>
        <w:rPr>
          <w:spacing w:val="-81"/>
        </w:rPr>
        <w:t> </w:t>
      </w:r>
      <w:r>
        <w:rPr>
          <w:spacing w:val="-81"/>
        </w:rPr>
      </w:r>
      <w:r>
        <w:rPr/>
        <w:t>撑，有利于节约原材料的成本支出。</w:t>
      </w:r>
    </w:p>
    <w:p>
      <w:pPr>
        <w:pStyle w:val="BodyText"/>
        <w:spacing w:line="240" w:lineRule="auto"/>
        <w:ind w:left="633" w:right="0"/>
        <w:jc w:val="left"/>
      </w:pPr>
      <w:r>
        <w:rPr>
          <w:rFonts w:ascii="Times New Roman" w:hAnsi="Times New Roman" w:cs="Times New Roman" w:eastAsia="Times New Roman" w:hint="default"/>
        </w:rPr>
        <w:t>2017</w:t>
      </w:r>
      <w:r>
        <w:rPr/>
        <w:t>年获得专利情况：</w:t>
      </w:r>
    </w:p>
    <w:p>
      <w:pPr>
        <w:spacing w:line="240" w:lineRule="auto" w:before="9"/>
        <w:rPr>
          <w:rFonts w:ascii="宋体" w:hAnsi="宋体" w:cs="宋体" w:eastAsia="宋体" w:hint="default"/>
          <w:sz w:val="8"/>
          <w:szCs w:val="8"/>
        </w:rPr>
      </w:pPr>
    </w:p>
    <w:tbl>
      <w:tblPr>
        <w:tblW w:w="0" w:type="auto"/>
        <w:jc w:val="left"/>
        <w:tblInd w:w="122" w:type="dxa"/>
        <w:tblLayout w:type="fixed"/>
        <w:tblCellMar>
          <w:top w:w="0" w:type="dxa"/>
          <w:left w:w="0" w:type="dxa"/>
          <w:bottom w:w="0" w:type="dxa"/>
          <w:right w:w="0" w:type="dxa"/>
        </w:tblCellMar>
        <w:tblLook w:val="01E0"/>
      </w:tblPr>
      <w:tblGrid>
        <w:gridCol w:w="550"/>
        <w:gridCol w:w="2405"/>
        <w:gridCol w:w="1470"/>
        <w:gridCol w:w="1049"/>
        <w:gridCol w:w="1154"/>
        <w:gridCol w:w="1470"/>
        <w:gridCol w:w="1574"/>
      </w:tblGrid>
      <w:tr>
        <w:trPr>
          <w:trHeight w:val="496" w:hRule="exact"/>
        </w:trPr>
        <w:tc>
          <w:tcPr>
            <w:tcW w:w="550" w:type="dxa"/>
            <w:tcBorders>
              <w:top w:val="nil" w:sz="6" w:space="0" w:color="auto"/>
              <w:left w:val="nil" w:sz="6" w:space="0" w:color="auto"/>
              <w:bottom w:val="single" w:sz="6" w:space="0" w:color="000000"/>
              <w:right w:val="single" w:sz="6" w:space="0" w:color="000000"/>
            </w:tcBorders>
          </w:tcPr>
          <w:p>
            <w:pPr>
              <w:pStyle w:val="TableParagraph"/>
              <w:spacing w:line="240" w:lineRule="auto" w:before="49"/>
              <w:ind w:left="18" w:right="0"/>
              <w:jc w:val="center"/>
              <w:rPr>
                <w:rFonts w:ascii="宋体" w:hAnsi="宋体" w:cs="宋体" w:eastAsia="宋体" w:hint="default"/>
                <w:sz w:val="24"/>
                <w:szCs w:val="24"/>
              </w:rPr>
            </w:pPr>
            <w:r>
              <w:rPr>
                <w:rFonts w:ascii="宋体" w:hAnsi="宋体" w:cs="宋体" w:eastAsia="宋体" w:hint="default"/>
                <w:b/>
                <w:bCs/>
                <w:sz w:val="24"/>
                <w:szCs w:val="24"/>
              </w:rPr>
              <w:t>序号</w:t>
            </w:r>
            <w:r>
              <w:rPr>
                <w:rFonts w:ascii="宋体" w:hAnsi="宋体" w:cs="宋体" w:eastAsia="宋体" w:hint="default"/>
                <w:sz w:val="24"/>
                <w:szCs w:val="24"/>
              </w:rPr>
            </w:r>
          </w:p>
        </w:tc>
        <w:tc>
          <w:tcPr>
            <w:tcW w:w="240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9"/>
              <w:ind w:left="712" w:right="0"/>
              <w:jc w:val="left"/>
              <w:rPr>
                <w:rFonts w:ascii="宋体" w:hAnsi="宋体" w:cs="宋体" w:eastAsia="宋体" w:hint="default"/>
                <w:sz w:val="24"/>
                <w:szCs w:val="24"/>
              </w:rPr>
            </w:pPr>
            <w:r>
              <w:rPr>
                <w:rFonts w:ascii="宋体" w:hAnsi="宋体" w:cs="宋体" w:eastAsia="宋体" w:hint="default"/>
                <w:b/>
                <w:bCs/>
                <w:sz w:val="24"/>
                <w:szCs w:val="24"/>
              </w:rPr>
              <w:t>专利名称</w:t>
            </w:r>
            <w:r>
              <w:rPr>
                <w:rFonts w:ascii="宋体" w:hAnsi="宋体" w:cs="宋体" w:eastAsia="宋体" w:hint="default"/>
                <w:sz w:val="24"/>
                <w:szCs w:val="24"/>
              </w:rPr>
            </w:r>
          </w:p>
        </w:tc>
        <w:tc>
          <w:tcPr>
            <w:tcW w:w="147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9"/>
              <w:ind w:left="244" w:right="0"/>
              <w:jc w:val="left"/>
              <w:rPr>
                <w:rFonts w:ascii="宋体" w:hAnsi="宋体" w:cs="宋体" w:eastAsia="宋体" w:hint="default"/>
                <w:sz w:val="24"/>
                <w:szCs w:val="24"/>
              </w:rPr>
            </w:pPr>
            <w:r>
              <w:rPr>
                <w:rFonts w:ascii="宋体" w:hAnsi="宋体" w:cs="宋体" w:eastAsia="宋体" w:hint="default"/>
                <w:b/>
                <w:bCs/>
                <w:sz w:val="24"/>
                <w:szCs w:val="24"/>
              </w:rPr>
              <w:t>所属公司</w:t>
            </w:r>
            <w:r>
              <w:rPr>
                <w:rFonts w:ascii="宋体" w:hAnsi="宋体" w:cs="宋体" w:eastAsia="宋体" w:hint="default"/>
                <w:sz w:val="24"/>
                <w:szCs w:val="24"/>
              </w:rPr>
            </w:r>
          </w:p>
        </w:tc>
        <w:tc>
          <w:tcPr>
            <w:tcW w:w="10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9"/>
              <w:ind w:left="34" w:right="0"/>
              <w:jc w:val="left"/>
              <w:rPr>
                <w:rFonts w:ascii="宋体" w:hAnsi="宋体" w:cs="宋体" w:eastAsia="宋体" w:hint="default"/>
                <w:sz w:val="24"/>
                <w:szCs w:val="24"/>
              </w:rPr>
            </w:pPr>
            <w:r>
              <w:rPr>
                <w:rFonts w:ascii="宋体" w:hAnsi="宋体" w:cs="宋体" w:eastAsia="宋体" w:hint="default"/>
                <w:b/>
                <w:bCs/>
                <w:sz w:val="24"/>
                <w:szCs w:val="24"/>
              </w:rPr>
              <w:t>授权日期</w:t>
            </w:r>
            <w:r>
              <w:rPr>
                <w:rFonts w:ascii="宋体" w:hAnsi="宋体" w:cs="宋体" w:eastAsia="宋体" w:hint="default"/>
                <w:sz w:val="24"/>
                <w:szCs w:val="24"/>
              </w:rPr>
            </w:r>
          </w:p>
        </w:tc>
        <w:tc>
          <w:tcPr>
            <w:tcW w:w="115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9"/>
              <w:ind w:left="87" w:right="0"/>
              <w:jc w:val="left"/>
              <w:rPr>
                <w:rFonts w:ascii="宋体" w:hAnsi="宋体" w:cs="宋体" w:eastAsia="宋体" w:hint="default"/>
                <w:sz w:val="24"/>
                <w:szCs w:val="24"/>
              </w:rPr>
            </w:pPr>
            <w:r>
              <w:rPr>
                <w:rFonts w:ascii="宋体" w:hAnsi="宋体" w:cs="宋体" w:eastAsia="宋体" w:hint="default"/>
                <w:b/>
                <w:bCs/>
                <w:sz w:val="24"/>
                <w:szCs w:val="24"/>
              </w:rPr>
              <w:t>目前状态</w:t>
            </w:r>
            <w:r>
              <w:rPr>
                <w:rFonts w:ascii="宋体" w:hAnsi="宋体" w:cs="宋体" w:eastAsia="宋体" w:hint="default"/>
                <w:sz w:val="24"/>
                <w:szCs w:val="24"/>
              </w:rPr>
            </w:r>
          </w:p>
        </w:tc>
        <w:tc>
          <w:tcPr>
            <w:tcW w:w="147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9"/>
              <w:ind w:left="1" w:right="0"/>
              <w:jc w:val="center"/>
              <w:rPr>
                <w:rFonts w:ascii="宋体" w:hAnsi="宋体" w:cs="宋体" w:eastAsia="宋体" w:hint="default"/>
                <w:sz w:val="24"/>
                <w:szCs w:val="24"/>
              </w:rPr>
            </w:pPr>
            <w:r>
              <w:rPr>
                <w:rFonts w:ascii="宋体" w:hAnsi="宋体" w:cs="宋体" w:eastAsia="宋体" w:hint="default"/>
                <w:b/>
                <w:bCs/>
                <w:sz w:val="24"/>
                <w:szCs w:val="24"/>
              </w:rPr>
              <w:t>类型</w:t>
            </w:r>
            <w:r>
              <w:rPr>
                <w:rFonts w:ascii="宋体" w:hAnsi="宋体" w:cs="宋体" w:eastAsia="宋体" w:hint="default"/>
                <w:sz w:val="24"/>
                <w:szCs w:val="24"/>
              </w:rPr>
            </w:r>
          </w:p>
        </w:tc>
        <w:tc>
          <w:tcPr>
            <w:tcW w:w="157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4"/>
              <w:ind w:right="0"/>
              <w:jc w:val="center"/>
              <w:rPr>
                <w:rFonts w:ascii="宋体" w:hAnsi="宋体" w:cs="宋体" w:eastAsia="宋体" w:hint="default"/>
                <w:sz w:val="22"/>
                <w:szCs w:val="22"/>
              </w:rPr>
            </w:pPr>
            <w:r>
              <w:rPr>
                <w:rFonts w:ascii="宋体" w:hAnsi="宋体" w:cs="宋体" w:eastAsia="宋体" w:hint="default"/>
                <w:b/>
                <w:bCs/>
                <w:sz w:val="22"/>
                <w:szCs w:val="22"/>
              </w:rPr>
              <w:t>译文</w:t>
            </w:r>
            <w:r>
              <w:rPr>
                <w:rFonts w:ascii="宋体" w:hAnsi="宋体" w:cs="宋体" w:eastAsia="宋体" w:hint="default"/>
                <w:sz w:val="22"/>
                <w:szCs w:val="22"/>
              </w:rPr>
            </w:r>
          </w:p>
        </w:tc>
      </w:tr>
      <w:tr>
        <w:trPr>
          <w:trHeight w:val="1898" w:hRule="exact"/>
        </w:trPr>
        <w:tc>
          <w:tcPr>
            <w:tcW w:w="5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9"/>
              <w:ind w:left="18" w:right="0"/>
              <w:jc w:val="center"/>
              <w:rPr>
                <w:rFonts w:ascii="Times New Roman" w:hAnsi="Times New Roman" w:cs="Times New Roman" w:eastAsia="Times New Roman" w:hint="default"/>
                <w:sz w:val="22"/>
                <w:szCs w:val="22"/>
              </w:rPr>
            </w:pPr>
            <w:r>
              <w:rPr>
                <w:rFonts w:ascii="Times New Roman"/>
                <w:b/>
                <w:w w:val="99"/>
                <w:sz w:val="22"/>
              </w:rPr>
              <w:t>1</w:t>
            </w:r>
            <w:r>
              <w:rPr>
                <w:rFonts w:ascii="Times New Roman"/>
                <w:sz w:val="22"/>
              </w:rPr>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444" w:lineRule="auto" w:before="106"/>
              <w:ind w:left="2" w:right="2"/>
              <w:jc w:val="left"/>
              <w:rPr>
                <w:rFonts w:ascii="Times New Roman" w:hAnsi="Times New Roman" w:cs="Times New Roman" w:eastAsia="Times New Roman" w:hint="default"/>
                <w:sz w:val="22"/>
                <w:szCs w:val="22"/>
              </w:rPr>
            </w:pPr>
            <w:r>
              <w:rPr>
                <w:rFonts w:ascii="Times New Roman"/>
                <w:sz w:val="22"/>
              </w:rPr>
              <w:t>Pharmaceutical</w:t>
            </w:r>
            <w:r>
              <w:rPr>
                <w:rFonts w:ascii="Times New Roman"/>
                <w:w w:val="99"/>
                <w:sz w:val="22"/>
              </w:rPr>
              <w:t> </w:t>
            </w:r>
            <w:r>
              <w:rPr>
                <w:rFonts w:ascii="Times New Roman"/>
                <w:sz w:val="22"/>
              </w:rPr>
              <w:t>composition for spleen</w:t>
            </w:r>
            <w:r>
              <w:rPr>
                <w:rFonts w:ascii="Times New Roman"/>
                <w:spacing w:val="-10"/>
                <w:sz w:val="22"/>
              </w:rPr>
              <w:t> </w:t>
            </w:r>
            <w:r>
              <w:rPr>
                <w:rFonts w:ascii="Times New Roman"/>
                <w:sz w:val="22"/>
              </w:rPr>
              <w:t>and</w:t>
            </w:r>
            <w:r>
              <w:rPr>
                <w:rFonts w:ascii="Times New Roman"/>
                <w:w w:val="99"/>
                <w:sz w:val="22"/>
              </w:rPr>
              <w:t> </w:t>
            </w:r>
            <w:r>
              <w:rPr>
                <w:rFonts w:ascii="Times New Roman"/>
                <w:sz w:val="22"/>
              </w:rPr>
              <w:t>stomach caring</w:t>
            </w:r>
            <w:r>
              <w:rPr>
                <w:rFonts w:ascii="Times New Roman"/>
                <w:spacing w:val="-5"/>
                <w:sz w:val="22"/>
              </w:rPr>
              <w:t> </w:t>
            </w:r>
            <w:r>
              <w:rPr>
                <w:rFonts w:ascii="Times New Roman"/>
                <w:sz w:val="22"/>
              </w:rPr>
              <w:t>and</w:t>
            </w:r>
          </w:p>
          <w:p>
            <w:pPr>
              <w:pStyle w:val="TableParagraph"/>
              <w:spacing w:line="240" w:lineRule="auto" w:before="8"/>
              <w:ind w:left="2" w:right="0"/>
              <w:jc w:val="left"/>
              <w:rPr>
                <w:rFonts w:ascii="Times New Roman" w:hAnsi="Times New Roman" w:cs="Times New Roman" w:eastAsia="Times New Roman" w:hint="default"/>
                <w:sz w:val="22"/>
                <w:szCs w:val="22"/>
              </w:rPr>
            </w:pPr>
            <w:r>
              <w:rPr>
                <w:rFonts w:ascii="Times New Roman"/>
                <w:sz w:val="22"/>
              </w:rPr>
              <w:t>preparation</w:t>
            </w:r>
            <w:r>
              <w:rPr>
                <w:rFonts w:ascii="Times New Roman"/>
                <w:spacing w:val="-5"/>
                <w:sz w:val="22"/>
              </w:rPr>
              <w:t> </w:t>
            </w:r>
            <w:r>
              <w:rPr>
                <w:rFonts w:ascii="Times New Roman"/>
                <w:sz w:val="22"/>
              </w:rPr>
              <w:t>method</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391" w:lineRule="auto" w:before="55"/>
              <w:ind w:left="2" w:right="132"/>
              <w:jc w:val="left"/>
              <w:rPr>
                <w:rFonts w:ascii="宋体" w:hAnsi="宋体" w:cs="宋体" w:eastAsia="宋体" w:hint="default"/>
                <w:sz w:val="22"/>
                <w:szCs w:val="22"/>
              </w:rPr>
            </w:pPr>
            <w:r>
              <w:rPr>
                <w:rFonts w:ascii="宋体" w:hAnsi="宋体" w:cs="宋体" w:eastAsia="宋体" w:hint="default"/>
                <w:sz w:val="22"/>
                <w:szCs w:val="22"/>
              </w:rPr>
              <w:t>吉林紫鑫药物</w:t>
            </w:r>
            <w:r>
              <w:rPr>
                <w:rFonts w:ascii="宋体" w:hAnsi="宋体" w:cs="宋体" w:eastAsia="宋体" w:hint="default"/>
                <w:w w:val="99"/>
                <w:sz w:val="22"/>
                <w:szCs w:val="22"/>
              </w:rPr>
              <w:t> </w:t>
            </w:r>
            <w:r>
              <w:rPr>
                <w:rFonts w:ascii="宋体" w:hAnsi="宋体" w:cs="宋体" w:eastAsia="宋体" w:hint="default"/>
                <w:sz w:val="22"/>
                <w:szCs w:val="22"/>
              </w:rPr>
              <w:t>研究有限公司</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2" w:right="0"/>
              <w:jc w:val="left"/>
              <w:rPr>
                <w:rFonts w:ascii="Times New Roman" w:hAnsi="Times New Roman" w:cs="Times New Roman" w:eastAsia="Times New Roman" w:hint="default"/>
                <w:sz w:val="22"/>
                <w:szCs w:val="22"/>
              </w:rPr>
            </w:pPr>
            <w:r>
              <w:rPr>
                <w:rFonts w:ascii="Times New Roman"/>
                <w:sz w:val="22"/>
              </w:rPr>
              <w:t>2017.2.1</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391" w:lineRule="auto" w:before="55"/>
              <w:ind w:left="2" w:right="36"/>
              <w:jc w:val="left"/>
              <w:rPr>
                <w:rFonts w:ascii="宋体" w:hAnsi="宋体" w:cs="宋体" w:eastAsia="宋体" w:hint="default"/>
                <w:sz w:val="22"/>
                <w:szCs w:val="22"/>
              </w:rPr>
            </w:pPr>
            <w:r>
              <w:rPr>
                <w:rFonts w:ascii="宋体" w:hAnsi="宋体" w:cs="宋体" w:eastAsia="宋体" w:hint="default"/>
                <w:sz w:val="22"/>
                <w:szCs w:val="22"/>
              </w:rPr>
              <w:t>已获得专利</w:t>
            </w:r>
            <w:r>
              <w:rPr>
                <w:rFonts w:ascii="宋体" w:hAnsi="宋体" w:cs="宋体" w:eastAsia="宋体" w:hint="default"/>
                <w:w w:val="99"/>
                <w:sz w:val="22"/>
                <w:szCs w:val="22"/>
              </w:rPr>
              <w:t> </w:t>
            </w:r>
            <w:r>
              <w:rPr>
                <w:rFonts w:ascii="宋体" w:hAnsi="宋体" w:cs="宋体" w:eastAsia="宋体" w:hint="default"/>
                <w:sz w:val="22"/>
                <w:szCs w:val="22"/>
              </w:rPr>
              <w:t>证书</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391" w:lineRule="auto" w:before="55"/>
              <w:ind w:left="3" w:right="1"/>
              <w:jc w:val="left"/>
              <w:rPr>
                <w:rFonts w:ascii="宋体" w:hAnsi="宋体" w:cs="宋体" w:eastAsia="宋体" w:hint="default"/>
                <w:sz w:val="22"/>
                <w:szCs w:val="22"/>
              </w:rPr>
            </w:pPr>
            <w:r>
              <w:rPr>
                <w:rFonts w:ascii="宋体" w:hAnsi="宋体" w:cs="宋体" w:eastAsia="宋体" w:hint="default"/>
                <w:spacing w:val="-13"/>
                <w:w w:val="99"/>
                <w:sz w:val="22"/>
                <w:szCs w:val="22"/>
              </w:rPr>
              <w:t>发明专利（国际</w:t>
            </w:r>
            <w:r>
              <w:rPr>
                <w:rFonts w:ascii="宋体" w:hAnsi="宋体" w:cs="宋体" w:eastAsia="宋体" w:hint="default"/>
                <w:spacing w:val="-108"/>
                <w:w w:val="99"/>
                <w:sz w:val="22"/>
                <w:szCs w:val="22"/>
              </w:rPr>
              <w:t> </w:t>
            </w:r>
            <w:r>
              <w:rPr>
                <w:rFonts w:ascii="宋体" w:hAnsi="宋体" w:cs="宋体" w:eastAsia="宋体" w:hint="default"/>
                <w:spacing w:val="-108"/>
                <w:w w:val="99"/>
                <w:sz w:val="22"/>
                <w:szCs w:val="22"/>
              </w:rPr>
            </w:r>
            <w:r>
              <w:rPr>
                <w:rFonts w:ascii="宋体" w:hAnsi="宋体" w:cs="宋体" w:eastAsia="宋体" w:hint="default"/>
                <w:sz w:val="22"/>
                <w:szCs w:val="22"/>
              </w:rPr>
              <w:t>专利</w:t>
            </w:r>
            <w:r>
              <w:rPr>
                <w:rFonts w:ascii="Times New Roman" w:hAnsi="Times New Roman" w:cs="Times New Roman" w:eastAsia="Times New Roman" w:hint="default"/>
                <w:sz w:val="22"/>
                <w:szCs w:val="22"/>
              </w:rPr>
              <w:t>—</w:t>
            </w:r>
            <w:r>
              <w:rPr>
                <w:rFonts w:ascii="宋体" w:hAnsi="宋体" w:cs="宋体" w:eastAsia="宋体" w:hint="default"/>
                <w:sz w:val="22"/>
                <w:szCs w:val="22"/>
              </w:rPr>
              <w:t>欧洲）</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391" w:lineRule="auto" w:before="55"/>
              <w:ind w:left="3" w:right="15"/>
              <w:jc w:val="both"/>
              <w:rPr>
                <w:rFonts w:ascii="宋体" w:hAnsi="宋体" w:cs="宋体" w:eastAsia="宋体" w:hint="default"/>
                <w:sz w:val="22"/>
                <w:szCs w:val="22"/>
              </w:rPr>
            </w:pPr>
            <w:r>
              <w:rPr>
                <w:rFonts w:ascii="宋体" w:hAnsi="宋体" w:cs="宋体" w:eastAsia="宋体" w:hint="default"/>
                <w:sz w:val="22"/>
                <w:szCs w:val="22"/>
              </w:rPr>
              <w:t>一种健脾和胃的</w:t>
            </w:r>
            <w:r>
              <w:rPr>
                <w:rFonts w:ascii="宋体" w:hAnsi="宋体" w:cs="宋体" w:eastAsia="宋体" w:hint="default"/>
                <w:w w:val="99"/>
                <w:sz w:val="22"/>
                <w:szCs w:val="22"/>
              </w:rPr>
              <w:t> </w:t>
            </w:r>
            <w:r>
              <w:rPr>
                <w:rFonts w:ascii="宋体" w:hAnsi="宋体" w:cs="宋体" w:eastAsia="宋体" w:hint="default"/>
                <w:sz w:val="22"/>
                <w:szCs w:val="22"/>
              </w:rPr>
              <w:t>药物组合物及其</w:t>
            </w:r>
            <w:r>
              <w:rPr>
                <w:rFonts w:ascii="宋体" w:hAnsi="宋体" w:cs="宋体" w:eastAsia="宋体" w:hint="default"/>
                <w:w w:val="99"/>
                <w:sz w:val="22"/>
                <w:szCs w:val="22"/>
              </w:rPr>
              <w:t> </w:t>
            </w:r>
            <w:r>
              <w:rPr>
                <w:rFonts w:ascii="宋体" w:hAnsi="宋体" w:cs="宋体" w:eastAsia="宋体" w:hint="default"/>
                <w:sz w:val="22"/>
                <w:szCs w:val="22"/>
              </w:rPr>
              <w:t>制备方法</w:t>
            </w:r>
          </w:p>
        </w:tc>
      </w:tr>
    </w:tbl>
    <w:p>
      <w:pPr>
        <w:spacing w:after="0" w:line="391" w:lineRule="auto"/>
        <w:jc w:val="both"/>
        <w:rPr>
          <w:rFonts w:ascii="宋体" w:hAnsi="宋体" w:cs="宋体" w:eastAsia="宋体" w:hint="default"/>
          <w:sz w:val="22"/>
          <w:szCs w:val="22"/>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2" w:type="dxa"/>
        <w:tblLayout w:type="fixed"/>
        <w:tblCellMar>
          <w:top w:w="0" w:type="dxa"/>
          <w:left w:w="0" w:type="dxa"/>
          <w:bottom w:w="0" w:type="dxa"/>
          <w:right w:w="0" w:type="dxa"/>
        </w:tblCellMar>
        <w:tblLook w:val="01E0"/>
      </w:tblPr>
      <w:tblGrid>
        <w:gridCol w:w="550"/>
        <w:gridCol w:w="2405"/>
        <w:gridCol w:w="1470"/>
        <w:gridCol w:w="1049"/>
        <w:gridCol w:w="1154"/>
        <w:gridCol w:w="1470"/>
        <w:gridCol w:w="1574"/>
      </w:tblGrid>
      <w:tr>
        <w:trPr>
          <w:trHeight w:val="496" w:hRule="exact"/>
        </w:trPr>
        <w:tc>
          <w:tcPr>
            <w:tcW w:w="550" w:type="dxa"/>
            <w:tcBorders>
              <w:top w:val="nil" w:sz="6" w:space="0" w:color="auto"/>
              <w:left w:val="nil" w:sz="6" w:space="0" w:color="auto"/>
              <w:bottom w:val="single" w:sz="6" w:space="0" w:color="000000"/>
              <w:right w:val="single" w:sz="6" w:space="0" w:color="000000"/>
            </w:tcBorders>
          </w:tcPr>
          <w:p>
            <w:pPr/>
          </w:p>
        </w:tc>
        <w:tc>
          <w:tcPr>
            <w:tcW w:w="240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6"/>
              <w:ind w:left="2" w:right="0"/>
              <w:jc w:val="left"/>
              <w:rPr>
                <w:rFonts w:ascii="Times New Roman" w:hAnsi="Times New Roman" w:cs="Times New Roman" w:eastAsia="Times New Roman" w:hint="default"/>
                <w:sz w:val="22"/>
                <w:szCs w:val="22"/>
              </w:rPr>
            </w:pPr>
            <w:r>
              <w:rPr>
                <w:rFonts w:ascii="Times New Roman"/>
                <w:sz w:val="22"/>
              </w:rPr>
              <w:t>therefor</w:t>
            </w:r>
          </w:p>
        </w:tc>
        <w:tc>
          <w:tcPr>
            <w:tcW w:w="1470" w:type="dxa"/>
            <w:tcBorders>
              <w:top w:val="nil" w:sz="6" w:space="0" w:color="auto"/>
              <w:left w:val="single" w:sz="6" w:space="0" w:color="000000"/>
              <w:bottom w:val="single" w:sz="6" w:space="0" w:color="000000"/>
              <w:right w:val="single" w:sz="6" w:space="0" w:color="000000"/>
            </w:tcBorders>
          </w:tcPr>
          <w:p>
            <w:pPr/>
          </w:p>
        </w:tc>
        <w:tc>
          <w:tcPr>
            <w:tcW w:w="1049" w:type="dxa"/>
            <w:tcBorders>
              <w:top w:val="nil" w:sz="6" w:space="0" w:color="auto"/>
              <w:left w:val="single" w:sz="6" w:space="0" w:color="000000"/>
              <w:bottom w:val="single" w:sz="6" w:space="0" w:color="000000"/>
              <w:right w:val="single" w:sz="6" w:space="0" w:color="000000"/>
            </w:tcBorders>
          </w:tcPr>
          <w:p>
            <w:pPr/>
          </w:p>
        </w:tc>
        <w:tc>
          <w:tcPr>
            <w:tcW w:w="1154" w:type="dxa"/>
            <w:tcBorders>
              <w:top w:val="nil" w:sz="6" w:space="0" w:color="auto"/>
              <w:left w:val="single" w:sz="6" w:space="0" w:color="000000"/>
              <w:bottom w:val="single" w:sz="6" w:space="0" w:color="000000"/>
              <w:right w:val="single" w:sz="6" w:space="0" w:color="000000"/>
            </w:tcBorders>
          </w:tcPr>
          <w:p>
            <w:pPr/>
          </w:p>
        </w:tc>
        <w:tc>
          <w:tcPr>
            <w:tcW w:w="1470" w:type="dxa"/>
            <w:tcBorders>
              <w:top w:val="nil" w:sz="6" w:space="0" w:color="auto"/>
              <w:left w:val="single" w:sz="6" w:space="0" w:color="000000"/>
              <w:bottom w:val="single" w:sz="6" w:space="0" w:color="000000"/>
              <w:right w:val="single" w:sz="6" w:space="0" w:color="000000"/>
            </w:tcBorders>
          </w:tcPr>
          <w:p>
            <w:pPr/>
          </w:p>
        </w:tc>
        <w:tc>
          <w:tcPr>
            <w:tcW w:w="1574" w:type="dxa"/>
            <w:tcBorders>
              <w:top w:val="nil" w:sz="6" w:space="0" w:color="auto"/>
              <w:left w:val="single" w:sz="6" w:space="0" w:color="000000"/>
              <w:bottom w:val="single" w:sz="6" w:space="0" w:color="000000"/>
              <w:right w:val="single" w:sz="6" w:space="0" w:color="000000"/>
            </w:tcBorders>
          </w:tcPr>
          <w:p>
            <w:pPr/>
          </w:p>
        </w:tc>
      </w:tr>
      <w:tr>
        <w:trPr>
          <w:trHeight w:val="3300" w:hRule="exact"/>
        </w:trPr>
        <w:tc>
          <w:tcPr>
            <w:tcW w:w="5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6"/>
              <w:ind w:left="18" w:right="0"/>
              <w:jc w:val="center"/>
              <w:rPr>
                <w:rFonts w:ascii="Times New Roman" w:hAnsi="Times New Roman" w:cs="Times New Roman" w:eastAsia="Times New Roman" w:hint="default"/>
                <w:sz w:val="22"/>
                <w:szCs w:val="22"/>
              </w:rPr>
            </w:pPr>
            <w:r>
              <w:rPr>
                <w:rFonts w:ascii="Times New Roman"/>
                <w:w w:val="99"/>
                <w:sz w:val="22"/>
              </w:rPr>
              <w:t>2</w:t>
            </w:r>
            <w:r>
              <w:rPr>
                <w:rFonts w:ascii="Times New Roman"/>
                <w:sz w:val="22"/>
              </w:rPr>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444" w:lineRule="auto" w:before="106"/>
              <w:ind w:left="2" w:right="29"/>
              <w:jc w:val="left"/>
              <w:rPr>
                <w:rFonts w:ascii="Times New Roman" w:hAnsi="Times New Roman" w:cs="Times New Roman" w:eastAsia="Times New Roman" w:hint="default"/>
                <w:sz w:val="22"/>
                <w:szCs w:val="22"/>
              </w:rPr>
            </w:pPr>
            <w:r>
              <w:rPr>
                <w:rFonts w:ascii="Times New Roman"/>
                <w:sz w:val="22"/>
              </w:rPr>
              <w:t>Method for</w:t>
            </w:r>
            <w:r>
              <w:rPr>
                <w:rFonts w:ascii="Times New Roman"/>
                <w:spacing w:val="-2"/>
                <w:sz w:val="22"/>
              </w:rPr>
              <w:t> </w:t>
            </w:r>
            <w:r>
              <w:rPr>
                <w:rFonts w:ascii="Times New Roman"/>
                <w:sz w:val="22"/>
              </w:rPr>
              <w:t>preparing</w:t>
            </w:r>
            <w:r>
              <w:rPr>
                <w:rFonts w:ascii="Times New Roman"/>
                <w:w w:val="99"/>
                <w:sz w:val="22"/>
              </w:rPr>
              <w:t> </w:t>
            </w:r>
            <w:r>
              <w:rPr>
                <w:rFonts w:ascii="Times New Roman"/>
                <w:sz w:val="22"/>
              </w:rPr>
              <w:t>pharmaceutical</w:t>
            </w:r>
            <w:r>
              <w:rPr>
                <w:rFonts w:ascii="Times New Roman"/>
                <w:w w:val="99"/>
                <w:sz w:val="22"/>
              </w:rPr>
              <w:t> </w:t>
            </w:r>
            <w:r>
              <w:rPr>
                <w:rFonts w:ascii="Times New Roman"/>
                <w:sz w:val="22"/>
              </w:rPr>
              <w:t>composition for</w:t>
            </w:r>
            <w:r>
              <w:rPr>
                <w:rFonts w:ascii="Times New Roman"/>
                <w:spacing w:val="-6"/>
                <w:sz w:val="22"/>
              </w:rPr>
              <w:t> </w:t>
            </w:r>
            <w:r>
              <w:rPr>
                <w:rFonts w:ascii="Times New Roman"/>
                <w:sz w:val="22"/>
              </w:rPr>
              <w:t>enhancing</w:t>
            </w:r>
            <w:r>
              <w:rPr>
                <w:rFonts w:ascii="Times New Roman"/>
                <w:w w:val="99"/>
                <w:sz w:val="22"/>
              </w:rPr>
              <w:t> </w:t>
            </w:r>
            <w:r>
              <w:rPr>
                <w:rFonts w:ascii="Times New Roman"/>
                <w:sz w:val="22"/>
              </w:rPr>
              <w:t>immunity and</w:t>
            </w:r>
            <w:r>
              <w:rPr>
                <w:rFonts w:ascii="Times New Roman"/>
                <w:w w:val="99"/>
                <w:sz w:val="22"/>
              </w:rPr>
              <w:t> </w:t>
            </w:r>
            <w:r>
              <w:rPr>
                <w:rFonts w:ascii="Times New Roman"/>
                <w:sz w:val="22"/>
              </w:rPr>
              <w:t>pharmaceutical</w:t>
            </w:r>
            <w:r>
              <w:rPr>
                <w:rFonts w:ascii="Times New Roman"/>
                <w:w w:val="99"/>
                <w:sz w:val="22"/>
              </w:rPr>
              <w:t> </w:t>
            </w:r>
            <w:r>
              <w:rPr>
                <w:rFonts w:ascii="Times New Roman"/>
                <w:sz w:val="22"/>
              </w:rPr>
              <w:t>composition</w:t>
            </w:r>
            <w:r>
              <w:rPr>
                <w:rFonts w:ascii="Times New Roman"/>
                <w:spacing w:val="-6"/>
                <w:sz w:val="22"/>
              </w:rPr>
              <w:t> </w:t>
            </w:r>
            <w:r>
              <w:rPr>
                <w:rFonts w:ascii="Times New Roman"/>
                <w:sz w:val="22"/>
              </w:rPr>
              <w:t>prepared</w:t>
            </w:r>
          </w:p>
          <w:p>
            <w:pPr>
              <w:pStyle w:val="TableParagraph"/>
              <w:spacing w:line="240" w:lineRule="auto" w:before="8"/>
              <w:ind w:left="2" w:right="0"/>
              <w:jc w:val="left"/>
              <w:rPr>
                <w:rFonts w:ascii="Times New Roman" w:hAnsi="Times New Roman" w:cs="Times New Roman" w:eastAsia="Times New Roman" w:hint="default"/>
                <w:sz w:val="22"/>
                <w:szCs w:val="22"/>
              </w:rPr>
            </w:pPr>
            <w:r>
              <w:rPr>
                <w:rFonts w:ascii="Times New Roman"/>
                <w:sz w:val="22"/>
              </w:rPr>
              <w:t>according to the</w:t>
            </w:r>
            <w:r>
              <w:rPr>
                <w:rFonts w:ascii="Times New Roman"/>
                <w:spacing w:val="-7"/>
                <w:sz w:val="22"/>
              </w:rPr>
              <w:t> </w:t>
            </w:r>
            <w:r>
              <w:rPr>
                <w:rFonts w:ascii="Times New Roman"/>
                <w:sz w:val="22"/>
              </w:rPr>
              <w:t>method</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391" w:lineRule="auto" w:before="55"/>
              <w:ind w:left="2" w:right="132"/>
              <w:jc w:val="left"/>
              <w:rPr>
                <w:rFonts w:ascii="宋体" w:hAnsi="宋体" w:cs="宋体" w:eastAsia="宋体" w:hint="default"/>
                <w:sz w:val="22"/>
                <w:szCs w:val="22"/>
              </w:rPr>
            </w:pPr>
            <w:r>
              <w:rPr>
                <w:rFonts w:ascii="宋体" w:hAnsi="宋体" w:cs="宋体" w:eastAsia="宋体" w:hint="default"/>
                <w:sz w:val="22"/>
                <w:szCs w:val="22"/>
              </w:rPr>
              <w:t>吉林紫鑫药物</w:t>
            </w:r>
            <w:r>
              <w:rPr>
                <w:rFonts w:ascii="宋体" w:hAnsi="宋体" w:cs="宋体" w:eastAsia="宋体" w:hint="default"/>
                <w:w w:val="99"/>
                <w:sz w:val="22"/>
                <w:szCs w:val="22"/>
              </w:rPr>
              <w:t> </w:t>
            </w:r>
            <w:r>
              <w:rPr>
                <w:rFonts w:ascii="宋体" w:hAnsi="宋体" w:cs="宋体" w:eastAsia="宋体" w:hint="default"/>
                <w:sz w:val="22"/>
                <w:szCs w:val="22"/>
              </w:rPr>
              <w:t>研究有限公司</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47"/>
              <w:jc w:val="center"/>
              <w:rPr>
                <w:rFonts w:ascii="Times New Roman" w:hAnsi="Times New Roman" w:cs="Times New Roman" w:eastAsia="Times New Roman" w:hint="default"/>
                <w:sz w:val="22"/>
                <w:szCs w:val="22"/>
              </w:rPr>
            </w:pPr>
            <w:r>
              <w:rPr>
                <w:rFonts w:ascii="Times New Roman"/>
                <w:sz w:val="22"/>
              </w:rPr>
              <w:t>2017.7.19</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391" w:lineRule="auto" w:before="55"/>
              <w:ind w:left="2" w:right="36"/>
              <w:jc w:val="left"/>
              <w:rPr>
                <w:rFonts w:ascii="宋体" w:hAnsi="宋体" w:cs="宋体" w:eastAsia="宋体" w:hint="default"/>
                <w:sz w:val="22"/>
                <w:szCs w:val="22"/>
              </w:rPr>
            </w:pPr>
            <w:r>
              <w:rPr>
                <w:rFonts w:ascii="宋体" w:hAnsi="宋体" w:cs="宋体" w:eastAsia="宋体" w:hint="default"/>
                <w:sz w:val="22"/>
                <w:szCs w:val="22"/>
              </w:rPr>
              <w:t>已获得专利</w:t>
            </w:r>
            <w:r>
              <w:rPr>
                <w:rFonts w:ascii="宋体" w:hAnsi="宋体" w:cs="宋体" w:eastAsia="宋体" w:hint="default"/>
                <w:w w:val="99"/>
                <w:sz w:val="22"/>
                <w:szCs w:val="22"/>
              </w:rPr>
              <w:t> </w:t>
            </w:r>
            <w:r>
              <w:rPr>
                <w:rFonts w:ascii="宋体" w:hAnsi="宋体" w:cs="宋体" w:eastAsia="宋体" w:hint="default"/>
                <w:sz w:val="22"/>
                <w:szCs w:val="22"/>
              </w:rPr>
              <w:t>证书</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391" w:lineRule="auto" w:before="55"/>
              <w:ind w:left="3" w:right="1"/>
              <w:jc w:val="left"/>
              <w:rPr>
                <w:rFonts w:ascii="宋体" w:hAnsi="宋体" w:cs="宋体" w:eastAsia="宋体" w:hint="default"/>
                <w:sz w:val="22"/>
                <w:szCs w:val="22"/>
              </w:rPr>
            </w:pPr>
            <w:r>
              <w:rPr>
                <w:rFonts w:ascii="宋体" w:hAnsi="宋体" w:cs="宋体" w:eastAsia="宋体" w:hint="default"/>
                <w:spacing w:val="-13"/>
                <w:w w:val="99"/>
                <w:sz w:val="22"/>
                <w:szCs w:val="22"/>
              </w:rPr>
              <w:t>发明专利（国际</w:t>
            </w:r>
            <w:r>
              <w:rPr>
                <w:rFonts w:ascii="宋体" w:hAnsi="宋体" w:cs="宋体" w:eastAsia="宋体" w:hint="default"/>
                <w:spacing w:val="-108"/>
                <w:w w:val="99"/>
                <w:sz w:val="22"/>
                <w:szCs w:val="22"/>
              </w:rPr>
              <w:t> </w:t>
            </w:r>
            <w:r>
              <w:rPr>
                <w:rFonts w:ascii="宋体" w:hAnsi="宋体" w:cs="宋体" w:eastAsia="宋体" w:hint="default"/>
                <w:spacing w:val="-108"/>
                <w:w w:val="99"/>
                <w:sz w:val="22"/>
                <w:szCs w:val="22"/>
              </w:rPr>
            </w:r>
            <w:r>
              <w:rPr>
                <w:rFonts w:ascii="宋体" w:hAnsi="宋体" w:cs="宋体" w:eastAsia="宋体" w:hint="default"/>
                <w:sz w:val="22"/>
                <w:szCs w:val="22"/>
              </w:rPr>
              <w:t>专利</w:t>
            </w:r>
            <w:r>
              <w:rPr>
                <w:rFonts w:ascii="Times New Roman" w:hAnsi="Times New Roman" w:cs="Times New Roman" w:eastAsia="Times New Roman" w:hint="default"/>
                <w:sz w:val="22"/>
                <w:szCs w:val="22"/>
              </w:rPr>
              <w:t>—</w:t>
            </w:r>
            <w:r>
              <w:rPr>
                <w:rFonts w:ascii="宋体" w:hAnsi="宋体" w:cs="宋体" w:eastAsia="宋体" w:hint="default"/>
                <w:sz w:val="22"/>
                <w:szCs w:val="22"/>
              </w:rPr>
              <w:t>欧洲）</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391" w:lineRule="auto" w:before="55"/>
              <w:ind w:left="3" w:right="15"/>
              <w:jc w:val="both"/>
              <w:rPr>
                <w:rFonts w:ascii="宋体" w:hAnsi="宋体" w:cs="宋体" w:eastAsia="宋体" w:hint="default"/>
                <w:sz w:val="22"/>
                <w:szCs w:val="22"/>
              </w:rPr>
            </w:pPr>
            <w:r>
              <w:rPr>
                <w:rFonts w:ascii="宋体" w:hAnsi="宋体" w:cs="宋体" w:eastAsia="宋体" w:hint="default"/>
                <w:sz w:val="22"/>
                <w:szCs w:val="22"/>
              </w:rPr>
              <w:t>一种提高免疫力</w:t>
            </w:r>
            <w:r>
              <w:rPr>
                <w:rFonts w:ascii="宋体" w:hAnsi="宋体" w:cs="宋体" w:eastAsia="宋体" w:hint="default"/>
                <w:w w:val="99"/>
                <w:sz w:val="22"/>
                <w:szCs w:val="22"/>
              </w:rPr>
              <w:t> </w:t>
            </w:r>
            <w:r>
              <w:rPr>
                <w:rFonts w:ascii="宋体" w:hAnsi="宋体" w:cs="宋体" w:eastAsia="宋体" w:hint="default"/>
                <w:sz w:val="22"/>
                <w:szCs w:val="22"/>
              </w:rPr>
              <w:t>的药物组合物及</w:t>
            </w:r>
            <w:r>
              <w:rPr>
                <w:rFonts w:ascii="宋体" w:hAnsi="宋体" w:cs="宋体" w:eastAsia="宋体" w:hint="default"/>
                <w:w w:val="99"/>
                <w:sz w:val="22"/>
                <w:szCs w:val="22"/>
              </w:rPr>
              <w:t> </w:t>
            </w:r>
            <w:r>
              <w:rPr>
                <w:rFonts w:ascii="宋体" w:hAnsi="宋体" w:cs="宋体" w:eastAsia="宋体" w:hint="default"/>
                <w:sz w:val="22"/>
                <w:szCs w:val="22"/>
              </w:rPr>
              <w:t>其制备方法</w:t>
            </w:r>
          </w:p>
        </w:tc>
      </w:tr>
      <w:tr>
        <w:trPr>
          <w:trHeight w:val="962" w:hRule="exact"/>
        </w:trPr>
        <w:tc>
          <w:tcPr>
            <w:tcW w:w="5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8"/>
              <w:ind w:left="18" w:right="0"/>
              <w:jc w:val="center"/>
              <w:rPr>
                <w:rFonts w:ascii="Times New Roman" w:hAnsi="Times New Roman" w:cs="Times New Roman" w:eastAsia="Times New Roman" w:hint="default"/>
                <w:sz w:val="22"/>
                <w:szCs w:val="22"/>
              </w:rPr>
            </w:pPr>
            <w:r>
              <w:rPr>
                <w:rFonts w:ascii="Times New Roman"/>
                <w:w w:val="99"/>
                <w:sz w:val="22"/>
              </w:rPr>
              <w:t>3</w:t>
            </w:r>
            <w:r>
              <w:rPr>
                <w:rFonts w:ascii="Times New Roman"/>
                <w:sz w:val="22"/>
              </w:rPr>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391" w:lineRule="auto" w:before="56"/>
              <w:ind w:left="2" w:right="187"/>
              <w:jc w:val="left"/>
              <w:rPr>
                <w:rFonts w:ascii="宋体" w:hAnsi="宋体" w:cs="宋体" w:eastAsia="宋体" w:hint="default"/>
                <w:sz w:val="22"/>
                <w:szCs w:val="22"/>
              </w:rPr>
            </w:pPr>
            <w:r>
              <w:rPr>
                <w:rFonts w:ascii="宋体" w:hAnsi="宋体" w:cs="宋体" w:eastAsia="宋体" w:hint="default"/>
                <w:sz w:val="22"/>
                <w:szCs w:val="22"/>
              </w:rPr>
              <w:t>一种用于治疗高血压的</w:t>
            </w:r>
            <w:r>
              <w:rPr>
                <w:rFonts w:ascii="宋体" w:hAnsi="宋体" w:cs="宋体" w:eastAsia="宋体" w:hint="default"/>
                <w:w w:val="99"/>
                <w:sz w:val="22"/>
                <w:szCs w:val="22"/>
              </w:rPr>
              <w:t> </w:t>
            </w:r>
            <w:r>
              <w:rPr>
                <w:rFonts w:ascii="宋体" w:hAnsi="宋体" w:cs="宋体" w:eastAsia="宋体" w:hint="default"/>
                <w:sz w:val="22"/>
                <w:szCs w:val="22"/>
              </w:rPr>
              <w:t>中药组合物</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391" w:lineRule="auto" w:before="56"/>
              <w:ind w:left="2" w:right="132"/>
              <w:jc w:val="left"/>
              <w:rPr>
                <w:rFonts w:ascii="宋体" w:hAnsi="宋体" w:cs="宋体" w:eastAsia="宋体" w:hint="default"/>
                <w:sz w:val="22"/>
                <w:szCs w:val="22"/>
              </w:rPr>
            </w:pPr>
            <w:r>
              <w:rPr>
                <w:rFonts w:ascii="宋体" w:hAnsi="宋体" w:cs="宋体" w:eastAsia="宋体" w:hint="default"/>
                <w:sz w:val="22"/>
                <w:szCs w:val="22"/>
              </w:rPr>
              <w:t>吉林紫鑫药业</w:t>
            </w:r>
            <w:r>
              <w:rPr>
                <w:rFonts w:ascii="宋体" w:hAnsi="宋体" w:cs="宋体" w:eastAsia="宋体" w:hint="default"/>
                <w:w w:val="99"/>
                <w:sz w:val="22"/>
                <w:szCs w:val="22"/>
              </w:rPr>
              <w:t> </w:t>
            </w:r>
            <w:r>
              <w:rPr>
                <w:rFonts w:ascii="宋体" w:hAnsi="宋体" w:cs="宋体" w:eastAsia="宋体" w:hint="default"/>
                <w:sz w:val="22"/>
                <w:szCs w:val="22"/>
              </w:rPr>
              <w:t>股份有限公司</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37"/>
              <w:jc w:val="center"/>
              <w:rPr>
                <w:rFonts w:ascii="Times New Roman" w:hAnsi="Times New Roman" w:cs="Times New Roman" w:eastAsia="Times New Roman" w:hint="default"/>
                <w:sz w:val="22"/>
                <w:szCs w:val="22"/>
              </w:rPr>
            </w:pPr>
            <w:r>
              <w:rPr>
                <w:rFonts w:ascii="Times New Roman"/>
                <w:sz w:val="22"/>
              </w:rPr>
              <w:t>2017.10.31</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391" w:lineRule="auto" w:before="56"/>
              <w:ind w:left="2" w:right="36"/>
              <w:jc w:val="left"/>
              <w:rPr>
                <w:rFonts w:ascii="宋体" w:hAnsi="宋体" w:cs="宋体" w:eastAsia="宋体" w:hint="default"/>
                <w:sz w:val="22"/>
                <w:szCs w:val="22"/>
              </w:rPr>
            </w:pPr>
            <w:r>
              <w:rPr>
                <w:rFonts w:ascii="宋体" w:hAnsi="宋体" w:cs="宋体" w:eastAsia="宋体" w:hint="default"/>
                <w:sz w:val="22"/>
                <w:szCs w:val="22"/>
              </w:rPr>
              <w:t>已获得专利</w:t>
            </w:r>
            <w:r>
              <w:rPr>
                <w:rFonts w:ascii="宋体" w:hAnsi="宋体" w:cs="宋体" w:eastAsia="宋体" w:hint="default"/>
                <w:w w:val="99"/>
                <w:sz w:val="22"/>
                <w:szCs w:val="22"/>
              </w:rPr>
              <w:t> </w:t>
            </w:r>
            <w:r>
              <w:rPr>
                <w:rFonts w:ascii="宋体" w:hAnsi="宋体" w:cs="宋体" w:eastAsia="宋体" w:hint="default"/>
                <w:sz w:val="22"/>
                <w:szCs w:val="22"/>
              </w:rPr>
              <w:t>证书</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287" w:right="0"/>
              <w:jc w:val="left"/>
              <w:rPr>
                <w:rFonts w:ascii="宋体" w:hAnsi="宋体" w:cs="宋体" w:eastAsia="宋体" w:hint="default"/>
                <w:sz w:val="22"/>
                <w:szCs w:val="22"/>
              </w:rPr>
            </w:pPr>
            <w:r>
              <w:rPr>
                <w:rFonts w:ascii="宋体" w:hAnsi="宋体" w:cs="宋体" w:eastAsia="宋体" w:hint="default"/>
                <w:sz w:val="22"/>
                <w:szCs w:val="22"/>
              </w:rPr>
              <w:t>发明专利</w:t>
            </w:r>
          </w:p>
        </w:tc>
        <w:tc>
          <w:tcPr>
            <w:tcW w:w="157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6"/>
          <w:szCs w:val="16"/>
        </w:rPr>
      </w:pPr>
    </w:p>
    <w:p>
      <w:pPr>
        <w:pStyle w:val="Heading1"/>
        <w:spacing w:line="240" w:lineRule="auto" w:before="1"/>
        <w:ind w:left="2965" w:right="0"/>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10"/>
        <w:rPr>
          <w:rFonts w:ascii="宋体" w:hAnsi="宋体" w:cs="宋体" w:eastAsia="宋体" w:hint="default"/>
          <w:b/>
          <w:bCs/>
          <w:sz w:val="12"/>
          <w:szCs w:val="12"/>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pStyle w:val="BodyText"/>
        <w:spacing w:line="396" w:lineRule="auto" w:before="177"/>
        <w:ind w:right="0" w:firstLine="480"/>
        <w:jc w:val="left"/>
      </w:pPr>
      <w:r>
        <w:rPr>
          <w:rFonts w:ascii="Times New Roman" w:hAnsi="Times New Roman" w:cs="Times New Roman" w:eastAsia="Times New Roman" w:hint="default"/>
        </w:rPr>
        <w:t>2017</w:t>
      </w:r>
      <w:r>
        <w:rPr/>
        <w:t>年，随着我国医疗体制改革的不断深化，《中医药</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发展规划（</w:t>
      </w:r>
      <w:r>
        <w:rPr>
          <w:rFonts w:ascii="Times New Roman" w:hAnsi="Times New Roman" w:cs="Times New Roman" w:eastAsia="Times New Roman" w:hint="default"/>
        </w:rPr>
        <w:t>2016-2020</w:t>
      </w:r>
      <w:r>
        <w:rPr>
          <w:rFonts w:ascii="Times New Roman" w:hAnsi="Times New Roman" w:cs="Times New Roman" w:eastAsia="Times New Roman" w:hint="default"/>
          <w:spacing w:val="28"/>
        </w:rPr>
        <w:t> </w:t>
      </w:r>
      <w:r>
        <w:rPr/>
        <w:t>年）》稳步 推进，医药行业进入政策密集期，相关政策法规的逐步落实，新版医保目录、</w:t>
      </w:r>
      <w:r>
        <w:rPr>
          <w:rFonts w:ascii="Times New Roman" w:hAnsi="Times New Roman" w:cs="Times New Roman" w:eastAsia="Times New Roman" w:hint="default"/>
        </w:rPr>
        <w:t>“</w:t>
      </w:r>
      <w:r>
        <w:rPr/>
        <w:t>两票制</w:t>
      </w:r>
      <w:r>
        <w:rPr>
          <w:rFonts w:ascii="Times New Roman" w:hAnsi="Times New Roman" w:cs="Times New Roman" w:eastAsia="Times New Roman" w:hint="default"/>
        </w:rPr>
        <w:t>”</w:t>
      </w:r>
      <w:r>
        <w:rPr/>
        <w:t>等政策剑指结构性 调整，医药产业正步入规范发展的快车道，同时《中医药法》的正式实施，明确中医药事业的重要地位和 发展方针，加大了对中医药事业的扶持力度，坚持扶持与规范并重，将有利于中医药大健康产业的进一步 发展，中医药大健康产业迎来更大的发展机遇。为积极应对挑战和抓住机遇，公司董事会审时度势、立足 长远、着眼当前、慎重果断决策，采取了一系列应对措施，紧紧围绕</w:t>
      </w:r>
      <w:r>
        <w:rPr>
          <w:rFonts w:ascii="Times New Roman" w:hAnsi="Times New Roman" w:cs="Times New Roman" w:eastAsia="Times New Roman" w:hint="default"/>
        </w:rPr>
        <w:t>“</w:t>
      </w:r>
      <w:r>
        <w:rPr/>
        <w:t>以中成药发展为企业的立足之本， 人参产业、基因测序产业作为企业发展的排头兵</w:t>
      </w:r>
      <w:r>
        <w:rPr>
          <w:rFonts w:ascii="Times New Roman" w:hAnsi="Times New Roman" w:cs="Times New Roman" w:eastAsia="Times New Roman" w:hint="default"/>
        </w:rPr>
        <w:t>”</w:t>
      </w:r>
      <w:r>
        <w:rPr/>
        <w:t>的战略方针布局发展健康产业，充分发挥公司的先进加 工技术、人才资源，积极开展关键技术攻关，实现合理的结构调整，使中成药、人参产业、基因测序三大 产业齐头并进，有力地促进和保证了企业持续健康良性发展。报告期内，公司实现营业收入</w:t>
      </w:r>
      <w:r>
        <w:rPr>
          <w:rFonts w:ascii="Times New Roman" w:hAnsi="Times New Roman" w:cs="Times New Roman" w:eastAsia="Times New Roman" w:hint="default"/>
        </w:rPr>
        <w:t>132,723.08</w:t>
      </w:r>
      <w:r>
        <w:rPr/>
        <w:t>万 </w:t>
      </w:r>
      <w:r>
        <w:rPr>
          <w:spacing w:val="-2"/>
        </w:rPr>
        <w:t>元，较上年同期上涨</w:t>
      </w:r>
      <w:r>
        <w:rPr>
          <w:rFonts w:ascii="Times New Roman" w:hAnsi="Times New Roman" w:cs="Times New Roman" w:eastAsia="Times New Roman" w:hint="default"/>
          <w:spacing w:val="-2"/>
        </w:rPr>
        <w:t>61.95%</w:t>
      </w:r>
      <w:r>
        <w:rPr>
          <w:spacing w:val="-2"/>
        </w:rPr>
        <w:t>；实现归属于上市公司股东的净利润</w:t>
      </w:r>
      <w:r>
        <w:rPr>
          <w:rFonts w:ascii="Times New Roman" w:hAnsi="Times New Roman" w:cs="Times New Roman" w:eastAsia="Times New Roman" w:hint="default"/>
          <w:spacing w:val="-2"/>
        </w:rPr>
        <w:t>37,157.74</w:t>
      </w:r>
      <w:r>
        <w:rPr>
          <w:spacing w:val="-2"/>
        </w:rPr>
        <w:t>万元，较上年同期上涨</w:t>
      </w:r>
      <w:r>
        <w:rPr>
          <w:rFonts w:ascii="Times New Roman" w:hAnsi="Times New Roman" w:cs="Times New Roman" w:eastAsia="Times New Roman" w:hint="default"/>
          <w:spacing w:val="-2"/>
        </w:rPr>
        <w:t>127.73%</w:t>
      </w:r>
      <w:r>
        <w:rPr>
          <w:spacing w:val="-2"/>
        </w:rPr>
        <w:t>，</w:t>
      </w:r>
      <w:r>
        <w:rPr>
          <w:spacing w:val="-53"/>
        </w:rPr>
        <w:t> </w:t>
      </w:r>
      <w:r>
        <w:rPr>
          <w:rFonts w:ascii="Times New Roman" w:hAnsi="Times New Roman" w:cs="Times New Roman" w:eastAsia="Times New Roman" w:hint="default"/>
        </w:rPr>
        <w:t>2017</w:t>
      </w:r>
      <w:r>
        <w:rPr/>
        <w:t>年公司经营情况具体如下：</w:t>
      </w:r>
    </w:p>
    <w:p>
      <w:pPr>
        <w:pStyle w:val="BodyText"/>
        <w:spacing w:line="398" w:lineRule="auto" w:before="26"/>
        <w:ind w:right="1024" w:firstLine="480"/>
        <w:jc w:val="left"/>
      </w:pPr>
      <w:r>
        <w:rPr>
          <w:rFonts w:ascii="Times New Roman" w:hAnsi="Times New Roman" w:cs="Times New Roman" w:eastAsia="Times New Roman" w:hint="default"/>
        </w:rPr>
        <w:t>1</w:t>
      </w:r>
      <w:r>
        <w:rPr/>
        <w:t>、内控建设方面：内控制度建设是一项长期工作，特别是公司进入人参产业后，深化了系列涉及人 </w:t>
      </w:r>
      <w:r>
        <w:rPr>
          <w:spacing w:val="-3"/>
        </w:rPr>
        <w:t>参产业的相关内部控制制度，持续优化包括经营控制、财务管理控制和信息披露控制在内的内部控制体系，</w:t>
      </w:r>
      <w:r>
        <w:rPr>
          <w:spacing w:val="-92"/>
        </w:rPr>
        <w:t> </w:t>
      </w:r>
      <w:r>
        <w:rPr>
          <w:spacing w:val="-92"/>
        </w:rPr>
      </w:r>
      <w:r>
        <w:rPr/>
        <w:t>并在实施过程中，持续落实，加强执行力度，以保障公司发展战略、经营目标的实现。</w:t>
      </w:r>
    </w:p>
    <w:p>
      <w:pPr>
        <w:pStyle w:val="BodyText"/>
        <w:spacing w:line="398" w:lineRule="auto" w:before="54"/>
        <w:ind w:right="1130" w:firstLine="480"/>
        <w:jc w:val="both"/>
      </w:pPr>
      <w:r>
        <w:rPr>
          <w:rFonts w:ascii="Times New Roman" w:hAnsi="Times New Roman" w:cs="Times New Roman" w:eastAsia="Times New Roman" w:hint="default"/>
        </w:rPr>
        <w:t>2</w:t>
      </w:r>
      <w:r>
        <w:rPr/>
        <w:t>、研发系统方面：报告期内，公司在研的中成药产品暴贝止咳口服液、消盆炎颗粒、元神安颗粒、 </w:t>
      </w:r>
      <w:r>
        <w:rPr>
          <w:spacing w:val="-1"/>
        </w:rPr>
        <w:t>桑麻口服液等产品均取得了阶段性的进展；食品和保健食品方面，公司对已获得批准文号品种紫瑞片、紫</w:t>
      </w:r>
      <w:r>
        <w:rPr>
          <w:spacing w:val="-83"/>
        </w:rPr>
        <w:t> </w:t>
      </w:r>
      <w:r>
        <w:rPr>
          <w:spacing w:val="-83"/>
        </w:rPr>
      </w:r>
      <w:r>
        <w:rPr/>
        <w:t>瑞胶囊、芳芙颗粒、人参叶颗粒已完成开展生产工艺放大验证工作。</w:t>
      </w:r>
    </w:p>
    <w:p>
      <w:pPr>
        <w:pStyle w:val="BodyText"/>
        <w:spacing w:line="393" w:lineRule="auto" w:before="54"/>
        <w:ind w:right="1084" w:firstLine="480"/>
        <w:jc w:val="both"/>
      </w:pPr>
      <w:r>
        <w:rPr>
          <w:rFonts w:ascii="Times New Roman" w:hAnsi="Times New Roman" w:cs="Times New Roman" w:eastAsia="Times New Roman" w:hint="default"/>
        </w:rPr>
        <w:t>3</w:t>
      </w:r>
      <w:r>
        <w:rPr/>
        <w:t>、生产质量系统：公司在生产管理中坚持</w:t>
      </w:r>
      <w:r>
        <w:rPr>
          <w:rFonts w:ascii="Times New Roman" w:hAnsi="Times New Roman" w:cs="Times New Roman" w:eastAsia="Times New Roman" w:hint="default"/>
        </w:rPr>
        <w:t>“</w:t>
      </w:r>
      <w:r>
        <w:rPr/>
        <w:t>安全第一、预防为主、综合治理</w:t>
      </w:r>
      <w:r>
        <w:rPr>
          <w:rFonts w:ascii="Times New Roman" w:hAnsi="Times New Roman" w:cs="Times New Roman" w:eastAsia="Times New Roman" w:hint="default"/>
        </w:rPr>
        <w:t>”</w:t>
      </w:r>
      <w:r>
        <w:rPr/>
        <w:t>的方针，按照</w:t>
      </w:r>
      <w:r>
        <w:rPr>
          <w:rFonts w:ascii="Times New Roman" w:hAnsi="Times New Roman" w:cs="Times New Roman" w:eastAsia="Times New Roman" w:hint="default"/>
        </w:rPr>
        <w:t>“</w:t>
      </w:r>
      <w:r>
        <w:rPr/>
        <w:t>谁主管、 </w:t>
      </w:r>
      <w:r>
        <w:rPr>
          <w:spacing w:val="-2"/>
        </w:rPr>
        <w:t>谁负责</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分级管理、分线负责</w:t>
      </w:r>
      <w:r>
        <w:rPr>
          <w:rFonts w:ascii="Times New Roman" w:hAnsi="Times New Roman" w:cs="Times New Roman" w:eastAsia="Times New Roman" w:hint="default"/>
          <w:spacing w:val="-2"/>
        </w:rPr>
        <w:t>”</w:t>
      </w:r>
      <w:r>
        <w:rPr>
          <w:spacing w:val="-2"/>
        </w:rPr>
        <w:t>的原则，确保了全年的安全生产。报告期内，公司柳河医药产业园建设项</w:t>
      </w:r>
      <w:r>
        <w:rPr/>
        <w:t> 目一期工程进展顺利。为落实公司长远发展战略规划，实现可持续发展，公司设立了紫鑫参工堂、紫鑫汪 清药业、</w:t>
      </w:r>
      <w:r>
        <w:rPr>
          <w:rFonts w:ascii="Times New Roman" w:hAnsi="Times New Roman" w:cs="Times New Roman" w:eastAsia="Times New Roman" w:hint="default"/>
        </w:rPr>
        <w:t>Zixin Pharmaceuticals USA</w:t>
      </w:r>
      <w:r>
        <w:rPr>
          <w:rFonts w:ascii="Times New Roman" w:hAnsi="Times New Roman" w:cs="Times New Roman" w:eastAsia="Times New Roman" w:hint="default"/>
          <w:spacing w:val="-6"/>
        </w:rPr>
        <w:t> </w:t>
      </w:r>
      <w:r>
        <w:rPr>
          <w:rFonts w:ascii="Times New Roman" w:hAnsi="Times New Roman" w:cs="Times New Roman" w:eastAsia="Times New Roman" w:hint="default"/>
        </w:rPr>
        <w:t>CORP</w:t>
      </w:r>
      <w:r>
        <w:rPr/>
        <w:t>等公司。</w:t>
      </w:r>
    </w:p>
    <w:p>
      <w:pPr>
        <w:pStyle w:val="BodyText"/>
        <w:spacing w:line="386" w:lineRule="auto" w:before="28"/>
        <w:ind w:left="633" w:right="8488"/>
        <w:jc w:val="left"/>
      </w:pPr>
      <w:r>
        <w:rPr>
          <w:rFonts w:ascii="Times New Roman" w:hAnsi="Times New Roman" w:cs="Times New Roman" w:eastAsia="Times New Roman" w:hint="default"/>
        </w:rPr>
        <w:t>4</w:t>
      </w:r>
      <w:r>
        <w:rPr/>
        <w:t>、销售系统方面： 中成药产品方面</w:t>
      </w:r>
    </w:p>
    <w:p>
      <w:pPr>
        <w:pStyle w:val="BodyText"/>
        <w:spacing w:line="398" w:lineRule="auto" w:before="65"/>
        <w:ind w:right="1133" w:firstLine="480"/>
        <w:jc w:val="both"/>
      </w:pPr>
      <w:r>
        <w:rPr/>
        <w:t>（</w:t>
      </w:r>
      <w:r>
        <w:rPr>
          <w:rFonts w:ascii="Times New Roman" w:hAnsi="Times New Roman" w:cs="Times New Roman" w:eastAsia="Times New Roman" w:hint="default"/>
        </w:rPr>
        <w:t>1</w:t>
      </w:r>
      <w:r>
        <w:rPr/>
        <w:t>）处方药：处方药对在整个公司全盘销售，占有主导比例，因此处方药销售渠道是否稳固，对公 </w:t>
      </w:r>
      <w:r>
        <w:rPr>
          <w:spacing w:val="-1"/>
        </w:rPr>
        <w:t>司整体的营销态势，起决定性的作用。报告期内，公司加强了销售团队的管理与建设，扩大了产品销售区</w:t>
      </w:r>
      <w:r>
        <w:rPr>
          <w:spacing w:val="-86"/>
        </w:rPr>
        <w:t> </w:t>
      </w:r>
      <w:r>
        <w:rPr>
          <w:spacing w:val="-86"/>
        </w:rPr>
      </w:r>
      <w:r>
        <w:rPr/>
        <w:t>域，进一步补充了市场空白区域。</w:t>
      </w:r>
    </w:p>
    <w:p>
      <w:pPr>
        <w:pStyle w:val="BodyText"/>
        <w:spacing w:line="240" w:lineRule="auto" w:before="54"/>
        <w:ind w:left="633" w:right="0"/>
        <w:jc w:val="left"/>
      </w:pPr>
      <w:r>
        <w:rPr/>
        <w:t>（</w:t>
      </w:r>
      <w:r>
        <w:rPr>
          <w:rFonts w:ascii="Times New Roman" w:hAnsi="Times New Roman" w:cs="Times New Roman" w:eastAsia="Times New Roman" w:hint="default"/>
        </w:rPr>
        <w:t>2</w:t>
      </w:r>
      <w:r>
        <w:rPr/>
        <w:t>）基本药物：报告期内，公司承接了前期的工作，以目前我公司</w:t>
      </w:r>
      <w:r>
        <w:rPr>
          <w:rFonts w:ascii="Times New Roman" w:hAnsi="Times New Roman" w:cs="Times New Roman" w:eastAsia="Times New Roman" w:hint="default"/>
        </w:rPr>
        <w:t>26</w:t>
      </w:r>
      <w:r>
        <w:rPr/>
        <w:t>个基本药物产品，大力开展了</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0" w:lineRule="auto" w:before="174"/>
        <w:ind w:right="0"/>
        <w:jc w:val="left"/>
      </w:pPr>
      <w:r>
        <w:rPr>
          <w:spacing w:val="-3"/>
        </w:rPr>
        <w:t>基本药物的市场开发，抓住了国家</w:t>
      </w:r>
      <w:r>
        <w:rPr>
          <w:rFonts w:ascii="Times New Roman" w:hAnsi="Times New Roman" w:cs="Times New Roman" w:eastAsia="Times New Roman" w:hint="default"/>
          <w:spacing w:val="-3"/>
        </w:rPr>
        <w:t>“</w:t>
      </w:r>
      <w:r>
        <w:rPr>
          <w:spacing w:val="-3"/>
        </w:rPr>
        <w:t>建立国家基本药物制度，保证群众基本用药</w:t>
      </w:r>
      <w:r>
        <w:rPr>
          <w:rFonts w:ascii="Times New Roman" w:hAnsi="Times New Roman" w:cs="Times New Roman" w:eastAsia="Times New Roman" w:hint="default"/>
          <w:spacing w:val="-3"/>
        </w:rPr>
        <w:t>”</w:t>
      </w:r>
      <w:r>
        <w:rPr>
          <w:spacing w:val="-3"/>
        </w:rPr>
        <w:t>要求的发展契机，在安徽、</w:t>
      </w:r>
      <w:r>
        <w:rPr>
          <w:spacing w:val="-65"/>
        </w:rPr>
        <w:t> </w:t>
      </w:r>
      <w:r>
        <w:rPr>
          <w:spacing w:val="-65"/>
        </w:rPr>
      </w:r>
      <w:r>
        <w:rPr/>
        <w:t>四川、江苏、浙江、广东、天津、河南、河北等基本药物制度实施较好的地区，推广二级以上医院以原有</w:t>
      </w:r>
      <w:r>
        <w:rPr/>
        <w:t> 地区销售团队为核心，基层医疗机构利用县级销售区域为单位，通过原地区业务员进行精细化招商的多层 次销售通路共同开发的销售网络建设模式，取得很好的效果，并实现大幅增长。</w:t>
      </w:r>
    </w:p>
    <w:p>
      <w:pPr>
        <w:pStyle w:val="BodyText"/>
        <w:spacing w:line="391" w:lineRule="auto" w:before="52"/>
        <w:ind w:right="0" w:firstLine="48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OTC</w:t>
      </w:r>
      <w:r>
        <w:rPr/>
        <w:t>零售：报告期内，在前期准备工作取得阶段性的成功后，公司</w:t>
      </w:r>
      <w:r>
        <w:rPr>
          <w:rFonts w:ascii="Times New Roman" w:hAnsi="Times New Roman" w:cs="Times New Roman" w:eastAsia="Times New Roman" w:hint="default"/>
        </w:rPr>
        <w:t>OTC</w:t>
      </w:r>
      <w:r>
        <w:rPr/>
        <w:t>市场销售坚持与</w:t>
      </w:r>
      <w:r>
        <w:rPr>
          <w:rFonts w:ascii="Times New Roman" w:hAnsi="Times New Roman" w:cs="Times New Roman" w:eastAsia="Times New Roman" w:hint="default"/>
        </w:rPr>
        <w:t>“</w:t>
      </w:r>
      <w:r>
        <w:rPr/>
        <w:t>全国百 </w:t>
      </w:r>
      <w:r>
        <w:rPr>
          <w:spacing w:val="-3"/>
        </w:rPr>
        <w:t>强连锁药房</w:t>
      </w:r>
      <w:r>
        <w:rPr>
          <w:rFonts w:ascii="Times New Roman" w:hAnsi="Times New Roman" w:cs="Times New Roman" w:eastAsia="Times New Roman" w:hint="default"/>
          <w:spacing w:val="-3"/>
        </w:rPr>
        <w:t>”</w:t>
      </w:r>
      <w:r>
        <w:rPr>
          <w:spacing w:val="-3"/>
        </w:rPr>
        <w:t>合作，与</w:t>
      </w:r>
      <w:r>
        <w:rPr>
          <w:rFonts w:ascii="Times New Roman" w:hAnsi="Times New Roman" w:cs="Times New Roman" w:eastAsia="Times New Roman" w:hint="default"/>
          <w:spacing w:val="-3"/>
        </w:rPr>
        <w:t>“</w:t>
      </w:r>
      <w:r>
        <w:rPr>
          <w:spacing w:val="-3"/>
        </w:rPr>
        <w:t>云南一心堂</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重庆桐君阁</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吉林大药房</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辽宁成大方圆</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河北新兴大药房</w:t>
      </w:r>
      <w:r>
        <w:rPr>
          <w:rFonts w:ascii="Times New Roman" w:hAnsi="Times New Roman" w:cs="Times New Roman" w:eastAsia="Times New Roman" w:hint="default"/>
          <w:spacing w:val="-3"/>
        </w:rPr>
        <w:t>”</w:t>
      </w:r>
      <w:r>
        <w:rPr>
          <w:spacing w:val="-3"/>
        </w:rPr>
        <w:t>、</w:t>
      </w:r>
      <w:r>
        <w:rPr>
          <w:spacing w:val="-54"/>
        </w:rPr>
        <w:t> </w:t>
      </w:r>
      <w:r>
        <w:rPr>
          <w:rFonts w:ascii="Times New Roman" w:hAnsi="Times New Roman" w:cs="Times New Roman" w:eastAsia="Times New Roman" w:hint="default"/>
        </w:rPr>
        <w:t>“</w:t>
      </w:r>
      <w:r>
        <w:rPr/>
        <w:t>甘肃众友</w:t>
      </w:r>
      <w:r>
        <w:rPr>
          <w:rFonts w:ascii="Times New Roman" w:hAnsi="Times New Roman" w:cs="Times New Roman" w:eastAsia="Times New Roman" w:hint="default"/>
        </w:rPr>
        <w:t>”</w:t>
      </w:r>
      <w:r>
        <w:rPr/>
        <w:t>等终端占有率较高的主流连锁合作。从目前的合作情况来看，合作产品线越来越广，销售业绩 已取得初步成果，奠定了二丁颗粒、小儿白贝、海贝胃疡、消风止痒等产品的主导地位。目前与公司建立 合作关系的百强连锁</w:t>
      </w:r>
      <w:r>
        <w:rPr>
          <w:rFonts w:ascii="Times New Roman" w:hAnsi="Times New Roman" w:cs="Times New Roman" w:eastAsia="Times New Roman" w:hint="default"/>
        </w:rPr>
        <w:t>32</w:t>
      </w:r>
      <w:r>
        <w:rPr/>
        <w:t>家，通过一年销售覆盖终端约</w:t>
      </w:r>
      <w:r>
        <w:rPr>
          <w:rFonts w:ascii="Times New Roman" w:hAnsi="Times New Roman" w:cs="Times New Roman" w:eastAsia="Times New Roman" w:hint="default"/>
        </w:rPr>
        <w:t>17</w:t>
      </w:r>
      <w:r>
        <w:rPr/>
        <w:t>万家。全国市场河北、广东、山东、河南、吉林省 </w:t>
      </w:r>
      <w:r>
        <w:rPr>
          <w:spacing w:val="-3"/>
        </w:rPr>
        <w:t>级样板市场打造成型，回款完成率超过</w:t>
      </w:r>
      <w:r>
        <w:rPr>
          <w:rFonts w:ascii="Times New Roman" w:hAnsi="Times New Roman" w:cs="Times New Roman" w:eastAsia="Times New Roman" w:hint="default"/>
          <w:spacing w:val="-3"/>
        </w:rPr>
        <w:t>100%</w:t>
      </w:r>
      <w:r>
        <w:rPr>
          <w:spacing w:val="-3"/>
        </w:rPr>
        <w:t>。洛阳、东莞、邯郸、衡水、威海地级样板市场打造成型，成</w:t>
      </w:r>
      <w:r>
        <w:rPr>
          <w:spacing w:val="-59"/>
        </w:rPr>
        <w:t> </w:t>
      </w:r>
      <w:r>
        <w:rPr>
          <w:spacing w:val="-59"/>
        </w:rPr>
      </w:r>
      <w:r>
        <w:rPr/>
        <w:t>为全国地总学习的标兵。</w:t>
      </w:r>
    </w:p>
    <w:p>
      <w:pPr>
        <w:pStyle w:val="BodyText"/>
        <w:spacing w:line="398" w:lineRule="auto" w:before="61"/>
        <w:ind w:right="1130" w:firstLine="480"/>
        <w:jc w:val="both"/>
      </w:pPr>
      <w:r>
        <w:rPr>
          <w:spacing w:val="-2"/>
        </w:rPr>
        <w:t>（</w:t>
      </w:r>
      <w:r>
        <w:rPr>
          <w:rFonts w:ascii="Times New Roman" w:hAnsi="Times New Roman" w:cs="Times New Roman" w:eastAsia="Times New Roman" w:hint="default"/>
          <w:spacing w:val="-2"/>
        </w:rPr>
        <w:t>4</w:t>
      </w:r>
      <w:r>
        <w:rPr>
          <w:spacing w:val="-2"/>
        </w:rPr>
        <w:t>）低价药物：</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月国家颁布了《低价药品目录》，我公司产品有</w:t>
      </w:r>
      <w:r>
        <w:rPr>
          <w:rFonts w:ascii="Times New Roman" w:hAnsi="Times New Roman" w:cs="Times New Roman" w:eastAsia="Times New Roman" w:hint="default"/>
          <w:spacing w:val="-2"/>
        </w:rPr>
        <w:t>45</w:t>
      </w:r>
      <w:r>
        <w:rPr>
          <w:spacing w:val="-2"/>
        </w:rPr>
        <w:t>个文号包括在内，对下一</w:t>
      </w:r>
      <w:r>
        <w:rPr/>
        <w:t> </w:t>
      </w:r>
      <w:r>
        <w:rPr>
          <w:spacing w:val="-1"/>
        </w:rPr>
        <w:t>步基层医疗机构用药的数量增长有很好的提升。在前期已经开始多个地区的低价药物采购项目中，都以较</w:t>
      </w:r>
      <w:r>
        <w:rPr>
          <w:spacing w:val="-81"/>
        </w:rPr>
        <w:t> </w:t>
      </w:r>
      <w:r>
        <w:rPr>
          <w:spacing w:val="-81"/>
        </w:rPr>
      </w:r>
      <w:r>
        <w:rPr/>
        <w:t>为理想的价格入围，为报告期内全盘销售奠定了基础。</w:t>
      </w:r>
    </w:p>
    <w:p>
      <w:pPr>
        <w:pStyle w:val="BodyText"/>
        <w:spacing w:line="400" w:lineRule="auto" w:before="54"/>
        <w:ind w:left="154" w:right="1131" w:firstLine="480"/>
        <w:jc w:val="both"/>
      </w:pPr>
      <w:r>
        <w:rPr/>
        <w:t>（</w:t>
      </w:r>
      <w:r>
        <w:rPr>
          <w:rFonts w:ascii="Times New Roman" w:hAnsi="Times New Roman" w:cs="Times New Roman" w:eastAsia="Times New Roman" w:hint="default"/>
        </w:rPr>
        <w:t>5</w:t>
      </w:r>
      <w:r>
        <w:rPr/>
        <w:t>）品种结构性调整。报告期间内，公司对现有产品结构进行了综合梳理，并进行了结构性调整。 </w:t>
      </w:r>
      <w:r>
        <w:rPr>
          <w:spacing w:val="-1"/>
        </w:rPr>
        <w:t>在以公司独家品种四妙丸、藿胆片、小儿白贝止咳糖浆为核心，打造精品国药系列。重点扶持优秀精品国</w:t>
      </w:r>
      <w:r>
        <w:rPr>
          <w:spacing w:val="-86"/>
        </w:rPr>
        <w:t> </w:t>
      </w:r>
      <w:r>
        <w:rPr>
          <w:spacing w:val="-86"/>
        </w:rPr>
      </w:r>
      <w:r>
        <w:rPr>
          <w:spacing w:val="-1"/>
        </w:rPr>
        <w:t>药独家品种是调整产品结构的重心。品种结构性调整，是企业由内而外的调整，是企业可持续性发展的核</w:t>
      </w:r>
      <w:r>
        <w:rPr>
          <w:spacing w:val="-83"/>
        </w:rPr>
        <w:t> </w:t>
      </w:r>
      <w:r>
        <w:rPr>
          <w:spacing w:val="-83"/>
        </w:rPr>
      </w:r>
      <w:r>
        <w:rPr/>
        <w:t>心基础，并进一步提高了企业的产品市场竞争能力。</w:t>
      </w:r>
    </w:p>
    <w:p>
      <w:pPr>
        <w:pStyle w:val="BodyText"/>
        <w:spacing w:line="240" w:lineRule="auto" w:before="52"/>
        <w:ind w:left="634" w:right="0"/>
        <w:jc w:val="left"/>
      </w:pPr>
      <w:r>
        <w:rPr/>
        <w:t>人参产品方面</w:t>
      </w:r>
    </w:p>
    <w:p>
      <w:pPr>
        <w:spacing w:line="240" w:lineRule="auto" w:before="10"/>
        <w:rPr>
          <w:rFonts w:ascii="宋体" w:hAnsi="宋体" w:cs="宋体" w:eastAsia="宋体" w:hint="default"/>
          <w:sz w:val="14"/>
          <w:szCs w:val="14"/>
        </w:rPr>
      </w:pPr>
    </w:p>
    <w:p>
      <w:pPr>
        <w:pStyle w:val="BodyText"/>
        <w:spacing w:line="240" w:lineRule="auto" w:before="0"/>
        <w:ind w:left="634" w:right="0"/>
        <w:jc w:val="left"/>
      </w:pPr>
      <w:r>
        <w:rPr/>
        <w:t>（</w:t>
      </w:r>
      <w:r>
        <w:rPr>
          <w:rFonts w:ascii="Times New Roman" w:hAnsi="Times New Roman" w:cs="Times New Roman" w:eastAsia="Times New Roman" w:hint="default"/>
        </w:rPr>
        <w:t>1</w:t>
      </w:r>
      <w:r>
        <w:rPr/>
        <w:t>）公司人参粗加工产品保持了稳定的销售；</w:t>
      </w:r>
    </w:p>
    <w:p>
      <w:pPr>
        <w:pStyle w:val="BodyText"/>
        <w:spacing w:line="400" w:lineRule="auto" w:before="177"/>
        <w:ind w:left="154" w:right="1017" w:firstLine="480"/>
        <w:jc w:val="left"/>
      </w:pPr>
      <w:r>
        <w:rPr>
          <w:spacing w:val="-2"/>
        </w:rPr>
        <w:t>（</w:t>
      </w:r>
      <w:r>
        <w:rPr>
          <w:rFonts w:ascii="Times New Roman" w:hAnsi="Times New Roman" w:cs="Times New Roman" w:eastAsia="Times New Roman" w:hint="default"/>
          <w:spacing w:val="-2"/>
        </w:rPr>
        <w:t>2</w:t>
      </w:r>
      <w:r>
        <w:rPr>
          <w:spacing w:val="-2"/>
        </w:rPr>
        <w:t>）人参深加工产品方面，公司销售通过整个团队的共同努力，在队伍组建、渠道铺设、产品招商、</w:t>
      </w:r>
      <w:r>
        <w:rPr/>
        <w:t> 区域拓展和品牌建设等一系列重要工作方面都取得了一定的成效和进展，特别是在核心市场建设、外围市 场布局和专卖店体系拓展方面取得了突出进展，公司通过直营和客户联营的方式进行专卖店体系的拓展， 完成了在北京、天津、哈尔滨、沈阳、大连南昌、重庆等机场专卖店的招投标工作。</w:t>
      </w:r>
    </w:p>
    <w:p>
      <w:pPr>
        <w:pStyle w:val="BodyText"/>
        <w:spacing w:line="408" w:lineRule="auto" w:before="52"/>
        <w:ind w:left="154" w:right="1017" w:firstLine="420"/>
        <w:jc w:val="left"/>
      </w:pPr>
      <w:r>
        <w:rPr>
          <w:spacing w:val="-3"/>
        </w:rPr>
        <w:t>公司自进入人参产业以来，坚持自主研发和合作交流相结合的创新模式，对植物提取物、人参提取物、</w:t>
      </w:r>
      <w:r>
        <w:rPr/>
        <w:t> 人参皂苷单体分离方法的研究、产品的开发取得了阶段性成果，突破高纯度、应用型产品核心技术。以化 学水解法、酶水解法、微生物发酵法、加热加工法以及化学合成等为研究方法，应用新药研发的战略，对 人参全系统产品（鲜人参、生晒参、红参）进行全面分析，通过对工艺、质量标准进行比较研究，获得不 同人参皂苷比例的提取物、各种规格产品，满足医药、保健品、饮料、护理产品、功能性食品、化妆品等 行业使用。目前以子公司初元药业为试点，已建有小规模连续化、自动化、高得率的植物提取物生产线，</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并在梅河口市有针对性的成立了以植物提取物、人参提取物、人参皂苷单体分离方面为主的紫鑫参工堂公</w:t>
      </w:r>
      <w:r>
        <w:rPr>
          <w:spacing w:val="-81"/>
        </w:rPr>
        <w:t> </w:t>
      </w:r>
      <w:r>
        <w:rPr>
          <w:spacing w:val="-81"/>
        </w:rPr>
      </w:r>
      <w:r>
        <w:rPr>
          <w:spacing w:val="-1"/>
        </w:rPr>
        <w:t>司，加强以人参、人参茎叶等为主的原料进行植物提取物、人参提取物、人参皂苷单体的研发、小试、中</w:t>
      </w:r>
      <w:r>
        <w:rPr>
          <w:spacing w:val="-83"/>
        </w:rPr>
        <w:t> </w:t>
      </w:r>
      <w:r>
        <w:rPr>
          <w:spacing w:val="-83"/>
        </w:rPr>
      </w:r>
      <w:r>
        <w:rPr>
          <w:spacing w:val="-1"/>
        </w:rPr>
        <w:t>试、产业化生产等工作；公司人参系列提取、分离产品目前处于初期生产、销售阶段，未来销售发展方向</w:t>
      </w:r>
      <w:r>
        <w:rPr>
          <w:spacing w:val="-83"/>
        </w:rPr>
        <w:t> </w:t>
      </w:r>
      <w:r>
        <w:rPr>
          <w:spacing w:val="-83"/>
        </w:rPr>
      </w:r>
      <w:r>
        <w:rPr/>
        <w:t>主要为港澳、韩国、日本、东南亚、北美洲及欧洲等国家和地区。</w:t>
      </w:r>
    </w:p>
    <w:p>
      <w:pPr>
        <w:pStyle w:val="Heading2"/>
        <w:spacing w:line="240" w:lineRule="auto" w:before="23"/>
        <w:ind w:right="0"/>
        <w:jc w:val="left"/>
        <w:rPr>
          <w:b w:val="0"/>
          <w:bCs w:val="0"/>
        </w:rPr>
      </w:pPr>
      <w:bookmarkStart w:name="二、主营业务分析" w:id="26"/>
      <w:bookmarkEnd w:id="26"/>
      <w:r>
        <w:rPr>
          <w:b w:val="0"/>
          <w:bCs w:val="0"/>
        </w:rPr>
      </w:r>
      <w:r>
        <w:rPr/>
        <w:t>二、主营业务分析</w:t>
      </w:r>
      <w:r>
        <w:rPr>
          <w:b w:val="0"/>
          <w:bCs w:val="0"/>
        </w:rPr>
      </w:r>
    </w:p>
    <w:p>
      <w:pPr>
        <w:spacing w:line="417" w:lineRule="auto" w:before="177"/>
        <w:ind w:left="153" w:right="6473"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5"/>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6"/>
        <w:rPr>
          <w:rFonts w:ascii="宋体" w:hAnsi="宋体" w:cs="宋体" w:eastAsia="宋体" w:hint="default"/>
          <w:b/>
          <w:bCs/>
          <w:sz w:val="15"/>
          <w:szCs w:val="15"/>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44"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35"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33"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4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8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8"/>
              <w:ind w:right="12"/>
              <w:jc w:val="right"/>
              <w:rPr>
                <w:rFonts w:ascii="Times New Roman" w:hAnsi="Times New Roman" w:cs="Times New Roman" w:eastAsia="Times New Roman" w:hint="default"/>
                <w:sz w:val="18"/>
                <w:szCs w:val="18"/>
              </w:rPr>
            </w:pPr>
            <w:r>
              <w:rPr>
                <w:rFonts w:ascii="Times New Roman"/>
                <w:spacing w:val="-1"/>
                <w:sz w:val="18"/>
              </w:rPr>
              <w:t>1,327,230,839.27</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8"/>
              <w:ind w:right="11"/>
              <w:jc w:val="right"/>
              <w:rPr>
                <w:rFonts w:ascii="Times New Roman" w:hAnsi="Times New Roman" w:cs="Times New Roman" w:eastAsia="Times New Roman" w:hint="default"/>
                <w:sz w:val="18"/>
                <w:szCs w:val="18"/>
              </w:rPr>
            </w:pPr>
            <w:r>
              <w:rPr>
                <w:rFonts w:ascii="Times New Roman"/>
                <w:spacing w:val="-1"/>
                <w:sz w:val="18"/>
              </w:rPr>
              <w:t>819,515,547.34</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61.95%</w:t>
            </w:r>
          </w:p>
        </w:tc>
      </w:tr>
      <w:tr>
        <w:trPr>
          <w:trHeight w:val="47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7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医药行业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4"/>
              <w:jc w:val="right"/>
              <w:rPr>
                <w:rFonts w:ascii="Times New Roman" w:hAnsi="Times New Roman" w:cs="Times New Roman" w:eastAsia="Times New Roman" w:hint="default"/>
                <w:sz w:val="18"/>
                <w:szCs w:val="18"/>
              </w:rPr>
            </w:pPr>
            <w:r>
              <w:rPr>
                <w:rFonts w:ascii="Times New Roman"/>
                <w:spacing w:val="-1"/>
                <w:sz w:val="18"/>
              </w:rPr>
              <w:t>1,327,230,839.27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819,515,547.34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61.95%</w:t>
            </w:r>
          </w:p>
        </w:tc>
      </w:tr>
      <w:tr>
        <w:trPr>
          <w:trHeight w:val="47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7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中成药产品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551,742,377.28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41.57%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326,759,951.35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Times New Roman" w:hAnsi="Times New Roman" w:cs="Times New Roman" w:eastAsia="Times New Roman" w:hint="default"/>
                <w:sz w:val="18"/>
                <w:szCs w:val="18"/>
              </w:rPr>
            </w:pPr>
            <w:r>
              <w:rPr>
                <w:rFonts w:ascii="Times New Roman"/>
                <w:sz w:val="18"/>
              </w:rPr>
              <w:t>39.87%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68.85%</w:t>
            </w:r>
          </w:p>
        </w:tc>
      </w:tr>
      <w:tr>
        <w:trPr>
          <w:trHeight w:val="47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人参系列产品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712,396,250.28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53.68%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312,385,774.39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sz w:val="18"/>
              </w:rPr>
              <w:t>38.12%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128.05%</w:t>
            </w:r>
          </w:p>
        </w:tc>
      </w:tr>
      <w:tr>
        <w:trPr>
          <w:trHeight w:val="47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63,092,211.71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4.75%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180,369,821.60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Times New Roman" w:hAnsi="Times New Roman" w:cs="Times New Roman" w:eastAsia="Times New Roman" w:hint="default"/>
                <w:sz w:val="18"/>
                <w:szCs w:val="18"/>
              </w:rPr>
            </w:pPr>
            <w:r>
              <w:rPr>
                <w:rFonts w:ascii="Times New Roman"/>
                <w:sz w:val="18"/>
              </w:rPr>
              <w:t>22.01%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-65.02%</w:t>
            </w:r>
          </w:p>
        </w:tc>
      </w:tr>
      <w:tr>
        <w:trPr>
          <w:trHeight w:val="47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7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678,977,164.75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51.16%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364,291,366.98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sz w:val="18"/>
              </w:rPr>
              <w:t>44.45%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86.38%</w:t>
            </w:r>
          </w:p>
        </w:tc>
      </w:tr>
      <w:tr>
        <w:trPr>
          <w:trHeight w:val="47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231,595,436.43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17.45%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201,407,683.23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Times New Roman" w:hAnsi="Times New Roman" w:cs="Times New Roman" w:eastAsia="Times New Roman" w:hint="default"/>
                <w:sz w:val="18"/>
                <w:szCs w:val="18"/>
              </w:rPr>
            </w:pPr>
            <w:r>
              <w:rPr>
                <w:rFonts w:ascii="Times New Roman"/>
                <w:sz w:val="18"/>
              </w:rPr>
              <w:t>24.58%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14.99%</w:t>
            </w:r>
          </w:p>
        </w:tc>
      </w:tr>
      <w:tr>
        <w:trPr>
          <w:trHeight w:val="47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294,753,323.70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22.21%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159,115,930.37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Times New Roman" w:hAnsi="Times New Roman" w:cs="Times New Roman" w:eastAsia="Times New Roman" w:hint="default"/>
                <w:sz w:val="18"/>
                <w:szCs w:val="18"/>
              </w:rPr>
            </w:pPr>
            <w:r>
              <w:rPr>
                <w:rFonts w:ascii="Times New Roman"/>
                <w:sz w:val="18"/>
              </w:rPr>
              <w:t>19.42%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85.24%</w:t>
            </w:r>
          </w:p>
        </w:tc>
      </w:tr>
      <w:tr>
        <w:trPr>
          <w:trHeight w:val="47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183,514,165.98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13.83%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125,415,372.76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sz w:val="18"/>
              </w:rPr>
              <w:t>15.30%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46.33%</w:t>
            </w:r>
          </w:p>
        </w:tc>
      </w:tr>
      <w:tr>
        <w:trPr>
          <w:trHeight w:val="47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47,786,078.15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3.60%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22,451,024.57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Times New Roman" w:hAnsi="Times New Roman" w:cs="Times New Roman" w:eastAsia="Times New Roman" w:hint="default"/>
                <w:sz w:val="18"/>
                <w:szCs w:val="18"/>
              </w:rPr>
            </w:pPr>
            <w:r>
              <w:rPr>
                <w:rFonts w:ascii="Times New Roman"/>
                <w:sz w:val="18"/>
              </w:rPr>
              <w:t>2.74%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2"/>
                <w:sz w:val="18"/>
              </w:rPr>
              <w:t>112.85%</w:t>
            </w:r>
          </w:p>
        </w:tc>
      </w:tr>
      <w:tr>
        <w:trPr>
          <w:trHeight w:val="47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138,790,022.22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10.46%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75,606,928.45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Times New Roman" w:hAnsi="Times New Roman" w:cs="Times New Roman" w:eastAsia="Times New Roman" w:hint="default"/>
                <w:sz w:val="18"/>
                <w:szCs w:val="18"/>
              </w:rPr>
            </w:pPr>
            <w:r>
              <w:rPr>
                <w:rFonts w:ascii="Times New Roman"/>
                <w:sz w:val="18"/>
              </w:rPr>
              <w:t>9.23%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83.57%</w:t>
            </w:r>
          </w:p>
        </w:tc>
      </w:tr>
      <w:tr>
        <w:trPr>
          <w:trHeight w:val="47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宋体" w:hAnsi="宋体" w:cs="宋体" w:eastAsia="宋体" w:hint="default"/>
                <w:sz w:val="18"/>
                <w:szCs w:val="18"/>
              </w:rPr>
            </w:pPr>
            <w:r>
              <w:rPr>
                <w:rFonts w:ascii="宋体" w:hAnsi="宋体" w:cs="宋体" w:eastAsia="宋体" w:hint="default"/>
                <w:sz w:val="18"/>
                <w:szCs w:val="18"/>
              </w:rPr>
              <w:t>境外及港澳台地区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3"/>
              <w:jc w:val="right"/>
              <w:rPr>
                <w:rFonts w:ascii="Times New Roman" w:hAnsi="Times New Roman" w:cs="Times New Roman" w:eastAsia="Times New Roman" w:hint="default"/>
                <w:sz w:val="18"/>
                <w:szCs w:val="18"/>
              </w:rPr>
            </w:pPr>
            <w:r>
              <w:rPr>
                <w:rFonts w:ascii="Times New Roman"/>
                <w:spacing w:val="-1"/>
                <w:sz w:val="18"/>
              </w:rPr>
              <w:t>84,860,402.40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Times New Roman" w:hAnsi="Times New Roman" w:cs="Times New Roman" w:eastAsia="Times New Roman" w:hint="default"/>
                <w:sz w:val="18"/>
                <w:szCs w:val="18"/>
              </w:rPr>
            </w:pPr>
            <w:r>
              <w:rPr>
                <w:rFonts w:ascii="Times New Roman"/>
                <w:sz w:val="18"/>
              </w:rPr>
              <w:t>6.39%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3"/>
              <w:jc w:val="right"/>
              <w:rPr>
                <w:rFonts w:ascii="Times New Roman" w:hAnsi="Times New Roman" w:cs="Times New Roman" w:eastAsia="Times New Roman" w:hint="default"/>
                <w:sz w:val="18"/>
                <w:szCs w:val="18"/>
              </w:rPr>
            </w:pPr>
            <w:r>
              <w:rPr>
                <w:rFonts w:ascii="Times New Roman"/>
                <w:spacing w:val="-1"/>
                <w:sz w:val="18"/>
              </w:rPr>
              <w:t>1,032,701.45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7"/>
              <w:jc w:val="right"/>
              <w:rPr>
                <w:rFonts w:ascii="Times New Roman" w:hAnsi="Times New Roman" w:cs="Times New Roman" w:eastAsia="Times New Roman" w:hint="default"/>
                <w:sz w:val="18"/>
                <w:szCs w:val="18"/>
              </w:rPr>
            </w:pPr>
            <w:r>
              <w:rPr>
                <w:rFonts w:ascii="Times New Roman"/>
                <w:sz w:val="18"/>
              </w:rPr>
              <w:t>0.13%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pacing w:val="-1"/>
                <w:sz w:val="18"/>
              </w:rPr>
              <w:t>8,117.32%</w:t>
            </w:r>
          </w:p>
        </w:tc>
      </w:tr>
      <w:tr>
        <w:trPr>
          <w:trHeight w:val="47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内部抵消</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-333,045,754.36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-25.09%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-129,805,460.47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Times New Roman" w:hAnsi="Times New Roman" w:cs="Times New Roman" w:eastAsia="Times New Roman" w:hint="default"/>
                <w:sz w:val="18"/>
                <w:szCs w:val="18"/>
              </w:rPr>
            </w:pPr>
            <w:r>
              <w:rPr>
                <w:rFonts w:ascii="Times New Roman"/>
                <w:sz w:val="18"/>
              </w:rPr>
              <w:t>-15.84%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156.57%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6"/>
        <w:rPr>
          <w:rFonts w:ascii="宋体" w:hAnsi="宋体" w:cs="宋体" w:eastAsia="宋体" w:hint="default"/>
          <w:b/>
          <w:bCs/>
          <w:sz w:val="15"/>
          <w:szCs w:val="15"/>
        </w:rPr>
      </w:pPr>
    </w:p>
    <w:p>
      <w:pPr>
        <w:spacing w:line="463"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公司是否需要遵守特殊行业的披露要求 否</w:t>
      </w:r>
    </w:p>
    <w:p>
      <w:pPr>
        <w:spacing w:before="6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94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营业收入比上年</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营业成本比上年</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毛利率比上年同</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期增减</w:t>
            </w:r>
          </w:p>
        </w:tc>
      </w:tr>
      <w:tr>
        <w:trPr>
          <w:trHeight w:val="478"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7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医药行业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1,327,230,839.27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269,576,697.03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79.69%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61.95%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26.03%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5.79%</w:t>
            </w:r>
          </w:p>
        </w:tc>
      </w:tr>
      <w:tr>
        <w:trPr>
          <w:trHeight w:val="478"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79"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中成药产品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551,742,377.28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186,776,230.83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66.15%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68.85%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184.15%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-13.73%</w:t>
            </w:r>
          </w:p>
        </w:tc>
      </w:tr>
      <w:tr>
        <w:trPr>
          <w:trHeight w:val="47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人参系列产品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712,396,250.28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76,034,419.16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89.33%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128.05%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2.99%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12.96%</w:t>
            </w:r>
          </w:p>
        </w:tc>
      </w:tr>
      <w:tr>
        <w:trPr>
          <w:trHeight w:val="47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63,092,211.71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6,766,047.04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89.28%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-65.02%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-90.90%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30.50%</w:t>
            </w:r>
          </w:p>
        </w:tc>
      </w:tr>
      <w:tr>
        <w:trPr>
          <w:trHeight w:val="478"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7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678,977,164.75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271,194,295.48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60.06%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86.38%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97.85%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-2.31%</w:t>
            </w:r>
          </w:p>
        </w:tc>
      </w:tr>
      <w:tr>
        <w:trPr>
          <w:trHeight w:val="47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231,595,436.43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61,481,504.14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73.45%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14.99%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-17.46%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10.43%</w:t>
            </w:r>
          </w:p>
        </w:tc>
      </w:tr>
      <w:tr>
        <w:trPr>
          <w:trHeight w:val="479"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294,753,323.70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98,403,352.96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66.62%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85.24%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46.12%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8.95%</w:t>
            </w:r>
          </w:p>
        </w:tc>
      </w:tr>
      <w:tr>
        <w:trPr>
          <w:trHeight w:val="47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183,514,165.98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76,510,354.75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58.31%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46.33%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76.05%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-7.04%</w:t>
            </w:r>
          </w:p>
        </w:tc>
      </w:tr>
      <w:tr>
        <w:trPr>
          <w:trHeight w:val="47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47,786,078.15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17,669,983.38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63.02%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2"/>
                <w:sz w:val="18"/>
              </w:rPr>
              <w:t>112.85%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125.03%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-2.00%</w:t>
            </w:r>
          </w:p>
        </w:tc>
      </w:tr>
      <w:tr>
        <w:trPr>
          <w:trHeight w:val="479"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138,790,022.22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20,646,783.89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85.12%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83.57%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-1.65%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12.89%</w:t>
            </w:r>
          </w:p>
        </w:tc>
      </w:tr>
      <w:tr>
        <w:trPr>
          <w:trHeight w:val="94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境外及港澳台地</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84,860,402.40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7,336,211.41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91.35%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8,117.32%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1,739.31%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29.97%</w:t>
            </w:r>
          </w:p>
        </w:tc>
      </w:tr>
      <w:tr>
        <w:trPr>
          <w:trHeight w:val="479"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内部抵消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-333,045,754.36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-283,665,788.97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14.83%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156.57%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105.98%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8.74%</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line="240" w:lineRule="auto" w:before="9"/>
        <w:rPr>
          <w:rFonts w:ascii="宋体" w:hAnsi="宋体" w:cs="宋体" w:eastAsia="宋体" w:hint="default"/>
          <w:sz w:val="16"/>
          <w:szCs w:val="1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7"/>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608"/>
        <w:gridCol w:w="1583"/>
        <w:gridCol w:w="1595"/>
        <w:gridCol w:w="1594"/>
        <w:gridCol w:w="1594"/>
        <w:gridCol w:w="1595"/>
      </w:tblGrid>
      <w:tr>
        <w:trPr>
          <w:trHeight w:val="478"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79" w:hRule="exact"/>
        </w:trPr>
        <w:tc>
          <w:tcPr>
            <w:tcW w:w="160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中成药产品</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51" w:right="0"/>
              <w:jc w:val="left"/>
              <w:rPr>
                <w:rFonts w:ascii="Times New Roman" w:hAnsi="Times New Roman" w:cs="Times New Roman" w:eastAsia="Times New Roman" w:hint="default"/>
                <w:sz w:val="18"/>
                <w:szCs w:val="18"/>
              </w:rPr>
            </w:pPr>
            <w:r>
              <w:rPr>
                <w:rFonts w:ascii="Times New Roman"/>
                <w:sz w:val="18"/>
              </w:rPr>
              <w:t>34,641,571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51" w:right="0"/>
              <w:jc w:val="left"/>
              <w:rPr>
                <w:rFonts w:ascii="Times New Roman" w:hAnsi="Times New Roman" w:cs="Times New Roman" w:eastAsia="Times New Roman" w:hint="default"/>
                <w:sz w:val="18"/>
                <w:szCs w:val="18"/>
              </w:rPr>
            </w:pPr>
            <w:r>
              <w:rPr>
                <w:rFonts w:ascii="Times New Roman"/>
                <w:sz w:val="18"/>
              </w:rPr>
              <w:t>27,614,467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07" w:right="0"/>
              <w:jc w:val="left"/>
              <w:rPr>
                <w:rFonts w:ascii="Times New Roman" w:hAnsi="Times New Roman" w:cs="Times New Roman" w:eastAsia="Times New Roman" w:hint="default"/>
                <w:sz w:val="18"/>
                <w:szCs w:val="18"/>
              </w:rPr>
            </w:pPr>
            <w:r>
              <w:rPr>
                <w:rFonts w:ascii="Times New Roman"/>
                <w:sz w:val="18"/>
              </w:rPr>
              <w:t>25.45%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78" w:hRule="exact"/>
        </w:trPr>
        <w:tc>
          <w:tcPr>
            <w:tcW w:w="1596" w:type="dxa"/>
            <w:vMerge w:val="restart"/>
            <w:tcBorders>
              <w:top w:val="single" w:sz="4" w:space="0" w:color="000000"/>
              <w:left w:val="single" w:sz="4" w:space="0" w:color="000000"/>
              <w:right w:val="single" w:sz="9" w:space="0" w:color="D2D2D2"/>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34,883,603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27,609,119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26.35%</w:t>
            </w:r>
          </w:p>
        </w:tc>
      </w:tr>
      <w:tr>
        <w:trPr>
          <w:trHeight w:val="479" w:hRule="exact"/>
        </w:trPr>
        <w:tc>
          <w:tcPr>
            <w:tcW w:w="1596" w:type="dxa"/>
            <w:vMerge/>
            <w:tcBorders>
              <w:left w:val="single" w:sz="4" w:space="0" w:color="000000"/>
              <w:right w:val="single" w:sz="9" w:space="0" w:color="D2D2D2"/>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5,690,342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5,558,379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2.37%</w:t>
            </w:r>
          </w:p>
        </w:tc>
      </w:tr>
      <w:tr>
        <w:trPr>
          <w:trHeight w:val="478" w:hRule="exact"/>
        </w:trPr>
        <w:tc>
          <w:tcPr>
            <w:tcW w:w="1596" w:type="dxa"/>
            <w:vMerge/>
            <w:tcBorders>
              <w:left w:val="single" w:sz="4" w:space="0" w:color="000000"/>
              <w:bottom w:val="single" w:sz="4" w:space="0" w:color="000000"/>
              <w:right w:val="single" w:sz="9" w:space="0" w:color="D2D2D2"/>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毁损量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2"/>
                <w:sz w:val="18"/>
              </w:rPr>
              <w:t>110,069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123,369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-10.78%</w:t>
            </w:r>
          </w:p>
        </w:tc>
      </w:tr>
      <w:tr>
        <w:trPr>
          <w:trHeight w:val="478" w:hRule="exact"/>
        </w:trPr>
        <w:tc>
          <w:tcPr>
            <w:tcW w:w="159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人参系列产品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公斤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507,605.36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583,132.96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-12.95%</w:t>
            </w:r>
          </w:p>
        </w:tc>
      </w:tr>
      <w:tr>
        <w:trPr>
          <w:trHeight w:val="479" w:hRule="exact"/>
        </w:trPr>
        <w:tc>
          <w:tcPr>
            <w:tcW w:w="1596" w:type="dxa"/>
            <w:vMerge/>
            <w:tcBorders>
              <w:left w:val="single" w:sz="4" w:space="0" w:color="000000"/>
              <w:right w:val="single" w:sz="9" w:space="0" w:color="D2D2D2"/>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公斤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1,120,709.45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65,578.89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1,608.95%</w:t>
            </w:r>
          </w:p>
        </w:tc>
      </w:tr>
      <w:tr>
        <w:trPr>
          <w:trHeight w:val="478" w:hRule="exact"/>
        </w:trPr>
        <w:tc>
          <w:tcPr>
            <w:tcW w:w="1596" w:type="dxa"/>
            <w:vMerge/>
            <w:tcBorders>
              <w:left w:val="single" w:sz="4" w:space="0" w:color="000000"/>
              <w:right w:val="single" w:sz="9" w:space="0" w:color="D2D2D2"/>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公斤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3,256,329.24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2,647,061.14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23.02%</w:t>
            </w:r>
          </w:p>
        </w:tc>
      </w:tr>
      <w:tr>
        <w:trPr>
          <w:trHeight w:val="478" w:hRule="exact"/>
        </w:trPr>
        <w:tc>
          <w:tcPr>
            <w:tcW w:w="1596" w:type="dxa"/>
            <w:vMerge/>
            <w:tcBorders>
              <w:left w:val="single" w:sz="4" w:space="0" w:color="000000"/>
              <w:right w:val="single" w:sz="9" w:space="0" w:color="D2D2D2"/>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研发领用量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公斤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3,836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2,617.4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46.56%</w:t>
            </w:r>
          </w:p>
        </w:tc>
      </w:tr>
      <w:tr>
        <w:trPr>
          <w:trHeight w:val="479" w:hRule="exact"/>
        </w:trPr>
        <w:tc>
          <w:tcPr>
            <w:tcW w:w="1596" w:type="dxa"/>
            <w:vMerge/>
            <w:tcBorders>
              <w:left w:val="single" w:sz="4" w:space="0" w:color="000000"/>
              <w:right w:val="single" w:sz="9" w:space="0" w:color="D2D2D2"/>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盒、罐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775,810.16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879,449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2"/>
                <w:sz w:val="18"/>
              </w:rPr>
              <w:t>-11.78%</w:t>
            </w:r>
          </w:p>
        </w:tc>
      </w:tr>
      <w:tr>
        <w:trPr>
          <w:trHeight w:val="478" w:hRule="exact"/>
        </w:trPr>
        <w:tc>
          <w:tcPr>
            <w:tcW w:w="1596" w:type="dxa"/>
            <w:vMerge/>
            <w:tcBorders>
              <w:left w:val="single" w:sz="4" w:space="0" w:color="000000"/>
              <w:right w:val="single" w:sz="9" w:space="0" w:color="D2D2D2"/>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盒、罐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1,192,543.37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1,258,476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-5.24%</w:t>
            </w:r>
          </w:p>
        </w:tc>
      </w:tr>
      <w:tr>
        <w:trPr>
          <w:trHeight w:val="478" w:hRule="exact"/>
        </w:trPr>
        <w:tc>
          <w:tcPr>
            <w:tcW w:w="1596" w:type="dxa"/>
            <w:vMerge/>
            <w:tcBorders>
              <w:left w:val="single" w:sz="4" w:space="0" w:color="000000"/>
              <w:right w:val="single" w:sz="9" w:space="0" w:color="D2D2D2"/>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盒、罐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1,263,766.21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847,033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49.20%</w:t>
            </w:r>
          </w:p>
        </w:tc>
      </w:tr>
      <w:tr>
        <w:trPr>
          <w:trHeight w:val="479" w:hRule="exact"/>
        </w:trPr>
        <w:tc>
          <w:tcPr>
            <w:tcW w:w="1596" w:type="dxa"/>
            <w:vMerge/>
            <w:tcBorders>
              <w:left w:val="single" w:sz="4" w:space="0" w:color="000000"/>
              <w:right w:val="single" w:sz="9" w:space="0" w:color="D2D2D2"/>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336,446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96" w:type="dxa"/>
            <w:vMerge/>
            <w:tcBorders>
              <w:left w:val="single" w:sz="4" w:space="0" w:color="000000"/>
              <w:right w:val="single" w:sz="9" w:space="0" w:color="D2D2D2"/>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336,446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596" w:type="dxa"/>
            <w:vMerge/>
            <w:tcBorders>
              <w:left w:val="single" w:sz="4" w:space="0" w:color="000000"/>
              <w:bottom w:val="single" w:sz="4" w:space="0" w:color="000000"/>
              <w:right w:val="single" w:sz="9" w:space="0" w:color="D2D2D2"/>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240" w:lineRule="auto" w:before="10"/>
        <w:rPr>
          <w:rFonts w:ascii="宋体" w:hAnsi="宋体" w:cs="宋体" w:eastAsia="宋体" w:hint="default"/>
          <w:sz w:val="16"/>
          <w:szCs w:val="16"/>
        </w:rPr>
      </w:pPr>
    </w:p>
    <w:p>
      <w:pPr>
        <w:spacing w:line="451" w:lineRule="auto"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4"/>
          <w:sz w:val="18"/>
          <w:szCs w:val="18"/>
        </w:rPr>
        <w:t>人参粗加工产品的生产量较上年同比增加，主要原因系根据人参产业未来的发展计划，本期加大了人参粗加工产品的生产量。</w:t>
      </w:r>
    </w:p>
    <w:p>
      <w:pPr>
        <w:pStyle w:val="Heading3"/>
        <w:spacing w:line="240" w:lineRule="auto" w:before="48"/>
        <w:ind w:left="154"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6"/>
        <w:rPr>
          <w:rFonts w:ascii="宋体" w:hAnsi="宋体" w:cs="宋体" w:eastAsia="宋体" w:hint="default"/>
          <w:b/>
          <w:bCs/>
          <w:sz w:val="15"/>
          <w:szCs w:val="1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6"/>
        <w:rPr>
          <w:rFonts w:ascii="宋体" w:hAnsi="宋体" w:cs="宋体" w:eastAsia="宋体" w:hint="default"/>
          <w:b/>
          <w:bCs/>
          <w:sz w:val="15"/>
          <w:szCs w:val="15"/>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line="240" w:lineRule="auto" w:before="10"/>
        <w:rPr>
          <w:rFonts w:ascii="宋体" w:hAnsi="宋体" w:cs="宋体" w:eastAsia="宋体" w:hint="default"/>
          <w:sz w:val="17"/>
          <w:szCs w:val="1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78"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78"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7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中成药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121,896,939.21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45.22%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82,792,262.45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38.71%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47.23%</w:t>
            </w:r>
          </w:p>
        </w:tc>
      </w:tr>
      <w:tr>
        <w:trPr>
          <w:trHeight w:val="47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中成药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10,437,325.78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7,967,727.96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31.00%</w:t>
            </w:r>
          </w:p>
        </w:tc>
      </w:tr>
      <w:tr>
        <w:trPr>
          <w:trHeight w:val="47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中成药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54,441,965.84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37,247,070.64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17.41%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46.16%</w:t>
            </w:r>
          </w:p>
        </w:tc>
      </w:tr>
      <w:tr>
        <w:trPr>
          <w:trHeight w:val="47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宋体" w:hAnsi="宋体" w:cs="宋体" w:eastAsia="宋体" w:hint="default"/>
                <w:sz w:val="18"/>
                <w:szCs w:val="18"/>
              </w:rPr>
            </w:pPr>
            <w:r>
              <w:rPr>
                <w:rFonts w:ascii="宋体" w:hAnsi="宋体" w:cs="宋体" w:eastAsia="宋体" w:hint="default"/>
                <w:sz w:val="18"/>
                <w:szCs w:val="18"/>
              </w:rPr>
              <w:t>人参产品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pacing w:val="-1"/>
                <w:sz w:val="18"/>
              </w:rPr>
              <w:t>36,339,422.73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Times New Roman" w:hAnsi="Times New Roman" w:cs="Times New Roman" w:eastAsia="Times New Roman" w:hint="default"/>
                <w:sz w:val="18"/>
                <w:szCs w:val="18"/>
              </w:rPr>
            </w:pPr>
            <w:r>
              <w:rPr>
                <w:rFonts w:ascii="Times New Roman"/>
                <w:sz w:val="18"/>
              </w:rPr>
              <w:t>13.48%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pacing w:val="-1"/>
                <w:sz w:val="18"/>
              </w:rPr>
              <w:t>50,051,969.99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Times New Roman" w:hAnsi="Times New Roman" w:cs="Times New Roman" w:eastAsia="Times New Roman" w:hint="default"/>
                <w:sz w:val="18"/>
                <w:szCs w:val="18"/>
              </w:rPr>
            </w:pPr>
            <w:r>
              <w:rPr>
                <w:rFonts w:ascii="Times New Roman"/>
                <w:sz w:val="18"/>
              </w:rPr>
              <w:t>23.40%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Times New Roman" w:hAnsi="Times New Roman" w:cs="Times New Roman" w:eastAsia="Times New Roman" w:hint="default"/>
                <w:sz w:val="18"/>
                <w:szCs w:val="18"/>
              </w:rPr>
            </w:pPr>
            <w:r>
              <w:rPr>
                <w:rFonts w:ascii="Times New Roman"/>
                <w:sz w:val="18"/>
              </w:rPr>
              <w:t>-27.40%</w:t>
            </w:r>
          </w:p>
        </w:tc>
      </w:tr>
      <w:tr>
        <w:trPr>
          <w:trHeight w:val="47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人参产品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5,627,696.79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3,025,674.20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86.00%</w:t>
            </w:r>
          </w:p>
        </w:tc>
      </w:tr>
      <w:tr>
        <w:trPr>
          <w:trHeight w:val="47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人参产品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34,067,297.61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12.64%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20,747,688.77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9.70%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64.20%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7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4,704,921.60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6,659,770.37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2"/>
                <w:sz w:val="18"/>
              </w:rPr>
              <w:t>3.11%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-29.35%</w:t>
            </w:r>
          </w:p>
        </w:tc>
      </w:tr>
      <w:tr>
        <w:trPr>
          <w:trHeight w:val="47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1,129,524.34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0.42%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3,550,249.57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-68.18%</w:t>
            </w:r>
          </w:p>
        </w:tc>
      </w:tr>
      <w:tr>
        <w:trPr>
          <w:trHeight w:val="47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931,603.13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1,854,753.42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-49.77%</w:t>
            </w:r>
          </w:p>
        </w:tc>
      </w:tr>
    </w:tbl>
    <w:p>
      <w:pPr>
        <w:spacing w:before="8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78"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78"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7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中成药产品</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186,776,230.83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69.29%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65,730,793.10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184.15%</w:t>
            </w:r>
          </w:p>
        </w:tc>
      </w:tr>
      <w:tr>
        <w:trPr>
          <w:trHeight w:val="47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人参系列产品</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76,034,419.16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28.21%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73,825,332.96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34.51%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2.99%</w:t>
            </w:r>
          </w:p>
        </w:tc>
      </w:tr>
      <w:tr>
        <w:trPr>
          <w:trHeight w:val="47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6,766,047.04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74,341,041.31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34.76%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-90.90%</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1"/>
        <w:rPr>
          <w:rFonts w:ascii="宋体" w:hAnsi="宋体" w:cs="宋体" w:eastAsia="宋体" w:hint="default"/>
          <w:sz w:val="15"/>
          <w:szCs w:val="15"/>
        </w:rPr>
      </w:pPr>
    </w:p>
    <w:p>
      <w:pPr>
        <w:pStyle w:val="Heading3"/>
        <w:spacing w:line="240" w:lineRule="auto"/>
        <w:ind w:left="154"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6"/>
        <w:rPr>
          <w:rFonts w:ascii="宋体" w:hAnsi="宋体" w:cs="宋体" w:eastAsia="宋体" w:hint="default"/>
          <w:b/>
          <w:bCs/>
          <w:sz w:val="15"/>
          <w:szCs w:val="1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14"/>
          <w:szCs w:val="14"/>
        </w:rPr>
      </w:pPr>
    </w:p>
    <w:p>
      <w:pPr>
        <w:spacing w:line="386" w:lineRule="auto" w:before="0"/>
        <w:ind w:left="153" w:right="1130" w:firstLine="420"/>
        <w:jc w:val="both"/>
        <w:rPr>
          <w:rFonts w:ascii="宋体" w:hAnsi="宋体" w:cs="宋体" w:eastAsia="宋体" w:hint="default"/>
          <w:sz w:val="21"/>
          <w:szCs w:val="21"/>
        </w:rPr>
      </w:pPr>
      <w:r>
        <w:rPr>
          <w:rFonts w:ascii="宋体" w:hAnsi="宋体" w:cs="宋体" w:eastAsia="宋体" w:hint="default"/>
          <w:sz w:val="21"/>
          <w:szCs w:val="21"/>
        </w:rPr>
        <w:t>与</w:t>
      </w:r>
      <w:r>
        <w:rPr>
          <w:rFonts w:ascii="Times New Roman" w:hAnsi="Times New Roman" w:cs="Times New Roman" w:eastAsia="Times New Roman" w:hint="default"/>
          <w:sz w:val="21"/>
          <w:szCs w:val="21"/>
        </w:rPr>
        <w:t>2016</w:t>
      </w:r>
      <w:r>
        <w:rPr>
          <w:rFonts w:ascii="宋体" w:hAnsi="宋体" w:cs="宋体" w:eastAsia="宋体" w:hint="default"/>
          <w:sz w:val="21"/>
          <w:szCs w:val="21"/>
        </w:rPr>
        <w:t>年年度合并财务报表范围相比，本年合并财务报表范围新增</w:t>
      </w:r>
      <w:r>
        <w:rPr>
          <w:rFonts w:ascii="宋体" w:hAnsi="宋体" w:cs="宋体" w:eastAsia="宋体" w:hint="default"/>
          <w:sz w:val="18"/>
          <w:szCs w:val="18"/>
        </w:rPr>
        <w:t>吉林紫鑫参工堂生物科技有限公司</w:t>
      </w:r>
      <w:r>
        <w:rPr>
          <w:rFonts w:ascii="宋体" w:hAnsi="宋体" w:cs="宋体" w:eastAsia="宋体" w:hint="default"/>
          <w:sz w:val="21"/>
          <w:szCs w:val="21"/>
        </w:rPr>
        <w:t>、</w:t>
      </w:r>
      <w:r>
        <w:rPr>
          <w:rFonts w:ascii="宋体" w:hAnsi="宋体" w:cs="宋体" w:eastAsia="宋体" w:hint="default"/>
          <w:sz w:val="18"/>
          <w:szCs w:val="18"/>
        </w:rPr>
        <w:t>吉</w:t>
      </w:r>
      <w:r>
        <w:rPr>
          <w:rFonts w:ascii="宋体" w:hAnsi="宋体" w:cs="宋体" w:eastAsia="宋体" w:hint="default"/>
          <w:sz w:val="18"/>
          <w:szCs w:val="18"/>
        </w:rPr>
        <w:t> 林紫鑫汪清药业有限公司</w:t>
      </w:r>
      <w:r>
        <w:rPr>
          <w:rFonts w:ascii="宋体" w:hAnsi="宋体" w:cs="宋体" w:eastAsia="宋体" w:hint="default"/>
          <w:sz w:val="21"/>
          <w:szCs w:val="21"/>
        </w:rPr>
        <w:t>和</w:t>
      </w:r>
      <w:r>
        <w:rPr>
          <w:rFonts w:ascii="Times New Roman" w:hAnsi="Times New Roman" w:cs="Times New Roman" w:eastAsia="Times New Roman" w:hint="default"/>
          <w:sz w:val="18"/>
          <w:szCs w:val="18"/>
        </w:rPr>
        <w:t>Zixin</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Pharmaceuticals</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USA</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CORP</w:t>
      </w:r>
      <w:r>
        <w:rPr>
          <w:rFonts w:ascii="宋体" w:hAnsi="宋体" w:cs="宋体" w:eastAsia="宋体" w:hint="default"/>
          <w:sz w:val="18"/>
          <w:szCs w:val="18"/>
        </w:rPr>
        <w:t>。</w:t>
      </w:r>
      <w:r>
        <w:rPr>
          <w:rFonts w:ascii="宋体" w:hAnsi="宋体" w:cs="宋体" w:eastAsia="宋体" w:hint="default"/>
          <w:sz w:val="21"/>
          <w:szCs w:val="21"/>
        </w:rPr>
        <w:t>详见第十一节</w:t>
      </w:r>
      <w:r>
        <w:rPr>
          <w:rFonts w:ascii="宋体" w:hAnsi="宋体" w:cs="宋体" w:eastAsia="宋体" w:hint="default"/>
          <w:spacing w:val="-25"/>
          <w:sz w:val="21"/>
          <w:szCs w:val="21"/>
        </w:rPr>
        <w:t> </w:t>
      </w:r>
      <w:r>
        <w:rPr>
          <w:rFonts w:ascii="宋体" w:hAnsi="宋体" w:cs="宋体" w:eastAsia="宋体" w:hint="default"/>
          <w:sz w:val="21"/>
          <w:szCs w:val="21"/>
        </w:rPr>
        <w:t>财务报告</w:t>
      </w:r>
      <w:r>
        <w:rPr>
          <w:rFonts w:ascii="Times New Roman" w:hAnsi="Times New Roman" w:cs="Times New Roman" w:eastAsia="Times New Roman" w:hint="default"/>
          <w:sz w:val="21"/>
          <w:szCs w:val="21"/>
        </w:rPr>
        <w:t>“</w:t>
      </w:r>
      <w:r>
        <w:rPr>
          <w:rFonts w:ascii="宋体" w:hAnsi="宋体" w:cs="宋体" w:eastAsia="宋体" w:hint="default"/>
          <w:sz w:val="21"/>
          <w:szCs w:val="21"/>
        </w:rPr>
        <w:t>八、合并范围的变更</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及本</w:t>
      </w:r>
      <w:r>
        <w:rPr>
          <w:rFonts w:ascii="宋体" w:hAnsi="宋体" w:cs="宋体" w:eastAsia="宋体" w:hint="default"/>
          <w:spacing w:val="1"/>
          <w:sz w:val="21"/>
          <w:szCs w:val="21"/>
        </w:rPr>
        <w:t> </w:t>
      </w:r>
      <w:r>
        <w:rPr>
          <w:rFonts w:ascii="宋体" w:hAnsi="宋体" w:cs="宋体" w:eastAsia="宋体" w:hint="default"/>
          <w:sz w:val="21"/>
          <w:szCs w:val="21"/>
        </w:rPr>
        <w:t>附注</w:t>
      </w:r>
      <w:r>
        <w:rPr>
          <w:rFonts w:ascii="Times New Roman" w:hAnsi="Times New Roman" w:cs="Times New Roman" w:eastAsia="Times New Roman" w:hint="default"/>
          <w:sz w:val="21"/>
          <w:szCs w:val="21"/>
        </w:rPr>
        <w:t>“</w:t>
      </w:r>
      <w:r>
        <w:rPr>
          <w:rFonts w:ascii="宋体" w:hAnsi="宋体" w:cs="宋体" w:eastAsia="宋体" w:hint="default"/>
          <w:sz w:val="21"/>
          <w:szCs w:val="21"/>
        </w:rPr>
        <w:t>九、在其他主体中的权益</w:t>
      </w:r>
      <w:r>
        <w:rPr>
          <w:rFonts w:ascii="Times New Roman" w:hAnsi="Times New Roman" w:cs="Times New Roman" w:eastAsia="Times New Roman" w:hint="default"/>
          <w:sz w:val="21"/>
          <w:szCs w:val="21"/>
        </w:rPr>
        <w:t>”</w:t>
      </w:r>
      <w:r>
        <w:rPr>
          <w:rFonts w:ascii="宋体" w:hAnsi="宋体" w:cs="宋体" w:eastAsia="宋体" w:hint="default"/>
          <w:sz w:val="21"/>
          <w:szCs w:val="21"/>
        </w:rPr>
        <w:t>相关内容。</w:t>
      </w:r>
    </w:p>
    <w:p>
      <w:pPr>
        <w:pStyle w:val="Heading3"/>
        <w:spacing w:line="240" w:lineRule="auto" w:before="36"/>
        <w:ind w:left="154"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6"/>
        <w:rPr>
          <w:rFonts w:ascii="宋体" w:hAnsi="宋体" w:cs="宋体" w:eastAsia="宋体" w:hint="default"/>
          <w:b/>
          <w:bCs/>
          <w:sz w:val="15"/>
          <w:szCs w:val="1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6"/>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79"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396,572,842.99</w:t>
            </w:r>
          </w:p>
        </w:tc>
      </w:tr>
      <w:tr>
        <w:trPr>
          <w:trHeight w:val="478"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29.88%</w:t>
            </w:r>
          </w:p>
        </w:tc>
      </w:tr>
      <w:tr>
        <w:trPr>
          <w:trHeight w:val="947"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78"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78"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w w:val="99"/>
                <w:sz w:val="18"/>
              </w:rPr>
              <w:t>A</w:t>
            </w:r>
            <w:r>
              <w:rPr>
                <w:rFonts w:ascii="Times New Roman"/>
                <w:sz w:val="18"/>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126,987,150.51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9.57%</w:t>
            </w:r>
          </w:p>
        </w:tc>
      </w:tr>
      <w:tr>
        <w:trPr>
          <w:trHeight w:val="479"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0"/>
              <w:ind w:left="23" w:right="0"/>
              <w:jc w:val="left"/>
              <w:rPr>
                <w:rFonts w:ascii="Times New Roman" w:hAnsi="Times New Roman" w:cs="Times New Roman" w:eastAsia="Times New Roman" w:hint="default"/>
                <w:sz w:val="18"/>
                <w:szCs w:val="18"/>
              </w:rPr>
            </w:pPr>
            <w:r>
              <w:rPr>
                <w:rFonts w:ascii="Times New Roman"/>
                <w:sz w:val="18"/>
              </w:rPr>
              <w:t>B</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pacing w:val="-1"/>
                <w:sz w:val="18"/>
              </w:rPr>
              <w:t>89,743,589.74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Times New Roman" w:hAnsi="Times New Roman" w:cs="Times New Roman" w:eastAsia="Times New Roman" w:hint="default"/>
                <w:sz w:val="18"/>
                <w:szCs w:val="18"/>
              </w:rPr>
            </w:pPr>
            <w:r>
              <w:rPr>
                <w:rFonts w:ascii="Times New Roman"/>
                <w:sz w:val="18"/>
              </w:rPr>
              <w:t>6.76%</w:t>
            </w:r>
          </w:p>
        </w:tc>
      </w:tr>
      <w:tr>
        <w:trPr>
          <w:trHeight w:val="478"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sz w:val="18"/>
              </w:rPr>
              <w:t>C</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77,634,282.49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5.85%</w:t>
            </w:r>
          </w:p>
        </w:tc>
      </w:tr>
      <w:tr>
        <w:trPr>
          <w:trHeight w:val="479"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w w:val="99"/>
                <w:sz w:val="18"/>
              </w:rPr>
              <w:t>D</w:t>
            </w:r>
            <w:r>
              <w:rPr>
                <w:rFonts w:ascii="Times New Roman"/>
                <w:sz w:val="18"/>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54,207,820.24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4.08%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78"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sz w:val="18"/>
              </w:rPr>
              <w:t>E</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48,000,000.00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3.62%</w:t>
            </w:r>
          </w:p>
        </w:tc>
      </w:tr>
      <w:tr>
        <w:trPr>
          <w:trHeight w:val="479"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396,572,842.98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29.88%</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240" w:lineRule="auto" w:before="10"/>
        <w:rPr>
          <w:rFonts w:ascii="宋体" w:hAnsi="宋体" w:cs="宋体" w:eastAsia="宋体" w:hint="default"/>
          <w:sz w:val="17"/>
          <w:szCs w:val="17"/>
        </w:rPr>
      </w:pPr>
    </w:p>
    <w:p>
      <w:pPr>
        <w:spacing w:line="451" w:lineRule="auto" w:before="0"/>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78"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2,003,000,000.00</w:t>
            </w:r>
          </w:p>
        </w:tc>
      </w:tr>
      <w:tr>
        <w:trPr>
          <w:trHeight w:val="478"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8"/>
                <w:szCs w:val="18"/>
              </w:rPr>
            </w:pPr>
            <w:r>
              <w:rPr>
                <w:rFonts w:ascii="Times New Roman"/>
                <w:sz w:val="18"/>
              </w:rPr>
              <w:t>81.35%</w:t>
            </w:r>
          </w:p>
        </w:tc>
      </w:tr>
      <w:tr>
        <w:trPr>
          <w:trHeight w:val="946"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74"/>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2"/>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79"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78"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w w:val="99"/>
                <w:sz w:val="18"/>
              </w:rPr>
              <w:t>A</w:t>
            </w:r>
            <w:r>
              <w:rPr>
                <w:rFonts w:ascii="Times New Roman"/>
                <w:sz w:val="18"/>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580,000,000.00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23.56%</w:t>
            </w:r>
          </w:p>
        </w:tc>
      </w:tr>
      <w:tr>
        <w:trPr>
          <w:trHeight w:val="478"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B</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550,000,000.00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22.34%</w:t>
            </w:r>
          </w:p>
        </w:tc>
      </w:tr>
      <w:tr>
        <w:trPr>
          <w:trHeight w:val="479"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sz w:val="18"/>
              </w:rPr>
              <w:t>C</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350,000,000.00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14.21%</w:t>
            </w:r>
          </w:p>
        </w:tc>
      </w:tr>
      <w:tr>
        <w:trPr>
          <w:trHeight w:val="478"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w w:val="99"/>
                <w:sz w:val="18"/>
              </w:rPr>
              <w:t>D</w:t>
            </w:r>
            <w:r>
              <w:rPr>
                <w:rFonts w:ascii="Times New Roman"/>
                <w:sz w:val="18"/>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350,000,000.00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14.21%</w:t>
            </w:r>
          </w:p>
        </w:tc>
      </w:tr>
      <w:tr>
        <w:trPr>
          <w:trHeight w:val="478"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E</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173,000,000.00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7.03%</w:t>
            </w:r>
          </w:p>
        </w:tc>
      </w:tr>
      <w:tr>
        <w:trPr>
          <w:trHeight w:val="479"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2,003,000,000.00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81.35%</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line="240" w:lineRule="auto" w:before="10"/>
        <w:rPr>
          <w:rFonts w:ascii="宋体" w:hAnsi="宋体" w:cs="宋体" w:eastAsia="宋体" w:hint="default"/>
          <w:sz w:val="17"/>
          <w:szCs w:val="17"/>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7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74"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72" w:right="0"/>
              <w:jc w:val="left"/>
              <w:rPr>
                <w:rFonts w:ascii="Times New Roman" w:hAnsi="Times New Roman" w:cs="Times New Roman" w:eastAsia="Times New Roman" w:hint="default"/>
                <w:sz w:val="18"/>
                <w:szCs w:val="18"/>
              </w:rPr>
            </w:pPr>
            <w:r>
              <w:rPr>
                <w:rFonts w:ascii="Times New Roman"/>
                <w:sz w:val="18"/>
              </w:rPr>
              <w:t>158,259,318.57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70" w:right="0"/>
              <w:jc w:val="left"/>
              <w:rPr>
                <w:rFonts w:ascii="Times New Roman" w:hAnsi="Times New Roman" w:cs="Times New Roman" w:eastAsia="Times New Roman" w:hint="default"/>
                <w:sz w:val="18"/>
                <w:szCs w:val="18"/>
              </w:rPr>
            </w:pPr>
            <w:r>
              <w:rPr>
                <w:rFonts w:ascii="Times New Roman"/>
                <w:sz w:val="18"/>
              </w:rPr>
              <w:t>91,982,291.97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873" w:right="0"/>
              <w:jc w:val="left"/>
              <w:rPr>
                <w:rFonts w:ascii="Times New Roman" w:hAnsi="Times New Roman" w:cs="Times New Roman" w:eastAsia="Times New Roman" w:hint="default"/>
                <w:sz w:val="18"/>
                <w:szCs w:val="18"/>
              </w:rPr>
            </w:pPr>
            <w:r>
              <w:rPr>
                <w:rFonts w:ascii="Times New Roman"/>
                <w:sz w:val="18"/>
              </w:rPr>
              <w:t>72.05%</w:t>
            </w:r>
          </w:p>
        </w:tc>
        <w:tc>
          <w:tcPr>
            <w:tcW w:w="2918" w:type="dxa"/>
            <w:vMerge w:val="restart"/>
            <w:tcBorders>
              <w:top w:val="single" w:sz="4" w:space="0" w:color="000000"/>
              <w:left w:val="single" w:sz="4" w:space="0" w:color="000000"/>
              <w:right w:val="single" w:sz="4" w:space="0" w:color="000000"/>
            </w:tcBorders>
          </w:tcPr>
          <w:p>
            <w:pPr>
              <w:pStyle w:val="TableParagraph"/>
              <w:spacing w:line="477" w:lineRule="auto" w:before="89"/>
              <w:ind w:left="22" w:right="182"/>
              <w:jc w:val="left"/>
              <w:rPr>
                <w:rFonts w:ascii="宋体" w:hAnsi="宋体" w:cs="宋体" w:eastAsia="宋体" w:hint="default"/>
                <w:sz w:val="18"/>
                <w:szCs w:val="18"/>
              </w:rPr>
            </w:pPr>
            <w:r>
              <w:rPr>
                <w:rFonts w:ascii="宋体" w:hAnsi="宋体" w:cs="宋体" w:eastAsia="宋体" w:hint="default"/>
                <w:sz w:val="18"/>
                <w:szCs w:val="18"/>
              </w:rPr>
              <w:t>主要原因是中成药及人参产品销售 规模的逐步拓展，本期投入的广告</w:t>
            </w:r>
          </w:p>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费、运输费增加所致。</w:t>
            </w:r>
          </w:p>
        </w:tc>
      </w:tr>
      <w:tr>
        <w:trPr>
          <w:trHeight w:val="468"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3"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72" w:right="0"/>
              <w:jc w:val="left"/>
              <w:rPr>
                <w:rFonts w:ascii="Times New Roman" w:hAnsi="Times New Roman" w:cs="Times New Roman" w:eastAsia="Times New Roman" w:hint="default"/>
                <w:sz w:val="18"/>
                <w:szCs w:val="18"/>
              </w:rPr>
            </w:pPr>
            <w:r>
              <w:rPr>
                <w:rFonts w:ascii="Times New Roman"/>
                <w:sz w:val="18"/>
              </w:rPr>
              <w:t>245,625,898.77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80" w:right="0"/>
              <w:jc w:val="left"/>
              <w:rPr>
                <w:rFonts w:ascii="Times New Roman" w:hAnsi="Times New Roman" w:cs="Times New Roman" w:eastAsia="Times New Roman" w:hint="default"/>
                <w:sz w:val="18"/>
                <w:szCs w:val="18"/>
              </w:rPr>
            </w:pPr>
            <w:r>
              <w:rPr>
                <w:rFonts w:ascii="Times New Roman"/>
                <w:sz w:val="18"/>
              </w:rPr>
              <w:t>182,042,131.35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73" w:right="0"/>
              <w:jc w:val="left"/>
              <w:rPr>
                <w:rFonts w:ascii="Times New Roman" w:hAnsi="Times New Roman" w:cs="Times New Roman" w:eastAsia="Times New Roman" w:hint="default"/>
                <w:sz w:val="18"/>
                <w:szCs w:val="18"/>
              </w:rPr>
            </w:pPr>
            <w:r>
              <w:rPr>
                <w:rFonts w:ascii="Times New Roman"/>
                <w:sz w:val="18"/>
              </w:rPr>
              <w:t>34.93%</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主要原因是本期研发支出费用化金</w:t>
            </w:r>
          </w:p>
          <w:p>
            <w:pPr>
              <w:pStyle w:val="TableParagraph"/>
              <w:spacing w:line="470" w:lineRule="atLeast"/>
              <w:ind w:left="22" w:right="183"/>
              <w:jc w:val="left"/>
              <w:rPr>
                <w:rFonts w:ascii="宋体" w:hAnsi="宋体" w:cs="宋体" w:eastAsia="宋体" w:hint="default"/>
                <w:sz w:val="18"/>
                <w:szCs w:val="18"/>
              </w:rPr>
            </w:pPr>
            <w:r>
              <w:rPr>
                <w:rFonts w:ascii="宋体" w:hAnsi="宋体" w:cs="宋体" w:eastAsia="宋体" w:hint="default"/>
                <w:sz w:val="18"/>
                <w:szCs w:val="18"/>
              </w:rPr>
              <w:t>额增加，以及管理人员工资增加所 致。</w:t>
            </w:r>
          </w:p>
        </w:tc>
      </w:tr>
      <w:tr>
        <w:trPr>
          <w:trHeight w:val="468"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9"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467" w:right="0"/>
              <w:jc w:val="left"/>
              <w:rPr>
                <w:rFonts w:ascii="Times New Roman" w:hAnsi="Times New Roman" w:cs="Times New Roman" w:eastAsia="Times New Roman" w:hint="default"/>
                <w:sz w:val="18"/>
                <w:szCs w:val="18"/>
              </w:rPr>
            </w:pPr>
            <w:r>
              <w:rPr>
                <w:rFonts w:ascii="Times New Roman"/>
                <w:sz w:val="18"/>
              </w:rPr>
              <w:t>196,203,807.79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80" w:right="0"/>
              <w:jc w:val="left"/>
              <w:rPr>
                <w:rFonts w:ascii="Times New Roman" w:hAnsi="Times New Roman" w:cs="Times New Roman" w:eastAsia="Times New Roman" w:hint="default"/>
                <w:sz w:val="18"/>
                <w:szCs w:val="18"/>
              </w:rPr>
            </w:pPr>
            <w:r>
              <w:rPr>
                <w:rFonts w:ascii="Times New Roman"/>
                <w:sz w:val="18"/>
              </w:rPr>
              <w:t>155,396,682.08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73" w:right="0"/>
              <w:jc w:val="left"/>
              <w:rPr>
                <w:rFonts w:ascii="Times New Roman" w:hAnsi="Times New Roman" w:cs="Times New Roman" w:eastAsia="Times New Roman" w:hint="default"/>
                <w:sz w:val="18"/>
                <w:szCs w:val="18"/>
              </w:rPr>
            </w:pPr>
            <w:r>
              <w:rPr>
                <w:rFonts w:ascii="Times New Roman"/>
                <w:sz w:val="18"/>
              </w:rPr>
              <w:t>26.26%</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6"/>
        <w:rPr>
          <w:rFonts w:ascii="宋体" w:hAnsi="宋体" w:cs="宋体" w:eastAsia="宋体" w:hint="default"/>
          <w:b/>
          <w:bCs/>
          <w:sz w:val="15"/>
          <w:szCs w:val="15"/>
        </w:rPr>
      </w:pPr>
    </w:p>
    <w:p>
      <w:pPr>
        <w:spacing w:line="451" w:lineRule="auto" w:before="0"/>
        <w:ind w:left="153" w:right="5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报告期内，公司研发投入</w:t>
      </w:r>
      <w:r>
        <w:rPr>
          <w:rFonts w:ascii="Times New Roman" w:hAnsi="Times New Roman" w:cs="Times New Roman" w:eastAsia="Times New Roman" w:hint="default"/>
          <w:sz w:val="18"/>
          <w:szCs w:val="18"/>
        </w:rPr>
        <w:t>31,783,591.80</w:t>
      </w:r>
      <w:r>
        <w:rPr>
          <w:rFonts w:ascii="宋体" w:hAnsi="宋体" w:cs="宋体" w:eastAsia="宋体" w:hint="default"/>
          <w:sz w:val="18"/>
          <w:szCs w:val="18"/>
        </w:rPr>
        <w:t>元，占</w:t>
      </w:r>
      <w:r>
        <w:rPr>
          <w:rFonts w:ascii="Times New Roman" w:hAnsi="Times New Roman" w:cs="Times New Roman" w:eastAsia="Times New Roman" w:hint="default"/>
          <w:sz w:val="18"/>
          <w:szCs w:val="18"/>
        </w:rPr>
        <w:t>2017</w:t>
      </w:r>
      <w:r>
        <w:rPr>
          <w:rFonts w:ascii="宋体" w:hAnsi="宋体" w:cs="宋体" w:eastAsia="宋体" w:hint="default"/>
          <w:sz w:val="18"/>
          <w:szCs w:val="18"/>
        </w:rPr>
        <w:t>年营业收入的</w:t>
      </w:r>
      <w:r>
        <w:rPr>
          <w:rFonts w:ascii="Times New Roman" w:hAnsi="Times New Roman" w:cs="Times New Roman" w:eastAsia="Times New Roman" w:hint="default"/>
          <w:sz w:val="18"/>
          <w:szCs w:val="18"/>
        </w:rPr>
        <w:t>2.39%</w:t>
      </w:r>
      <w:r>
        <w:rPr>
          <w:rFonts w:ascii="宋体" w:hAnsi="宋体" w:cs="宋体" w:eastAsia="宋体" w:hint="default"/>
          <w:sz w:val="18"/>
          <w:szCs w:val="18"/>
        </w:rPr>
        <w:t>。 公司研发投入情况</w:t>
      </w: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7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79"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z w:val="18"/>
              </w:rPr>
              <w:t>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z w:val="18"/>
              </w:rPr>
              <w:t>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z w:val="18"/>
              </w:rPr>
              <w:t>1.39%</w:t>
            </w:r>
          </w:p>
        </w:tc>
      </w:tr>
      <w:tr>
        <w:trPr>
          <w:trHeight w:val="47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8"/>
                <w:szCs w:val="18"/>
              </w:rPr>
            </w:pPr>
            <w:r>
              <w:rPr>
                <w:rFonts w:ascii="Times New Roman"/>
                <w:sz w:val="18"/>
              </w:rPr>
              <w:t>3.64%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z w:val="18"/>
              </w:rPr>
              <w:t>4.15%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8"/>
                <w:szCs w:val="18"/>
              </w:rPr>
            </w:pPr>
            <w:r>
              <w:rPr>
                <w:rFonts w:ascii="Times New Roman"/>
                <w:sz w:val="18"/>
              </w:rPr>
              <w:t>-0.51%</w:t>
            </w:r>
          </w:p>
        </w:tc>
      </w:tr>
      <w:tr>
        <w:trPr>
          <w:trHeight w:val="47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pacing w:val="-1"/>
                <w:sz w:val="18"/>
              </w:rPr>
              <w:t>31,783,591.80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pacing w:val="-1"/>
                <w:sz w:val="18"/>
              </w:rPr>
              <w:t>49,354,512.72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8"/>
                <w:szCs w:val="18"/>
              </w:rPr>
            </w:pPr>
            <w:r>
              <w:rPr>
                <w:rFonts w:ascii="Times New Roman"/>
                <w:sz w:val="18"/>
              </w:rPr>
              <w:t>-35.60%</w:t>
            </w:r>
          </w:p>
        </w:tc>
      </w:tr>
      <w:tr>
        <w:trPr>
          <w:trHeight w:val="479"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z w:val="18"/>
              </w:rPr>
              <w:t>2.39%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z w:val="18"/>
              </w:rPr>
              <w:t>6.02%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z w:val="18"/>
              </w:rPr>
              <w:t>-3.63%</w:t>
            </w:r>
          </w:p>
        </w:tc>
      </w:tr>
      <w:tr>
        <w:trPr>
          <w:trHeight w:val="47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pacing w:val="-1"/>
                <w:sz w:val="18"/>
              </w:rPr>
              <w:t>4,462,011.53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pacing w:val="-1"/>
                <w:sz w:val="18"/>
              </w:rPr>
              <w:t>10,227,206.35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8"/>
                <w:szCs w:val="18"/>
              </w:rPr>
            </w:pPr>
            <w:r>
              <w:rPr>
                <w:rFonts w:ascii="Times New Roman"/>
                <w:sz w:val="18"/>
              </w:rPr>
              <w:t>-56.37%</w:t>
            </w:r>
          </w:p>
        </w:tc>
      </w:tr>
      <w:tr>
        <w:trPr>
          <w:trHeight w:val="947"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-6.68%</w:t>
            </w:r>
          </w:p>
        </w:tc>
      </w:tr>
    </w:tbl>
    <w:p>
      <w:pPr>
        <w:spacing w:before="74"/>
        <w:ind w:left="15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240" w:lineRule="auto" w:before="10"/>
        <w:rPr>
          <w:rFonts w:ascii="宋体" w:hAnsi="宋体" w:cs="宋体" w:eastAsia="宋体" w:hint="default"/>
          <w:sz w:val="17"/>
          <w:szCs w:val="17"/>
        </w:rPr>
      </w:pPr>
    </w:p>
    <w:p>
      <w:pPr>
        <w:spacing w:line="451"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line="451" w:lineRule="auto" w:before="74"/>
        <w:ind w:left="153" w:right="4273"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研发投入资本化金额本期较上期增加原因系基因测序仪项目资本化投入增加所致。 </w:t>
      </w:r>
      <w:bookmarkStart w:name="5、现金流" w:id="39"/>
      <w:bookmarkEnd w:id="39"/>
      <w:r>
        <w:rPr>
          <w:rFonts w:ascii="宋体" w:hAnsi="宋体" w:cs="宋体" w:eastAsia="宋体" w:hint="default"/>
          <w:sz w:val="18"/>
          <w:szCs w:val="18"/>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34" w:lineRule="exact"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7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7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pacing w:val="-1"/>
                <w:sz w:val="18"/>
              </w:rPr>
              <w:t>1,362,608,481.78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913,290,217.55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49.20%</w:t>
            </w:r>
          </w:p>
        </w:tc>
      </w:tr>
      <w:tr>
        <w:trPr>
          <w:trHeight w:val="479"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2,683,127,215.98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1,145,172,868.90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134.30%</w:t>
            </w:r>
          </w:p>
        </w:tc>
      </w:tr>
      <w:tr>
        <w:trPr>
          <w:trHeight w:val="94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-1,320,518,734.20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-231,882,651.35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5"/>
                <w:sz w:val="18"/>
              </w:rPr>
              <w:t>-469.48%</w:t>
            </w:r>
            <w:r>
              <w:rPr>
                <w:rFonts w:ascii="Times New Roman"/>
                <w:sz w:val="18"/>
              </w:rPr>
            </w:r>
          </w:p>
        </w:tc>
      </w:tr>
      <w:tr>
        <w:trPr>
          <w:trHeight w:val="47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9,800,000.00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9,929,300.00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-1.30%</w:t>
            </w:r>
          </w:p>
        </w:tc>
      </w:tr>
      <w:tr>
        <w:trPr>
          <w:trHeight w:val="479"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271,217,819.85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640,803,268.52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-57.68%</w:t>
            </w:r>
          </w:p>
        </w:tc>
      </w:tr>
      <w:tr>
        <w:trPr>
          <w:trHeight w:val="94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-261,417,819.85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-630,873,968.52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58.56%</w:t>
            </w:r>
          </w:p>
        </w:tc>
      </w:tr>
      <w:tr>
        <w:trPr>
          <w:trHeight w:val="479"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pacing w:val="-1"/>
                <w:sz w:val="18"/>
              </w:rPr>
              <w:t>5,146,500,000.00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pacing w:val="-1"/>
                <w:sz w:val="18"/>
              </w:rPr>
              <w:t>6,129,749,950.37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-16.04%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78"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pacing w:val="-1"/>
                <w:sz w:val="18"/>
              </w:rPr>
              <w:t>3,604,866,395.30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pacing w:val="-1"/>
                <w:sz w:val="18"/>
              </w:rPr>
              <w:t>5,071,672,347.34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-28.92%</w:t>
            </w:r>
          </w:p>
        </w:tc>
      </w:tr>
      <w:tr>
        <w:trPr>
          <w:trHeight w:val="947"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pacing w:val="-1"/>
                <w:sz w:val="18"/>
              </w:rPr>
              <w:t>1,541,633,604.70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pacing w:val="-1"/>
                <w:sz w:val="18"/>
              </w:rPr>
              <w:t>1,058,077,603.03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45.70%</w:t>
            </w:r>
          </w:p>
        </w:tc>
      </w:tr>
      <w:tr>
        <w:trPr>
          <w:trHeight w:val="478"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-40,320,614.30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195,330,415.67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w w:val="95"/>
                <w:sz w:val="18"/>
              </w:rPr>
              <w:t>-120.64%</w:t>
            </w:r>
            <w:r>
              <w:rPr>
                <w:rFonts w:ascii="Times New Roman"/>
                <w:sz w:val="18"/>
              </w:rPr>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240" w:lineRule="auto" w:before="10"/>
        <w:rPr>
          <w:rFonts w:ascii="宋体" w:hAnsi="宋体" w:cs="宋体" w:eastAsia="宋体" w:hint="default"/>
          <w:sz w:val="17"/>
          <w:szCs w:val="17"/>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6"/>
          <w:szCs w:val="16"/>
        </w:rPr>
      </w:pPr>
    </w:p>
    <w:p>
      <w:pPr>
        <w:spacing w:line="451" w:lineRule="auto" w:before="0"/>
        <w:ind w:left="513" w:right="1118" w:firstLine="0"/>
        <w:jc w:val="left"/>
        <w:rPr>
          <w:rFonts w:ascii="宋体" w:hAnsi="宋体" w:cs="宋体" w:eastAsia="宋体" w:hint="default"/>
          <w:sz w:val="18"/>
          <w:szCs w:val="18"/>
        </w:rPr>
      </w:pPr>
      <w:r>
        <w:rPr>
          <w:rFonts w:ascii="宋体" w:hAnsi="宋体" w:cs="宋体" w:eastAsia="宋体" w:hint="default"/>
          <w:sz w:val="18"/>
          <w:szCs w:val="18"/>
        </w:rPr>
        <w:t>经营活动现金流入本期较上期增加 </w:t>
      </w:r>
      <w:r>
        <w:rPr>
          <w:rFonts w:ascii="Times New Roman" w:hAnsi="Times New Roman" w:cs="Times New Roman" w:eastAsia="Times New Roman" w:hint="default"/>
          <w:sz w:val="18"/>
          <w:szCs w:val="18"/>
        </w:rPr>
        <w:t>449,318,264.23 </w:t>
      </w:r>
      <w:r>
        <w:rPr>
          <w:rFonts w:ascii="宋体" w:hAnsi="宋体" w:cs="宋体" w:eastAsia="宋体" w:hint="default"/>
          <w:sz w:val="18"/>
          <w:szCs w:val="18"/>
        </w:rPr>
        <w:t>元，增加幅度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49.2%</w:t>
      </w:r>
      <w:r>
        <w:rPr>
          <w:rFonts w:ascii="宋体" w:hAnsi="宋体" w:cs="宋体" w:eastAsia="宋体" w:hint="default"/>
          <w:sz w:val="18"/>
          <w:szCs w:val="18"/>
        </w:rPr>
        <w:t>，主要原因是本期销售收款较上期增加所致。 经营活动现金流出小计较上期增加 </w:t>
      </w:r>
      <w:r>
        <w:rPr>
          <w:rFonts w:ascii="Times New Roman" w:hAnsi="Times New Roman" w:cs="Times New Roman" w:eastAsia="Times New Roman" w:hint="default"/>
          <w:sz w:val="18"/>
          <w:szCs w:val="18"/>
        </w:rPr>
        <w:t>56,878,596.11 </w:t>
      </w:r>
      <w:r>
        <w:rPr>
          <w:rFonts w:ascii="宋体" w:hAnsi="宋体" w:cs="宋体" w:eastAsia="宋体" w:hint="default"/>
          <w:spacing w:val="-4"/>
          <w:sz w:val="18"/>
          <w:szCs w:val="18"/>
        </w:rPr>
        <w:t>元，增加幅度</w:t>
      </w:r>
      <w:r>
        <w:rPr>
          <w:rFonts w:ascii="宋体" w:hAnsi="宋体" w:cs="宋体" w:eastAsia="宋体" w:hint="default"/>
          <w:spacing w:val="-76"/>
          <w:sz w:val="18"/>
          <w:szCs w:val="18"/>
        </w:rPr>
        <w:t> </w:t>
      </w:r>
      <w:r>
        <w:rPr>
          <w:rFonts w:ascii="Times New Roman" w:hAnsi="Times New Roman" w:cs="Times New Roman" w:eastAsia="Times New Roman" w:hint="default"/>
          <w:sz w:val="18"/>
          <w:szCs w:val="18"/>
        </w:rPr>
        <w:t>134.3%</w:t>
      </w:r>
      <w:r>
        <w:rPr>
          <w:rFonts w:ascii="宋体" w:hAnsi="宋体" w:cs="宋体" w:eastAsia="宋体" w:hint="default"/>
          <w:sz w:val="18"/>
          <w:szCs w:val="18"/>
        </w:rPr>
        <w:t>，主要原因是本期采购消耗性生物资产支付的购</w:t>
      </w:r>
    </w:p>
    <w:p>
      <w:pPr>
        <w:spacing w:before="43"/>
        <w:ind w:left="153" w:right="0" w:firstLine="0"/>
        <w:jc w:val="left"/>
        <w:rPr>
          <w:rFonts w:ascii="宋体" w:hAnsi="宋体" w:cs="宋体" w:eastAsia="宋体" w:hint="default"/>
          <w:sz w:val="18"/>
          <w:szCs w:val="18"/>
        </w:rPr>
      </w:pPr>
      <w:r>
        <w:rPr>
          <w:rFonts w:ascii="宋体" w:hAnsi="宋体" w:cs="宋体" w:eastAsia="宋体" w:hint="default"/>
          <w:sz w:val="18"/>
          <w:szCs w:val="18"/>
        </w:rPr>
        <w:t>货款较上期增加所致。</w:t>
      </w:r>
    </w:p>
    <w:p>
      <w:pPr>
        <w:spacing w:line="240" w:lineRule="auto" w:before="10"/>
        <w:rPr>
          <w:rFonts w:ascii="宋体" w:hAnsi="宋体" w:cs="宋体" w:eastAsia="宋体" w:hint="default"/>
          <w:sz w:val="17"/>
          <w:szCs w:val="17"/>
        </w:rPr>
      </w:pPr>
    </w:p>
    <w:p>
      <w:pPr>
        <w:spacing w:line="451" w:lineRule="auto" w:before="0"/>
        <w:ind w:left="153" w:right="1162" w:firstLine="360"/>
        <w:jc w:val="left"/>
        <w:rPr>
          <w:rFonts w:ascii="宋体" w:hAnsi="宋体" w:cs="宋体" w:eastAsia="宋体" w:hint="default"/>
          <w:sz w:val="18"/>
          <w:szCs w:val="18"/>
        </w:rPr>
      </w:pPr>
      <w:r>
        <w:rPr>
          <w:rFonts w:ascii="宋体" w:hAnsi="宋体" w:cs="宋体" w:eastAsia="宋体" w:hint="default"/>
          <w:sz w:val="18"/>
          <w:szCs w:val="18"/>
        </w:rPr>
        <w:t>经营活动产生的现金流量净额较上期减少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1,088,636,082.85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元，减少幅度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469.48%</w:t>
      </w:r>
      <w:r>
        <w:rPr>
          <w:rFonts w:ascii="宋体" w:hAnsi="宋体" w:cs="宋体" w:eastAsia="宋体" w:hint="default"/>
          <w:sz w:val="18"/>
          <w:szCs w:val="18"/>
        </w:rPr>
        <w:t>，主要原因是本期采购消耗性生物资 产支付购货款较上期增加所致。</w:t>
      </w:r>
    </w:p>
    <w:p>
      <w:pPr>
        <w:spacing w:line="451" w:lineRule="auto" w:before="74"/>
        <w:ind w:left="513" w:right="1206" w:firstLine="0"/>
        <w:jc w:val="left"/>
        <w:rPr>
          <w:rFonts w:ascii="宋体" w:hAnsi="宋体" w:cs="宋体" w:eastAsia="宋体" w:hint="default"/>
          <w:sz w:val="18"/>
          <w:szCs w:val="18"/>
        </w:rPr>
      </w:pPr>
      <w:r>
        <w:rPr>
          <w:rFonts w:ascii="宋体" w:hAnsi="宋体" w:cs="宋体" w:eastAsia="宋体" w:hint="default"/>
          <w:sz w:val="18"/>
          <w:szCs w:val="18"/>
        </w:rPr>
        <w:t>投资活动现金流出较上期减少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369,585,448.67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元，减少幅度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57.68%</w:t>
      </w:r>
      <w:r>
        <w:rPr>
          <w:rFonts w:ascii="宋体" w:hAnsi="宋体" w:cs="宋体" w:eastAsia="宋体" w:hint="default"/>
          <w:sz w:val="18"/>
          <w:szCs w:val="18"/>
        </w:rPr>
        <w:t>，主要原因是本期对在建工程的投资减少所致。 投资活动产生的现金流量净额较上期增加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369,456,148.67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元，增加幅度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58.56%</w:t>
      </w:r>
      <w:r>
        <w:rPr>
          <w:rFonts w:ascii="宋体" w:hAnsi="宋体" w:cs="宋体" w:eastAsia="宋体" w:hint="default"/>
          <w:sz w:val="18"/>
          <w:szCs w:val="18"/>
        </w:rPr>
        <w:t>，主要原因是本期对在建工程的投资减</w:t>
      </w:r>
    </w:p>
    <w:p>
      <w:pPr>
        <w:spacing w:before="43"/>
        <w:ind w:left="153" w:right="0" w:firstLine="0"/>
        <w:jc w:val="left"/>
        <w:rPr>
          <w:rFonts w:ascii="宋体" w:hAnsi="宋体" w:cs="宋体" w:eastAsia="宋体" w:hint="default"/>
          <w:sz w:val="18"/>
          <w:szCs w:val="18"/>
        </w:rPr>
      </w:pPr>
      <w:r>
        <w:rPr>
          <w:rFonts w:ascii="宋体" w:hAnsi="宋体" w:cs="宋体" w:eastAsia="宋体" w:hint="default"/>
          <w:sz w:val="18"/>
          <w:szCs w:val="18"/>
        </w:rPr>
        <w:t>少所致。</w:t>
      </w:r>
    </w:p>
    <w:p>
      <w:pPr>
        <w:spacing w:line="240" w:lineRule="auto" w:before="10"/>
        <w:rPr>
          <w:rFonts w:ascii="宋体" w:hAnsi="宋体" w:cs="宋体" w:eastAsia="宋体" w:hint="default"/>
          <w:sz w:val="17"/>
          <w:szCs w:val="17"/>
        </w:rPr>
      </w:pPr>
    </w:p>
    <w:p>
      <w:pPr>
        <w:spacing w:line="451" w:lineRule="auto" w:before="0"/>
        <w:ind w:left="154" w:right="1205" w:firstLine="360"/>
        <w:jc w:val="left"/>
        <w:rPr>
          <w:rFonts w:ascii="宋体" w:hAnsi="宋体" w:cs="宋体" w:eastAsia="宋体" w:hint="default"/>
          <w:sz w:val="18"/>
          <w:szCs w:val="18"/>
        </w:rPr>
      </w:pPr>
      <w:r>
        <w:rPr>
          <w:rFonts w:ascii="宋体" w:hAnsi="宋体" w:cs="宋体" w:eastAsia="宋体" w:hint="default"/>
          <w:sz w:val="18"/>
          <w:szCs w:val="18"/>
        </w:rPr>
        <w:t>筹资活动产生的现金流量净额较上期增加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483,556,001.67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元，增加幅度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45.70%</w:t>
      </w:r>
      <w:r>
        <w:rPr>
          <w:rFonts w:ascii="宋体" w:hAnsi="宋体" w:cs="宋体" w:eastAsia="宋体" w:hint="default"/>
          <w:sz w:val="18"/>
          <w:szCs w:val="18"/>
        </w:rPr>
        <w:t>，主要原因是本期为偿还借款支付的现 金减少所致。</w:t>
      </w:r>
    </w:p>
    <w:p>
      <w:pPr>
        <w:spacing w:line="451" w:lineRule="auto" w:before="74"/>
        <w:ind w:left="154" w:right="1117" w:firstLine="360"/>
        <w:jc w:val="left"/>
        <w:rPr>
          <w:rFonts w:ascii="宋体" w:hAnsi="宋体" w:cs="宋体" w:eastAsia="宋体" w:hint="default"/>
          <w:sz w:val="18"/>
          <w:szCs w:val="18"/>
        </w:rPr>
      </w:pPr>
      <w:r>
        <w:rPr>
          <w:rFonts w:ascii="宋体" w:hAnsi="宋体" w:cs="宋体" w:eastAsia="宋体" w:hint="default"/>
          <w:sz w:val="18"/>
          <w:szCs w:val="18"/>
        </w:rPr>
        <w:t>现金及现金等价物净增加额较上期减少 </w:t>
      </w:r>
      <w:r>
        <w:rPr>
          <w:rFonts w:ascii="Times New Roman" w:hAnsi="Times New Roman" w:cs="Times New Roman" w:eastAsia="Times New Roman" w:hint="default"/>
          <w:sz w:val="18"/>
          <w:szCs w:val="18"/>
        </w:rPr>
        <w:t>235,651,029.97 </w:t>
      </w:r>
      <w:r>
        <w:rPr>
          <w:rFonts w:ascii="宋体" w:hAnsi="宋体" w:cs="宋体" w:eastAsia="宋体" w:hint="default"/>
          <w:spacing w:val="-5"/>
          <w:sz w:val="18"/>
          <w:szCs w:val="18"/>
        </w:rPr>
        <w:t>元，减少幅度</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120.64%</w:t>
      </w:r>
      <w:r>
        <w:rPr>
          <w:rFonts w:ascii="宋体" w:hAnsi="宋体" w:cs="宋体" w:eastAsia="宋体" w:hint="default"/>
          <w:sz w:val="18"/>
          <w:szCs w:val="18"/>
        </w:rPr>
        <w:t>，主要原因是本期采购消耗性生物资产支 付的购货款较上期增加所致。</w:t>
      </w:r>
    </w:p>
    <w:p>
      <w:pPr>
        <w:spacing w:before="74"/>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line="240" w:lineRule="auto" w:before="10"/>
        <w:rPr>
          <w:rFonts w:ascii="宋体" w:hAnsi="宋体" w:cs="宋体" w:eastAsia="宋体" w:hint="default"/>
          <w:sz w:val="17"/>
          <w:szCs w:val="17"/>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3"/>
          <w:szCs w:val="13"/>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before="2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478"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5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941"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931" w:right="0"/>
              <w:jc w:val="left"/>
              <w:rPr>
                <w:rFonts w:ascii="Times New Roman" w:hAnsi="Times New Roman" w:cs="Times New Roman" w:eastAsia="Times New Roman" w:hint="default"/>
                <w:sz w:val="18"/>
                <w:szCs w:val="18"/>
              </w:rPr>
            </w:pPr>
            <w:r>
              <w:rPr>
                <w:rFonts w:ascii="Times New Roman"/>
                <w:sz w:val="18"/>
              </w:rPr>
              <w:t>9,800,000.00</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2.24%</w:t>
            </w:r>
          </w:p>
        </w:tc>
        <w:tc>
          <w:tcPr>
            <w:tcW w:w="2254" w:type="dxa"/>
            <w:vMerge w:val="restart"/>
            <w:tcBorders>
              <w:top w:val="single" w:sz="4" w:space="0" w:color="000000"/>
              <w:left w:val="single" w:sz="4" w:space="0" w:color="000000"/>
              <w:right w:val="single" w:sz="9" w:space="0" w:color="FFFFFF"/>
            </w:tcBorders>
          </w:tcPr>
          <w:p>
            <w:pPr>
              <w:pStyle w:val="TableParagraph"/>
              <w:spacing w:line="463" w:lineRule="auto" w:before="88"/>
              <w:ind w:left="23" w:right="-37"/>
              <w:jc w:val="both"/>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日长春 农村商业银行股份有限公司 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p>
            <w:pPr>
              <w:pStyle w:val="TableParagraph"/>
              <w:spacing w:line="240" w:lineRule="auto" w:before="34"/>
              <w:ind w:left="23" w:right="0"/>
              <w:jc w:val="both"/>
              <w:rPr>
                <w:rFonts w:ascii="宋体" w:hAnsi="宋体" w:cs="宋体" w:eastAsia="宋体" w:hint="default"/>
                <w:sz w:val="18"/>
                <w:szCs w:val="18"/>
              </w:rPr>
            </w:pPr>
            <w:r>
              <w:rPr>
                <w:rFonts w:ascii="宋体" w:hAnsi="宋体" w:cs="宋体" w:eastAsia="宋体" w:hint="default"/>
                <w:sz w:val="18"/>
                <w:szCs w:val="18"/>
              </w:rPr>
              <w:t>审议通过了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3" w:right="0"/>
              <w:jc w:val="both"/>
              <w:rPr>
                <w:rFonts w:ascii="宋体" w:hAnsi="宋体" w:cs="宋体" w:eastAsia="宋体" w:hint="default"/>
                <w:sz w:val="18"/>
                <w:szCs w:val="18"/>
              </w:rPr>
            </w:pPr>
            <w:r>
              <w:rPr>
                <w:rFonts w:ascii="宋体" w:hAnsi="宋体" w:cs="宋体" w:eastAsia="宋体" w:hint="default"/>
                <w:sz w:val="18"/>
                <w:szCs w:val="18"/>
              </w:rPr>
              <w:t>分配方案，按照每股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元</w:t>
            </w:r>
          </w:p>
        </w:tc>
        <w:tc>
          <w:tcPr>
            <w:tcW w:w="2254" w:type="dxa"/>
            <w:vMerge w:val="restart"/>
            <w:tcBorders>
              <w:top w:val="single" w:sz="4" w:space="0" w:color="000000"/>
              <w:left w:val="single" w:sz="9" w:space="0" w:color="FFFFFF"/>
              <w:right w:val="single" w:sz="4" w:space="0" w:color="000000"/>
            </w:tcBorders>
          </w:tcPr>
          <w:p>
            <w:pPr/>
          </w:p>
        </w:tc>
      </w:tr>
      <w:tr>
        <w:trPr>
          <w:trHeight w:val="468"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9" w:space="0" w:color="FFFFFF"/>
            </w:tcBorders>
          </w:tcPr>
          <w:p>
            <w:pPr/>
          </w:p>
        </w:tc>
        <w:tc>
          <w:tcPr>
            <w:tcW w:w="2254" w:type="dxa"/>
            <w:vMerge/>
            <w:tcBorders>
              <w:left w:val="single" w:sz="9" w:space="0" w:color="FFFFFF"/>
              <w:right w:val="single" w:sz="4" w:space="0" w:color="000000"/>
            </w:tcBorders>
          </w:tcPr>
          <w:p>
            <w:pPr/>
          </w:p>
        </w:tc>
      </w:tr>
      <w:tr>
        <w:trPr>
          <w:trHeight w:val="941"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9" w:space="0" w:color="FFFFFF"/>
            </w:tcBorders>
          </w:tcPr>
          <w:p>
            <w:pPr/>
          </w:p>
        </w:tc>
        <w:tc>
          <w:tcPr>
            <w:tcW w:w="2254" w:type="dxa"/>
            <w:vMerge/>
            <w:tcBorders>
              <w:left w:val="single" w:sz="9" w:space="0" w:color="FFFFFF"/>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188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463" w:lineRule="auto" w:before="88"/>
              <w:ind w:left="23" w:right="58"/>
              <w:jc w:val="left"/>
              <w:rPr>
                <w:rFonts w:ascii="宋体" w:hAnsi="宋体" w:cs="宋体" w:eastAsia="宋体" w:hint="default"/>
                <w:sz w:val="18"/>
                <w:szCs w:val="18"/>
              </w:rPr>
            </w:pPr>
            <w:r>
              <w:rPr>
                <w:rFonts w:ascii="宋体" w:hAnsi="宋体" w:cs="宋体" w:eastAsia="宋体" w:hint="default"/>
                <w:sz w:val="18"/>
                <w:szCs w:val="18"/>
              </w:rPr>
              <w:t>（含税）的比例，向该行截 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年末登记在册的股 东进行现金分红，本期确认</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投资收益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980 </w:t>
            </w:r>
            <w:r>
              <w:rPr>
                <w:rFonts w:ascii="宋体" w:hAnsi="宋体" w:cs="宋体" w:eastAsia="宋体" w:hint="default"/>
                <w:sz w:val="18"/>
                <w:szCs w:val="18"/>
              </w:rPr>
              <w:t>万元。</w:t>
            </w: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18,273,133.18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4.17%</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81,052.99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0.02%</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26,328,636.05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6.01%</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36,896,291.54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8.42%</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bl>
    <w:p>
      <w:pPr>
        <w:pStyle w:val="Heading2"/>
        <w:spacing w:line="240" w:lineRule="auto" w:before="40"/>
        <w:ind w:left="154" w:right="0"/>
        <w:jc w:val="left"/>
        <w:rPr>
          <w:b w:val="0"/>
          <w:bCs w:val="0"/>
        </w:rPr>
      </w:pPr>
      <w:bookmarkStart w:name="四、资产及负债状况分析" w:id="41"/>
      <w:bookmarkEnd w:id="41"/>
      <w:r>
        <w:rPr>
          <w:b w:val="0"/>
          <w:bCs w:val="0"/>
        </w:rPr>
      </w:r>
      <w:r>
        <w:rPr/>
        <w:t>四、资产及负债状况分析</w:t>
      </w:r>
      <w:r>
        <w:rPr>
          <w:b w:val="0"/>
          <w:bCs w:val="0"/>
        </w:rPr>
      </w:r>
    </w:p>
    <w:p>
      <w:pPr>
        <w:pStyle w:val="Heading3"/>
        <w:spacing w:line="240" w:lineRule="auto" w:before="177"/>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478"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4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占总资产比</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占总资产比</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28"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4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239"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239"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866,777,409.3</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65" w:right="0"/>
              <w:jc w:val="left"/>
              <w:rPr>
                <w:rFonts w:ascii="Times New Roman" w:hAnsi="Times New Roman" w:cs="Times New Roman" w:eastAsia="Times New Roman" w:hint="default"/>
                <w:sz w:val="18"/>
                <w:szCs w:val="18"/>
              </w:rPr>
            </w:pPr>
            <w:r>
              <w:rPr>
                <w:rFonts w:ascii="Times New Roman"/>
                <w:sz w:val="18"/>
              </w:rPr>
              <w:t>9.76%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pacing w:val="-1"/>
                <w:sz w:val="18"/>
              </w:rPr>
              <w:t>1,042,084,236.</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75" w:right="0"/>
              <w:jc w:val="left"/>
              <w:rPr>
                <w:rFonts w:ascii="Times New Roman" w:hAnsi="Times New Roman" w:cs="Times New Roman" w:eastAsia="Times New Roman" w:hint="default"/>
                <w:sz w:val="18"/>
                <w:szCs w:val="18"/>
              </w:rPr>
            </w:pPr>
            <w:r>
              <w:rPr>
                <w:rFonts w:ascii="Times New Roman"/>
                <w:sz w:val="18"/>
              </w:rPr>
              <w:t>15.71%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0" w:right="0"/>
              <w:jc w:val="left"/>
              <w:rPr>
                <w:rFonts w:ascii="Times New Roman" w:hAnsi="Times New Roman" w:cs="Times New Roman" w:eastAsia="Times New Roman" w:hint="default"/>
                <w:sz w:val="18"/>
                <w:szCs w:val="18"/>
              </w:rPr>
            </w:pPr>
            <w:r>
              <w:rPr>
                <w:rFonts w:ascii="Times New Roman"/>
                <w:sz w:val="18"/>
              </w:rPr>
              <w:t>-5.95%</w:t>
            </w:r>
          </w:p>
        </w:tc>
        <w:tc>
          <w:tcPr>
            <w:tcW w:w="2918" w:type="dxa"/>
            <w:vMerge w:val="restart"/>
            <w:tcBorders>
              <w:top w:val="single" w:sz="4" w:space="0" w:color="000000"/>
              <w:left w:val="single" w:sz="4" w:space="0" w:color="000000"/>
              <w:right w:val="single" w:sz="4" w:space="0" w:color="000000"/>
            </w:tcBorders>
          </w:tcPr>
          <w:p>
            <w:pPr/>
          </w:p>
        </w:tc>
      </w:tr>
      <w:tr>
        <w:trPr>
          <w:trHeight w:val="468"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239"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239"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743,993,650.6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65" w:right="0"/>
              <w:jc w:val="left"/>
              <w:rPr>
                <w:rFonts w:ascii="Times New Roman" w:hAnsi="Times New Roman" w:cs="Times New Roman" w:eastAsia="Times New Roman" w:hint="default"/>
                <w:sz w:val="18"/>
                <w:szCs w:val="18"/>
              </w:rPr>
            </w:pPr>
            <w:r>
              <w:rPr>
                <w:rFonts w:ascii="Times New Roman"/>
                <w:sz w:val="18"/>
              </w:rPr>
              <w:t>8.38%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7" w:right="0"/>
              <w:jc w:val="left"/>
              <w:rPr>
                <w:rFonts w:ascii="Times New Roman" w:hAnsi="Times New Roman" w:cs="Times New Roman" w:eastAsia="Times New Roman" w:hint="default"/>
                <w:sz w:val="18"/>
                <w:szCs w:val="18"/>
              </w:rPr>
            </w:pPr>
            <w:r>
              <w:rPr>
                <w:rFonts w:ascii="Times New Roman"/>
                <w:sz w:val="18"/>
              </w:rPr>
              <w:t>617,268,520.98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65" w:right="0"/>
              <w:jc w:val="left"/>
              <w:rPr>
                <w:rFonts w:ascii="Times New Roman" w:hAnsi="Times New Roman" w:cs="Times New Roman" w:eastAsia="Times New Roman" w:hint="default"/>
                <w:sz w:val="18"/>
                <w:szCs w:val="18"/>
              </w:rPr>
            </w:pPr>
            <w:r>
              <w:rPr>
                <w:rFonts w:ascii="Times New Roman"/>
                <w:sz w:val="18"/>
              </w:rPr>
              <w:t>9.30%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0" w:right="0"/>
              <w:jc w:val="left"/>
              <w:rPr>
                <w:rFonts w:ascii="Times New Roman" w:hAnsi="Times New Roman" w:cs="Times New Roman" w:eastAsia="Times New Roman" w:hint="default"/>
                <w:sz w:val="18"/>
                <w:szCs w:val="18"/>
              </w:rPr>
            </w:pPr>
            <w:r>
              <w:rPr>
                <w:rFonts w:ascii="Times New Roman"/>
                <w:sz w:val="18"/>
              </w:rPr>
              <w:t>-0.92%</w:t>
            </w:r>
          </w:p>
        </w:tc>
        <w:tc>
          <w:tcPr>
            <w:tcW w:w="2918" w:type="dxa"/>
            <w:vMerge w:val="restart"/>
            <w:tcBorders>
              <w:top w:val="single" w:sz="4" w:space="0" w:color="000000"/>
              <w:left w:val="single" w:sz="4" w:space="0" w:color="000000"/>
              <w:right w:val="single" w:sz="4" w:space="0" w:color="000000"/>
            </w:tcBorders>
          </w:tcPr>
          <w:p>
            <w:pPr/>
          </w:p>
        </w:tc>
      </w:tr>
      <w:tr>
        <w:trPr>
          <w:trHeight w:val="468"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239"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240"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4,833,163,885.</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75" w:right="0"/>
              <w:jc w:val="left"/>
              <w:rPr>
                <w:rFonts w:ascii="Times New Roman" w:hAnsi="Times New Roman" w:cs="Times New Roman" w:eastAsia="Times New Roman" w:hint="default"/>
                <w:sz w:val="18"/>
                <w:szCs w:val="18"/>
              </w:rPr>
            </w:pPr>
            <w:r>
              <w:rPr>
                <w:rFonts w:ascii="Times New Roman"/>
                <w:sz w:val="18"/>
              </w:rPr>
              <w:t>54.43%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2,673,244,932.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75" w:right="0"/>
              <w:jc w:val="left"/>
              <w:rPr>
                <w:rFonts w:ascii="Times New Roman" w:hAnsi="Times New Roman" w:cs="Times New Roman" w:eastAsia="Times New Roman" w:hint="default"/>
                <w:sz w:val="18"/>
                <w:szCs w:val="18"/>
              </w:rPr>
            </w:pPr>
            <w:r>
              <w:rPr>
                <w:rFonts w:ascii="Times New Roman"/>
                <w:sz w:val="18"/>
              </w:rPr>
              <w:t>40.30%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0" w:right="0"/>
              <w:jc w:val="left"/>
              <w:rPr>
                <w:rFonts w:ascii="Times New Roman" w:hAnsi="Times New Roman" w:cs="Times New Roman" w:eastAsia="Times New Roman" w:hint="default"/>
                <w:sz w:val="18"/>
                <w:szCs w:val="18"/>
              </w:rPr>
            </w:pPr>
            <w:r>
              <w:rPr>
                <w:rFonts w:ascii="Times New Roman"/>
                <w:sz w:val="18"/>
              </w:rPr>
              <w:t>14.13%</w:t>
            </w:r>
          </w:p>
        </w:tc>
        <w:tc>
          <w:tcPr>
            <w:tcW w:w="2918" w:type="dxa"/>
            <w:vMerge w:val="restart"/>
            <w:tcBorders>
              <w:top w:val="single" w:sz="4" w:space="0" w:color="000000"/>
              <w:left w:val="single" w:sz="4" w:space="0" w:color="000000"/>
              <w:right w:val="single" w:sz="4" w:space="0" w:color="000000"/>
            </w:tcBorders>
          </w:tcPr>
          <w:p>
            <w:pPr/>
          </w:p>
        </w:tc>
      </w:tr>
      <w:tr>
        <w:trPr>
          <w:trHeight w:val="468"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239"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239"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pacing w:val="-1"/>
                <w:sz w:val="18"/>
              </w:rPr>
              <w:t>1,143,891,929.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75" w:right="0"/>
              <w:jc w:val="left"/>
              <w:rPr>
                <w:rFonts w:ascii="Times New Roman" w:hAnsi="Times New Roman" w:cs="Times New Roman" w:eastAsia="Times New Roman" w:hint="default"/>
                <w:sz w:val="18"/>
                <w:szCs w:val="18"/>
              </w:rPr>
            </w:pPr>
            <w:r>
              <w:rPr>
                <w:rFonts w:ascii="Times New Roman"/>
                <w:sz w:val="18"/>
              </w:rPr>
              <w:t>12.88%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7" w:right="0"/>
              <w:jc w:val="left"/>
              <w:rPr>
                <w:rFonts w:ascii="Times New Roman" w:hAnsi="Times New Roman" w:cs="Times New Roman" w:eastAsia="Times New Roman" w:hint="default"/>
                <w:sz w:val="18"/>
                <w:szCs w:val="18"/>
              </w:rPr>
            </w:pPr>
            <w:r>
              <w:rPr>
                <w:rFonts w:ascii="Times New Roman"/>
                <w:sz w:val="18"/>
              </w:rPr>
              <w:t>862,678,359.68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75" w:right="0"/>
              <w:jc w:val="left"/>
              <w:rPr>
                <w:rFonts w:ascii="Times New Roman" w:hAnsi="Times New Roman" w:cs="Times New Roman" w:eastAsia="Times New Roman" w:hint="default"/>
                <w:sz w:val="18"/>
                <w:szCs w:val="18"/>
              </w:rPr>
            </w:pPr>
            <w:r>
              <w:rPr>
                <w:rFonts w:ascii="Times New Roman"/>
                <w:sz w:val="18"/>
              </w:rPr>
              <w:t>13.00%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0" w:right="0"/>
              <w:jc w:val="left"/>
              <w:rPr>
                <w:rFonts w:ascii="Times New Roman" w:hAnsi="Times New Roman" w:cs="Times New Roman" w:eastAsia="Times New Roman" w:hint="default"/>
                <w:sz w:val="18"/>
                <w:szCs w:val="18"/>
              </w:rPr>
            </w:pPr>
            <w:r>
              <w:rPr>
                <w:rFonts w:ascii="Times New Roman"/>
                <w:sz w:val="18"/>
              </w:rPr>
              <w:t>-0.12%</w:t>
            </w:r>
          </w:p>
        </w:tc>
        <w:tc>
          <w:tcPr>
            <w:tcW w:w="2918" w:type="dxa"/>
            <w:vMerge w:val="restart"/>
            <w:tcBorders>
              <w:top w:val="single" w:sz="4" w:space="0" w:color="000000"/>
              <w:left w:val="single" w:sz="4" w:space="0" w:color="000000"/>
              <w:right w:val="single" w:sz="4" w:space="0" w:color="000000"/>
            </w:tcBorders>
          </w:tcPr>
          <w:p>
            <w:pPr/>
          </w:p>
        </w:tc>
      </w:tr>
      <w:tr>
        <w:trPr>
          <w:trHeight w:val="468"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239"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239"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568,983,804.0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65" w:right="0"/>
              <w:jc w:val="left"/>
              <w:rPr>
                <w:rFonts w:ascii="Times New Roman" w:hAnsi="Times New Roman" w:cs="Times New Roman" w:eastAsia="Times New Roman" w:hint="default"/>
                <w:sz w:val="18"/>
                <w:szCs w:val="18"/>
              </w:rPr>
            </w:pPr>
            <w:r>
              <w:rPr>
                <w:rFonts w:ascii="Times New Roman"/>
                <w:sz w:val="18"/>
              </w:rPr>
              <w:t>6.41%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7" w:right="0"/>
              <w:jc w:val="left"/>
              <w:rPr>
                <w:rFonts w:ascii="Times New Roman" w:hAnsi="Times New Roman" w:cs="Times New Roman" w:eastAsia="Times New Roman" w:hint="default"/>
                <w:sz w:val="18"/>
                <w:szCs w:val="18"/>
              </w:rPr>
            </w:pPr>
            <w:r>
              <w:rPr>
                <w:rFonts w:ascii="Times New Roman"/>
                <w:sz w:val="18"/>
              </w:rPr>
              <w:t>755,189,871.45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81" w:right="0"/>
              <w:jc w:val="left"/>
              <w:rPr>
                <w:rFonts w:ascii="Times New Roman" w:hAnsi="Times New Roman" w:cs="Times New Roman" w:eastAsia="Times New Roman" w:hint="default"/>
                <w:sz w:val="18"/>
                <w:szCs w:val="18"/>
              </w:rPr>
            </w:pPr>
            <w:r>
              <w:rPr>
                <w:rFonts w:ascii="Times New Roman"/>
                <w:sz w:val="18"/>
              </w:rPr>
              <w:t>11.38%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0" w:right="0"/>
              <w:jc w:val="left"/>
              <w:rPr>
                <w:rFonts w:ascii="Times New Roman" w:hAnsi="Times New Roman" w:cs="Times New Roman" w:eastAsia="Times New Roman" w:hint="default"/>
                <w:sz w:val="18"/>
                <w:szCs w:val="18"/>
              </w:rPr>
            </w:pPr>
            <w:r>
              <w:rPr>
                <w:rFonts w:ascii="Times New Roman"/>
                <w:sz w:val="18"/>
              </w:rPr>
              <w:t>-4.97%</w:t>
            </w:r>
          </w:p>
        </w:tc>
        <w:tc>
          <w:tcPr>
            <w:tcW w:w="2918" w:type="dxa"/>
            <w:vMerge w:val="restart"/>
            <w:tcBorders>
              <w:top w:val="single" w:sz="4" w:space="0" w:color="000000"/>
              <w:left w:val="single" w:sz="4" w:space="0" w:color="000000"/>
              <w:right w:val="single" w:sz="4" w:space="0" w:color="000000"/>
            </w:tcBorders>
          </w:tcPr>
          <w:p>
            <w:pPr/>
          </w:p>
        </w:tc>
      </w:tr>
      <w:tr>
        <w:trPr>
          <w:trHeight w:val="468"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239"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240"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2,991,000,000.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75" w:right="0"/>
              <w:jc w:val="left"/>
              <w:rPr>
                <w:rFonts w:ascii="Times New Roman" w:hAnsi="Times New Roman" w:cs="Times New Roman" w:eastAsia="Times New Roman" w:hint="default"/>
                <w:sz w:val="18"/>
                <w:szCs w:val="18"/>
              </w:rPr>
            </w:pPr>
            <w:r>
              <w:rPr>
                <w:rFonts w:ascii="Times New Roman"/>
                <w:sz w:val="18"/>
              </w:rPr>
              <w:t>33.68%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1,977,000,000.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75" w:right="0"/>
              <w:jc w:val="left"/>
              <w:rPr>
                <w:rFonts w:ascii="Times New Roman" w:hAnsi="Times New Roman" w:cs="Times New Roman" w:eastAsia="Times New Roman" w:hint="default"/>
                <w:sz w:val="18"/>
                <w:szCs w:val="18"/>
              </w:rPr>
            </w:pPr>
            <w:r>
              <w:rPr>
                <w:rFonts w:ascii="Times New Roman"/>
                <w:sz w:val="18"/>
              </w:rPr>
              <w:t>29.80%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0" w:right="0"/>
              <w:jc w:val="left"/>
              <w:rPr>
                <w:rFonts w:ascii="Times New Roman" w:hAnsi="Times New Roman" w:cs="Times New Roman" w:eastAsia="Times New Roman" w:hint="default"/>
                <w:sz w:val="18"/>
                <w:szCs w:val="18"/>
              </w:rPr>
            </w:pPr>
            <w:r>
              <w:rPr>
                <w:rFonts w:ascii="Times New Roman"/>
                <w:sz w:val="18"/>
              </w:rPr>
              <w:t>3.88%</w:t>
            </w:r>
          </w:p>
        </w:tc>
        <w:tc>
          <w:tcPr>
            <w:tcW w:w="2918" w:type="dxa"/>
            <w:vMerge w:val="restart"/>
            <w:tcBorders>
              <w:top w:val="single" w:sz="4" w:space="0" w:color="000000"/>
              <w:left w:val="single" w:sz="4" w:space="0" w:color="000000"/>
              <w:right w:val="single" w:sz="4" w:space="0" w:color="000000"/>
            </w:tcBorders>
          </w:tcPr>
          <w:p>
            <w:pPr/>
          </w:p>
        </w:tc>
      </w:tr>
      <w:tr>
        <w:trPr>
          <w:trHeight w:val="468"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239"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239"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958,500,000.0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75" w:right="0"/>
              <w:jc w:val="left"/>
              <w:rPr>
                <w:rFonts w:ascii="Times New Roman" w:hAnsi="Times New Roman" w:cs="Times New Roman" w:eastAsia="Times New Roman" w:hint="default"/>
                <w:sz w:val="18"/>
                <w:szCs w:val="18"/>
              </w:rPr>
            </w:pPr>
            <w:r>
              <w:rPr>
                <w:rFonts w:ascii="Times New Roman"/>
                <w:sz w:val="18"/>
              </w:rPr>
              <w:t>10.79%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7" w:right="0"/>
              <w:jc w:val="left"/>
              <w:rPr>
                <w:rFonts w:ascii="Times New Roman" w:hAnsi="Times New Roman" w:cs="Times New Roman" w:eastAsia="Times New Roman" w:hint="default"/>
                <w:sz w:val="18"/>
                <w:szCs w:val="18"/>
              </w:rPr>
            </w:pPr>
            <w:r>
              <w:rPr>
                <w:rFonts w:ascii="Times New Roman"/>
                <w:sz w:val="18"/>
              </w:rPr>
              <w:t>396,000,000.00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65" w:right="0"/>
              <w:jc w:val="left"/>
              <w:rPr>
                <w:rFonts w:ascii="Times New Roman" w:hAnsi="Times New Roman" w:cs="Times New Roman" w:eastAsia="Times New Roman" w:hint="default"/>
                <w:sz w:val="18"/>
                <w:szCs w:val="18"/>
              </w:rPr>
            </w:pPr>
            <w:r>
              <w:rPr>
                <w:rFonts w:ascii="Times New Roman"/>
                <w:sz w:val="18"/>
              </w:rPr>
              <w:t>5.97%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00" w:right="0"/>
              <w:jc w:val="left"/>
              <w:rPr>
                <w:rFonts w:ascii="Times New Roman" w:hAnsi="Times New Roman" w:cs="Times New Roman" w:eastAsia="Times New Roman" w:hint="default"/>
                <w:sz w:val="18"/>
                <w:szCs w:val="18"/>
              </w:rPr>
            </w:pPr>
            <w:r>
              <w:rPr>
                <w:rFonts w:ascii="Times New Roman"/>
                <w:sz w:val="18"/>
              </w:rPr>
              <w:t>4.82%</w:t>
            </w:r>
          </w:p>
        </w:tc>
        <w:tc>
          <w:tcPr>
            <w:tcW w:w="2918" w:type="dxa"/>
            <w:vMerge w:val="restart"/>
            <w:tcBorders>
              <w:top w:val="single" w:sz="4" w:space="0" w:color="000000"/>
              <w:left w:val="single" w:sz="4" w:space="0" w:color="000000"/>
              <w:right w:val="single" w:sz="4" w:space="0" w:color="000000"/>
            </w:tcBorders>
          </w:tcPr>
          <w:p>
            <w:pPr/>
          </w:p>
        </w:tc>
      </w:tr>
      <w:tr>
        <w:trPr>
          <w:trHeight w:val="468"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239"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6"/>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pStyle w:val="BodyText"/>
        <w:spacing w:line="398" w:lineRule="auto" w:before="177"/>
        <w:ind w:right="0" w:firstLine="482"/>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日，公司第六届董事会第一次会议审议通过了《关于全资子公司开展售后回租融资租赁 业务的议案》，公司全资子公司吉林紫鑫般若药业有限公司将其部分生产设备及设施与平安国际融资租赁 </w:t>
      </w:r>
      <w:r>
        <w:rPr>
          <w:spacing w:val="-3"/>
        </w:rPr>
        <w:t>有限公司开展售后回租融资租赁业务，融资金额不超过</w:t>
      </w:r>
      <w:r>
        <w:rPr>
          <w:rFonts w:ascii="Times New Roman" w:hAnsi="Times New Roman" w:cs="Times New Roman" w:eastAsia="Times New Roman" w:hint="default"/>
          <w:spacing w:val="-3"/>
        </w:rPr>
        <w:t>2,000.00</w:t>
      </w:r>
      <w:r>
        <w:rPr>
          <w:spacing w:val="-3"/>
        </w:rPr>
        <w:t>万元人民币，融资期限为</w:t>
      </w:r>
      <w:r>
        <w:rPr>
          <w:rFonts w:ascii="Times New Roman" w:hAnsi="Times New Roman" w:cs="Times New Roman" w:eastAsia="Times New Roman" w:hint="default"/>
          <w:spacing w:val="-3"/>
        </w:rPr>
        <w:t>3</w:t>
      </w:r>
      <w:r>
        <w:rPr>
          <w:spacing w:val="-3"/>
        </w:rPr>
        <w:t>年。在租赁期间，</w:t>
      </w:r>
      <w:r>
        <w:rPr>
          <w:spacing w:val="-80"/>
        </w:rPr>
        <w:t> </w:t>
      </w:r>
      <w:r>
        <w:rPr>
          <w:spacing w:val="-80"/>
        </w:rPr>
      </w:r>
      <w:r>
        <w:rPr/>
        <w:t>般若药业以回租方式继续占有并使用该部分生产设备及设施，同时按双方约定向平安国际融资租赁有限公</w:t>
      </w:r>
      <w:r>
        <w:rPr/>
        <w:t> 司支付租金和费用，租赁期满，般若药业以留购价格人民币</w:t>
      </w:r>
      <w:r>
        <w:rPr>
          <w:rFonts w:ascii="Times New Roman" w:hAnsi="Times New Roman" w:cs="Times New Roman" w:eastAsia="Times New Roman" w:hint="default"/>
        </w:rPr>
        <w:t>100.00</w:t>
      </w:r>
      <w:r>
        <w:rPr/>
        <w:t>元回购此融资租赁资产所有权。</w:t>
      </w:r>
    </w:p>
    <w:p>
      <w:pPr>
        <w:pStyle w:val="BodyText"/>
        <w:spacing w:line="398" w:lineRule="auto" w:before="24"/>
        <w:ind w:left="154" w:right="1131" w:firstLine="482"/>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17</w:t>
      </w:r>
      <w:r>
        <w:rPr>
          <w:spacing w:val="-2"/>
        </w:rPr>
        <w:t>日，公司第六届董事会第八次会议审议通过了《关于公司开展售后回租融资租赁业务的</w:t>
      </w:r>
      <w:r>
        <w:rPr/>
        <w:t> </w:t>
      </w:r>
      <w:r>
        <w:rPr>
          <w:spacing w:val="-1"/>
        </w:rPr>
        <w:t>议案》，公司将其部分生产设备及设施与安徽兴泰融资租赁有限责任公司开展售后回租融资租赁业务，融</w:t>
      </w:r>
      <w:r>
        <w:rPr>
          <w:spacing w:val="-83"/>
        </w:rPr>
        <w:t> </w:t>
      </w:r>
      <w:r>
        <w:rPr>
          <w:spacing w:val="-83"/>
        </w:rPr>
      </w:r>
      <w:r>
        <w:rPr>
          <w:spacing w:val="-1"/>
        </w:rPr>
        <w:t>资金额不超过</w:t>
      </w:r>
      <w:r>
        <w:rPr>
          <w:rFonts w:ascii="Times New Roman" w:hAnsi="Times New Roman" w:cs="Times New Roman" w:eastAsia="Times New Roman" w:hint="default"/>
          <w:spacing w:val="-1"/>
        </w:rPr>
        <w:t>6,500.00</w:t>
      </w:r>
      <w:r>
        <w:rPr>
          <w:spacing w:val="-1"/>
        </w:rPr>
        <w:t>万元人民币，融资期限为</w:t>
      </w:r>
      <w:r>
        <w:rPr>
          <w:rFonts w:ascii="Times New Roman" w:hAnsi="Times New Roman" w:cs="Times New Roman" w:eastAsia="Times New Roman" w:hint="default"/>
          <w:spacing w:val="-1"/>
        </w:rPr>
        <w:t>3</w:t>
      </w:r>
      <w:r>
        <w:rPr>
          <w:spacing w:val="-1"/>
        </w:rPr>
        <w:t>年。在租赁期间，公司以回租方式继续占有并使用该部分</w:t>
      </w:r>
      <w:r>
        <w:rPr>
          <w:spacing w:val="-82"/>
        </w:rPr>
        <w:t> </w:t>
      </w:r>
      <w:r>
        <w:rPr>
          <w:spacing w:val="-82"/>
        </w:rPr>
      </w:r>
      <w:r>
        <w:rPr>
          <w:spacing w:val="-1"/>
        </w:rPr>
        <w:t>生产设备及设施，同时按双方约定向安徽兴泰融资租赁有限责任公司支付租金和费用，租赁期满，公司以</w:t>
      </w:r>
      <w:r>
        <w:rPr>
          <w:spacing w:val="-83"/>
        </w:rPr>
        <w:t> </w:t>
      </w:r>
      <w:r>
        <w:rPr>
          <w:spacing w:val="-83"/>
        </w:rPr>
      </w:r>
      <w:r>
        <w:rPr/>
        <w:t>留购价格人民币</w:t>
      </w:r>
      <w:r>
        <w:rPr>
          <w:rFonts w:ascii="Times New Roman" w:hAnsi="Times New Roman" w:cs="Times New Roman" w:eastAsia="Times New Roman" w:hint="default"/>
        </w:rPr>
        <w:t>1,000.00</w:t>
      </w:r>
      <w:r>
        <w:rPr/>
        <w:t>元回购此融资租赁资产所有权。</w:t>
      </w:r>
    </w:p>
    <w:p>
      <w:pPr>
        <w:pStyle w:val="BodyText"/>
        <w:spacing w:line="396" w:lineRule="auto" w:before="24"/>
        <w:ind w:right="1131" w:firstLine="482"/>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17</w:t>
      </w:r>
      <w:r>
        <w:rPr>
          <w:spacing w:val="-2"/>
        </w:rPr>
        <w:t>日，公司第六届董事会第八次会议审议通过了《关于为全资子公司开展售后回租融资租</w:t>
      </w:r>
      <w:r>
        <w:rPr/>
        <w:t> </w:t>
      </w:r>
      <w:r>
        <w:rPr>
          <w:spacing w:val="-1"/>
        </w:rPr>
        <w:t>赁业务提供担保的议案》，公司全资子公司吉林紫鑫禺拙药业有限公司将其部分生产设备及设施与安徽兴</w:t>
      </w:r>
      <w:r>
        <w:rPr>
          <w:spacing w:val="-81"/>
        </w:rPr>
        <w:t> </w:t>
      </w:r>
      <w:r>
        <w:rPr>
          <w:spacing w:val="-81"/>
        </w:rPr>
      </w:r>
      <w:r>
        <w:rPr>
          <w:spacing w:val="-1"/>
        </w:rPr>
        <w:t>泰融资租赁有限责任公司开展售后回租融资租赁业务，融资金额不超过</w:t>
      </w:r>
      <w:r>
        <w:rPr>
          <w:rFonts w:ascii="Times New Roman" w:hAnsi="Times New Roman" w:cs="Times New Roman" w:eastAsia="Times New Roman" w:hint="default"/>
          <w:spacing w:val="-1"/>
        </w:rPr>
        <w:t>3,500.00</w:t>
      </w:r>
      <w:r>
        <w:rPr>
          <w:spacing w:val="-1"/>
        </w:rPr>
        <w:t>万元人民币，融资期限为</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6"/>
        </w:rPr>
        <w:t> </w:t>
      </w:r>
      <w:r>
        <w:rPr>
          <w:spacing w:val="-1"/>
        </w:rPr>
        <w:t>年。在租赁期间，禺拙药业以回租方式继续占有并使用该部分生产设备及设施，同时按双方约定向安徽兴</w:t>
      </w:r>
      <w:r>
        <w:rPr>
          <w:spacing w:val="-83"/>
        </w:rPr>
        <w:t> </w:t>
      </w:r>
      <w:r>
        <w:rPr>
          <w:spacing w:val="-83"/>
        </w:rPr>
      </w:r>
      <w:r>
        <w:rPr/>
        <w:t>泰融资租赁有限责任公司支付租金和费用，租赁期满，禺拙药业以留购价格人民币</w:t>
      </w:r>
      <w:r>
        <w:rPr>
          <w:rFonts w:ascii="Times New Roman" w:hAnsi="Times New Roman" w:cs="Times New Roman" w:eastAsia="Times New Roman" w:hint="default"/>
        </w:rPr>
        <w:t>1,000.00</w:t>
      </w:r>
      <w:r>
        <w:rPr/>
        <w:t>元回购此融资</w:t>
      </w:r>
      <w:r>
        <w:rPr>
          <w:spacing w:val="-27"/>
        </w:rPr>
        <w:t> </w:t>
      </w:r>
      <w:r>
        <w:rPr>
          <w:spacing w:val="-27"/>
        </w:rPr>
      </w:r>
      <w:r>
        <w:rPr/>
        <w:t>租赁资产所有权。</w:t>
      </w:r>
    </w:p>
    <w:p>
      <w:pPr>
        <w:pStyle w:val="BodyText"/>
        <w:spacing w:line="398" w:lineRule="auto" w:before="56"/>
        <w:ind w:right="1110" w:firstLine="482"/>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29</w:t>
      </w:r>
      <w:r>
        <w:rPr>
          <w:spacing w:val="-2"/>
        </w:rPr>
        <w:t>日，公司第六届董事会第十六次会议审议通过了《关于全资子公司开展售后回租融资租</w:t>
      </w:r>
      <w:r>
        <w:rPr/>
        <w:t> </w:t>
      </w:r>
      <w:r>
        <w:rPr>
          <w:spacing w:val="-1"/>
        </w:rPr>
        <w:t>赁业务的议案》，公司全资子公司吉林草还丹药业有限公司将其部分生产设备及设施与无锡金控融资租赁</w:t>
      </w:r>
      <w:r>
        <w:rPr>
          <w:spacing w:val="-81"/>
        </w:rPr>
        <w:t> </w:t>
      </w:r>
      <w:r>
        <w:rPr>
          <w:spacing w:val="-81"/>
        </w:rPr>
      </w:r>
      <w:r>
        <w:rPr/>
        <w:t>有限公司开展售后回租融资租赁业务，融资金额不超过</w:t>
      </w:r>
      <w:r>
        <w:rPr>
          <w:rFonts w:ascii="Times New Roman" w:hAnsi="Times New Roman" w:cs="Times New Roman" w:eastAsia="Times New Roman" w:hint="default"/>
        </w:rPr>
        <w:t>2,500.00</w:t>
      </w:r>
      <w:r>
        <w:rPr/>
        <w:t>万元人民币，融资期限</w:t>
      </w:r>
      <w:r>
        <w:rPr>
          <w:rFonts w:ascii="Times New Roman" w:hAnsi="Times New Roman" w:cs="Times New Roman" w:eastAsia="Times New Roman" w:hint="default"/>
        </w:rPr>
        <w:t>2</w:t>
      </w:r>
      <w:r>
        <w:rPr/>
        <w:t>年。在租赁期间， </w:t>
      </w:r>
      <w:r>
        <w:rPr>
          <w:spacing w:val="-1"/>
        </w:rPr>
        <w:t>草还丹药业以回租方式继续占有并使用该部分生产设备及设施，同时按双方约定向无锡金控融资租赁有限</w:t>
      </w:r>
      <w:r>
        <w:rPr>
          <w:spacing w:val="-81"/>
        </w:rPr>
        <w:t> </w:t>
      </w:r>
      <w:r>
        <w:rPr>
          <w:spacing w:val="-81"/>
        </w:rPr>
      </w:r>
      <w:r>
        <w:rPr/>
        <w:t>公司支付租金和费用，租赁期满，草还丹药业以留购价格人民币</w:t>
      </w:r>
      <w:r>
        <w:rPr>
          <w:rFonts w:ascii="Times New Roman" w:hAnsi="Times New Roman" w:cs="Times New Roman" w:eastAsia="Times New Roman" w:hint="default"/>
        </w:rPr>
        <w:t>100.00</w:t>
      </w:r>
      <w:r>
        <w:rPr/>
        <w:t>元回购此融资租赁资产所有权。</w:t>
      </w:r>
    </w:p>
    <w:p>
      <w:pPr>
        <w:pStyle w:val="BodyText"/>
        <w:spacing w:line="396" w:lineRule="auto" w:before="24"/>
        <w:ind w:left="154" w:right="1007" w:firstLine="336"/>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日，公司第六届董事会第十八次会议审议通过了《关于全资子公司开展售后回租融资租赁 业务的议案》，公司全资子公司吉林紫鑫初元药业有限公司将其部分生产设备及设施与新力德润（天津） 租赁有限公司开展售后回租融资租赁业务，融资金额不超过</w:t>
      </w:r>
      <w:r>
        <w:rPr>
          <w:rFonts w:ascii="Times New Roman" w:hAnsi="Times New Roman" w:cs="Times New Roman" w:eastAsia="Times New Roman" w:hint="default"/>
        </w:rPr>
        <w:t>7,000.00</w:t>
      </w:r>
      <w:r>
        <w:rPr/>
        <w:t>万元人民币，融资期限为</w:t>
      </w:r>
      <w:r>
        <w:rPr>
          <w:rFonts w:ascii="Times New Roman" w:hAnsi="Times New Roman" w:cs="Times New Roman" w:eastAsia="Times New Roman" w:hint="default"/>
        </w:rPr>
        <w:t>3</w:t>
      </w:r>
      <w:r>
        <w:rPr/>
        <w:t>年。在租赁 期间，初元药业以回租方式继续占有并使用该部分生产设备及设施，同时按双方约定向</w:t>
      </w:r>
      <w:r>
        <w:rPr>
          <w:spacing w:val="-20"/>
        </w:rPr>
        <w:t> </w:t>
      </w:r>
      <w:r>
        <w:rPr/>
        <w:t>新力德润（天津）</w:t>
      </w:r>
      <w:r>
        <w:rPr/>
        <w:t> 租赁有限公司支付租金和费用，租赁期满，初元药业以留购价格人民币</w:t>
      </w:r>
      <w:r>
        <w:rPr>
          <w:rFonts w:ascii="Times New Roman" w:hAnsi="Times New Roman" w:cs="Times New Roman" w:eastAsia="Times New Roman" w:hint="default"/>
        </w:rPr>
        <w:t>1,000.00</w:t>
      </w:r>
      <w:r>
        <w:rPr/>
        <w:t>元回购此融资租赁资产所</w:t>
      </w:r>
      <w:r>
        <w:rPr>
          <w:spacing w:val="-28"/>
        </w:rPr>
        <w:t> </w:t>
      </w:r>
      <w:r>
        <w:rPr>
          <w:spacing w:val="-28"/>
        </w:rPr>
      </w:r>
      <w:r>
        <w:rPr/>
        <w:t>有权。</w:t>
      </w:r>
    </w:p>
    <w:p>
      <w:pPr>
        <w:spacing w:after="0" w:line="39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98" w:lineRule="auto" w:before="174"/>
        <w:ind w:right="0" w:firstLine="336"/>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w:t>
      </w:r>
      <w:r>
        <w:rPr/>
        <w:t>日，公司第六届董事会第二十二次会议（临时）审议通过了《关于全资子公司分别开展售 后回租融资租赁业务的议案》，公司全资子公司吉林紫鑫般若药业有限公司将其部分生产设备及设施与中 远海运租赁有限公司开展售后回租融资租赁业务，融资金额不超过</w:t>
      </w:r>
      <w:r>
        <w:rPr>
          <w:rFonts w:ascii="Times New Roman" w:hAnsi="Times New Roman" w:cs="Times New Roman" w:eastAsia="Times New Roman" w:hint="default"/>
        </w:rPr>
        <w:t>2,500.00</w:t>
      </w:r>
      <w:r>
        <w:rPr/>
        <w:t>万元人民币，融资期限为</w:t>
      </w:r>
      <w:r>
        <w:rPr>
          <w:rFonts w:ascii="Times New Roman" w:hAnsi="Times New Roman" w:cs="Times New Roman" w:eastAsia="Times New Roman" w:hint="default"/>
        </w:rPr>
        <w:t>3</w:t>
      </w:r>
      <w:r>
        <w:rPr/>
        <w:t>年。 在租赁期间，般若药业以回租方式继续占有并使用该部分生产设备及设施，同时按双方约定向中远海运租 </w:t>
      </w:r>
      <w:r>
        <w:rPr>
          <w:spacing w:val="-2"/>
        </w:rPr>
        <w:t>赁有限公司支付租金和费用，租赁期满，般若药业以留购价格人民币</w:t>
      </w:r>
      <w:r>
        <w:rPr>
          <w:rFonts w:ascii="Times New Roman" w:hAnsi="Times New Roman" w:cs="Times New Roman" w:eastAsia="Times New Roman" w:hint="default"/>
          <w:spacing w:val="-2"/>
        </w:rPr>
        <w:t>100.00</w:t>
      </w:r>
      <w:r>
        <w:rPr>
          <w:spacing w:val="-2"/>
        </w:rPr>
        <w:t>元回购此融资租赁资产所有权。</w:t>
      </w:r>
      <w:r>
        <w:rPr>
          <w:spacing w:val="-82"/>
        </w:rPr>
        <w:t> </w:t>
      </w:r>
      <w:r>
        <w:rPr>
          <w:spacing w:val="3"/>
        </w:rPr>
        <w:t>公司全资子公司吉林草还丹药业有限公司将其部分生产设备及设施与中远海运租赁有限公司开展售后回</w:t>
      </w:r>
      <w:r>
        <w:rPr>
          <w:spacing w:val="-82"/>
        </w:rPr>
        <w:t> </w:t>
      </w:r>
      <w:r>
        <w:rPr>
          <w:spacing w:val="-82"/>
        </w:rPr>
      </w:r>
      <w:r>
        <w:rPr/>
        <w:t>租融资租赁业务，融资金额不超过</w:t>
      </w:r>
      <w:r>
        <w:rPr>
          <w:rFonts w:ascii="Times New Roman" w:hAnsi="Times New Roman" w:cs="Times New Roman" w:eastAsia="Times New Roman" w:hint="default"/>
        </w:rPr>
        <w:t>2,500.00</w:t>
      </w:r>
      <w:r>
        <w:rPr/>
        <w:t>万元人民币，融资期限为</w:t>
      </w:r>
      <w:r>
        <w:rPr>
          <w:rFonts w:ascii="Times New Roman" w:hAnsi="Times New Roman" w:cs="Times New Roman" w:eastAsia="Times New Roman" w:hint="default"/>
        </w:rPr>
        <w:t>3</w:t>
      </w:r>
      <w:r>
        <w:rPr/>
        <w:t>年。在租赁期间，草还丹药业以回租 方式继续占有并使用该部分生产设备及设施，同时按双方约定向中远海运租赁有限公司支付租金和费用， 租赁期满，草还丹药业以留购价格人民币</w:t>
      </w:r>
      <w:r>
        <w:rPr>
          <w:rFonts w:ascii="Times New Roman" w:hAnsi="Times New Roman" w:cs="Times New Roman" w:eastAsia="Times New Roman" w:hint="default"/>
        </w:rPr>
        <w:t>100.00</w:t>
      </w:r>
      <w:r>
        <w:rPr/>
        <w:t>元回购此融资租赁资产所有权。</w:t>
      </w:r>
    </w:p>
    <w:p>
      <w:pPr>
        <w:pStyle w:val="Heading2"/>
        <w:spacing w:line="240" w:lineRule="auto"/>
        <w:ind w:right="0"/>
        <w:jc w:val="left"/>
        <w:rPr>
          <w:b w:val="0"/>
          <w:bCs w:val="0"/>
        </w:rPr>
      </w:pPr>
      <w:bookmarkStart w:name="五、投资状况分析" w:id="45"/>
      <w:bookmarkEnd w:id="45"/>
      <w:r>
        <w:rPr>
          <w:b w:val="0"/>
          <w:bCs w:val="0"/>
        </w:rPr>
      </w:r>
      <w:r>
        <w:rPr/>
        <w:t>五、投资状况分析</w:t>
      </w:r>
      <w:r>
        <w:rPr>
          <w:b w:val="0"/>
          <w:bCs w:val="0"/>
        </w:rPr>
      </w:r>
    </w:p>
    <w:p>
      <w:pPr>
        <w:pStyle w:val="Heading3"/>
        <w:spacing w:line="240" w:lineRule="auto" w:before="177"/>
        <w:ind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6"/>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7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79"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030" w:right="0"/>
              <w:jc w:val="left"/>
              <w:rPr>
                <w:rFonts w:ascii="Times New Roman" w:hAnsi="Times New Roman" w:cs="Times New Roman" w:eastAsia="Times New Roman" w:hint="default"/>
                <w:sz w:val="18"/>
                <w:szCs w:val="18"/>
              </w:rPr>
            </w:pPr>
            <w:r>
              <w:rPr>
                <w:rFonts w:ascii="Times New Roman"/>
                <w:sz w:val="18"/>
              </w:rPr>
              <w:t>165,613,434.76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033" w:right="0"/>
              <w:jc w:val="left"/>
              <w:rPr>
                <w:rFonts w:ascii="Times New Roman" w:hAnsi="Times New Roman" w:cs="Times New Roman" w:eastAsia="Times New Roman" w:hint="default"/>
                <w:sz w:val="18"/>
                <w:szCs w:val="18"/>
              </w:rPr>
            </w:pPr>
            <w:r>
              <w:rPr>
                <w:rFonts w:ascii="Times New Roman"/>
                <w:sz w:val="18"/>
              </w:rPr>
              <w:t>240,030,709.60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-31.00%</w:t>
            </w:r>
          </w:p>
        </w:tc>
      </w:tr>
    </w:tbl>
    <w:p>
      <w:pPr>
        <w:pStyle w:val="Heading3"/>
        <w:spacing w:line="240" w:lineRule="auto" w:before="63"/>
        <w:ind w:left="154"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7"/>
        <w:rPr>
          <w:rFonts w:ascii="宋体" w:hAnsi="宋体" w:cs="宋体" w:eastAsia="宋体" w:hint="default"/>
          <w:b/>
          <w:bCs/>
          <w:sz w:val="15"/>
          <w:szCs w:val="1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6"/>
        <w:rPr>
          <w:rFonts w:ascii="宋体" w:hAnsi="宋体" w:cs="宋体" w:eastAsia="宋体" w:hint="default"/>
          <w:b/>
          <w:bCs/>
          <w:sz w:val="15"/>
          <w:szCs w:val="1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2350"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477" w:lineRule="auto"/>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477"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477" w:lineRule="auto"/>
              <w:ind w:left="93" w:right="91"/>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477" w:lineRule="auto"/>
              <w:ind w:left="92" w:right="91"/>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477" w:lineRule="auto"/>
              <w:ind w:left="92" w:right="9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88"/>
              <w:ind w:left="93" w:right="91"/>
              <w:jc w:val="both"/>
              <w:rPr>
                <w:rFonts w:ascii="宋体" w:hAnsi="宋体" w:cs="宋体" w:eastAsia="宋体" w:hint="default"/>
                <w:sz w:val="18"/>
                <w:szCs w:val="18"/>
              </w:rPr>
            </w:pPr>
            <w:r>
              <w:rPr>
                <w:rFonts w:ascii="宋体" w:hAnsi="宋体" w:cs="宋体" w:eastAsia="宋体" w:hint="default"/>
                <w:sz w:val="18"/>
                <w:szCs w:val="18"/>
              </w:rPr>
              <w:t>截至报 告期末 累计实 际投入</w:t>
            </w:r>
          </w:p>
          <w:p>
            <w:pPr>
              <w:pStyle w:val="TableParagraph"/>
              <w:spacing w:line="240" w:lineRule="auto" w:before="54"/>
              <w:ind w:left="183" w:right="0"/>
              <w:jc w:val="both"/>
              <w:rPr>
                <w:rFonts w:ascii="宋体" w:hAnsi="宋体" w:cs="宋体" w:eastAsia="宋体" w:hint="default"/>
                <w:sz w:val="18"/>
                <w:szCs w:val="18"/>
              </w:rPr>
            </w:pPr>
            <w:r>
              <w:rPr>
                <w:rFonts w:ascii="宋体" w:hAnsi="宋体" w:cs="宋体" w:eastAsia="宋体" w:hint="default"/>
                <w:sz w:val="18"/>
                <w:szCs w:val="18"/>
              </w:rPr>
              <w:t>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477"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477"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477"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88"/>
              <w:ind w:left="92" w:right="93"/>
              <w:jc w:val="center"/>
              <w:rPr>
                <w:rFonts w:ascii="宋体" w:hAnsi="宋体" w:cs="宋体" w:eastAsia="宋体" w:hint="default"/>
                <w:sz w:val="18"/>
                <w:szCs w:val="18"/>
              </w:rPr>
            </w:pPr>
            <w:r>
              <w:rPr>
                <w:rFonts w:ascii="宋体" w:hAnsi="宋体" w:cs="宋体" w:eastAsia="宋体" w:hint="default"/>
                <w:sz w:val="18"/>
                <w:szCs w:val="18"/>
              </w:rPr>
              <w:t>截止报 告期末 累计实 现的收</w:t>
            </w:r>
          </w:p>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88"/>
              <w:ind w:left="92" w:right="91"/>
              <w:jc w:val="both"/>
              <w:rPr>
                <w:rFonts w:ascii="宋体" w:hAnsi="宋体" w:cs="宋体" w:eastAsia="宋体" w:hint="default"/>
                <w:sz w:val="18"/>
                <w:szCs w:val="18"/>
              </w:rPr>
            </w:pPr>
            <w:r>
              <w:rPr>
                <w:rFonts w:ascii="宋体" w:hAnsi="宋体" w:cs="宋体" w:eastAsia="宋体" w:hint="default"/>
                <w:sz w:val="18"/>
                <w:szCs w:val="18"/>
              </w:rPr>
              <w:t>未达到 计划进 度和预 计收益</w:t>
            </w:r>
          </w:p>
          <w:p>
            <w:pPr>
              <w:pStyle w:val="TableParagraph"/>
              <w:spacing w:line="240" w:lineRule="auto" w:before="54"/>
              <w:ind w:left="92" w:right="0"/>
              <w:jc w:val="both"/>
              <w:rPr>
                <w:rFonts w:ascii="宋体" w:hAnsi="宋体" w:cs="宋体" w:eastAsia="宋体" w:hint="default"/>
                <w:sz w:val="18"/>
                <w:szCs w:val="18"/>
              </w:rPr>
            </w:pPr>
            <w:r>
              <w:rPr>
                <w:rFonts w:ascii="宋体" w:hAnsi="宋体" w:cs="宋体" w:eastAsia="宋体" w:hint="default"/>
                <w:sz w:val="18"/>
                <w:szCs w:val="18"/>
              </w:rPr>
              <w:t>的原因</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477" w:lineRule="auto"/>
              <w:ind w:left="93"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477" w:lineRule="auto"/>
              <w:ind w:left="92" w:right="91"/>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2351"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9"/>
              <w:ind w:left="22" w:right="159"/>
              <w:jc w:val="both"/>
              <w:rPr>
                <w:rFonts w:ascii="宋体" w:hAnsi="宋体" w:cs="宋体" w:eastAsia="宋体" w:hint="default"/>
                <w:sz w:val="18"/>
                <w:szCs w:val="18"/>
              </w:rPr>
            </w:pPr>
            <w:r>
              <w:rPr>
                <w:rFonts w:ascii="宋体" w:hAnsi="宋体" w:cs="宋体" w:eastAsia="宋体" w:hint="default"/>
                <w:sz w:val="18"/>
                <w:szCs w:val="18"/>
              </w:rPr>
              <w:t>柳河医 药产业 园建设 项目一</w:t>
            </w:r>
          </w:p>
          <w:p>
            <w:pPr>
              <w:pStyle w:val="TableParagraph"/>
              <w:spacing w:line="240" w:lineRule="auto" w:before="54"/>
              <w:ind w:left="22" w:right="0"/>
              <w:jc w:val="both"/>
              <w:rPr>
                <w:rFonts w:ascii="宋体" w:hAnsi="宋体" w:cs="宋体" w:eastAsia="宋体" w:hint="default"/>
                <w:sz w:val="18"/>
                <w:szCs w:val="18"/>
              </w:rPr>
            </w:pPr>
            <w:r>
              <w:rPr>
                <w:rFonts w:ascii="宋体" w:hAnsi="宋体" w:cs="宋体" w:eastAsia="宋体" w:hint="default"/>
                <w:sz w:val="18"/>
                <w:szCs w:val="18"/>
              </w:rPr>
              <w:t>期工程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中成药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0" w:right="0"/>
              <w:jc w:val="center"/>
              <w:rPr>
                <w:rFonts w:ascii="Times New Roman" w:hAnsi="Times New Roman" w:cs="Times New Roman" w:eastAsia="Times New Roman" w:hint="default"/>
                <w:sz w:val="18"/>
                <w:szCs w:val="18"/>
              </w:rPr>
            </w:pPr>
            <w:r>
              <w:rPr>
                <w:rFonts w:ascii="Times New Roman"/>
                <w:sz w:val="18"/>
              </w:rPr>
              <w:t>165,613,</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434.76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2" w:right="0"/>
              <w:jc w:val="center"/>
              <w:rPr>
                <w:rFonts w:ascii="Times New Roman" w:hAnsi="Times New Roman" w:cs="Times New Roman" w:eastAsia="Times New Roman" w:hint="default"/>
                <w:sz w:val="18"/>
                <w:szCs w:val="18"/>
              </w:rPr>
            </w:pPr>
            <w:r>
              <w:rPr>
                <w:rFonts w:ascii="Times New Roman"/>
                <w:sz w:val="18"/>
              </w:rPr>
              <w:t>455,083,</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528.91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477" w:lineRule="auto"/>
              <w:ind w:left="22" w:right="16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48" w:right="0"/>
              <w:jc w:val="left"/>
              <w:rPr>
                <w:rFonts w:ascii="Times New Roman" w:hAnsi="Times New Roman" w:cs="Times New Roman" w:eastAsia="Times New Roman" w:hint="default"/>
                <w:sz w:val="18"/>
                <w:szCs w:val="18"/>
              </w:rPr>
            </w:pPr>
            <w:r>
              <w:rPr>
                <w:rFonts w:ascii="Times New Roman"/>
                <w:sz w:val="18"/>
              </w:rPr>
              <w:t>79.81%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1" w:right="0"/>
              <w:jc w:val="center"/>
              <w:rPr>
                <w:rFonts w:ascii="Times New Roman" w:hAnsi="Times New Roman" w:cs="Times New Roman" w:eastAsia="Times New Roman" w:hint="default"/>
                <w:sz w:val="18"/>
                <w:szCs w:val="18"/>
              </w:rPr>
            </w:pPr>
            <w:r>
              <w:rPr>
                <w:rFonts w:ascii="Times New Roman"/>
                <w:sz w:val="18"/>
              </w:rPr>
              <w:t>216,289,</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477" w:lineRule="auto"/>
              <w:ind w:left="22" w:right="161"/>
              <w:jc w:val="left"/>
              <w:rPr>
                <w:rFonts w:ascii="宋体" w:hAnsi="宋体" w:cs="宋体" w:eastAsia="宋体" w:hint="default"/>
                <w:sz w:val="18"/>
                <w:szCs w:val="18"/>
              </w:rPr>
            </w:pPr>
            <w:r>
              <w:rPr>
                <w:rFonts w:ascii="宋体" w:hAnsi="宋体" w:cs="宋体" w:eastAsia="宋体" w:hint="default"/>
                <w:sz w:val="18"/>
                <w:szCs w:val="18"/>
              </w:rPr>
              <w:t>项目在 建中</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9"/>
              <w:ind w:left="22" w:right="161"/>
              <w:jc w:val="both"/>
              <w:rPr>
                <w:rFonts w:ascii="宋体" w:hAnsi="宋体" w:cs="宋体" w:eastAsia="宋体" w:hint="default"/>
                <w:sz w:val="18"/>
                <w:szCs w:val="18"/>
              </w:rPr>
            </w:pPr>
            <w:r>
              <w:rPr>
                <w:rFonts w:ascii="宋体" w:hAnsi="宋体" w:cs="宋体" w:eastAsia="宋体" w:hint="default"/>
                <w:sz w:val="18"/>
                <w:szCs w:val="18"/>
              </w:rPr>
              <w:t>《第五 届董事 会第十 八次会</w:t>
            </w:r>
          </w:p>
          <w:p>
            <w:pPr>
              <w:pStyle w:val="TableParagraph"/>
              <w:spacing w:line="240" w:lineRule="auto" w:before="54"/>
              <w:ind w:left="22" w:right="0"/>
              <w:jc w:val="both"/>
              <w:rPr>
                <w:rFonts w:ascii="宋体" w:hAnsi="宋体" w:cs="宋体" w:eastAsia="宋体" w:hint="default"/>
                <w:sz w:val="18"/>
                <w:szCs w:val="18"/>
              </w:rPr>
            </w:pPr>
            <w:r>
              <w:rPr>
                <w:rFonts w:ascii="宋体" w:hAnsi="宋体" w:cs="宋体" w:eastAsia="宋体" w:hint="default"/>
                <w:sz w:val="18"/>
                <w:szCs w:val="18"/>
              </w:rPr>
              <w:t>议决议</w:t>
            </w:r>
          </w:p>
        </w:tc>
      </w:tr>
    </w:tbl>
    <w:p>
      <w:pPr>
        <w:spacing w:after="0" w:line="24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7498" w:hRule="exact"/>
        </w:trPr>
        <w:tc>
          <w:tcPr>
            <w:tcW w:w="732"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公告》</w:t>
            </w:r>
          </w:p>
          <w:p>
            <w:pPr>
              <w:pStyle w:val="TableParagraph"/>
              <w:spacing w:line="240" w:lineRule="auto" w:before="10"/>
              <w:ind w:right="0"/>
              <w:jc w:val="left"/>
              <w:rPr>
                <w:rFonts w:ascii="宋体" w:hAnsi="宋体" w:cs="宋体" w:eastAsia="宋体" w:hint="default"/>
                <w:sz w:val="17"/>
                <w:szCs w:val="17"/>
              </w:rPr>
            </w:pPr>
          </w:p>
          <w:p>
            <w:pPr>
              <w:pStyle w:val="TableParagraph"/>
              <w:spacing w:line="451" w:lineRule="auto"/>
              <w:ind w:left="22" w:right="10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2014- 045</w:t>
            </w:r>
            <w:r>
              <w:rPr>
                <w:rFonts w:ascii="宋体" w:hAnsi="宋体" w:cs="宋体" w:eastAsia="宋体" w:hint="default"/>
                <w:sz w:val="18"/>
                <w:szCs w:val="18"/>
              </w:rPr>
              <w:t>）</w:t>
            </w:r>
          </w:p>
          <w:p>
            <w:pPr>
              <w:pStyle w:val="TableParagraph"/>
              <w:spacing w:line="240" w:lineRule="auto" w:before="4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p>
          <w:p>
            <w:pPr>
              <w:pStyle w:val="TableParagraph"/>
              <w:spacing w:line="240" w:lineRule="auto" w:before="9"/>
              <w:ind w:right="0"/>
              <w:jc w:val="left"/>
              <w:rPr>
                <w:rFonts w:ascii="宋体" w:hAnsi="宋体" w:cs="宋体" w:eastAsia="宋体" w:hint="default"/>
                <w:sz w:val="16"/>
                <w:szCs w:val="16"/>
              </w:rPr>
            </w:pPr>
          </w:p>
          <w:p>
            <w:pPr>
              <w:pStyle w:val="TableParagraph"/>
              <w:spacing w:line="477" w:lineRule="auto"/>
              <w:ind w:left="22" w:right="161"/>
              <w:jc w:val="both"/>
              <w:rPr>
                <w:rFonts w:ascii="宋体" w:hAnsi="宋体" w:cs="宋体" w:eastAsia="宋体" w:hint="default"/>
                <w:sz w:val="18"/>
                <w:szCs w:val="18"/>
              </w:rPr>
            </w:pPr>
            <w:r>
              <w:rPr>
                <w:rFonts w:ascii="宋体" w:hAnsi="宋体" w:cs="宋体" w:eastAsia="宋体" w:hint="default"/>
                <w:sz w:val="18"/>
                <w:szCs w:val="18"/>
              </w:rPr>
              <w:t>年第三 次临时 股东大 会决议 公告》</w:t>
            </w:r>
          </w:p>
          <w:p>
            <w:pPr>
              <w:pStyle w:val="TableParagraph"/>
              <w:spacing w:line="240" w:lineRule="auto" w:before="5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p>
          <w:p>
            <w:pPr>
              <w:pStyle w:val="TableParagraph"/>
              <w:spacing w:line="240" w:lineRule="auto" w:before="9"/>
              <w:ind w:right="0"/>
              <w:jc w:val="left"/>
              <w:rPr>
                <w:rFonts w:ascii="宋体" w:hAnsi="宋体" w:cs="宋体" w:eastAsia="宋体" w:hint="default"/>
                <w:sz w:val="16"/>
                <w:szCs w:val="16"/>
              </w:rPr>
            </w:pPr>
          </w:p>
          <w:p>
            <w:pPr>
              <w:pStyle w:val="TableParagraph"/>
              <w:spacing w:line="463" w:lineRule="auto"/>
              <w:ind w:left="22"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051</w:t>
            </w:r>
            <w:r>
              <w:rPr>
                <w:rFonts w:ascii="宋体" w:hAnsi="宋体" w:cs="宋体" w:eastAsia="宋体" w:hint="default"/>
                <w:sz w:val="18"/>
                <w:szCs w:val="18"/>
              </w:rPr>
              <w:t>）巨 潮资讯 网</w:t>
            </w:r>
          </w:p>
          <w:p>
            <w:pPr>
              <w:pStyle w:val="TableParagraph"/>
              <w:spacing w:line="542" w:lineRule="auto" w:before="105"/>
              <w:ind w:left="22" w:right="59"/>
              <w:jc w:val="left"/>
              <w:rPr>
                <w:rFonts w:ascii="Times New Roman" w:hAnsi="Times New Roman" w:cs="Times New Roman" w:eastAsia="Times New Roman" w:hint="default"/>
                <w:sz w:val="18"/>
                <w:szCs w:val="18"/>
              </w:rPr>
            </w:pPr>
            <w:r>
              <w:rPr>
                <w:rFonts w:ascii="Times New Roman"/>
                <w:spacing w:val="-2"/>
                <w:sz w:val="18"/>
              </w:rPr>
              <w:t>www.cni</w:t>
            </w:r>
            <w:r>
              <w:rPr>
                <w:rFonts w:ascii="Times New Roman"/>
                <w:sz w:val="18"/>
              </w:rPr>
              <w:t> nfo.com.</w:t>
            </w:r>
          </w:p>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sz w:val="18"/>
              </w:rPr>
              <w:t>cn</w:t>
            </w:r>
          </w:p>
        </w:tc>
      </w:tr>
      <w:tr>
        <w:trPr>
          <w:trHeight w:val="94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0" w:right="0"/>
              <w:jc w:val="center"/>
              <w:rPr>
                <w:rFonts w:ascii="Times New Roman" w:hAnsi="Times New Roman" w:cs="Times New Roman" w:eastAsia="Times New Roman" w:hint="default"/>
                <w:sz w:val="18"/>
                <w:szCs w:val="18"/>
              </w:rPr>
            </w:pPr>
            <w:r>
              <w:rPr>
                <w:rFonts w:ascii="Times New Roman"/>
                <w:sz w:val="18"/>
              </w:rPr>
              <w:t>165,613,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434.76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2" w:right="0"/>
              <w:jc w:val="center"/>
              <w:rPr>
                <w:rFonts w:ascii="Times New Roman" w:hAnsi="Times New Roman" w:cs="Times New Roman" w:eastAsia="Times New Roman" w:hint="default"/>
                <w:sz w:val="18"/>
                <w:szCs w:val="18"/>
              </w:rPr>
            </w:pPr>
            <w:r>
              <w:rPr>
                <w:rFonts w:ascii="Times New Roman"/>
                <w:sz w:val="18"/>
              </w:rPr>
              <w:t>455,083,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528.91</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1" w:right="0"/>
              <w:jc w:val="center"/>
              <w:rPr>
                <w:rFonts w:ascii="Times New Roman" w:hAnsi="Times New Roman" w:cs="Times New Roman" w:eastAsia="Times New Roman" w:hint="default"/>
                <w:sz w:val="18"/>
                <w:szCs w:val="18"/>
              </w:rPr>
            </w:pPr>
            <w:r>
              <w:rPr>
                <w:rFonts w:ascii="Times New Roman"/>
                <w:sz w:val="18"/>
              </w:rPr>
              <w:t>216,289,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w:t>
            </w:r>
          </w:p>
        </w:tc>
      </w:tr>
    </w:tbl>
    <w:p>
      <w:pPr>
        <w:pStyle w:val="Heading3"/>
        <w:spacing w:line="240" w:lineRule="auto" w:before="63"/>
        <w:ind w:left="154"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6"/>
        <w:rPr>
          <w:rFonts w:ascii="宋体" w:hAnsi="宋体" w:cs="宋体" w:eastAsia="宋体" w:hint="default"/>
          <w:b/>
          <w:bCs/>
          <w:sz w:val="15"/>
          <w:szCs w:val="1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6"/>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6"/>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88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477" w:lineRule="auto"/>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88"/>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w:t>
            </w:r>
          </w:p>
          <w:p>
            <w:pPr>
              <w:pStyle w:val="TableParagraph"/>
              <w:spacing w:line="240" w:lineRule="auto" w:before="54"/>
              <w:ind w:left="158" w:right="0"/>
              <w:jc w:val="both"/>
              <w:rPr>
                <w:rFonts w:ascii="宋体" w:hAnsi="宋体" w:cs="宋体" w:eastAsia="宋体" w:hint="default"/>
                <w:sz w:val="18"/>
                <w:szCs w:val="18"/>
              </w:rPr>
            </w:pPr>
            <w:r>
              <w:rPr>
                <w:rFonts w:ascii="宋体" w:hAnsi="宋体" w:cs="宋体" w:eastAsia="宋体" w:hint="default"/>
                <w:sz w:val="18"/>
                <w:szCs w:val="18"/>
              </w:rPr>
              <w:t>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88"/>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w:t>
            </w:r>
          </w:p>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88"/>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w:t>
            </w:r>
          </w:p>
          <w:p>
            <w:pPr>
              <w:pStyle w:val="TableParagraph"/>
              <w:spacing w:line="240" w:lineRule="auto" w:before="54"/>
              <w:ind w:left="159" w:right="0"/>
              <w:jc w:val="both"/>
              <w:rPr>
                <w:rFonts w:ascii="宋体" w:hAnsi="宋体" w:cs="宋体" w:eastAsia="宋体" w:hint="default"/>
                <w:sz w:val="18"/>
                <w:szCs w:val="18"/>
              </w:rPr>
            </w:pPr>
            <w:r>
              <w:rPr>
                <w:rFonts w:ascii="宋体" w:hAnsi="宋体" w:cs="宋体" w:eastAsia="宋体" w:hint="default"/>
                <w:sz w:val="18"/>
                <w:szCs w:val="18"/>
              </w:rPr>
              <w:t>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88"/>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w:t>
            </w:r>
          </w:p>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bl>
    <w:p>
      <w:pPr>
        <w:spacing w:after="0" w:line="477"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94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非公开发</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Times New Roman" w:hAnsi="Times New Roman" w:cs="Times New Roman" w:eastAsia="Times New Roman" w:hint="default"/>
                <w:sz w:val="18"/>
                <w:szCs w:val="18"/>
              </w:rPr>
            </w:pPr>
            <w:r>
              <w:rPr>
                <w:rFonts w:ascii="Times New Roman"/>
                <w:sz w:val="18"/>
              </w:rPr>
              <w:t>159,999.99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6" w:right="0"/>
              <w:jc w:val="left"/>
              <w:rPr>
                <w:rFonts w:ascii="Times New Roman" w:hAnsi="Times New Roman" w:cs="Times New Roman" w:eastAsia="Times New Roman" w:hint="default"/>
                <w:sz w:val="18"/>
                <w:szCs w:val="18"/>
              </w:rPr>
            </w:pPr>
            <w:r>
              <w:rPr>
                <w:rFonts w:ascii="Times New Roman"/>
                <w:sz w:val="18"/>
              </w:rPr>
              <w:t>159,999.99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6" w:right="0"/>
              <w:jc w:val="left"/>
              <w:rPr>
                <w:rFonts w:ascii="Times New Roman" w:hAnsi="Times New Roman" w:cs="Times New Roman" w:eastAsia="Times New Roman" w:hint="default"/>
                <w:sz w:val="18"/>
                <w:szCs w:val="18"/>
              </w:rPr>
            </w:pPr>
            <w:r>
              <w:rPr>
                <w:rFonts w:ascii="Times New Roman"/>
                <w:sz w:val="18"/>
              </w:rPr>
              <w:t>159,999.99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r>
      <w:tr>
        <w:trPr>
          <w:trHeight w:val="479"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sz w:val="18"/>
              </w:rPr>
              <w:t>159,999.99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6" w:right="0"/>
              <w:jc w:val="left"/>
              <w:rPr>
                <w:rFonts w:ascii="Times New Roman" w:hAnsi="Times New Roman" w:cs="Times New Roman" w:eastAsia="Times New Roman" w:hint="default"/>
                <w:sz w:val="18"/>
                <w:szCs w:val="18"/>
              </w:rPr>
            </w:pPr>
            <w:r>
              <w:rPr>
                <w:rFonts w:ascii="Times New Roman"/>
                <w:sz w:val="18"/>
              </w:rPr>
              <w:t>159,999.99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6" w:right="0"/>
              <w:jc w:val="left"/>
              <w:rPr>
                <w:rFonts w:ascii="Times New Roman" w:hAnsi="Times New Roman" w:cs="Times New Roman" w:eastAsia="Times New Roman" w:hint="default"/>
                <w:sz w:val="18"/>
                <w:szCs w:val="18"/>
              </w:rPr>
            </w:pPr>
            <w:r>
              <w:rPr>
                <w:rFonts w:ascii="Times New Roman"/>
                <w:sz w:val="18"/>
              </w:rPr>
              <w:t>159,999.99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9"/>
              <w:ind w:right="1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0</w:t>
            </w:r>
          </w:p>
        </w:tc>
      </w:tr>
      <w:tr>
        <w:trPr>
          <w:trHeight w:val="478"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691"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451" w:lineRule="auto" w:before="88"/>
              <w:ind w:left="22" w:right="80"/>
              <w:jc w:val="left"/>
              <w:rPr>
                <w:rFonts w:ascii="宋体" w:hAnsi="宋体" w:cs="宋体" w:eastAsia="宋体" w:hint="default"/>
                <w:sz w:val="18"/>
                <w:szCs w:val="18"/>
              </w:rPr>
            </w:pPr>
            <w:r>
              <w:rPr>
                <w:rFonts w:ascii="宋体" w:hAnsi="宋体" w:cs="宋体" w:eastAsia="宋体" w:hint="default"/>
                <w:spacing w:val="-2"/>
                <w:sz w:val="18"/>
                <w:szCs w:val="18"/>
              </w:rPr>
              <w:t>经中国证券监督管理委员会《关于核准吉林紫鑫药业股份有限公司非公开发行股票的批复》（证监许可</w:t>
            </w:r>
            <w:r>
              <w:rPr>
                <w:rFonts w:ascii="Times New Roman" w:hAnsi="Times New Roman" w:cs="Times New Roman" w:eastAsia="Times New Roman" w:hint="default"/>
                <w:spacing w:val="-2"/>
                <w:sz w:val="18"/>
                <w:szCs w:val="18"/>
              </w:rPr>
              <w:t>[2015]2409</w:t>
            </w:r>
            <w:r>
              <w:rPr>
                <w:rFonts w:ascii="Times New Roman" w:hAnsi="Times New Roman" w:cs="Times New Roman" w:eastAsia="Times New Roman" w:hint="default"/>
                <w:sz w:val="18"/>
                <w:szCs w:val="18"/>
              </w:rPr>
              <w:t> </w:t>
            </w:r>
            <w:r>
              <w:rPr>
                <w:rFonts w:ascii="宋体" w:hAnsi="宋体" w:cs="宋体" w:eastAsia="宋体" w:hint="default"/>
                <w:sz w:val="18"/>
                <w:szCs w:val="18"/>
              </w:rPr>
              <w:t>号）核</w:t>
            </w:r>
            <w:r>
              <w:rPr>
                <w:rFonts w:ascii="宋体" w:hAnsi="宋体" w:cs="宋体" w:eastAsia="宋体" w:hint="default"/>
                <w:spacing w:val="-71"/>
                <w:sz w:val="18"/>
                <w:szCs w:val="18"/>
              </w:rPr>
              <w:t> </w:t>
            </w:r>
            <w:r>
              <w:rPr>
                <w:rFonts w:ascii="宋体" w:hAnsi="宋体" w:cs="宋体" w:eastAsia="宋体" w:hint="default"/>
                <w:sz w:val="18"/>
                <w:szCs w:val="18"/>
              </w:rPr>
              <w:t>准公司非公开发行不超过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15,923.57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万股新股，由保荐机构东吴证券股份有限公司作为主承销商，通过非公开发行方式向</w:t>
            </w:r>
          </w:p>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特定投资者发行。通过本次发行的认购询价、申购过程，公司最终确定本次发行数量为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127,388,531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股，每股面值为人民</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元、每股发行价格为人民币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日，公司实际募集资金总额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1,599,999,949.36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部分证券承销费和保荐费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31,999,998.99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元后，余额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1,567,999,950.37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元，由主承销商东吴证券股份有限公司分别划入公司</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2"/>
                <w:sz w:val="18"/>
                <w:szCs w:val="18"/>
              </w:rPr>
              <w:t>中国工商银行股份有限公司柳河支行（银行账号：</w:t>
            </w:r>
            <w:r>
              <w:rPr>
                <w:rFonts w:ascii="Times New Roman" w:hAnsi="Times New Roman" w:cs="Times New Roman" w:eastAsia="Times New Roman" w:hint="default"/>
                <w:spacing w:val="-2"/>
                <w:sz w:val="18"/>
                <w:szCs w:val="18"/>
              </w:rPr>
              <w:t>0806220129001114183</w:t>
            </w:r>
            <w:r>
              <w:rPr>
                <w:rFonts w:ascii="宋体" w:hAnsi="宋体" w:cs="宋体" w:eastAsia="宋体" w:hint="default"/>
                <w:spacing w:val="-2"/>
                <w:sz w:val="18"/>
                <w:szCs w:val="18"/>
              </w:rPr>
              <w:t>）人民币</w:t>
            </w:r>
            <w:r>
              <w:rPr>
                <w:rFonts w:ascii="宋体" w:hAnsi="宋体" w:cs="宋体" w:eastAsia="宋体" w:hint="default"/>
                <w:sz w:val="18"/>
                <w:szCs w:val="18"/>
              </w:rPr>
              <w:t> </w:t>
            </w:r>
            <w:r>
              <w:rPr>
                <w:rFonts w:ascii="Times New Roman" w:hAnsi="Times New Roman" w:cs="Times New Roman" w:eastAsia="Times New Roman" w:hint="default"/>
                <w:sz w:val="18"/>
                <w:szCs w:val="18"/>
              </w:rPr>
              <w:t>767,999,950.37</w:t>
            </w:r>
            <w:r>
              <w:rPr>
                <w:rFonts w:ascii="Times New Roman" w:hAnsi="Times New Roman" w:cs="Times New Roman" w:eastAsia="Times New Roman" w:hint="default"/>
                <w:spacing w:val="-13"/>
                <w:sz w:val="18"/>
                <w:szCs w:val="18"/>
              </w:rPr>
              <w:t> </w:t>
            </w:r>
            <w:r>
              <w:rPr>
                <w:rFonts w:ascii="宋体" w:hAnsi="宋体" w:cs="宋体" w:eastAsia="宋体" w:hint="default"/>
                <w:spacing w:val="-2"/>
                <w:sz w:val="18"/>
                <w:szCs w:val="18"/>
              </w:rPr>
              <w:t>元、吉林银行股份有限公</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司长春瑞祥支行（银行账号：</w:t>
            </w:r>
            <w:r>
              <w:rPr>
                <w:rFonts w:ascii="Times New Roman" w:hAnsi="Times New Roman" w:cs="Times New Roman" w:eastAsia="Times New Roman" w:hint="default"/>
                <w:sz w:val="18"/>
                <w:szCs w:val="18"/>
              </w:rPr>
              <w:t>0121011000003074</w:t>
            </w:r>
            <w:r>
              <w:rPr>
                <w:rFonts w:ascii="宋体" w:hAnsi="宋体" w:cs="宋体" w:eastAsia="宋体" w:hint="default"/>
                <w:sz w:val="18"/>
                <w:szCs w:val="18"/>
              </w:rPr>
              <w:t>）人民币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800,000,000.00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元。上述汇入资金扣除与发行相关的中介机构费</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和其他发行费用人民币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1,247</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388.53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元后</w:t>
            </w:r>
            <w:r>
              <w:rPr>
                <w:rFonts w:ascii="宋体" w:hAnsi="宋体" w:cs="宋体" w:eastAsia="宋体" w:hint="default"/>
                <w:spacing w:val="-90"/>
                <w:sz w:val="18"/>
                <w:szCs w:val="18"/>
              </w:rPr>
              <w:t>，</w:t>
            </w:r>
            <w:r>
              <w:rPr>
                <w:rFonts w:ascii="宋体" w:hAnsi="宋体" w:cs="宋体" w:eastAsia="宋体" w:hint="default"/>
                <w:sz w:val="18"/>
                <w:szCs w:val="18"/>
              </w:rPr>
              <w:t>募集资金净额为人民币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1,566,7</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2,561.84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pacing w:val="-2"/>
                <w:sz w:val="18"/>
                <w:szCs w:val="18"/>
              </w:rPr>
              <w:t>上</w:t>
            </w:r>
            <w:r>
              <w:rPr>
                <w:rFonts w:ascii="宋体" w:hAnsi="宋体" w:cs="宋体" w:eastAsia="宋体" w:hint="default"/>
                <w:sz w:val="18"/>
                <w:szCs w:val="18"/>
              </w:rPr>
              <w:t>年末募集资金账户余额</w:t>
            </w:r>
            <w:r>
              <w:rPr>
                <w:rFonts w:ascii="宋体" w:hAnsi="宋体" w:cs="宋体" w:eastAsia="宋体" w:hint="default"/>
                <w:spacing w:val="-50"/>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19,096.14</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元（为募集资金利息扣除银行手续费等余额</w:t>
            </w:r>
            <w:r>
              <w:rPr>
                <w:rFonts w:ascii="宋体" w:hAnsi="宋体" w:cs="宋体" w:eastAsia="宋体" w:hint="default"/>
                <w:spacing w:val="-90"/>
                <w:sz w:val="18"/>
                <w:szCs w:val="18"/>
              </w:rPr>
              <w:t>）</w:t>
            </w:r>
            <w:r>
              <w:rPr>
                <w:rFonts w:ascii="宋体" w:hAnsi="宋体" w:cs="宋体" w:eastAsia="宋体" w:hint="default"/>
                <w:sz w:val="18"/>
                <w:szCs w:val="18"/>
              </w:rPr>
              <w:t>，本年度募集资金账户余额</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19,031.99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元，已用于补充流动资金。截至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日，募集资金已使用完毕，募集资金账户已销户。</w:t>
            </w:r>
          </w:p>
        </w:tc>
      </w:tr>
    </w:tbl>
    <w:p>
      <w:pPr>
        <w:pStyle w:val="Heading3"/>
        <w:spacing w:line="240" w:lineRule="auto" w:before="63"/>
        <w:ind w:left="154" w:right="0"/>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7"/>
        <w:rPr>
          <w:rFonts w:ascii="宋体" w:hAnsi="宋体" w:cs="宋体" w:eastAsia="宋体" w:hint="default"/>
          <w:b/>
          <w:bCs/>
          <w:sz w:val="15"/>
          <w:szCs w:val="1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6"/>
        <w:rPr>
          <w:rFonts w:ascii="宋体" w:hAnsi="宋体" w:cs="宋体" w:eastAsia="宋体" w:hint="default"/>
          <w:b/>
          <w:bCs/>
          <w:sz w:val="15"/>
          <w:szCs w:val="15"/>
        </w:rPr>
      </w:pPr>
    </w:p>
    <w:p>
      <w:pPr>
        <w:spacing w:line="451" w:lineRule="auto" w:before="0"/>
        <w:ind w:left="15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公司报告期不存在募集资金变更项目情况。</w:t>
      </w:r>
    </w:p>
    <w:p>
      <w:pPr>
        <w:pStyle w:val="Heading2"/>
        <w:spacing w:line="240" w:lineRule="auto" w:before="25"/>
        <w:ind w:right="0"/>
        <w:jc w:val="left"/>
        <w:rPr>
          <w:b w:val="0"/>
          <w:bCs w:val="0"/>
        </w:rPr>
      </w:pPr>
      <w:bookmarkStart w:name="六、重大资产和股权出售" w:id="54"/>
      <w:bookmarkEnd w:id="54"/>
      <w:r>
        <w:rPr>
          <w:b w:val="0"/>
          <w:bCs w:val="0"/>
        </w:rPr>
      </w:r>
      <w:r>
        <w:rPr/>
        <w:t>六、重大资产和股权出售</w:t>
      </w:r>
      <w:r>
        <w:rPr>
          <w:b w:val="0"/>
          <w:bCs w:val="0"/>
        </w:rPr>
      </w:r>
    </w:p>
    <w:p>
      <w:pPr>
        <w:pStyle w:val="Heading3"/>
        <w:spacing w:line="240" w:lineRule="auto" w:before="177"/>
        <w:ind w:right="0"/>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6"/>
        <w:rPr>
          <w:rFonts w:ascii="宋体" w:hAnsi="宋体" w:cs="宋体" w:eastAsia="宋体" w:hint="default"/>
          <w:b/>
          <w:bCs/>
          <w:sz w:val="15"/>
          <w:szCs w:val="15"/>
        </w:rPr>
      </w:pPr>
    </w:p>
    <w:p>
      <w:pPr>
        <w:spacing w:line="451" w:lineRule="auto" w:before="0"/>
        <w:ind w:left="153" w:right="8413"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 </w:t>
      </w:r>
      <w:bookmarkStart w:name="2、出售重大股权情况" w:id="56"/>
      <w:bookmarkEnd w:id="56"/>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、出售重大股权情况</w:t>
      </w:r>
      <w:r>
        <w:rPr>
          <w:rFonts w:ascii="宋体" w:hAnsi="宋体" w:cs="宋体" w:eastAsia="宋体" w:hint="default"/>
          <w:sz w:val="21"/>
          <w:szCs w:val="21"/>
        </w:rPr>
      </w:r>
    </w:p>
    <w:p>
      <w:pPr>
        <w:spacing w:line="247" w:lineRule="exact"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3"/>
          <w:szCs w:val="13"/>
        </w:rPr>
      </w:pPr>
    </w:p>
    <w:p>
      <w:pPr>
        <w:pStyle w:val="Heading2"/>
        <w:spacing w:line="240" w:lineRule="auto"/>
        <w:ind w:right="0"/>
        <w:jc w:val="left"/>
        <w:rPr>
          <w:b w:val="0"/>
          <w:bCs w:val="0"/>
        </w:rPr>
      </w:pPr>
      <w:bookmarkStart w:name="七、主要控股参股公司分析" w:id="57"/>
      <w:bookmarkEnd w:id="57"/>
      <w:r>
        <w:rPr>
          <w:b w:val="0"/>
          <w:bCs w:val="0"/>
        </w:rPr>
      </w:r>
      <w:r>
        <w:rPr/>
        <w:t>七、主要控股参股公司分析</w:t>
      </w:r>
      <w:r>
        <w:rPr>
          <w:b w:val="0"/>
          <w:bCs w:val="0"/>
        </w:rPr>
      </w:r>
    </w:p>
    <w:p>
      <w:pPr>
        <w:spacing w:before="2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4"/>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78"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56"/>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11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44"/>
              <w:ind w:left="22" w:right="119"/>
              <w:jc w:val="both"/>
              <w:rPr>
                <w:rFonts w:ascii="宋体" w:hAnsi="宋体" w:cs="宋体" w:eastAsia="宋体" w:hint="default"/>
                <w:sz w:val="18"/>
                <w:szCs w:val="18"/>
              </w:rPr>
            </w:pPr>
            <w:r>
              <w:rPr>
                <w:rFonts w:ascii="宋体" w:hAnsi="宋体" w:cs="宋体" w:eastAsia="宋体" w:hint="default"/>
                <w:sz w:val="18"/>
                <w:szCs w:val="18"/>
              </w:rPr>
              <w:t>吉林草还丹 药业有限公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9"/>
              <w:ind w:left="22" w:right="22"/>
              <w:jc w:val="left"/>
              <w:rPr>
                <w:rFonts w:ascii="宋体" w:hAnsi="宋体" w:cs="宋体" w:eastAsia="宋体" w:hint="default"/>
                <w:sz w:val="18"/>
                <w:szCs w:val="18"/>
              </w:rPr>
            </w:pPr>
            <w:r>
              <w:rPr>
                <w:rFonts w:ascii="宋体" w:hAnsi="宋体" w:cs="宋体" w:eastAsia="宋体" w:hint="default"/>
                <w:sz w:val="18"/>
                <w:szCs w:val="18"/>
              </w:rPr>
              <w:t>中成药、中 药材、化学 药品制剂加 工销售（按 药品生产许 可证批准生 产的项目生 </w:t>
            </w:r>
            <w:r>
              <w:rPr>
                <w:rFonts w:ascii="宋体" w:hAnsi="宋体" w:cs="宋体" w:eastAsia="宋体" w:hint="default"/>
                <w:spacing w:val="-16"/>
                <w:sz w:val="18"/>
                <w:szCs w:val="18"/>
              </w:rPr>
              <w:t>产经营）、食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品加工（凭 许可证经 营）销售、 酒精、白酒 及饮料酒制 造（按酒类 生产许可证 批准的项目 范围生产经 </w:t>
            </w:r>
            <w:r>
              <w:rPr>
                <w:rFonts w:ascii="宋体" w:hAnsi="宋体" w:cs="宋体" w:eastAsia="宋体" w:hint="default"/>
                <w:spacing w:val="-16"/>
                <w:sz w:val="18"/>
                <w:szCs w:val="18"/>
              </w:rPr>
              <w:t>营）、针织品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加工、广告 业、种养殖 业、在法律 法规允许范 围内从事进 出口业务</w:t>
            </w:r>
          </w:p>
          <w:p>
            <w:pPr>
              <w:pStyle w:val="TableParagraph"/>
              <w:spacing w:line="463" w:lineRule="auto" w:before="54"/>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（依法须 经批准的项 目，经相关</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部门批准后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55"/>
              <w:jc w:val="right"/>
              <w:rPr>
                <w:rFonts w:ascii="宋体" w:hAnsi="宋体" w:cs="宋体" w:eastAsia="宋体" w:hint="default"/>
                <w:sz w:val="18"/>
                <w:szCs w:val="18"/>
              </w:rPr>
            </w:pPr>
            <w:r>
              <w:rPr>
                <w:rFonts w:ascii="Times New Roman" w:hAnsi="Times New Roman" w:cs="Times New Roman" w:eastAsia="Times New Roman" w:hint="default"/>
                <w:sz w:val="18"/>
                <w:szCs w:val="18"/>
              </w:rPr>
              <w:t>5,000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943,217,446.</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642,608,901.</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134,129,865.</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62,757,109.3</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55,273,651.2</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946"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方可开展经</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营活动）</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264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17"/>
              <w:ind w:left="22" w:right="119"/>
              <w:jc w:val="both"/>
              <w:rPr>
                <w:rFonts w:ascii="宋体" w:hAnsi="宋体" w:cs="宋体" w:eastAsia="宋体" w:hint="default"/>
                <w:sz w:val="18"/>
                <w:szCs w:val="18"/>
              </w:rPr>
            </w:pPr>
            <w:r>
              <w:rPr>
                <w:rFonts w:ascii="宋体" w:hAnsi="宋体" w:cs="宋体" w:eastAsia="宋体" w:hint="default"/>
                <w:sz w:val="18"/>
                <w:szCs w:val="18"/>
              </w:rPr>
              <w:t>吉林紫鑫初 元药业有限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9"/>
              <w:ind w:left="22" w:right="20"/>
              <w:jc w:val="left"/>
              <w:rPr>
                <w:rFonts w:ascii="宋体" w:hAnsi="宋体" w:cs="宋体" w:eastAsia="宋体" w:hint="default"/>
                <w:sz w:val="18"/>
                <w:szCs w:val="18"/>
              </w:rPr>
            </w:pPr>
            <w:r>
              <w:rPr>
                <w:rFonts w:ascii="宋体" w:hAnsi="宋体" w:cs="宋体" w:eastAsia="宋体" w:hint="default"/>
                <w:sz w:val="18"/>
                <w:szCs w:val="18"/>
              </w:rPr>
              <w:t>加工、销售 中成药、化 学药制剂、 人参收购、 销售、粗加 工；生产饮 料（果汁及 </w:t>
            </w:r>
            <w:r>
              <w:rPr>
                <w:rFonts w:ascii="宋体" w:hAnsi="宋体" w:cs="宋体" w:eastAsia="宋体" w:hint="default"/>
                <w:spacing w:val="-15"/>
                <w:sz w:val="18"/>
                <w:szCs w:val="18"/>
              </w:rPr>
              <w:t>蔬菜汁类）、</w:t>
            </w:r>
            <w:r>
              <w:rPr>
                <w:rFonts w:ascii="宋体" w:hAnsi="宋体" w:cs="宋体" w:eastAsia="宋体" w:hint="default"/>
                <w:sz w:val="18"/>
                <w:szCs w:val="18"/>
              </w:rPr>
              <w:t> 中药饮片、 直接服用饮 片、中药提 取药、糖果 制品（糖 </w:t>
            </w:r>
            <w:r>
              <w:rPr>
                <w:rFonts w:ascii="宋体" w:hAnsi="宋体" w:cs="宋体" w:eastAsia="宋体" w:hint="default"/>
                <w:spacing w:val="-16"/>
                <w:sz w:val="18"/>
                <w:szCs w:val="18"/>
              </w:rPr>
              <w:t>果）、含茶制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品和代用茶</w:t>
            </w:r>
          </w:p>
          <w:p>
            <w:pPr>
              <w:pStyle w:val="TableParagraph"/>
              <w:spacing w:line="477" w:lineRule="auto" w:before="54"/>
              <w:ind w:left="22" w:right="20"/>
              <w:jc w:val="left"/>
              <w:rPr>
                <w:rFonts w:ascii="宋体" w:hAnsi="宋体" w:cs="宋体" w:eastAsia="宋体" w:hint="default"/>
                <w:sz w:val="18"/>
                <w:szCs w:val="18"/>
              </w:rPr>
            </w:pPr>
            <w:r>
              <w:rPr>
                <w:rFonts w:ascii="宋体" w:hAnsi="宋体" w:cs="宋体" w:eastAsia="宋体" w:hint="default"/>
                <w:sz w:val="18"/>
                <w:szCs w:val="18"/>
              </w:rPr>
              <w:t>（代用茶、 </w:t>
            </w:r>
            <w:r>
              <w:rPr>
                <w:rFonts w:ascii="宋体" w:hAnsi="宋体" w:cs="宋体" w:eastAsia="宋体" w:hint="default"/>
                <w:spacing w:val="-15"/>
                <w:sz w:val="18"/>
                <w:szCs w:val="18"/>
              </w:rPr>
              <w:t>速溶茶类）、</w:t>
            </w:r>
            <w:r>
              <w:rPr>
                <w:rFonts w:ascii="宋体" w:hAnsi="宋体" w:cs="宋体" w:eastAsia="宋体" w:hint="default"/>
                <w:sz w:val="18"/>
                <w:szCs w:val="18"/>
              </w:rPr>
              <w:t> 饮料（果汁 及蔬菜汁 类、固体饮 料类、其他 </w:t>
            </w:r>
            <w:r>
              <w:rPr>
                <w:rFonts w:ascii="宋体" w:hAnsi="宋体" w:cs="宋体" w:eastAsia="宋体" w:hint="default"/>
                <w:spacing w:val="-16"/>
                <w:sz w:val="18"/>
                <w:szCs w:val="18"/>
              </w:rPr>
              <w:t>饮料类）、蜜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饯；生产、 销售保健食 品；动、植 物提取物研</w:t>
            </w:r>
          </w:p>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发、生产、</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1,362,523,55</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668,675,867.</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424,641,432.</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247,987,169.</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210,702,935.</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97.537003pt;margin-top:72.47998pt;width:75.95pt;height:210.65pt;mso-position-horizontal-relative:page;mso-position-vertical-relative:page;z-index:-904672" type="#_x0000_t202" filled="false" stroked="false">
            <v:textbox inset="0,0,0,0">
              <w:txbxContent>
                <w:p>
                  <w:pPr>
                    <w:spacing w:before="88"/>
                    <w:ind w:left="0" w:right="0" w:firstLine="0"/>
                    <w:jc w:val="left"/>
                    <w:rPr>
                      <w:rFonts w:ascii="宋体" w:hAnsi="宋体" w:cs="宋体" w:eastAsia="宋体" w:hint="default"/>
                      <w:sz w:val="18"/>
                      <w:szCs w:val="18"/>
                    </w:rPr>
                  </w:pPr>
                  <w:r>
                    <w:rPr>
                      <w:rFonts w:ascii="宋体" w:hAnsi="宋体" w:cs="宋体" w:eastAsia="宋体" w:hint="default"/>
                      <w:sz w:val="18"/>
                      <w:szCs w:val="18"/>
                    </w:rPr>
                    <w:t>法律、</w:t>
                  </w:r>
                </w:p>
              </w:txbxContent>
            </v:textbox>
            <w10:wrap type="none"/>
          </v:shape>
        </w:pict>
      </w:r>
      <w:r>
        <w:rPr/>
        <w:pict>
          <v:shape style="position:absolute;margin-left:188.537003pt;margin-top:529.359985pt;width:84.95pt;height:222.35pt;mso-position-horizontal-relative:page;mso-position-vertical-relative:page;z-index:-9046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的生产、</w:t>
                  </w:r>
                </w:p>
              </w:txbxContent>
            </v:textbox>
            <w10:wrap type="none"/>
          </v:shape>
        </w:pict>
      </w:r>
      <w:r>
        <w:rPr/>
        <w:pict>
          <v:group style="position:absolute;margin-left:221.720001pt;margin-top:529.359985pt;width:51.75pt;height:222.35pt;mso-position-horizontal-relative:page;mso-position-vertical-relative:page;z-index:-904624" coordorigin="4434,10587" coordsize="1035,4447">
            <v:shape style="position:absolute;left:4434;top:10587;width:1035;height:4447" coordorigin="4434,10587" coordsize="1035,4447" path="m4434,15034l5469,15034,5469,10587,4434,10587,4434,1503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73" w:hRule="exact"/>
        </w:trPr>
        <w:tc>
          <w:tcPr>
            <w:tcW w:w="1054"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046" w:type="dxa"/>
            <w:vMerge w:val="restart"/>
            <w:tcBorders>
              <w:top w:val="single" w:sz="4" w:space="0" w:color="000000"/>
              <w:left w:val="single" w:sz="4" w:space="0" w:color="000000"/>
              <w:right w:val="single" w:sz="4" w:space="0" w:color="000000"/>
            </w:tcBorders>
          </w:tcPr>
          <w:p>
            <w:pPr>
              <w:pStyle w:val="TableParagraph"/>
              <w:spacing w:line="4212"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3"/>
                <w:sz w:val="20"/>
                <w:szCs w:val="20"/>
              </w:rPr>
              <w:pict>
                <v:group style="width:51.75pt;height:210.65pt;mso-position-horizontal-relative:char;mso-position-vertical-relative:line" coordorigin="0,0" coordsize="1035,4213">
                  <v:group style="position:absolute;left:0;top:0;width:1035;height:4213" coordorigin="0,0" coordsize="1035,4213">
                    <v:shape style="position:absolute;left:0;top:0;width:1035;height:4213" coordorigin="0,0" coordsize="1035,4213" path="m0,4212l1035,4212,1035,0,0,0,0,4212xe" filled="true" fillcolor="#ffffff" stroked="false">
                      <v:path arrowok="t"/>
                      <v:fill type="solid"/>
                    </v:shape>
                  </v:group>
                </v:group>
              </w:pict>
            </w:r>
            <w:r>
              <w:rPr>
                <w:rFonts w:ascii="Times New Roman" w:hAnsi="Times New Roman" w:cs="Times New Roman" w:eastAsia="Times New Roman" w:hint="default"/>
                <w:position w:val="-83"/>
                <w:sz w:val="20"/>
                <w:szCs w:val="20"/>
              </w:rPr>
            </w: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法规允许的</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进出口贸</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易</w:t>
            </w:r>
            <w:r>
              <w:rPr>
                <w:rFonts w:ascii="宋体" w:hAnsi="宋体" w:cs="宋体" w:eastAsia="宋体" w:hint="default"/>
                <w:spacing w:val="-92"/>
                <w:sz w:val="18"/>
                <w:szCs w:val="18"/>
              </w:rPr>
              <w:t>。</w:t>
            </w:r>
            <w:r>
              <w:rPr>
                <w:rFonts w:ascii="宋体" w:hAnsi="宋体" w:cs="宋体" w:eastAsia="宋体" w:hint="default"/>
                <w:sz w:val="18"/>
                <w:szCs w:val="18"/>
              </w:rPr>
              <w:t>（依法须</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经批准的项</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目，经相关</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部门批准后</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方可开展经</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73" w:hRule="exact"/>
        </w:trPr>
        <w:tc>
          <w:tcPr>
            <w:tcW w:w="1054"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营活动）</w:t>
            </w: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r>
        <w:trPr>
          <w:trHeight w:val="474"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植物提取</w:t>
            </w: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468"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物、保健食</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468"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品、药品及</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468"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化工产品</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468"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（不含危险</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468"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化学品）的</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468"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研究、技术</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468"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咨询、技术</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转让；植物</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96"/>
              <w:jc w:val="center"/>
              <w:rPr>
                <w:rFonts w:ascii="宋体" w:hAnsi="宋体" w:cs="宋体" w:eastAsia="宋体" w:hint="default"/>
                <w:sz w:val="18"/>
                <w:szCs w:val="18"/>
              </w:rPr>
            </w:pPr>
            <w:r>
              <w:rPr>
                <w:rFonts w:ascii="宋体" w:hAnsi="宋体" w:cs="宋体" w:eastAsia="宋体" w:hint="default"/>
                <w:sz w:val="18"/>
                <w:szCs w:val="18"/>
              </w:rPr>
              <w:t>吉林紫鑫参</w:t>
            </w: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提取物及化</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18"/>
                <w:szCs w:val="18"/>
              </w:rPr>
            </w:pPr>
            <w:r>
              <w:rPr>
                <w:rFonts w:ascii="Times New Roman"/>
                <w:spacing w:val="-1"/>
                <w:sz w:val="18"/>
              </w:rPr>
              <w:t>76,657,504.3</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18"/>
                <w:szCs w:val="18"/>
              </w:rPr>
            </w:pPr>
            <w:r>
              <w:rPr>
                <w:rFonts w:ascii="Times New Roman"/>
                <w:spacing w:val="-1"/>
                <w:sz w:val="18"/>
              </w:rPr>
              <w:t>51,222,002.3</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18"/>
                <w:szCs w:val="18"/>
              </w:rPr>
            </w:pPr>
            <w:r>
              <w:rPr>
                <w:rFonts w:ascii="Times New Roman"/>
                <w:spacing w:val="-1"/>
                <w:sz w:val="18"/>
              </w:rPr>
              <w:t>71,200,000.0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18"/>
                <w:szCs w:val="18"/>
              </w:rPr>
            </w:pPr>
            <w:r>
              <w:rPr>
                <w:rFonts w:ascii="Times New Roman"/>
                <w:spacing w:val="-1"/>
                <w:sz w:val="18"/>
              </w:rPr>
              <w:t>61,312,609.9</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18"/>
                <w:szCs w:val="18"/>
              </w:rPr>
            </w:pPr>
            <w:r>
              <w:rPr>
                <w:rFonts w:ascii="Times New Roman"/>
                <w:spacing w:val="-1"/>
                <w:sz w:val="18"/>
              </w:rPr>
              <w:t>46,022,002.3</w:t>
            </w:r>
          </w:p>
        </w:tc>
      </w:tr>
      <w:tr>
        <w:trPr>
          <w:trHeight w:val="235"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96"/>
              <w:jc w:val="center"/>
              <w:rPr>
                <w:rFonts w:ascii="宋体" w:hAnsi="宋体" w:cs="宋体" w:eastAsia="宋体" w:hint="default"/>
                <w:sz w:val="18"/>
                <w:szCs w:val="18"/>
              </w:rPr>
            </w:pPr>
            <w:r>
              <w:rPr>
                <w:rFonts w:ascii="宋体" w:hAnsi="宋体" w:cs="宋体" w:eastAsia="宋体" w:hint="default"/>
                <w:sz w:val="18"/>
                <w:szCs w:val="18"/>
              </w:rPr>
              <w:t>工堂生物科</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 </w:t>
            </w:r>
            <w:r>
              <w:rPr>
                <w:rFonts w:ascii="宋体" w:hAnsi="宋体" w:cs="宋体" w:eastAsia="宋体" w:hint="default"/>
                <w:sz w:val="18"/>
                <w:szCs w:val="18"/>
              </w:rPr>
              <w:t>万元</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工产品（不</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3"/>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3"/>
              <w:jc w:val="right"/>
              <w:rPr>
                <w:rFonts w:ascii="Times New Roman" w:hAnsi="Times New Roman" w:cs="Times New Roman" w:eastAsia="Times New Roman" w:hint="default"/>
                <w:sz w:val="18"/>
                <w:szCs w:val="18"/>
              </w:rPr>
            </w:pPr>
            <w:r>
              <w:rPr>
                <w:rFonts w:ascii="Times New Roman"/>
                <w:sz w:val="18"/>
              </w:rPr>
              <w:t>7</w:t>
            </w:r>
          </w:p>
        </w:tc>
      </w:tr>
      <w:tr>
        <w:trPr>
          <w:trHeight w:val="230"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96"/>
              <w:jc w:val="center"/>
              <w:rPr>
                <w:rFonts w:ascii="宋体" w:hAnsi="宋体" w:cs="宋体" w:eastAsia="宋体" w:hint="default"/>
                <w:sz w:val="18"/>
                <w:szCs w:val="18"/>
              </w:rPr>
            </w:pPr>
            <w:r>
              <w:rPr>
                <w:rFonts w:ascii="宋体" w:hAnsi="宋体" w:cs="宋体" w:eastAsia="宋体" w:hint="default"/>
                <w:sz w:val="18"/>
                <w:szCs w:val="18"/>
              </w:rPr>
              <w:t>技有限公司</w:t>
            </w: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含危险化学</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468"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品）</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468"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销售；经营</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468"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本企业自营</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468"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产品的进出</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468"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口贸易</w:t>
            </w:r>
            <w:r>
              <w:rPr>
                <w:rFonts w:ascii="宋体" w:hAnsi="宋体" w:cs="宋体" w:eastAsia="宋体" w:hint="default"/>
                <w:spacing w:val="-92"/>
                <w:sz w:val="18"/>
                <w:szCs w:val="18"/>
              </w:rPr>
              <w:t>。</w:t>
            </w:r>
            <w:r>
              <w:rPr>
                <w:rFonts w:ascii="宋体" w:hAnsi="宋体" w:cs="宋体" w:eastAsia="宋体" w:hint="default"/>
                <w:sz w:val="18"/>
                <w:szCs w:val="18"/>
              </w:rPr>
              <w:t>（依</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468"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法须经批准</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468"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的项目，经</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473"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相关部门批</w:t>
            </w: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1414"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准后方可开</w:t>
            </w:r>
          </w:p>
          <w:p>
            <w:pPr>
              <w:pStyle w:val="TableParagraph"/>
              <w:spacing w:line="460" w:lineRule="atLeast" w:before="8"/>
              <w:ind w:left="22" w:right="290"/>
              <w:jc w:val="left"/>
              <w:rPr>
                <w:rFonts w:ascii="宋体" w:hAnsi="宋体" w:cs="宋体" w:eastAsia="宋体" w:hint="default"/>
                <w:sz w:val="18"/>
                <w:szCs w:val="18"/>
              </w:rPr>
            </w:pPr>
            <w:r>
              <w:rPr>
                <w:rFonts w:ascii="宋体" w:hAnsi="宋体" w:cs="宋体" w:eastAsia="宋体" w:hint="default"/>
                <w:sz w:val="18"/>
                <w:szCs w:val="18"/>
              </w:rPr>
              <w:t>展经营活 动）</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375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477" w:lineRule="auto"/>
              <w:ind w:left="22" w:right="119"/>
              <w:jc w:val="both"/>
              <w:rPr>
                <w:rFonts w:ascii="宋体" w:hAnsi="宋体" w:cs="宋体" w:eastAsia="宋体" w:hint="default"/>
                <w:sz w:val="18"/>
                <w:szCs w:val="18"/>
              </w:rPr>
            </w:pPr>
            <w:r>
              <w:rPr>
                <w:rFonts w:ascii="宋体" w:hAnsi="宋体" w:cs="宋体" w:eastAsia="宋体" w:hint="default"/>
                <w:sz w:val="18"/>
                <w:szCs w:val="18"/>
              </w:rPr>
              <w:t>吉林紫鑫红 石种养殖有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9"/>
              <w:ind w:left="22" w:right="110"/>
              <w:jc w:val="both"/>
              <w:rPr>
                <w:rFonts w:ascii="宋体" w:hAnsi="宋体" w:cs="宋体" w:eastAsia="宋体" w:hint="default"/>
                <w:sz w:val="18"/>
                <w:szCs w:val="18"/>
              </w:rPr>
            </w:pPr>
            <w:r>
              <w:rPr>
                <w:rFonts w:ascii="宋体" w:hAnsi="宋体" w:cs="宋体" w:eastAsia="宋体" w:hint="default"/>
                <w:sz w:val="18"/>
                <w:szCs w:val="18"/>
              </w:rPr>
              <w:t>中药材种植 销售、农副 产品收购</w:t>
            </w:r>
          </w:p>
          <w:p>
            <w:pPr>
              <w:pStyle w:val="TableParagraph"/>
              <w:spacing w:line="477" w:lineRule="auto" w:before="54"/>
              <w:ind w:left="22" w:right="110"/>
              <w:jc w:val="both"/>
              <w:rPr>
                <w:rFonts w:ascii="宋体" w:hAnsi="宋体" w:cs="宋体" w:eastAsia="宋体" w:hint="default"/>
                <w:sz w:val="18"/>
                <w:szCs w:val="18"/>
              </w:rPr>
            </w:pPr>
            <w:r>
              <w:rPr>
                <w:rFonts w:ascii="宋体" w:hAnsi="宋体" w:cs="宋体" w:eastAsia="宋体" w:hint="default"/>
                <w:sz w:val="18"/>
                <w:szCs w:val="18"/>
              </w:rPr>
              <w:t>（以上项目 国家法律、 法规需前置 审批的凭许</w:t>
            </w:r>
          </w:p>
          <w:p>
            <w:pPr>
              <w:pStyle w:val="TableParagraph"/>
              <w:spacing w:line="240" w:lineRule="auto" w:before="54"/>
              <w:ind w:left="22" w:right="0"/>
              <w:jc w:val="both"/>
              <w:rPr>
                <w:rFonts w:ascii="宋体" w:hAnsi="宋体" w:cs="宋体" w:eastAsia="宋体" w:hint="default"/>
                <w:sz w:val="18"/>
                <w:szCs w:val="18"/>
              </w:rPr>
            </w:pPr>
            <w:r>
              <w:rPr>
                <w:rFonts w:ascii="宋体" w:hAnsi="宋体" w:cs="宋体" w:eastAsia="宋体" w:hint="default"/>
                <w:sz w:val="18"/>
                <w:szCs w:val="18"/>
              </w:rPr>
              <w:t>可证经营）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3,263,465,80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264,401,232.</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257,186,208.</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190,231,833.</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186,579,637.</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line="240" w:lineRule="auto" w:before="10"/>
        <w:rPr>
          <w:rFonts w:ascii="宋体" w:hAnsi="宋体" w:cs="宋体" w:eastAsia="宋体" w:hint="default"/>
          <w:sz w:val="17"/>
          <w:szCs w:val="17"/>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before="44"/>
        <w:ind w:left="0" w:right="1139" w:firstLine="0"/>
        <w:jc w:val="right"/>
        <w:rPr>
          <w:rFonts w:ascii="宋体" w:hAnsi="宋体" w:cs="宋体" w:eastAsia="宋体" w:hint="default"/>
          <w:sz w:val="18"/>
          <w:szCs w:val="18"/>
        </w:rPr>
      </w:pPr>
      <w:r>
        <w:rPr/>
        <w:pict>
          <v:shape style="position:absolute;margin-left:56.459999pt;margin-top:-143.668274pt;width:479.25pt;height:377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190"/>
                    <w:gridCol w:w="3191"/>
                  </w:tblGrid>
                  <w:tr>
                    <w:trPr>
                      <w:trHeight w:val="47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691"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吉林紫鑫参工堂生物科技有限公司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9"/>
                          <w:ind w:left="22" w:right="96"/>
                          <w:jc w:val="left"/>
                          <w:rPr>
                            <w:rFonts w:ascii="宋体" w:hAnsi="宋体" w:cs="宋体" w:eastAsia="宋体" w:hint="default"/>
                            <w:sz w:val="18"/>
                            <w:szCs w:val="18"/>
                          </w:rPr>
                        </w:pPr>
                        <w:r>
                          <w:rPr>
                            <w:rFonts w:ascii="宋体" w:hAnsi="宋体" w:cs="宋体" w:eastAsia="宋体" w:hint="default"/>
                            <w:sz w:val="18"/>
                            <w:szCs w:val="18"/>
                          </w:rPr>
                          <w:t>有利于公司研究与制造植物提取物、保 健食品、药品等业务的发展，充分利用 公司前期围绕人参业务板块通过系统、 科学的产品研发与品种引进在部分植物 提取物、人参提取物、人参皂苷单体分 离方面取得的阶段性成果，加强以人参 人参茎叶等为主的原料进行植物提取 物、人参提取物、人参皂苷单体的研发 小试、中试、产业化生产等工作的有效</w:t>
                        </w:r>
                      </w:p>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运营。</w:t>
                        </w:r>
                      </w:p>
                    </w:tc>
                  </w:tr>
                  <w:tr>
                    <w:trPr>
                      <w:trHeight w:val="14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吉林紫鑫汪清药业有限公司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96"/>
                          <w:jc w:val="left"/>
                          <w:rPr>
                            <w:rFonts w:ascii="宋体" w:hAnsi="宋体" w:cs="宋体" w:eastAsia="宋体" w:hint="default"/>
                            <w:sz w:val="18"/>
                            <w:szCs w:val="18"/>
                          </w:rPr>
                        </w:pPr>
                        <w:r>
                          <w:rPr>
                            <w:rFonts w:ascii="宋体" w:hAnsi="宋体" w:cs="宋体" w:eastAsia="宋体" w:hint="default"/>
                            <w:sz w:val="18"/>
                            <w:szCs w:val="18"/>
                          </w:rPr>
                          <w:t>有利于公司资源的合理配置，增强公司 产品生产能力，符合公司的长远发展战</w:t>
                        </w:r>
                      </w:p>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略。</w:t>
                        </w:r>
                      </w:p>
                    </w:tc>
                  </w:tr>
                  <w:tr>
                    <w:trPr>
                      <w:trHeight w:val="947"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Times New Roman" w:hAnsi="Times New Roman" w:cs="Times New Roman" w:eastAsia="Times New Roman" w:hint="default"/>
                            <w:sz w:val="18"/>
                            <w:szCs w:val="18"/>
                          </w:rPr>
                        </w:pPr>
                        <w:r>
                          <w:rPr>
                            <w:rFonts w:ascii="Times New Roman"/>
                            <w:sz w:val="18"/>
                          </w:rPr>
                          <w:t>Zixin Pharmaceuticals USA</w:t>
                        </w:r>
                        <w:r>
                          <w:rPr>
                            <w:rFonts w:ascii="Times New Roman"/>
                            <w:spacing w:val="-16"/>
                            <w:sz w:val="18"/>
                          </w:rPr>
                          <w:t> </w:t>
                        </w:r>
                        <w:r>
                          <w:rPr>
                            <w:rFonts w:ascii="Times New Roman"/>
                            <w:sz w:val="18"/>
                          </w:rPr>
                          <w:t>CORP</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在美国设立全资子公司能进一步促进公</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司与国际市场的交流与合作，随着美国</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before="0"/>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before="44"/>
        <w:ind w:left="0" w:right="1139" w:firstLine="0"/>
        <w:jc w:val="right"/>
        <w:rPr>
          <w:rFonts w:ascii="宋体" w:hAnsi="宋体" w:cs="宋体" w:eastAsia="宋体" w:hint="default"/>
          <w:sz w:val="18"/>
          <w:szCs w:val="18"/>
        </w:rPr>
      </w:pPr>
      <w:r>
        <w:rPr/>
        <w:pict>
          <v:shape style="position:absolute;margin-left:56.459999pt;margin-top:-306.928284pt;width:479.25pt;height:328.6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190"/>
                    <w:gridCol w:w="3191"/>
                  </w:tblGrid>
                  <w:tr>
                    <w:trPr>
                      <w:trHeight w:val="473" w:hRule="exact"/>
                    </w:trPr>
                    <w:tc>
                      <w:tcPr>
                        <w:tcW w:w="3189" w:type="dxa"/>
                        <w:vMerge w:val="restart"/>
                        <w:tcBorders>
                          <w:top w:val="single" w:sz="4" w:space="0" w:color="000000"/>
                          <w:left w:val="single" w:sz="4" w:space="0" w:color="000000"/>
                          <w:right w:val="single" w:sz="4" w:space="0" w:color="000000"/>
                        </w:tcBorders>
                      </w:tcPr>
                      <w:p>
                        <w:pPr/>
                      </w:p>
                    </w:tc>
                    <w:tc>
                      <w:tcPr>
                        <w:tcW w:w="3190" w:type="dxa"/>
                        <w:vMerge w:val="restart"/>
                        <w:tcBorders>
                          <w:top w:val="single" w:sz="4" w:space="0" w:color="000000"/>
                          <w:left w:val="single" w:sz="4" w:space="0" w:color="000000"/>
                          <w:right w:val="single" w:sz="4" w:space="0" w:color="000000"/>
                        </w:tcBorders>
                      </w:tcPr>
                      <w:p>
                        <w:pPr/>
                      </w:p>
                    </w:tc>
                    <w:tc>
                      <w:tcPr>
                        <w:tcW w:w="31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的先进技术和顶尖人才的引入，会大大</w:t>
                        </w:r>
                      </w:p>
                    </w:tc>
                  </w:tr>
                  <w:tr>
                    <w:trPr>
                      <w:trHeight w:val="468" w:hRule="exact"/>
                    </w:trPr>
                    <w:tc>
                      <w:tcPr>
                        <w:tcW w:w="3189"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缩短公司的产品研发时间，提高工作成</w:t>
                        </w:r>
                      </w:p>
                    </w:tc>
                  </w:tr>
                  <w:tr>
                    <w:trPr>
                      <w:trHeight w:val="468" w:hRule="exact"/>
                    </w:trPr>
                    <w:tc>
                      <w:tcPr>
                        <w:tcW w:w="3189"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效，极大地推进公司海外业务发展，提</w:t>
                        </w:r>
                      </w:p>
                    </w:tc>
                  </w:tr>
                  <w:tr>
                    <w:trPr>
                      <w:trHeight w:val="468" w:hRule="exact"/>
                    </w:trPr>
                    <w:tc>
                      <w:tcPr>
                        <w:tcW w:w="3189"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高公司在国内同行业的竞争实力。促进</w:t>
                        </w:r>
                      </w:p>
                    </w:tc>
                  </w:tr>
                  <w:tr>
                    <w:trPr>
                      <w:trHeight w:val="468" w:hRule="exact"/>
                    </w:trPr>
                    <w:tc>
                      <w:tcPr>
                        <w:tcW w:w="3189"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与国际知名企业及掌握先进技术的科研</w:t>
                        </w:r>
                      </w:p>
                    </w:tc>
                  </w:tr>
                  <w:tr>
                    <w:trPr>
                      <w:trHeight w:val="468" w:hRule="exact"/>
                    </w:trPr>
                    <w:tc>
                      <w:tcPr>
                        <w:tcW w:w="3189"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机构展开合作与业务对接，使公司能够</w:t>
                        </w:r>
                      </w:p>
                    </w:tc>
                  </w:tr>
                  <w:tr>
                    <w:trPr>
                      <w:trHeight w:val="468" w:hRule="exact"/>
                    </w:trPr>
                    <w:tc>
                      <w:tcPr>
                        <w:tcW w:w="3189"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第一时间接触和投资世界最先进项目的</w:t>
                        </w:r>
                      </w:p>
                    </w:tc>
                  </w:tr>
                  <w:tr>
                    <w:trPr>
                      <w:trHeight w:val="468" w:hRule="exact"/>
                    </w:trPr>
                    <w:tc>
                      <w:tcPr>
                        <w:tcW w:w="3189"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机会，及时获取国际市场的最新信息，</w:t>
                        </w:r>
                      </w:p>
                    </w:tc>
                  </w:tr>
                  <w:tr>
                    <w:trPr>
                      <w:trHeight w:val="468" w:hRule="exact"/>
                    </w:trPr>
                    <w:tc>
                      <w:tcPr>
                        <w:tcW w:w="3189"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将国际先进测序仪技术及新药技术引进</w:t>
                        </w:r>
                      </w:p>
                    </w:tc>
                  </w:tr>
                  <w:tr>
                    <w:trPr>
                      <w:trHeight w:val="473" w:hRule="exact"/>
                    </w:trPr>
                    <w:tc>
                      <w:tcPr>
                        <w:tcW w:w="3189"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国内市场</w:t>
                        </w:r>
                        <w:r>
                          <w:rPr>
                            <w:rFonts w:ascii="Times New Roman" w:hAnsi="Times New Roman" w:cs="Times New Roman" w:eastAsia="Times New Roman" w:hint="default"/>
                            <w:sz w:val="18"/>
                            <w:szCs w:val="18"/>
                          </w:rPr>
                          <w:t>,</w:t>
                        </w:r>
                        <w:r>
                          <w:rPr>
                            <w:rFonts w:ascii="宋体" w:hAnsi="宋体" w:cs="宋体" w:eastAsia="宋体" w:hint="default"/>
                            <w:sz w:val="18"/>
                            <w:szCs w:val="18"/>
                          </w:rPr>
                          <w:t>同时实现公司基因测序仪及相</w:t>
                        </w:r>
                      </w:p>
                    </w:tc>
                  </w:tr>
                  <w:tr>
                    <w:trPr>
                      <w:trHeight w:val="463" w:hRule="exact"/>
                    </w:trPr>
                    <w:tc>
                      <w:tcPr>
                        <w:tcW w:w="3189"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关产品出口的国际化战略，有利于公司</w:t>
                        </w:r>
                      </w:p>
                    </w:tc>
                  </w:tr>
                  <w:tr>
                    <w:trPr>
                      <w:trHeight w:val="468" w:hRule="exact"/>
                    </w:trPr>
                    <w:tc>
                      <w:tcPr>
                        <w:tcW w:w="3189"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进一步拓展国际业务，搭建海外并购发</w:t>
                        </w:r>
                      </w:p>
                    </w:tc>
                  </w:tr>
                  <w:tr>
                    <w:trPr>
                      <w:trHeight w:val="468" w:hRule="exact"/>
                    </w:trPr>
                    <w:tc>
                      <w:tcPr>
                        <w:tcW w:w="3189"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展平台，加快公司的国际化进程，提高</w:t>
                        </w:r>
                      </w:p>
                    </w:tc>
                  </w:tr>
                  <w:tr>
                    <w:trPr>
                      <w:trHeight w:val="474" w:hRule="exact"/>
                    </w:trPr>
                    <w:tc>
                      <w:tcPr>
                        <w:tcW w:w="3189"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c>
                      <w:tcPr>
                        <w:tcW w:w="31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企业竞争力，符合公司的整体战略目标</w:t>
                        </w:r>
                      </w:p>
                    </w:tc>
                  </w:tr>
                </w:tbl>
                <w:p>
                  <w:pPr/>
                </w:p>
              </w:txbxContent>
            </v:textbox>
            <w10:wrap type="none"/>
          </v:shape>
        </w:pict>
      </w:r>
      <w:r>
        <w:rPr>
          <w:rFonts w:ascii="宋体" w:hAnsi="宋体" w:cs="宋体" w:eastAsia="宋体" w:hint="default"/>
          <w:sz w:val="18"/>
          <w:szCs w:val="18"/>
        </w:rPr>
        <w:t>。</w:t>
      </w:r>
    </w:p>
    <w:p>
      <w:pPr>
        <w:spacing w:line="240" w:lineRule="auto" w:before="3"/>
        <w:rPr>
          <w:rFonts w:ascii="宋体" w:hAnsi="宋体" w:cs="宋体" w:eastAsia="宋体" w:hint="default"/>
          <w:sz w:val="15"/>
          <w:szCs w:val="15"/>
        </w:rPr>
      </w:pPr>
    </w:p>
    <w:p>
      <w:pPr>
        <w:spacing w:line="477" w:lineRule="auto" w:before="44"/>
        <w:ind w:left="154" w:right="8592"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 无</w:t>
      </w:r>
    </w:p>
    <w:p>
      <w:pPr>
        <w:pStyle w:val="Heading2"/>
        <w:spacing w:line="240" w:lineRule="auto" w:before="5"/>
        <w:ind w:left="154" w:right="0"/>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before="2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3"/>
          <w:szCs w:val="13"/>
        </w:rPr>
      </w:pPr>
    </w:p>
    <w:p>
      <w:pPr>
        <w:pStyle w:val="Heading2"/>
        <w:spacing w:line="240" w:lineRule="auto"/>
        <w:ind w:right="0"/>
        <w:jc w:val="left"/>
        <w:rPr>
          <w:b w:val="0"/>
          <w:bCs w:val="0"/>
        </w:rPr>
      </w:pPr>
      <w:bookmarkStart w:name="九、公司未来发展的展望" w:id="59"/>
      <w:bookmarkEnd w:id="59"/>
      <w:r>
        <w:rPr>
          <w:b w:val="0"/>
          <w:bCs w:val="0"/>
        </w:rPr>
      </w:r>
      <w:r>
        <w:rPr/>
        <w:t>九、公司未来发展的展望</w:t>
      </w:r>
      <w:r>
        <w:rPr>
          <w:b w:val="0"/>
          <w:bCs w:val="0"/>
        </w:rPr>
      </w:r>
    </w:p>
    <w:p>
      <w:pPr>
        <w:pStyle w:val="BodyText"/>
        <w:spacing w:line="408" w:lineRule="auto" w:before="177"/>
        <w:ind w:left="489" w:right="0" w:hanging="252"/>
        <w:jc w:val="left"/>
      </w:pPr>
      <w:r>
        <w:rPr/>
        <w:t>（一）公司发展战略 公司未来三年发展战略为中成药、人参产业、基因测序仪三大产业齐头发展。公司以中成药发展为企</w:t>
      </w:r>
    </w:p>
    <w:p>
      <w:pPr>
        <w:pStyle w:val="BodyText"/>
        <w:spacing w:line="408" w:lineRule="auto"/>
        <w:ind w:right="1024"/>
        <w:jc w:val="left"/>
      </w:pPr>
      <w:r>
        <w:rPr/>
        <w:t>业的立足之本，以中药现代化为目标，促使中药更好、更便捷地走进生活，服务大众的身体健康；继承与 创新相结合，提升技术创新能力，加快品牌发展，占有更高市场份额，积极履行企业社会责任，与各相关 </w:t>
      </w:r>
      <w:r>
        <w:rPr>
          <w:spacing w:val="-3"/>
        </w:rPr>
        <w:t>方和谐共进。人参产业作为企业未来发展的排头兵，将依托公司的先进加工技术，积极开展关键技术攻关，</w:t>
      </w:r>
      <w:r>
        <w:rPr>
          <w:spacing w:val="-90"/>
        </w:rPr>
        <w:t> </w:t>
      </w:r>
      <w:r>
        <w:rPr>
          <w:spacing w:val="-90"/>
        </w:rPr>
      </w:r>
      <w:r>
        <w:rPr/>
        <w:t>实现合理的结构调整，提升人参产品的品质，使紫鑫人参成为国际、国内知名品牌，进一步提高核心竞争</w:t>
      </w:r>
      <w:r>
        <w:rPr/>
        <w:t> 力，为提高人类生活品质做出应尽的社会责任。基因测序产业是一个在国内新兴和朝阳的产业，紫鑫药业 </w:t>
      </w:r>
      <w:r>
        <w:rPr>
          <w:spacing w:val="3"/>
        </w:rPr>
        <w:t>与中国科学院北京基因组研究所共同研发的国产化第二代测序仪将缓解测序仪核心技术受制于国外公司</w:t>
      </w:r>
      <w:r>
        <w:rPr>
          <w:spacing w:val="-82"/>
        </w:rPr>
        <w:t> </w:t>
      </w:r>
      <w:r>
        <w:rPr>
          <w:spacing w:val="-82"/>
        </w:rPr>
      </w:r>
      <w:r>
        <w:rPr/>
        <w:t>的现状，在未来时间里，实现甲级以上医院的普及使用，降低基因检测成本，为国人健康提供有效帮助。</w:t>
      </w:r>
    </w:p>
    <w:p>
      <w:pPr>
        <w:pStyle w:val="BodyText"/>
        <w:spacing w:line="240" w:lineRule="auto"/>
        <w:ind w:left="490" w:right="0"/>
        <w:jc w:val="left"/>
      </w:pPr>
      <w:r>
        <w:rPr/>
        <w:t>公司通过进一步加大对药品、人参食品、保健品、基因测序仪的研发投入，坚持自主创新，不断提高</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4"/>
        <w:jc w:val="left"/>
      </w:pPr>
      <w:r>
        <w:rPr/>
        <w:t>药品、人参食品、保健品、基因测序仪的质量标准，扩充产能储备；通过扩大产能，完善产品结构，丰富 各类产品线，迅速占领市场，提高产品的市场份额；通过持续建设和完善市场营销网络，加大对市场的投 </w:t>
      </w:r>
      <w:r>
        <w:rPr>
          <w:spacing w:val="-3"/>
        </w:rPr>
        <w:t>入，进一步完善营销人员的专业结构，提升品牌专业形象；通过人才引进、管理创新、完善公司治理结构、</w:t>
      </w:r>
      <w:r>
        <w:rPr>
          <w:spacing w:val="-94"/>
        </w:rPr>
        <w:t> </w:t>
      </w:r>
      <w:r>
        <w:rPr>
          <w:spacing w:val="-94"/>
        </w:rPr>
      </w:r>
      <w:r>
        <w:rPr/>
        <w:t>优化人力资源管理等手段，努力提高公司的经营决策水平；保证公司核心产品的稳步提升，提高营销网络</w:t>
      </w:r>
      <w:r>
        <w:rPr/>
        <w:t> 运行效率，为公司发展提供稳定的现金流支持。</w:t>
      </w:r>
    </w:p>
    <w:p>
      <w:pPr>
        <w:pStyle w:val="BodyText"/>
        <w:spacing w:line="240" w:lineRule="auto"/>
        <w:ind w:left="405" w:right="0"/>
        <w:jc w:val="left"/>
      </w:pPr>
      <w:r>
        <w:rPr/>
        <w:t>（二）业务发展目标</w:t>
      </w:r>
    </w:p>
    <w:p>
      <w:pPr>
        <w:spacing w:line="240" w:lineRule="auto" w:before="10"/>
        <w:rPr>
          <w:rFonts w:ascii="宋体" w:hAnsi="宋体" w:cs="宋体" w:eastAsia="宋体" w:hint="default"/>
          <w:sz w:val="14"/>
          <w:szCs w:val="14"/>
        </w:rPr>
      </w:pPr>
    </w:p>
    <w:p>
      <w:pPr>
        <w:pStyle w:val="BodyText"/>
        <w:spacing w:line="386" w:lineRule="auto" w:before="0"/>
        <w:ind w:left="489" w:right="0"/>
        <w:jc w:val="left"/>
      </w:pPr>
      <w:r>
        <w:rPr>
          <w:rFonts w:ascii="Times New Roman" w:hAnsi="Times New Roman" w:cs="Times New Roman" w:eastAsia="Times New Roman" w:hint="default"/>
        </w:rPr>
        <w:t>1</w:t>
      </w:r>
      <w:r>
        <w:rPr/>
        <w:t>、中成药发展目标 </w:t>
      </w:r>
      <w:r>
        <w:rPr>
          <w:spacing w:val="-3"/>
        </w:rPr>
        <w:t>公司将继续坚持</w:t>
      </w:r>
      <w:r>
        <w:rPr>
          <w:rFonts w:ascii="Times New Roman" w:hAnsi="Times New Roman" w:cs="Times New Roman" w:eastAsia="Times New Roman" w:hint="default"/>
          <w:spacing w:val="-3"/>
        </w:rPr>
        <w:t>“</w:t>
      </w:r>
      <w:r>
        <w:rPr>
          <w:spacing w:val="-3"/>
        </w:rPr>
        <w:t>科学管理，挖潜增效</w:t>
      </w:r>
      <w:r>
        <w:rPr>
          <w:rFonts w:ascii="Times New Roman" w:hAnsi="Times New Roman" w:cs="Times New Roman" w:eastAsia="Times New Roman" w:hint="default"/>
          <w:spacing w:val="-3"/>
        </w:rPr>
        <w:t>”</w:t>
      </w:r>
      <w:r>
        <w:rPr>
          <w:spacing w:val="-3"/>
        </w:rPr>
        <w:t>的既定原则和</w:t>
      </w:r>
      <w:r>
        <w:rPr>
          <w:rFonts w:ascii="Times New Roman" w:hAnsi="Times New Roman" w:cs="Times New Roman" w:eastAsia="Times New Roman" w:hint="default"/>
          <w:spacing w:val="-3"/>
        </w:rPr>
        <w:t>“</w:t>
      </w:r>
      <w:r>
        <w:rPr>
          <w:spacing w:val="-3"/>
        </w:rPr>
        <w:t>以品树人、以德酿药</w:t>
      </w:r>
      <w:r>
        <w:rPr>
          <w:rFonts w:ascii="Times New Roman" w:hAnsi="Times New Roman" w:cs="Times New Roman" w:eastAsia="Times New Roman" w:hint="default"/>
          <w:spacing w:val="-3"/>
        </w:rPr>
        <w:t>”</w:t>
      </w:r>
      <w:r>
        <w:rPr>
          <w:spacing w:val="-3"/>
        </w:rPr>
        <w:t>的企业文化为指引牢牢抓住</w:t>
      </w:r>
    </w:p>
    <w:p>
      <w:pPr>
        <w:pStyle w:val="BodyText"/>
        <w:spacing w:line="408" w:lineRule="auto" w:before="35"/>
        <w:ind w:right="1110"/>
        <w:jc w:val="both"/>
      </w:pPr>
      <w:r>
        <w:rPr>
          <w:spacing w:val="-1"/>
        </w:rPr>
        <w:t>中成药发展这一主线，以治疗风湿免疫类、耳鼻喉类、泌尿系统、心脑血管、肝胆类和消化系统类疾病等</w:t>
      </w:r>
      <w:r>
        <w:rPr>
          <w:spacing w:val="-83"/>
        </w:rPr>
        <w:t> </w:t>
      </w:r>
      <w:r>
        <w:rPr>
          <w:spacing w:val="-83"/>
        </w:rPr>
      </w:r>
      <w:r>
        <w:rPr>
          <w:spacing w:val="-1"/>
        </w:rPr>
        <w:t>药品为主攻方向，通过与科研机构、大专院校强强合作的方式开发新药，形成公司独特的竞争优势，进一</w:t>
      </w:r>
      <w:r>
        <w:rPr>
          <w:spacing w:val="-86"/>
        </w:rPr>
        <w:t> </w:t>
      </w:r>
      <w:r>
        <w:rPr>
          <w:spacing w:val="-86"/>
        </w:rPr>
      </w:r>
      <w:r>
        <w:rPr/>
        <w:t>步加大对研发的投入。同时公司将通过资本运营与生产经营并举，通过收购、并购参股等形式，有计划、 有步骤、有目标积极稳妥的收购一些优良药品品种，进而实现公司的持续健康发展。</w:t>
      </w:r>
    </w:p>
    <w:p>
      <w:pPr>
        <w:pStyle w:val="BodyText"/>
        <w:spacing w:line="240" w:lineRule="auto"/>
        <w:ind w:left="489" w:right="0"/>
        <w:jc w:val="left"/>
      </w:pPr>
      <w:r>
        <w:rPr>
          <w:rFonts w:ascii="Times New Roman" w:hAnsi="Times New Roman" w:cs="Times New Roman" w:eastAsia="Times New Roman" w:hint="default"/>
        </w:rPr>
        <w:t>2</w:t>
      </w:r>
      <w:r>
        <w:rPr/>
        <w:t>、人参深加工产品发展目标</w:t>
      </w:r>
    </w:p>
    <w:p>
      <w:pPr>
        <w:pStyle w:val="BodyText"/>
        <w:spacing w:line="398" w:lineRule="auto" w:before="177"/>
        <w:ind w:right="1026" w:firstLine="345"/>
        <w:jc w:val="both"/>
      </w:pPr>
      <w:r>
        <w:rPr>
          <w:rFonts w:ascii="Times New Roman" w:hAnsi="Times New Roman" w:cs="Times New Roman" w:eastAsia="Times New Roman" w:hint="default"/>
        </w:rPr>
        <w:t>2009</w:t>
      </w:r>
      <w:r>
        <w:rPr/>
        <w:t>年公司进军人参产业，经历了八年的发展，人参（人工种植）已被卫生部批准为新资源食品，随 着大众对健康的关注日益强烈，人参食品、保健品的需求量也将大幅提升。公司已经研发出</w:t>
      </w:r>
      <w:r>
        <w:rPr>
          <w:rFonts w:ascii="Times New Roman" w:hAnsi="Times New Roman" w:cs="Times New Roman" w:eastAsia="Times New Roman" w:hint="default"/>
        </w:rPr>
        <w:t>500</w:t>
      </w:r>
      <w:r>
        <w:rPr/>
        <w:t>余个人参</w:t>
      </w:r>
      <w:r>
        <w:rPr>
          <w:spacing w:val="-26"/>
        </w:rPr>
        <w:t> </w:t>
      </w:r>
      <w:r>
        <w:rPr>
          <w:spacing w:val="-26"/>
        </w:rPr>
      </w:r>
      <w:r>
        <w:rPr/>
        <w:t>食品、保健品、化妆品等品种，目前已将数十款人参产品推向市场，以人参果蔬发酵饮料、参呼吸饮料、 玉红颜红参阿胶糕、鲜人参蜜片等为代表的产品已经在得到了消费者的好评。公司将会以长春为中心，广</w:t>
      </w:r>
      <w:r>
        <w:rPr/>
        <w:t> </w:t>
      </w:r>
      <w:r>
        <w:rPr>
          <w:spacing w:val="-1"/>
        </w:rPr>
        <w:t>告投入辐射东北三省，同时在南方省份打造</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10</w:t>
      </w:r>
      <w:r>
        <w:rPr>
          <w:spacing w:val="-1"/>
        </w:rPr>
        <w:t>个样板市场，将公司人参深加工产品逐渐推向全国市场。</w:t>
      </w:r>
    </w:p>
    <w:p>
      <w:pPr>
        <w:pStyle w:val="BodyText"/>
        <w:spacing w:line="408" w:lineRule="auto" w:before="24"/>
        <w:ind w:left="154" w:right="0" w:firstLine="315"/>
        <w:jc w:val="left"/>
      </w:pPr>
      <w:r>
        <w:rPr>
          <w:spacing w:val="-1"/>
        </w:rPr>
        <w:t>公司自进入人参产业以来，坚持自主研发和合作交流相结合的创新模式，对植物提取物、人参提取物、</w:t>
      </w:r>
      <w:r>
        <w:rPr/>
        <w:t> 人参皂苷单体分离方法的研究、产品的开发取得了阶段性成果，突破高纯度、应用型产品核心技术。以化 学水解法、酶水解法、微生物发酵法、加热加工法以及化学合成等为研究方法，应用新药研发的战略，对 人参全系统产品（鲜人参、生晒参、红参）进行全面分析，通过对工艺、质量标准进行比较研究，获得不 同人参皂苷比例的提取物、各种规格产品，满足医药、保健品、饮料、护理产品、功能性食品、化妆品等 行业使用。目前以子公司初元药业为试点，已建有小规模连续化、自动化、高得率的植物提取物生产线， 并在梅河口市有针对性的成立了以分植物提取物、人参提取物、人参皂苷单体分离方面为主的紫鑫参工堂 公司，加强以人参、人参茎叶等为主的原料进行植物提取物、人参提取物、人参皂苷单体的研发、小试、 中试、产业化生产等工作；公司人参系列提取、分离产品目前处于初期生产、销售阶段，目前主要核心客 户均为国内相关的医药制造公司、贸易公司等。未来销售发展方向主要为港澳、韩国、日本、东南亚、北 美洲及欧洲等国家和地区。</w:t>
      </w:r>
    </w:p>
    <w:p>
      <w:pPr>
        <w:pStyle w:val="BodyText"/>
        <w:spacing w:line="240" w:lineRule="auto"/>
        <w:ind w:left="490" w:right="0"/>
        <w:jc w:val="left"/>
      </w:pPr>
      <w:r>
        <w:rPr/>
        <w:t>未来人参产业作为企业的主要利润增长点，公司将采用研发</w:t>
      </w:r>
      <w:r>
        <w:rPr>
          <w:rFonts w:ascii="Times New Roman" w:hAnsi="Times New Roman" w:cs="Times New Roman" w:eastAsia="Times New Roman" w:hint="default"/>
        </w:rPr>
        <w:t>—</w:t>
      </w:r>
      <w:r>
        <w:rPr/>
        <w:t>生产</w:t>
      </w:r>
      <w:r>
        <w:rPr>
          <w:rFonts w:ascii="Times New Roman" w:hAnsi="Times New Roman" w:cs="Times New Roman" w:eastAsia="Times New Roman" w:hint="default"/>
        </w:rPr>
        <w:t>—</w:t>
      </w:r>
      <w:r>
        <w:rPr/>
        <w:t>销售全程无缝对接的模式，以销</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98" w:lineRule="auto" w:before="174"/>
        <w:ind w:right="1024"/>
        <w:jc w:val="left"/>
      </w:pPr>
      <w:r>
        <w:rPr>
          <w:spacing w:val="-3"/>
        </w:rPr>
        <w:t>售为导向，研发出更多适合消费者的人参品种。公司的战略是将研发出全系列的人参品种，根据市场需求，</w:t>
      </w:r>
      <w:r>
        <w:rPr>
          <w:spacing w:val="-90"/>
        </w:rPr>
        <w:t> </w:t>
      </w:r>
      <w:r>
        <w:rPr>
          <w:spacing w:val="-90"/>
        </w:rPr>
      </w:r>
      <w:r>
        <w:rPr/>
        <w:t>将不同的人参品种在未来</w:t>
      </w:r>
      <w:r>
        <w:rPr>
          <w:rFonts w:ascii="Times New Roman" w:hAnsi="Times New Roman" w:cs="Times New Roman" w:eastAsia="Times New Roman" w:hint="default"/>
        </w:rPr>
        <w:t>5</w:t>
      </w:r>
      <w:r>
        <w:rPr/>
        <w:t>年内全部推向市场，进一步提高人参产业在市场的占有率，进一步巩固人参产</w:t>
      </w:r>
      <w:r>
        <w:rPr>
          <w:spacing w:val="-32"/>
        </w:rPr>
        <w:t> </w:t>
      </w:r>
      <w:r>
        <w:rPr>
          <w:spacing w:val="-32"/>
        </w:rPr>
      </w:r>
      <w:r>
        <w:rPr/>
        <w:t>业龙头企业的地位。</w:t>
      </w:r>
    </w:p>
    <w:p>
      <w:pPr>
        <w:pStyle w:val="BodyText"/>
        <w:spacing w:line="386" w:lineRule="auto" w:before="55"/>
        <w:ind w:left="489" w:right="0"/>
        <w:jc w:val="left"/>
      </w:pPr>
      <w:r>
        <w:rPr>
          <w:rFonts w:ascii="Times New Roman" w:hAnsi="Times New Roman" w:cs="Times New Roman" w:eastAsia="Times New Roman" w:hint="default"/>
        </w:rPr>
        <w:t>3</w:t>
      </w:r>
      <w:r>
        <w:rPr/>
        <w:t>、基因测序产业发展目标 目前公司研发的基因测序仪是国内第一台能够达到和部分超越国际主流设备技术指标的国产化第二代</w:t>
      </w:r>
    </w:p>
    <w:p>
      <w:pPr>
        <w:pStyle w:val="BodyText"/>
        <w:spacing w:line="386" w:lineRule="auto" w:before="65"/>
        <w:ind w:left="489" w:right="0" w:hanging="336"/>
        <w:jc w:val="left"/>
      </w:pPr>
      <w:r>
        <w:rPr/>
        <w:t>测序仪，且成本低于进口设备的</w:t>
      </w:r>
      <w:r>
        <w:rPr>
          <w:rFonts w:ascii="Times New Roman" w:hAnsi="Times New Roman" w:cs="Times New Roman" w:eastAsia="Times New Roman" w:hint="default"/>
        </w:rPr>
        <w:t>1/2</w:t>
      </w:r>
      <w:r>
        <w:rPr/>
        <w:t>以上，应用成本低于进口设备的</w:t>
      </w:r>
      <w:r>
        <w:rPr>
          <w:rFonts w:ascii="Times New Roman" w:hAnsi="Times New Roman" w:cs="Times New Roman" w:eastAsia="Times New Roman" w:hint="default"/>
        </w:rPr>
        <w:t>1/3</w:t>
      </w:r>
      <w:r>
        <w:rPr/>
        <w:t>以上。 基因测序的技术团队为中科院北京基因组研究所核心团队，多年来从事基因组学与生物信息学基础研</w:t>
      </w:r>
    </w:p>
    <w:p>
      <w:pPr>
        <w:pStyle w:val="BodyText"/>
        <w:spacing w:line="403" w:lineRule="auto" w:before="65"/>
        <w:ind w:right="1130"/>
        <w:jc w:val="both"/>
      </w:pPr>
      <w:r>
        <w:rPr>
          <w:spacing w:val="-1"/>
        </w:rPr>
        <w:t>究和应用开发工作，具备充分的技术服务专业基础，技术已经达到国际一流水平。同时通过与如耶鲁大学</w:t>
      </w:r>
      <w:r>
        <w:rPr>
          <w:spacing w:val="-83"/>
        </w:rPr>
        <w:t> </w:t>
      </w:r>
      <w:r>
        <w:rPr>
          <w:spacing w:val="-83"/>
        </w:rPr>
      </w:r>
      <w:r>
        <w:rPr>
          <w:spacing w:val="-1"/>
        </w:rPr>
        <w:t>等知名学府合作研究项目，充分利用其研发团队和技术资源，进一步提高公司基因测序仪项目取得的阶段</w:t>
      </w:r>
      <w:r>
        <w:rPr>
          <w:spacing w:val="-81"/>
        </w:rPr>
        <w:t> </w:t>
      </w:r>
      <w:r>
        <w:rPr>
          <w:spacing w:val="-81"/>
        </w:rPr>
      </w:r>
      <w:r>
        <w:rPr>
          <w:spacing w:val="-1"/>
        </w:rPr>
        <w:t>性成果，促进公司新一代测序平台的研发，加快公司基因测序仪产业化及研究开发国际化进程，使公司能</w:t>
      </w:r>
      <w:r>
        <w:rPr>
          <w:spacing w:val="-83"/>
        </w:rPr>
        <w:t> </w:t>
      </w:r>
      <w:r>
        <w:rPr>
          <w:spacing w:val="-83"/>
        </w:rPr>
      </w:r>
      <w:r>
        <w:rPr>
          <w:spacing w:val="-1"/>
        </w:rPr>
        <w:t>够第一时间接触和投资世界最先进项目的机会，及时获取国际市场的最新信息，将国际先进测序仪技术引</w:t>
      </w:r>
      <w:r>
        <w:rPr>
          <w:spacing w:val="-81"/>
        </w:rPr>
        <w:t> </w:t>
      </w:r>
      <w:r>
        <w:rPr>
          <w:spacing w:val="-81"/>
        </w:rPr>
      </w:r>
      <w:r>
        <w:rPr>
          <w:spacing w:val="-2"/>
        </w:rPr>
        <w:t>进国内市场</w:t>
      </w:r>
      <w:r>
        <w:rPr>
          <w:rFonts w:ascii="Times New Roman" w:hAnsi="Times New Roman" w:cs="Times New Roman" w:eastAsia="Times New Roman" w:hint="default"/>
          <w:spacing w:val="-2"/>
        </w:rPr>
        <w:t>,</w:t>
      </w:r>
      <w:r>
        <w:rPr>
          <w:spacing w:val="-2"/>
        </w:rPr>
        <w:t>加速推进公司品牌、生产、人才、技术的国际化运作，提升品牌形象，进一步提升公司核心竞</w:t>
      </w:r>
      <w:r>
        <w:rPr>
          <w:spacing w:val="-87"/>
        </w:rPr>
        <w:t> </w:t>
      </w:r>
      <w:r>
        <w:rPr>
          <w:spacing w:val="-87"/>
        </w:rPr>
      </w:r>
      <w:r>
        <w:rPr/>
        <w:t>争力。</w:t>
      </w:r>
    </w:p>
    <w:p>
      <w:pPr>
        <w:pStyle w:val="BodyText"/>
        <w:spacing w:line="408" w:lineRule="auto" w:before="50"/>
        <w:ind w:right="1131" w:firstLine="336"/>
        <w:jc w:val="both"/>
      </w:pPr>
      <w:r>
        <w:rPr/>
        <w:t>基因测序仪的用途：传染性疾病的预防、控制和诊疗，生物恐怖因子、食源性致病因子和转基因成分 </w:t>
      </w:r>
      <w:r>
        <w:rPr>
          <w:spacing w:val="-1"/>
        </w:rPr>
        <w:t>鉴定，口岸卫生和有害生物防御性检疫，以及针对人类遗传多样性而产生的疾病早期预警和个体化用药相</w:t>
      </w:r>
      <w:r>
        <w:rPr>
          <w:spacing w:val="-81"/>
        </w:rPr>
        <w:t> </w:t>
      </w:r>
      <w:r>
        <w:rPr>
          <w:spacing w:val="-81"/>
        </w:rPr>
      </w:r>
      <w:r>
        <w:rPr>
          <w:spacing w:val="-1"/>
        </w:rPr>
        <w:t>关基因的检测分析等。该系统的国产化可以极大程度降低相关科研机构在设备试剂上的投入，减轻对国外</w:t>
      </w:r>
      <w:r>
        <w:rPr>
          <w:spacing w:val="-81"/>
        </w:rPr>
        <w:t> </w:t>
      </w:r>
      <w:r>
        <w:rPr>
          <w:spacing w:val="-81"/>
        </w:rPr>
      </w:r>
      <w:r>
        <w:rPr/>
        <w:t>厂商的依赖和高额资金负担，提高科研经费利用效率。</w:t>
      </w:r>
    </w:p>
    <w:p>
      <w:pPr>
        <w:pStyle w:val="BodyText"/>
        <w:spacing w:line="240" w:lineRule="auto"/>
        <w:ind w:left="489" w:right="0"/>
        <w:jc w:val="left"/>
      </w:pPr>
      <w:r>
        <w:rPr/>
        <w:t>（三）公司未来发展计划</w:t>
      </w:r>
    </w:p>
    <w:p>
      <w:pPr>
        <w:spacing w:line="240" w:lineRule="auto" w:before="10"/>
        <w:rPr>
          <w:rFonts w:ascii="宋体" w:hAnsi="宋体" w:cs="宋体" w:eastAsia="宋体" w:hint="default"/>
          <w:sz w:val="14"/>
          <w:szCs w:val="14"/>
        </w:rPr>
      </w:pPr>
    </w:p>
    <w:p>
      <w:pPr>
        <w:pStyle w:val="BodyText"/>
        <w:spacing w:line="386" w:lineRule="auto" w:before="0"/>
        <w:ind w:left="489" w:right="0"/>
        <w:jc w:val="left"/>
      </w:pPr>
      <w:r>
        <w:rPr>
          <w:rFonts w:ascii="Times New Roman" w:hAnsi="Times New Roman" w:cs="Times New Roman" w:eastAsia="Times New Roman" w:hint="default"/>
        </w:rPr>
        <w:t>1</w:t>
      </w:r>
      <w:r>
        <w:rPr/>
        <w:t>、技术开发和创新 公司将通过持续开展技术开发和创新以保证产品的技术和质量优势。公司将利用新工艺、新技术、新</w:t>
      </w:r>
    </w:p>
    <w:p>
      <w:pPr>
        <w:pStyle w:val="BodyText"/>
        <w:spacing w:line="403" w:lineRule="auto" w:before="65"/>
        <w:ind w:right="1131"/>
        <w:jc w:val="both"/>
      </w:pPr>
      <w:r>
        <w:rPr>
          <w:spacing w:val="-1"/>
        </w:rPr>
        <w:t>材料、新设备对现有产品不断的进行改造升级，严格按照</w:t>
      </w:r>
      <w:r>
        <w:rPr>
          <w:rFonts w:ascii="Times New Roman" w:hAnsi="Times New Roman" w:cs="Times New Roman" w:eastAsia="Times New Roman" w:hint="default"/>
          <w:spacing w:val="-1"/>
        </w:rPr>
        <w:t>GMP</w:t>
      </w:r>
      <w:r>
        <w:rPr>
          <w:spacing w:val="-1"/>
        </w:rPr>
        <w:t>、</w:t>
      </w:r>
      <w:r>
        <w:rPr>
          <w:rFonts w:ascii="Times New Roman" w:hAnsi="Times New Roman" w:cs="Times New Roman" w:eastAsia="Times New Roman" w:hint="default"/>
          <w:spacing w:val="-1"/>
        </w:rPr>
        <w:t>GSP</w:t>
      </w:r>
      <w:r>
        <w:rPr>
          <w:spacing w:val="-1"/>
        </w:rPr>
        <w:t>要求进行生产，提高产品质量、降低</w:t>
      </w:r>
      <w:r>
        <w:rPr>
          <w:spacing w:val="-85"/>
        </w:rPr>
        <w:t> </w:t>
      </w:r>
      <w:r>
        <w:rPr>
          <w:spacing w:val="-85"/>
        </w:rPr>
      </w:r>
      <w:r>
        <w:rPr>
          <w:spacing w:val="-1"/>
        </w:rPr>
        <w:t>原材料和能源的消耗，提高生产过程的自动化水平，优化和更新生产工艺。公司将加大科研队伍的建设力</w:t>
      </w:r>
      <w:r>
        <w:rPr>
          <w:spacing w:val="-83"/>
        </w:rPr>
        <w:t> </w:t>
      </w:r>
      <w:r>
        <w:rPr>
          <w:spacing w:val="-83"/>
        </w:rPr>
      </w:r>
      <w:r>
        <w:rPr>
          <w:spacing w:val="-1"/>
        </w:rPr>
        <w:t>度，从资金、政策给以极大的扶持力度，注重提升现有科研人员的质素，同时加大引进高素质人才充实到</w:t>
      </w:r>
      <w:r>
        <w:rPr>
          <w:spacing w:val="-86"/>
        </w:rPr>
        <w:t> </w:t>
      </w:r>
      <w:r>
        <w:rPr>
          <w:spacing w:val="-86"/>
        </w:rPr>
      </w:r>
      <w:r>
        <w:rPr>
          <w:spacing w:val="-1"/>
        </w:rPr>
        <w:t>科研人员队伍中。公司将加强与外部科研机构的合作，充分利用外脑的优势，提高科研技术开发水平，实</w:t>
      </w:r>
      <w:r>
        <w:rPr>
          <w:spacing w:val="-85"/>
        </w:rPr>
        <w:t> </w:t>
      </w:r>
      <w:r>
        <w:rPr>
          <w:spacing w:val="-85"/>
        </w:rPr>
      </w:r>
      <w:r>
        <w:rPr>
          <w:spacing w:val="-1"/>
        </w:rPr>
        <w:t>现公司可持续快速的发展。在开展技术开发和创新的同时，公司将注重保护和完善知识产品体系，通过申</w:t>
      </w:r>
      <w:r>
        <w:rPr>
          <w:spacing w:val="-83"/>
        </w:rPr>
        <w:t> </w:t>
      </w:r>
      <w:r>
        <w:rPr>
          <w:spacing w:val="-83"/>
        </w:rPr>
      </w:r>
      <w:r>
        <w:rPr/>
        <w:t>请专利、签订《保密协议》和提高科研人员薪酬待遇等激励方法进行对技术开发和创新成果的保密性。</w:t>
      </w:r>
    </w:p>
    <w:p>
      <w:pPr>
        <w:pStyle w:val="BodyText"/>
        <w:spacing w:line="386" w:lineRule="auto" w:before="50"/>
        <w:ind w:left="489" w:right="0"/>
        <w:jc w:val="left"/>
      </w:pPr>
      <w:r>
        <w:rPr>
          <w:rFonts w:ascii="Times New Roman" w:hAnsi="Times New Roman" w:cs="Times New Roman" w:eastAsia="Times New Roman" w:hint="default"/>
        </w:rPr>
        <w:t>2</w:t>
      </w:r>
      <w:r>
        <w:rPr/>
        <w:t>、产品的开发计划 公司仍将坚持规划一代、研发一代、储备一代、生产一代的原则，坚持中成药发展、人参产业发展、</w:t>
      </w:r>
    </w:p>
    <w:p>
      <w:pPr>
        <w:pStyle w:val="BodyText"/>
        <w:spacing w:line="386" w:lineRule="auto" w:before="65"/>
        <w:ind w:left="154" w:right="1130"/>
        <w:jc w:val="both"/>
      </w:pPr>
      <w:r>
        <w:rPr>
          <w:spacing w:val="-1"/>
        </w:rPr>
        <w:t>基因测序仪产业发展三条主线同时走路的方式。加大处方药研发力度，争取在未来</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5</w:t>
      </w:r>
      <w:r>
        <w:rPr>
          <w:spacing w:val="-1"/>
        </w:rPr>
        <w:t>年内研发出</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5</w:t>
      </w:r>
      <w:r>
        <w:rPr>
          <w:spacing w:val="-1"/>
        </w:rPr>
        <w:t>个</w:t>
      </w:r>
      <w:r>
        <w:rPr>
          <w:spacing w:val="-81"/>
        </w:rPr>
        <w:t> </w:t>
      </w:r>
      <w:r>
        <w:rPr>
          <w:spacing w:val="-1"/>
        </w:rPr>
        <w:t>国家一类新药。深挖人参的药用、食用功效，对人参食品要坚持以市场为导向，建立快速反应机制，在推</w:t>
      </w:r>
    </w:p>
    <w:p>
      <w:pPr>
        <w:spacing w:after="0" w:line="38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出产品之前，要建立好流通网络渠道。基因测序方面，将已经研发成功的二代基因测序仪进行批量生产的</w:t>
      </w:r>
      <w:r>
        <w:rPr>
          <w:spacing w:val="-83"/>
        </w:rPr>
        <w:t> </w:t>
      </w:r>
      <w:r>
        <w:rPr>
          <w:spacing w:val="-83"/>
        </w:rPr>
      </w:r>
      <w:r>
        <w:rPr/>
        <w:t>同时，组织技术人员对三代测序仪的技术攻关，力争在</w:t>
      </w:r>
      <w:r>
        <w:rPr>
          <w:rFonts w:ascii="Times New Roman" w:hAnsi="Times New Roman" w:cs="Times New Roman" w:eastAsia="Times New Roman" w:hint="default"/>
        </w:rPr>
        <w:t>3</w:t>
      </w:r>
      <w:r>
        <w:rPr/>
        <w:t>年内成功研发出第三代测序仪，抢占国际市场。</w:t>
      </w:r>
    </w:p>
    <w:p>
      <w:pPr>
        <w:pStyle w:val="BodyText"/>
        <w:spacing w:line="386" w:lineRule="auto" w:before="14"/>
        <w:ind w:left="489" w:right="0"/>
        <w:jc w:val="left"/>
      </w:pPr>
      <w:r>
        <w:rPr>
          <w:rFonts w:ascii="Times New Roman" w:hAnsi="Times New Roman" w:cs="Times New Roman" w:eastAsia="Times New Roman" w:hint="default"/>
        </w:rPr>
        <w:t>3</w:t>
      </w:r>
      <w:r>
        <w:rPr/>
        <w:t>、市场开拓计划 在市场开拓方面，公司一直坚持采取</w:t>
      </w:r>
      <w:r>
        <w:rPr>
          <w:rFonts w:ascii="Times New Roman" w:hAnsi="Times New Roman" w:cs="Times New Roman" w:eastAsia="Times New Roman" w:hint="default"/>
        </w:rPr>
        <w:t>“</w:t>
      </w:r>
      <w:r>
        <w:rPr/>
        <w:t>品种树立品牌、品牌带动品种</w:t>
      </w:r>
      <w:r>
        <w:rPr>
          <w:rFonts w:ascii="Times New Roman" w:hAnsi="Times New Roman" w:cs="Times New Roman" w:eastAsia="Times New Roman" w:hint="default"/>
        </w:rPr>
        <w:t>”</w:t>
      </w:r>
      <w:r>
        <w:rPr/>
        <w:t>的策略。公司中成药的市场已经</w:t>
      </w:r>
    </w:p>
    <w:p>
      <w:pPr>
        <w:pStyle w:val="BodyText"/>
        <w:spacing w:line="408" w:lineRule="auto" w:before="35"/>
        <w:ind w:right="1110"/>
        <w:jc w:val="both"/>
      </w:pPr>
      <w:r>
        <w:rPr/>
        <w:t>形成了较为完善的销售渠道，紫鑫品牌已经得到了市场的认可。未来几年公司将大力巩固药品销售市场， 积极参加各地方政府、医院组织的招标会，进一步提高公司的市场占有率。</w:t>
      </w:r>
    </w:p>
    <w:p>
      <w:pPr>
        <w:pStyle w:val="BodyText"/>
        <w:spacing w:line="403" w:lineRule="auto"/>
        <w:ind w:right="0" w:firstLine="336"/>
        <w:jc w:val="left"/>
      </w:pPr>
      <w:r>
        <w:rPr/>
        <w:t>人参产品在初期发展过程中，公司将利用几个科技含量高、易取得消费者认可的主力品种提升企业的 知名度，在品牌形象初步树立后，带动公司已经研发出的</w:t>
      </w:r>
      <w:r>
        <w:rPr>
          <w:rFonts w:ascii="Times New Roman" w:hAnsi="Times New Roman" w:cs="Times New Roman" w:eastAsia="Times New Roman" w:hint="default"/>
        </w:rPr>
        <w:t>500</w:t>
      </w:r>
      <w:r>
        <w:rPr/>
        <w:t>多个人参食品、保健品品种按照市场的需求</w:t>
      </w:r>
      <w:r>
        <w:rPr>
          <w:spacing w:val="-30"/>
        </w:rPr>
        <w:t> </w:t>
      </w:r>
      <w:r>
        <w:rPr>
          <w:spacing w:val="-30"/>
        </w:rPr>
      </w:r>
      <w:r>
        <w:rPr/>
        <w:t>分批次的推向市场。人参产品的销售模式针对不同的产品，相应采用灵活的销售方式。目前，公司人参专</w:t>
      </w:r>
      <w:r>
        <w:rPr/>
        <w:t> </w:t>
      </w:r>
      <w:r>
        <w:rPr>
          <w:spacing w:val="3"/>
        </w:rPr>
        <w:t>卖店基本形成了以在吉林省内重点城市和旅游景点开设专卖店和拓展全国重点城市机场专卖店渠道的开</w:t>
      </w:r>
      <w:r>
        <w:rPr>
          <w:spacing w:val="-82"/>
        </w:rPr>
        <w:t> </w:t>
      </w:r>
      <w:r>
        <w:rPr>
          <w:spacing w:val="-82"/>
        </w:rPr>
      </w:r>
      <w:r>
        <w:rPr/>
        <w:t>拓思路，并且已基本完成省内专卖店的布局，正积极推进全国机场专卖店的相关工作。省外市场则以全国</w:t>
      </w:r>
      <w:r>
        <w:rPr/>
        <w:t> 专卖店渠道的开拓为主，外加参呼吸产品在省内和省外的招商来实现销售目标，目前已经在长三角等经济 发达的南方地区基本完成了参呼吸产品经销商和专卖店渠道意向客户的布局工作，在大连等北方发达城市 </w:t>
      </w:r>
      <w:r>
        <w:rPr>
          <w:spacing w:val="2"/>
        </w:rPr>
        <w:t>也已经完成了招商建店工作，并以此为样板开始在北方重点地区的布局。未来，公司将坚持</w:t>
      </w:r>
      <w:r>
        <w:rPr>
          <w:rFonts w:ascii="Times New Roman" w:hAnsi="Times New Roman" w:cs="Times New Roman" w:eastAsia="Times New Roman" w:hint="default"/>
          <w:spacing w:val="2"/>
        </w:rPr>
        <w:t>“</w:t>
      </w:r>
      <w:r>
        <w:rPr>
          <w:spacing w:val="2"/>
        </w:rPr>
        <w:t>立足吉林，</w:t>
      </w:r>
      <w:r>
        <w:rPr>
          <w:spacing w:val="-103"/>
        </w:rPr>
        <w:t> </w:t>
      </w:r>
      <w:r>
        <w:rPr>
          <w:spacing w:val="-1"/>
        </w:rPr>
        <w:t>经略东北，辐射全国</w:t>
      </w:r>
      <w:r>
        <w:rPr>
          <w:rFonts w:ascii="Times New Roman" w:hAnsi="Times New Roman" w:cs="Times New Roman" w:eastAsia="Times New Roman" w:hint="default"/>
          <w:spacing w:val="-1"/>
        </w:rPr>
        <w:t>”</w:t>
      </w:r>
      <w:r>
        <w:rPr>
          <w:spacing w:val="-1"/>
        </w:rPr>
        <w:t>策略，以长春作为核心市场进行精耕细作，打造成样板市场进行示范推广；将吉林、</w:t>
      </w:r>
      <w:r>
        <w:rPr>
          <w:spacing w:val="-70"/>
        </w:rPr>
        <w:t> </w:t>
      </w:r>
      <w:r>
        <w:rPr>
          <w:spacing w:val="-70"/>
        </w:rPr>
      </w:r>
      <w:r>
        <w:rPr/>
        <w:t>松原、延吉等省内外阜城市作为重点市场进行运作，集中资源以点带面循序渐进，力求扎实稳妥推进，夯</w:t>
      </w:r>
      <w:r>
        <w:rPr/>
        <w:t> 实本省市场基础；将沈阳、大连、哈尔滨等东北重点城市作为潜力市场积极拓展，挖掘东北三省的市场潜 力；将杭州、上海、苏州等南方城市和天津、银川、西安等北方城市作为开拓市场，通过经销商资源进行 分渠道的推广拓展，结合相关区域的重要展会招商等方式进行全国重点区域的辐射和开拓。</w:t>
      </w:r>
    </w:p>
    <w:p>
      <w:pPr>
        <w:pStyle w:val="BodyText"/>
        <w:spacing w:line="408" w:lineRule="auto" w:before="50"/>
        <w:ind w:right="1024" w:firstLine="336"/>
        <w:jc w:val="left"/>
      </w:pPr>
      <w:r>
        <w:rPr/>
        <w:t>基因测序仪产业的市场主要是面向国家三甲医院、体检中心以及科研机构，测序仪的销售不是单纯销 </w:t>
      </w:r>
      <w:r>
        <w:rPr>
          <w:spacing w:val="-3"/>
        </w:rPr>
        <w:t>售仪器，而是售后的一系列保证服务，公司将有针对性的培训专业人才，为客户提供良好的售后保证服务，</w:t>
      </w:r>
      <w:r>
        <w:rPr>
          <w:spacing w:val="-90"/>
        </w:rPr>
        <w:t> </w:t>
      </w:r>
      <w:r>
        <w:rPr>
          <w:spacing w:val="-90"/>
        </w:rPr>
      </w:r>
      <w:r>
        <w:rPr/>
        <w:t>让公司的服务成为口碑。</w:t>
      </w:r>
    </w:p>
    <w:p>
      <w:pPr>
        <w:pStyle w:val="BodyText"/>
        <w:spacing w:line="386" w:lineRule="auto"/>
        <w:ind w:left="489" w:right="0"/>
        <w:jc w:val="left"/>
      </w:pPr>
      <w:r>
        <w:rPr>
          <w:rFonts w:ascii="Times New Roman" w:hAnsi="Times New Roman" w:cs="Times New Roman" w:eastAsia="Times New Roman" w:hint="default"/>
        </w:rPr>
        <w:t>4</w:t>
      </w:r>
      <w:r>
        <w:rPr/>
        <w:t>、人力资源发展计划 根据公司发展规划，未来两年公司将增强处方药的研发，积极开拓人参销售渠道，大力研制基因测序</w:t>
      </w:r>
    </w:p>
    <w:p>
      <w:pPr>
        <w:pStyle w:val="BodyText"/>
        <w:spacing w:line="408" w:lineRule="auto" w:before="65"/>
        <w:ind w:right="1133"/>
        <w:jc w:val="both"/>
      </w:pPr>
      <w:r>
        <w:rPr>
          <w:spacing w:val="-1"/>
        </w:rPr>
        <w:t>仪，为保证上述项目的顺利实施和满足正常生产运营的需要，公司计划加大对生产、销售、管理、研发等</w:t>
      </w:r>
      <w:r>
        <w:rPr>
          <w:spacing w:val="-83"/>
        </w:rPr>
        <w:t> </w:t>
      </w:r>
      <w:r>
        <w:rPr>
          <w:spacing w:val="-83"/>
        </w:rPr>
      </w:r>
      <w:r>
        <w:rPr>
          <w:spacing w:val="-1"/>
        </w:rPr>
        <w:t>人员的引进，并通过在职培训、脱产学习等多种方式，加强公司后备生产经营管理、技术研发等人才的培</w:t>
      </w:r>
      <w:r>
        <w:rPr>
          <w:spacing w:val="-86"/>
        </w:rPr>
        <w:t> </w:t>
      </w:r>
      <w:r>
        <w:rPr>
          <w:spacing w:val="-86"/>
        </w:rPr>
      </w:r>
      <w:r>
        <w:rPr/>
        <w:t>养，满足公司快速发展中对相关人才的迫切需求。</w:t>
      </w:r>
    </w:p>
    <w:p>
      <w:pPr>
        <w:pStyle w:val="BodyText"/>
        <w:spacing w:line="240" w:lineRule="auto"/>
        <w:ind w:left="573" w:right="0"/>
        <w:jc w:val="left"/>
      </w:pPr>
      <w:r>
        <w:rPr/>
        <w:t>（四）、可能面对的风险</w:t>
      </w:r>
    </w:p>
    <w:p>
      <w:pPr>
        <w:spacing w:line="240" w:lineRule="auto" w:before="10"/>
        <w:rPr>
          <w:rFonts w:ascii="宋体" w:hAnsi="宋体" w:cs="宋体" w:eastAsia="宋体" w:hint="default"/>
          <w:sz w:val="14"/>
          <w:szCs w:val="14"/>
        </w:rPr>
      </w:pPr>
    </w:p>
    <w:p>
      <w:pPr>
        <w:pStyle w:val="BodyText"/>
        <w:spacing w:line="386" w:lineRule="auto" w:before="0"/>
        <w:ind w:left="489" w:right="0"/>
        <w:jc w:val="left"/>
      </w:pPr>
      <w:r>
        <w:rPr>
          <w:rFonts w:ascii="Times New Roman" w:hAnsi="Times New Roman" w:cs="Times New Roman" w:eastAsia="Times New Roman" w:hint="default"/>
        </w:rPr>
        <w:t>1</w:t>
      </w:r>
      <w:r>
        <w:rPr/>
        <w:t>、新产品开发风险 由于新药产品开发从研制、临床试验报批到投产的周期长、环节多、投入大，新药研发风险较大。根</w:t>
      </w:r>
    </w:p>
    <w:p>
      <w:pPr>
        <w:spacing w:after="0" w:line="38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10"/>
        <w:jc w:val="both"/>
      </w:pPr>
      <w:r>
        <w:rPr/>
        <w:t>据《药品注册管理办法》等法规的相关规定，新药注册一般需经过临床前基础工作、新药临床研究审批、 </w:t>
      </w:r>
      <w:r>
        <w:rPr>
          <w:spacing w:val="-1"/>
        </w:rPr>
        <w:t>新药生产审批等阶段，如果最终未能通过新药注册审批，则可能导致新药研发失败，进而影响到公司前期</w:t>
      </w:r>
      <w:r>
        <w:rPr>
          <w:spacing w:val="-83"/>
        </w:rPr>
        <w:t> </w:t>
      </w:r>
      <w:r>
        <w:rPr>
          <w:spacing w:val="-83"/>
        </w:rPr>
      </w:r>
      <w:r>
        <w:rPr/>
        <w:t>投入的回收和经济效益的实现。</w:t>
      </w:r>
      <w:r>
        <w:rPr>
          <w:spacing w:val="-14"/>
        </w:rPr>
        <w:t> </w:t>
      </w:r>
      <w:r>
        <w:rPr/>
        <w:t>另外，</w:t>
      </w:r>
      <w:r>
        <w:rPr>
          <w:spacing w:val="-15"/>
        </w:rPr>
        <w:t> </w:t>
      </w:r>
      <w:r>
        <w:rPr/>
        <w:t>如果公司新药不能很好适应不断变化的市场需求，或者开发的新</w:t>
      </w:r>
      <w:r>
        <w:rPr>
          <w:spacing w:val="-103"/>
        </w:rPr>
        <w:t> </w:t>
      </w:r>
      <w:r>
        <w:rPr>
          <w:spacing w:val="-103"/>
        </w:rPr>
      </w:r>
      <w:r>
        <w:rPr/>
        <w:t>药未能很快被市场接受，将加大公司的运营成本，对公司的盈利水平和未来发展产生一定影响。</w:t>
      </w:r>
    </w:p>
    <w:p>
      <w:pPr>
        <w:pStyle w:val="BodyText"/>
        <w:spacing w:line="386" w:lineRule="auto"/>
        <w:ind w:left="489" w:right="0"/>
        <w:jc w:val="left"/>
      </w:pPr>
      <w:r>
        <w:rPr>
          <w:rFonts w:ascii="Times New Roman" w:hAnsi="Times New Roman" w:cs="Times New Roman" w:eastAsia="Times New Roman" w:hint="default"/>
        </w:rPr>
        <w:t>2</w:t>
      </w:r>
      <w:r>
        <w:rPr/>
        <w:t>、规模快速扩张带来的管理风险 公司在历经十六年的发展过程中，已积累了一定的管理经验并培养出一批管理人员。随着募集资金投</w:t>
      </w:r>
    </w:p>
    <w:p>
      <w:pPr>
        <w:pStyle w:val="BodyText"/>
        <w:spacing w:line="408" w:lineRule="auto" w:before="65"/>
        <w:ind w:right="1110"/>
        <w:jc w:val="both"/>
      </w:pPr>
      <w:r>
        <w:rPr/>
        <w:t>资项目的逐步实施，公司的资产和业务规模都将迅速扩大。规模快速扩张将使管理任务加重、 管理难度</w:t>
      </w:r>
      <w:r>
        <w:rPr>
          <w:spacing w:val="-37"/>
        </w:rPr>
        <w:t> </w:t>
      </w:r>
      <w:r>
        <w:rPr>
          <w:spacing w:val="-37"/>
        </w:rPr>
      </w:r>
      <w:r>
        <w:rPr/>
        <w:t>加大。若公司的组织模式、管理制度和人员不能适应公司的快速发展，将会给公司的发展带来不利影响。</w:t>
      </w:r>
    </w:p>
    <w:p>
      <w:pPr>
        <w:pStyle w:val="BodyText"/>
        <w:spacing w:line="386" w:lineRule="auto"/>
        <w:ind w:left="489" w:right="0"/>
        <w:jc w:val="left"/>
      </w:pPr>
      <w:r>
        <w:rPr>
          <w:rFonts w:ascii="Times New Roman" w:hAnsi="Times New Roman" w:cs="Times New Roman" w:eastAsia="Times New Roman" w:hint="default"/>
        </w:rPr>
        <w:t>3</w:t>
      </w:r>
      <w:r>
        <w:rPr/>
        <w:t>、新增固定资产折旧及净资产收益率下降的风险 募集资金投资项目完工后，公司固定资产将有较大幅度的增加，产生的折旧费用将会有所增加，从而</w:t>
      </w:r>
    </w:p>
    <w:p>
      <w:pPr>
        <w:pStyle w:val="BodyText"/>
        <w:spacing w:line="408" w:lineRule="auto" w:before="65"/>
        <w:ind w:right="1130"/>
        <w:jc w:val="both"/>
      </w:pPr>
      <w:r>
        <w:rPr>
          <w:spacing w:val="-1"/>
        </w:rPr>
        <w:t>增加公司生产经营的成本。如果市场出现变化或者出现其他事先无法预期的情况导致新增产能的效益情况</w:t>
      </w:r>
      <w:r>
        <w:rPr>
          <w:spacing w:val="-80"/>
        </w:rPr>
        <w:t> </w:t>
      </w:r>
      <w:r>
        <w:rPr>
          <w:spacing w:val="-80"/>
        </w:rPr>
      </w:r>
      <w:r>
        <w:rPr/>
        <w:t>未达到预期目标，折旧费用的增加将对公司未来整体经营业绩造成一定影响。</w:t>
      </w:r>
    </w:p>
    <w:p>
      <w:pPr>
        <w:pStyle w:val="BodyText"/>
        <w:spacing w:line="386" w:lineRule="auto"/>
        <w:ind w:left="489" w:right="0"/>
        <w:jc w:val="left"/>
      </w:pPr>
      <w:r>
        <w:rPr>
          <w:rFonts w:ascii="Times New Roman" w:hAnsi="Times New Roman" w:cs="Times New Roman" w:eastAsia="Times New Roman" w:hint="default"/>
        </w:rPr>
        <w:t>4</w:t>
      </w:r>
      <w:r>
        <w:rPr/>
        <w:t>、原材料风险 如果公司不能保证充足的原材料供应，将导致公司总产能无法完全释放，给公司的主营业务收入和募</w:t>
      </w:r>
    </w:p>
    <w:p>
      <w:pPr>
        <w:pStyle w:val="BodyText"/>
        <w:spacing w:line="408" w:lineRule="auto" w:before="65"/>
        <w:ind w:right="1131"/>
        <w:jc w:val="both"/>
      </w:pPr>
      <w:r>
        <w:rPr>
          <w:spacing w:val="-1"/>
        </w:rPr>
        <w:t>投项目的预期效益带来不利影响。而原材料供应不足导致的价格波动将造成公司采购成本的攀升，进而影</w:t>
      </w:r>
      <w:r>
        <w:rPr>
          <w:spacing w:val="-81"/>
        </w:rPr>
        <w:t> </w:t>
      </w:r>
      <w:r>
        <w:rPr>
          <w:spacing w:val="-81"/>
        </w:rPr>
      </w:r>
      <w:r>
        <w:rPr/>
        <w:t>响公司的经营业绩。</w:t>
      </w:r>
    </w:p>
    <w:p>
      <w:pPr>
        <w:pStyle w:val="BodyText"/>
        <w:spacing w:line="386" w:lineRule="auto"/>
        <w:ind w:left="489" w:right="1118"/>
        <w:jc w:val="left"/>
      </w:pPr>
      <w:r>
        <w:rPr>
          <w:rFonts w:ascii="Times New Roman" w:hAnsi="Times New Roman" w:cs="Times New Roman" w:eastAsia="Times New Roman" w:hint="default"/>
        </w:rPr>
        <w:t>5</w:t>
      </w:r>
      <w:r>
        <w:rPr/>
        <w:t>、销售风险 随着公司人参食品新品种不断推出，产品种类的增加和整体产能的扩张也将为公司的销售能力带来新</w:t>
      </w:r>
    </w:p>
    <w:p>
      <w:pPr>
        <w:pStyle w:val="BodyText"/>
        <w:spacing w:line="408" w:lineRule="auto" w:before="65"/>
        <w:ind w:right="1131"/>
        <w:jc w:val="both"/>
      </w:pPr>
      <w:r>
        <w:rPr>
          <w:spacing w:val="-1"/>
        </w:rPr>
        <w:t>的挑战，部分产品在市场投放方式、销售渠道、销售模式上与公司现有的中成药存在一定的区别，销售额</w:t>
      </w:r>
      <w:r>
        <w:rPr>
          <w:spacing w:val="-85"/>
        </w:rPr>
        <w:t> </w:t>
      </w:r>
      <w:r>
        <w:rPr>
          <w:spacing w:val="-85"/>
        </w:rPr>
      </w:r>
      <w:r>
        <w:rPr>
          <w:spacing w:val="-1"/>
        </w:rPr>
        <w:t>能否同步增长面临着营销投入和网络建设的制约。公司如果不能在产品品质、资金投入、销售策略等方面</w:t>
      </w:r>
      <w:r>
        <w:rPr>
          <w:spacing w:val="-83"/>
        </w:rPr>
        <w:t> </w:t>
      </w:r>
      <w:r>
        <w:rPr>
          <w:spacing w:val="-83"/>
        </w:rPr>
      </w:r>
      <w:r>
        <w:rPr/>
        <w:t>取得竞争优势，将影响到公司的营业收入和整体业绩。</w:t>
      </w:r>
    </w:p>
    <w:p>
      <w:pPr>
        <w:pStyle w:val="BodyText"/>
        <w:spacing w:line="386" w:lineRule="auto"/>
        <w:ind w:left="489" w:right="0"/>
        <w:jc w:val="left"/>
      </w:pPr>
      <w:r>
        <w:rPr>
          <w:rFonts w:ascii="Times New Roman" w:hAnsi="Times New Roman" w:cs="Times New Roman" w:eastAsia="Times New Roman" w:hint="default"/>
        </w:rPr>
        <w:t>6</w:t>
      </w:r>
      <w:r>
        <w:rPr/>
        <w:t>、人才储备风险 随着公司发展过程中产品多样化的逐步体现及产能的不断扩张，对人才队伍的数量、质量与专业构成</w:t>
      </w:r>
    </w:p>
    <w:p>
      <w:pPr>
        <w:pStyle w:val="BodyText"/>
        <w:spacing w:line="408" w:lineRule="auto" w:before="65"/>
        <w:ind w:right="1131"/>
        <w:jc w:val="both"/>
      </w:pPr>
      <w:r>
        <w:rPr>
          <w:spacing w:val="-1"/>
        </w:rPr>
        <w:t>等方面都提出了更高的要求。另外，随着中药产业的发展以及行业内竞争的加剧，对企业技术研发能力将</w:t>
      </w:r>
      <w:r>
        <w:rPr>
          <w:spacing w:val="-83"/>
        </w:rPr>
        <w:t> </w:t>
      </w:r>
      <w:r>
        <w:rPr>
          <w:spacing w:val="-83"/>
        </w:rPr>
      </w:r>
      <w:r>
        <w:rPr>
          <w:spacing w:val="-1"/>
        </w:rPr>
        <w:t>推出更高要求。如果公司不能采取有效的措施进一步充实人才队伍并提高科技实力，将对公司未来的发展</w:t>
      </w:r>
      <w:r>
        <w:rPr>
          <w:spacing w:val="-81"/>
        </w:rPr>
        <w:t> </w:t>
      </w:r>
      <w:r>
        <w:rPr>
          <w:spacing w:val="-81"/>
        </w:rPr>
      </w:r>
      <w:r>
        <w:rPr/>
        <w:t>带来一定制约。</w:t>
      </w:r>
    </w:p>
    <w:p>
      <w:pPr>
        <w:pStyle w:val="Heading2"/>
        <w:spacing w:line="240" w:lineRule="auto" w:before="23"/>
        <w:ind w:right="0"/>
        <w:jc w:val="both"/>
        <w:rPr>
          <w:b w:val="0"/>
          <w:bCs w:val="0"/>
        </w:rPr>
      </w:pPr>
      <w:bookmarkStart w:name="十、接待调研、沟通、采访等活动" w:id="60"/>
      <w:bookmarkEnd w:id="60"/>
      <w:r>
        <w:rPr>
          <w:b w:val="0"/>
          <w:bCs w:val="0"/>
        </w:rPr>
      </w:r>
      <w:r>
        <w:rPr/>
        <w:t>十、接待调研、沟通、采访等活动</w:t>
      </w:r>
      <w:r>
        <w:rPr>
          <w:b w:val="0"/>
          <w:bCs w:val="0"/>
        </w:rPr>
      </w:r>
    </w:p>
    <w:p>
      <w:pPr>
        <w:pStyle w:val="Heading3"/>
        <w:spacing w:line="240" w:lineRule="auto" w:before="177"/>
        <w:ind w:right="0"/>
        <w:jc w:val="both"/>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6"/>
        <w:rPr>
          <w:rFonts w:ascii="宋体" w:hAnsi="宋体" w:cs="宋体" w:eastAsia="宋体" w:hint="default"/>
          <w:b/>
          <w:bCs/>
          <w:sz w:val="15"/>
          <w:szCs w:val="15"/>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78"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79"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咨询公司人参深加工产品情况</w:t>
            </w:r>
          </w:p>
        </w:tc>
      </w:tr>
      <w:tr>
        <w:trPr>
          <w:trHeight w:val="47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咨询公司基因测序仪进展情况</w:t>
            </w:r>
          </w:p>
        </w:tc>
      </w:tr>
      <w:tr>
        <w:trPr>
          <w:trHeight w:val="479"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咨询公司业绩情况</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6"/>
          <w:szCs w:val="16"/>
        </w:rPr>
      </w:pPr>
    </w:p>
    <w:p>
      <w:pPr>
        <w:pStyle w:val="Heading1"/>
        <w:spacing w:line="240" w:lineRule="auto" w:before="1"/>
        <w:ind w:right="1113"/>
        <w:jc w:val="center"/>
        <w:rPr>
          <w:b w:val="0"/>
          <w:bCs w:val="0"/>
        </w:rPr>
      </w:pPr>
      <w:bookmarkStart w:name="第五节 重要事项" w:id="62"/>
      <w:bookmarkEnd w:id="62"/>
      <w:r>
        <w:rPr>
          <w:b w:val="0"/>
          <w:bCs w:val="0"/>
        </w:rPr>
      </w:r>
      <w:bookmarkStart w:name="_bookmark4" w:id="63"/>
      <w:bookmarkEnd w:id="63"/>
      <w:r>
        <w:rPr>
          <w:b w:val="0"/>
          <w:bCs w:val="0"/>
        </w:rPr>
      </w:r>
      <w:r>
        <w:rPr/>
        <w:t>第五节</w:t>
      </w:r>
      <w:r>
        <w:rPr>
          <w:spacing w:val="-5"/>
        </w:rPr>
        <w:t> </w:t>
      </w:r>
      <w:r>
        <w:rPr/>
        <w:t>重要事项</w:t>
      </w:r>
      <w:r>
        <w:rPr>
          <w:b w:val="0"/>
          <w:bCs w:val="0"/>
        </w:rPr>
      </w:r>
    </w:p>
    <w:p>
      <w:pPr>
        <w:pStyle w:val="Heading2"/>
        <w:spacing w:line="240" w:lineRule="auto" w:before="193"/>
        <w:ind w:right="0"/>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before="203"/>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line="240" w:lineRule="auto" w:before="10"/>
        <w:rPr>
          <w:rFonts w:ascii="宋体" w:hAnsi="宋体" w:cs="宋体" w:eastAsia="宋体" w:hint="default"/>
          <w:sz w:val="17"/>
          <w:szCs w:val="1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4"/>
          <w:szCs w:val="14"/>
        </w:rPr>
      </w:pPr>
    </w:p>
    <w:p>
      <w:pPr>
        <w:pStyle w:val="BodyText"/>
        <w:spacing w:line="408" w:lineRule="auto" w:before="0"/>
        <w:ind w:right="1024" w:firstLine="482"/>
        <w:jc w:val="left"/>
      </w:pPr>
      <w:r>
        <w:rPr>
          <w:spacing w:val="-2"/>
        </w:rPr>
        <w:t>公司《章程》实施积极的利润分配政策，重视对投资者的合理投资回报，充分维护公司股东依法享有</w:t>
      </w:r>
      <w:r>
        <w:rPr/>
        <w:t> </w:t>
      </w:r>
      <w:r>
        <w:rPr>
          <w:spacing w:val="-3"/>
        </w:rPr>
        <w:t>的资产收益权，在符合利润分配条件的年度进行利润分配；保持利润分配政策的合理性、连续性和稳定性，</w:t>
      </w:r>
      <w:r>
        <w:rPr>
          <w:spacing w:val="-90"/>
        </w:rPr>
        <w:t> </w:t>
      </w:r>
      <w:r>
        <w:rPr>
          <w:spacing w:val="-90"/>
        </w:rPr>
      </w:r>
      <w:r>
        <w:rPr/>
        <w:t>同时兼顾公司的长远利益、全体股东的整体利益和公司的可持续发展，最大限度的保障和实现股东的投资</w:t>
      </w:r>
      <w:r>
        <w:rPr/>
        <w:t> 收益权。</w:t>
      </w:r>
    </w:p>
    <w:p>
      <w:pPr>
        <w:pStyle w:val="BodyText"/>
        <w:spacing w:line="240" w:lineRule="auto"/>
        <w:ind w:left="636" w:right="0"/>
        <w:jc w:val="left"/>
      </w:pPr>
      <w:r>
        <w:rPr/>
        <w:t>根据公司《章程》的利润分配政策如下：</w:t>
      </w:r>
    </w:p>
    <w:p>
      <w:pPr>
        <w:spacing w:line="240" w:lineRule="auto" w:before="10"/>
        <w:rPr>
          <w:rFonts w:ascii="宋体" w:hAnsi="宋体" w:cs="宋体" w:eastAsia="宋体" w:hint="default"/>
          <w:sz w:val="14"/>
          <w:szCs w:val="14"/>
        </w:rPr>
      </w:pPr>
    </w:p>
    <w:p>
      <w:pPr>
        <w:pStyle w:val="BodyText"/>
        <w:spacing w:line="386" w:lineRule="auto" w:before="0"/>
        <w:ind w:left="154" w:right="1127" w:firstLine="482"/>
        <w:jc w:val="left"/>
      </w:pPr>
      <w:r>
        <w:rPr>
          <w:rFonts w:ascii="Times New Roman" w:hAnsi="Times New Roman" w:cs="Times New Roman" w:eastAsia="Times New Roman" w:hint="default"/>
          <w:spacing w:val="-1"/>
        </w:rPr>
        <w:t>1.</w:t>
      </w:r>
      <w:r>
        <w:rPr>
          <w:spacing w:val="-1"/>
        </w:rPr>
        <w:t>公司在有年度盈利和盈利积累的情况下，应当对经营利润用于自身发展和回报股东事项进行合理平</w:t>
      </w:r>
      <w:r>
        <w:rPr/>
        <w:t> 衡，重视提高现金分红水平，努力提升对股东的投资回报。</w:t>
      </w:r>
    </w:p>
    <w:p>
      <w:pPr>
        <w:pStyle w:val="BodyText"/>
        <w:spacing w:line="240" w:lineRule="auto" w:before="65"/>
        <w:ind w:left="636" w:right="0"/>
        <w:jc w:val="left"/>
      </w:pPr>
      <w:r>
        <w:rPr>
          <w:rFonts w:ascii="Times New Roman" w:hAnsi="Times New Roman" w:cs="Times New Roman" w:eastAsia="Times New Roman" w:hint="default"/>
        </w:rPr>
        <w:t>2.</w:t>
      </w:r>
      <w:r>
        <w:rPr/>
        <w:t>公司的利润分配不得超过累计可分配利润的范围，不得损害公司持续经营能力。</w:t>
      </w:r>
    </w:p>
    <w:p>
      <w:pPr>
        <w:pStyle w:val="BodyText"/>
        <w:spacing w:line="386" w:lineRule="auto" w:before="177"/>
        <w:ind w:right="1128" w:firstLine="482"/>
        <w:jc w:val="left"/>
      </w:pPr>
      <w:r>
        <w:rPr>
          <w:rFonts w:ascii="Times New Roman" w:hAnsi="Times New Roman" w:cs="Times New Roman" w:eastAsia="Times New Roman" w:hint="default"/>
          <w:spacing w:val="-1"/>
        </w:rPr>
        <w:t>3.</w:t>
      </w:r>
      <w:r>
        <w:rPr>
          <w:spacing w:val="-1"/>
        </w:rPr>
        <w:t>公司可以根据实际盈利、资金供求、经营需要、重大投资计划、现金支出等综合情况进行年度或中</w:t>
      </w:r>
      <w:r>
        <w:rPr/>
        <w:t> 期利润分配。</w:t>
      </w:r>
    </w:p>
    <w:p>
      <w:pPr>
        <w:pStyle w:val="BodyText"/>
        <w:spacing w:line="240" w:lineRule="auto" w:before="65"/>
        <w:ind w:left="636"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0"/>
        </w:rPr>
        <w:t> </w:t>
      </w:r>
      <w:r>
        <w:rPr/>
        <w:t>公司在满足现金分红条件时，优先采用现金分红方式。</w:t>
      </w:r>
    </w:p>
    <w:p>
      <w:pPr>
        <w:pStyle w:val="BodyText"/>
        <w:spacing w:line="398" w:lineRule="auto" w:before="177"/>
        <w:ind w:right="1131" w:firstLine="482"/>
        <w:jc w:val="both"/>
      </w:pPr>
      <w:r>
        <w:rPr>
          <w:rFonts w:ascii="Times New Roman" w:hAnsi="Times New Roman" w:cs="Times New Roman" w:eastAsia="Times New Roman" w:hint="default"/>
        </w:rPr>
        <w:t>5.</w:t>
      </w:r>
      <w:r>
        <w:rPr/>
        <w:t>公司任意连续三年以现金方式累计分配的利润不少于该连续三年实现的年均可分配利润的</w:t>
      </w:r>
      <w:r>
        <w:rPr>
          <w:rFonts w:ascii="Times New Roman" w:hAnsi="Times New Roman" w:cs="Times New Roman" w:eastAsia="Times New Roman" w:hint="default"/>
        </w:rPr>
        <w:t>30%</w:t>
      </w:r>
      <w:r>
        <w:rPr/>
        <w:t>。但 </w:t>
      </w:r>
      <w:r>
        <w:rPr>
          <w:spacing w:val="-1"/>
        </w:rPr>
        <w:t>是，当公司年末资产负债率超过百分之七十或者当年经营活动产生的现金流量净额为负数时，公司可不进</w:t>
      </w:r>
      <w:r>
        <w:rPr>
          <w:spacing w:val="-81"/>
        </w:rPr>
        <w:t> </w:t>
      </w:r>
      <w:r>
        <w:rPr>
          <w:spacing w:val="-81"/>
        </w:rPr>
      </w:r>
      <w:r>
        <w:rPr/>
        <w:t>行现金分红。</w:t>
      </w:r>
    </w:p>
    <w:p>
      <w:pPr>
        <w:pStyle w:val="BodyText"/>
        <w:spacing w:line="386" w:lineRule="auto" w:before="54"/>
        <w:ind w:right="1128" w:firstLine="482"/>
        <w:jc w:val="left"/>
      </w:pPr>
      <w:r>
        <w:rPr>
          <w:rFonts w:ascii="Times New Roman" w:hAnsi="Times New Roman" w:cs="Times New Roman" w:eastAsia="Times New Roman" w:hint="default"/>
          <w:spacing w:val="-1"/>
        </w:rPr>
        <w:t>6.</w:t>
      </w:r>
      <w:r>
        <w:rPr>
          <w:spacing w:val="-1"/>
        </w:rPr>
        <w:t>公司董事会、股东大会在对公司利润分配政策的决策和论证过程中，应当充分考虑独立董事和公众</w:t>
      </w:r>
      <w:r>
        <w:rPr/>
        <w:t> 投资者的意见。</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73"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8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46"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4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190.983002pt;margin-top:695.619995pt;width:343.95pt;height:58.55pt;mso-position-horizontal-relative:page;mso-position-vertical-relative:page;z-index:-904552" type="#_x0000_t202" filled="false" stroked="false">
            <v:textbox inset="0,0,0,0">
              <w:txbxContent>
                <w:p>
                  <w:pPr>
                    <w:spacing w:line="240" w:lineRule="auto" w:before="9"/>
                    <w:rPr>
                      <w:rFonts w:ascii="宋体" w:hAnsi="宋体" w:cs="宋体" w:eastAsia="宋体"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为保证公司的可持续发展，</w:t>
                  </w:r>
                </w:p>
              </w:txbxContent>
            </v:textbox>
            <w10:wrap type="none"/>
          </v:shape>
        </w:pict>
      </w:r>
      <w:r>
        <w:rPr/>
        <w:pict>
          <v:group style="position:absolute;margin-left:296.200012pt;margin-top:695.619995pt;width:238.7pt;height:58.55pt;mso-position-horizontal-relative:page;mso-position-vertical-relative:page;z-index:-904528" coordorigin="5924,13912" coordsize="4774,1171">
            <v:shape style="position:absolute;left:5924;top:13912;width:4774;height:1171" coordorigin="5924,13912" coordsize="4774,1171" path="m5924,15083l10698,15083,10698,13912,5924,13912,5924,15083xe" filled="true" fillcolor="#ffffff" stroked="false">
              <v:path arrowok="t"/>
              <v:fill type="solid"/>
            </v:shape>
            <w10:wrap type="none"/>
          </v:group>
        </w:pict>
      </w:r>
      <w:r>
        <w:rPr/>
        <w:pict>
          <v:group style="position:absolute;margin-left:297.339996pt;margin-top:602.019958pt;width:236.45pt;height:46.8pt;mso-position-horizontal-relative:page;mso-position-vertical-relative:page;z-index:-904504" coordorigin="5947,12040" coordsize="4729,936">
            <v:group style="position:absolute;left:5947;top:12040;width:4729;height:468" coordorigin="5947,12040" coordsize="4729,468">
              <v:shape style="position:absolute;left:5947;top:12040;width:4729;height:468" coordorigin="5947,12040" coordsize="4729,468" path="m5947,12508l10675,12508,10675,12040,5947,12040,5947,12508xe" filled="true" fillcolor="#ffffff" stroked="false">
                <v:path arrowok="t"/>
                <v:fill type="solid"/>
              </v:shape>
            </v:group>
            <v:group style="position:absolute;left:5947;top:12508;width:4729;height:468" coordorigin="5947,12508" coordsize="4729,468">
              <v:shape style="position:absolute;left:5947;top:12508;width:4729;height:468" coordorigin="5947,12508" coordsize="4729,468" path="m5947,12976l10675,12976,10675,12508,5947,12508,5947,12976xe" filled="true" fillcolor="#ffffff" stroked="false">
                <v:path arrowok="t"/>
                <v:fill type="solid"/>
              </v:shape>
            </v:group>
            <w10:wrap type="none"/>
          </v:group>
        </w:pict>
      </w:r>
    </w:p>
    <w:p>
      <w:pPr>
        <w:spacing w:line="240" w:lineRule="auto" w:before="3"/>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2015</w:t>
      </w:r>
      <w:r>
        <w:rPr/>
        <w:t>年年度利润分配方案：不派发现金红利，不送红股，不实施资本公积金转增股本。</w:t>
      </w:r>
    </w:p>
    <w:p>
      <w:pPr>
        <w:pStyle w:val="BodyText"/>
        <w:spacing w:line="386" w:lineRule="auto" w:before="177"/>
        <w:ind w:right="0"/>
        <w:jc w:val="left"/>
      </w:pPr>
      <w:r>
        <w:rPr>
          <w:rFonts w:ascii="Times New Roman" w:hAnsi="Times New Roman" w:cs="Times New Roman" w:eastAsia="Times New Roman" w:hint="default"/>
          <w:spacing w:val="-1"/>
        </w:rPr>
        <w:t>2</w:t>
      </w:r>
      <w:r>
        <w:rPr>
          <w:spacing w:val="-1"/>
        </w:rPr>
        <w:t>、公司</w:t>
      </w:r>
      <w:r>
        <w:rPr>
          <w:rFonts w:ascii="Times New Roman" w:hAnsi="Times New Roman" w:cs="Times New Roman" w:eastAsia="Times New Roman" w:hint="default"/>
          <w:spacing w:val="-1"/>
        </w:rPr>
        <w:t>2016</w:t>
      </w:r>
      <w:r>
        <w:rPr>
          <w:spacing w:val="-1"/>
        </w:rPr>
        <w:t>年半年度利润分配方案：以</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日公司总股本</w:t>
      </w:r>
      <w:r>
        <w:rPr>
          <w:rFonts w:ascii="Times New Roman" w:hAnsi="Times New Roman" w:cs="Times New Roman" w:eastAsia="Times New Roman" w:hint="default"/>
          <w:spacing w:val="-1"/>
        </w:rPr>
        <w:t>640,379,913</w:t>
      </w:r>
      <w:r>
        <w:rPr>
          <w:spacing w:val="-1"/>
        </w:rPr>
        <w:t>股为基数，以资本公积金向</w:t>
      </w:r>
      <w:r>
        <w:rPr>
          <w:spacing w:val="-80"/>
        </w:rPr>
        <w:t> </w:t>
      </w:r>
      <w:r>
        <w:rPr>
          <w:spacing w:val="-80"/>
        </w:rPr>
      </w:r>
      <w:r>
        <w:rPr>
          <w:spacing w:val="-1"/>
        </w:rPr>
        <w:t>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股，合计转增</w:t>
      </w:r>
      <w:r>
        <w:rPr>
          <w:rFonts w:ascii="Times New Roman" w:hAnsi="Times New Roman" w:cs="Times New Roman" w:eastAsia="Times New Roman" w:hint="default"/>
          <w:spacing w:val="-1"/>
        </w:rPr>
        <w:t>640,379,913</w:t>
      </w:r>
      <w:r>
        <w:rPr>
          <w:spacing w:val="-1"/>
        </w:rPr>
        <w:t>股，不送红股，不派发现金红利。本次资本公积转增股本</w:t>
      </w:r>
      <w:r>
        <w:rPr>
          <w:spacing w:val="-82"/>
        </w:rPr>
        <w:t> </w:t>
      </w:r>
      <w:r>
        <w:rPr>
          <w:spacing w:val="-82"/>
        </w:rPr>
      </w:r>
      <w:r>
        <w:rPr/>
        <w:t>后，公司总股本将增加至</w:t>
      </w:r>
      <w:r>
        <w:rPr>
          <w:rFonts w:ascii="Times New Roman" w:hAnsi="Times New Roman" w:cs="Times New Roman" w:eastAsia="Times New Roman" w:hint="default"/>
        </w:rPr>
        <w:t>1,280,759,826</w:t>
      </w:r>
      <w:r>
        <w:rPr/>
        <w:t>股。 </w:t>
      </w: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2016</w:t>
      </w:r>
      <w:r>
        <w:rPr/>
        <w:t>年年度利润分配方案：不派发现金红利，不送红股，不实施资本公积金转增股本。</w:t>
      </w:r>
    </w:p>
    <w:p>
      <w:pPr>
        <w:pStyle w:val="BodyText"/>
        <w:spacing w:line="240" w:lineRule="auto" w:before="35"/>
        <w:ind w:left="154" w:right="0"/>
        <w:jc w:val="left"/>
      </w:pPr>
      <w:r>
        <w:rPr>
          <w:rFonts w:ascii="Times New Roman" w:hAnsi="Times New Roman" w:cs="Times New Roman" w:eastAsia="Times New Roman" w:hint="default"/>
        </w:rPr>
        <w:t>4</w:t>
      </w:r>
      <w:r>
        <w:rPr/>
        <w:t>、公司</w:t>
      </w:r>
      <w:r>
        <w:rPr>
          <w:rFonts w:ascii="Times New Roman" w:hAnsi="Times New Roman" w:cs="Times New Roman" w:eastAsia="Times New Roman" w:hint="default"/>
        </w:rPr>
        <w:t>2017</w:t>
      </w:r>
      <w:r>
        <w:rPr/>
        <w:t>年年度利润分配方案：不派发现金红利，不送红股，不实施资本公积金转增股本。</w:t>
      </w:r>
    </w:p>
    <w:p>
      <w:pPr>
        <w:spacing w:line="240" w:lineRule="auto" w:before="6"/>
        <w:rPr>
          <w:rFonts w:ascii="宋体" w:hAnsi="宋体" w:cs="宋体" w:eastAsia="宋体" w:hint="default"/>
          <w:sz w:val="15"/>
          <w:szCs w:val="15"/>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line="240" w:lineRule="auto" w:before="10"/>
        <w:rPr>
          <w:rFonts w:ascii="宋体" w:hAnsi="宋体" w:cs="宋体" w:eastAsia="宋体" w:hint="default"/>
          <w:sz w:val="17"/>
          <w:szCs w:val="1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73"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88"/>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w:t>
            </w:r>
          </w:p>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88"/>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w:t>
            </w:r>
          </w:p>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34"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现金分红金额（含</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以其他方式现金分</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以其他方式现金分</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红的比例</w:t>
            </w:r>
          </w:p>
        </w:tc>
      </w:tr>
      <w:tr>
        <w:trPr>
          <w:trHeight w:val="468"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234"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47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79"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371,577,386.43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0.00%</w:t>
            </w:r>
          </w:p>
        </w:tc>
      </w:tr>
      <w:tr>
        <w:trPr>
          <w:trHeight w:val="47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163,166,427.53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0.00%</w:t>
            </w:r>
          </w:p>
        </w:tc>
      </w:tr>
      <w:tr>
        <w:trPr>
          <w:trHeight w:val="479"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39,591,514.07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line="240" w:lineRule="auto" w:before="10"/>
        <w:rPr>
          <w:rFonts w:ascii="宋体" w:hAnsi="宋体" w:cs="宋体" w:eastAsia="宋体" w:hint="default"/>
          <w:sz w:val="17"/>
          <w:szCs w:val="1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94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出普通股现金红利分配预案的原因</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4223" w:hRule="exact"/>
        </w:trPr>
        <w:tc>
          <w:tcPr>
            <w:tcW w:w="4785" w:type="dxa"/>
            <w:tcBorders>
              <w:top w:val="single" w:sz="4" w:space="0" w:color="000000"/>
              <w:left w:val="single" w:sz="4" w:space="0" w:color="000000"/>
              <w:bottom w:val="single" w:sz="4" w:space="0" w:color="000000"/>
              <w:right w:val="single" w:sz="9" w:space="0" w:color="FFFFFF"/>
            </w:tcBorders>
          </w:tcPr>
          <w:p>
            <w:pPr>
              <w:pStyle w:val="TableParagraph"/>
              <w:spacing w:line="472" w:lineRule="auto" w:before="88"/>
              <w:ind w:left="22" w:right="14"/>
              <w:jc w:val="left"/>
              <w:rPr>
                <w:rFonts w:ascii="宋体" w:hAnsi="宋体" w:cs="宋体" w:eastAsia="宋体" w:hint="default"/>
                <w:sz w:val="18"/>
                <w:szCs w:val="18"/>
              </w:rPr>
            </w:pPr>
            <w:r>
              <w:rPr>
                <w:rFonts w:ascii="宋体" w:hAnsi="宋体" w:cs="宋体" w:eastAsia="宋体" w:hint="default"/>
                <w:sz w:val="18"/>
                <w:szCs w:val="18"/>
              </w:rPr>
              <w:t>目前公司主营业务板块稳定，进入发展快速阶段，中成药方 </w:t>
            </w:r>
            <w:r>
              <w:rPr>
                <w:rFonts w:ascii="宋体" w:hAnsi="宋体" w:cs="宋体" w:eastAsia="宋体" w:hint="default"/>
                <w:spacing w:val="-4"/>
                <w:sz w:val="18"/>
                <w:szCs w:val="18"/>
              </w:rPr>
              <w:t>面，处方药以四秒丸、藿胆片等产品打造</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大品种</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战略，</w:t>
            </w:r>
            <w:r>
              <w:rPr>
                <w:rFonts w:ascii="Times New Roman" w:hAnsi="Times New Roman" w:cs="Times New Roman" w:eastAsia="Times New Roman" w:hint="default"/>
                <w:spacing w:val="-4"/>
                <w:sz w:val="18"/>
                <w:szCs w:val="18"/>
              </w:rPr>
              <w:t>OTC</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产品虽然取得了阶段性成果，但仍需进一步拓展市场，目前 正处于加大投入期；人参业务方面趋于稳定，但深加工产品 尤其是高精端人参产品需要进一步加大投入，进一步巩固公 司高科技人参的发展目标；同时基因测序仪项目尚处发展阶 段；且各分子公司与相关厂房、设备等均均处于投入期，公 司总体业务投入所需的资金较大，</w:t>
            </w:r>
          </w:p>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z w:val="18"/>
                <w:szCs w:val="18"/>
              </w:rPr>
              <w:t>降低公司融资成本，公司拟对</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年度不进行利润分配，也</w:t>
            </w:r>
          </w:p>
        </w:tc>
        <w:tc>
          <w:tcPr>
            <w:tcW w:w="478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35" w:lineRule="exact"/>
              <w:ind w:left="16" w:right="0"/>
              <w:jc w:val="both"/>
              <w:rPr>
                <w:rFonts w:ascii="宋体" w:hAnsi="宋体" w:cs="宋体" w:eastAsia="宋体" w:hint="default"/>
                <w:sz w:val="18"/>
                <w:szCs w:val="18"/>
              </w:rPr>
            </w:pPr>
            <w:r>
              <w:rPr>
                <w:rFonts w:ascii="宋体" w:hAnsi="宋体" w:cs="宋体" w:eastAsia="宋体" w:hint="default"/>
                <w:sz w:val="18"/>
                <w:szCs w:val="18"/>
              </w:rPr>
              <w:t>公司将严格按照《公司法</w:t>
            </w:r>
            <w:r>
              <w:rPr>
                <w:rFonts w:ascii="宋体" w:hAnsi="宋体" w:cs="宋体" w:eastAsia="宋体" w:hint="default"/>
                <w:spacing w:val="-90"/>
                <w:sz w:val="18"/>
                <w:szCs w:val="18"/>
              </w:rPr>
              <w:t>》、</w:t>
            </w:r>
            <w:r>
              <w:rPr>
                <w:rFonts w:ascii="宋体" w:hAnsi="宋体" w:cs="宋体" w:eastAsia="宋体" w:hint="default"/>
                <w:sz w:val="18"/>
                <w:szCs w:val="18"/>
              </w:rPr>
              <w:t>《公司章程》等相关法律法规的</w:t>
            </w:r>
          </w:p>
          <w:p>
            <w:pPr>
              <w:pStyle w:val="TableParagraph"/>
              <w:spacing w:line="234" w:lineRule="exact"/>
              <w:ind w:left="-13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477" w:lineRule="auto"/>
              <w:ind w:left="16" w:right="69"/>
              <w:jc w:val="both"/>
              <w:rPr>
                <w:rFonts w:ascii="宋体" w:hAnsi="宋体" w:cs="宋体" w:eastAsia="宋体" w:hint="default"/>
                <w:sz w:val="18"/>
                <w:szCs w:val="18"/>
              </w:rPr>
            </w:pPr>
            <w:r>
              <w:rPr>
                <w:rFonts w:ascii="宋体" w:hAnsi="宋体" w:cs="宋体" w:eastAsia="宋体" w:hint="default"/>
                <w:sz w:val="18"/>
                <w:szCs w:val="18"/>
              </w:rPr>
              <w:t>要求，根据生产经营情况、投资规划和长期发展的需要，继 续实行积极的利润分配政策，重视对股东的合理投资回报并 兼顾公司的可持续发展。</w:t>
            </w:r>
          </w:p>
        </w:tc>
      </w:tr>
    </w:tbl>
    <w:p>
      <w:pPr>
        <w:spacing w:after="0" w:line="477"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966" w:lineRule="exact"/>
        <w:ind w:left="149"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478.95pt;height:48.3pt;mso-position-horizontal-relative:char;mso-position-vertical-relative:line" coordorigin="0,0" coordsize="9579,966">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957" coordorigin="5,5" coordsize="2,957">
              <v:shape style="position:absolute;left:5;top:5;width:2;height:957" coordorigin="5,5" coordsize="0,957" path="m5,5l5,961e" filled="false" stroked="true" strokeweight=".48pt" strokecolor="#000000">
                <v:path arrowok="t"/>
              </v:shape>
            </v:group>
            <v:group style="position:absolute;left:10;top:956;width:4776;height:2" coordorigin="10,956" coordsize="4776,2">
              <v:shape style="position:absolute;left:10;top:956;width:4776;height:2" coordorigin="10,956" coordsize="4776,0" path="m10,956l4785,956e" filled="false" stroked="true" strokeweight=".48pt" strokecolor="#000000">
                <v:path arrowok="t"/>
              </v:shape>
            </v:group>
            <v:group style="position:absolute;left:4790;top:5;width:2;height:957" coordorigin="4790,5" coordsize="2,957">
              <v:shape style="position:absolute;left:4790;top:5;width:2;height:957" coordorigin="4790,5" coordsize="0,957" path="m4790,5l4790,961e" filled="false" stroked="true" strokeweight=".48pt" strokecolor="#000000">
                <v:path arrowok="t"/>
              </v:shape>
            </v:group>
            <v:group style="position:absolute;left:4795;top:956;width:4774;height:2" coordorigin="4795,956" coordsize="4774,2">
              <v:shape style="position:absolute;left:4795;top:956;width:4774;height:2" coordorigin="4795,956" coordsize="4774,0" path="m4795,956l9569,956e" filled="false" stroked="true" strokeweight=".48pt" strokecolor="#000000">
                <v:path arrowok="t"/>
              </v:shape>
            </v:group>
            <v:group style="position:absolute;left:9574;top:5;width:2;height:957" coordorigin="9574,5" coordsize="2,957">
              <v:shape style="position:absolute;left:9574;top:5;width:2;height:957" coordorigin="9574,5" coordsize="0,957" path="m9574,5l9574,961e" filled="false" stroked="true" strokeweight=".48pt" strokecolor="#000000">
                <v:path arrowok="t"/>
              </v:shape>
              <v:shape style="position:absolute;left:5;top:10;width:4786;height:947" type="#_x0000_t202" filled="false" stroked="false">
                <v:textbox inset="0,0,0,0">
                  <w:txbxContent>
                    <w:p>
                      <w:pPr>
                        <w:spacing w:before="93"/>
                        <w:ind w:left="27" w:right="0" w:firstLine="0"/>
                        <w:jc w:val="left"/>
                        <w:rPr>
                          <w:rFonts w:ascii="宋体" w:hAnsi="宋体" w:cs="宋体" w:eastAsia="宋体" w:hint="default"/>
                          <w:sz w:val="18"/>
                          <w:szCs w:val="18"/>
                        </w:rPr>
                      </w:pPr>
                      <w:r>
                        <w:rPr>
                          <w:rFonts w:ascii="宋体" w:hAnsi="宋体" w:cs="宋体" w:eastAsia="宋体" w:hint="default"/>
                          <w:sz w:val="18"/>
                          <w:szCs w:val="18"/>
                        </w:rPr>
                        <w:t>不进行资本公积金转增股本。上述利润分配预案，具备合法</w:t>
                      </w:r>
                    </w:p>
                    <w:p>
                      <w:pPr>
                        <w:spacing w:line="240" w:lineRule="auto" w:before="10"/>
                        <w:rPr>
                          <w:rFonts w:ascii="宋体" w:hAnsi="宋体" w:cs="宋体" w:eastAsia="宋体" w:hint="default"/>
                          <w:sz w:val="17"/>
                          <w:szCs w:val="17"/>
                        </w:rPr>
                      </w:pPr>
                    </w:p>
                    <w:p>
                      <w:pPr>
                        <w:spacing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性、合规性、合理性，符合证监会及《公司章程》的规定。</w:t>
                      </w:r>
                    </w:p>
                  </w:txbxContent>
                </v:textbox>
                <w10:wrap type="none"/>
              </v:shape>
            </v:group>
          </v:group>
        </w:pict>
      </w:r>
      <w:r>
        <w:rPr>
          <w:rFonts w:ascii="宋体" w:hAnsi="宋体" w:cs="宋体" w:eastAsia="宋体" w:hint="default"/>
          <w:position w:val="-18"/>
          <w:sz w:val="20"/>
          <w:szCs w:val="20"/>
        </w:rPr>
      </w:r>
    </w:p>
    <w:p>
      <w:pPr>
        <w:pStyle w:val="Heading2"/>
        <w:spacing w:line="240" w:lineRule="auto" w:before="35"/>
        <w:ind w:left="154" w:right="0"/>
        <w:jc w:val="left"/>
        <w:rPr>
          <w:b w:val="0"/>
          <w:bCs w:val="0"/>
        </w:rPr>
      </w:pPr>
      <w:bookmarkStart w:name="二、本报告期利润分配及资本公积金转增股本预案" w:id="65"/>
      <w:bookmarkEnd w:id="65"/>
      <w:r>
        <w:rPr>
          <w:b w:val="0"/>
          <w:bCs w:val="0"/>
        </w:rPr>
      </w:r>
      <w:r>
        <w:rPr/>
        <w:t>二、本报告期利润分配及资本公积金转增股本预案</w:t>
      </w:r>
      <w:r>
        <w:rPr>
          <w:b w:val="0"/>
          <w:bCs w:val="0"/>
        </w:rPr>
      </w:r>
    </w:p>
    <w:p>
      <w:pPr>
        <w:spacing w:line="451" w:lineRule="auto" w:before="203"/>
        <w:ind w:left="153" w:right="55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公司计划年度不派发现金红利，不送红股，不以公积金转增股本。</w:t>
      </w:r>
    </w:p>
    <w:p>
      <w:pPr>
        <w:pStyle w:val="Heading3"/>
        <w:spacing w:line="381" w:lineRule="auto" w:before="25"/>
        <w:ind w:right="0"/>
        <w:jc w:val="left"/>
        <w:rPr>
          <w:b w:val="0"/>
          <w:bCs w:val="0"/>
        </w:rPr>
      </w:pPr>
      <w:bookmarkStart w:name="三、承诺事项履行情况" w:id="66"/>
      <w:bookmarkEnd w:id="66"/>
      <w:r>
        <w:rPr>
          <w:b w:val="0"/>
          <w:bCs w:val="0"/>
        </w:rPr>
      </w:r>
      <w:r>
        <w:rPr>
          <w:sz w:val="24"/>
          <w:szCs w:val="24"/>
        </w:rPr>
        <w:t>三、承诺事项履行情况</w:t>
      </w:r>
      <w:r>
        <w:rPr>
          <w:w w:val="99"/>
          <w:sz w:val="24"/>
          <w:szCs w:val="24"/>
        </w:rPr>
        <w:t> </w:t>
      </w:r>
      <w:bookmarkStart w:name="1、公司实际控制人、股东、关联方、收购人以及公司等承诺相关方在报告期内履行完毕及" w:id="67"/>
      <w:bookmarkEnd w:id="67"/>
      <w:r>
        <w:rPr>
          <w:w w:val="99"/>
          <w:sz w:val="24"/>
          <w:szCs w:val="24"/>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before="9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7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7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350"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477" w:lineRule="auto"/>
              <w:ind w:left="23" w:right="190"/>
              <w:jc w:val="both"/>
              <w:rPr>
                <w:rFonts w:ascii="宋体" w:hAnsi="宋体" w:cs="宋体" w:eastAsia="宋体" w:hint="default"/>
                <w:sz w:val="18"/>
                <w:szCs w:val="18"/>
              </w:rPr>
            </w:pPr>
            <w:r>
              <w:rPr>
                <w:rFonts w:ascii="宋体" w:hAnsi="宋体" w:cs="宋体" w:eastAsia="宋体" w:hint="default"/>
                <w:sz w:val="18"/>
                <w:szCs w:val="18"/>
              </w:rPr>
              <w:t>敦化市康平 投资有限责 任公司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477" w:lineRule="auto"/>
              <w:ind w:left="22" w:right="191"/>
              <w:jc w:val="left"/>
              <w:rPr>
                <w:rFonts w:ascii="宋体" w:hAnsi="宋体" w:cs="宋体" w:eastAsia="宋体" w:hint="default"/>
                <w:sz w:val="18"/>
                <w:szCs w:val="18"/>
              </w:rPr>
            </w:pPr>
            <w:r>
              <w:rPr>
                <w:rFonts w:ascii="宋体" w:hAnsi="宋体" w:cs="宋体" w:eastAsia="宋体" w:hint="default"/>
                <w:sz w:val="18"/>
                <w:szCs w:val="18"/>
              </w:rPr>
              <w:t>避免同业竞 争</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468" w:lineRule="auto" w:before="88"/>
              <w:ind w:left="22" w:right="88"/>
              <w:jc w:val="left"/>
              <w:rPr>
                <w:rFonts w:ascii="宋体" w:hAnsi="宋体" w:cs="宋体" w:eastAsia="宋体" w:hint="default"/>
                <w:sz w:val="18"/>
                <w:szCs w:val="18"/>
              </w:rPr>
            </w:pPr>
            <w:r>
              <w:rPr>
                <w:rFonts w:ascii="宋体" w:hAnsi="宋体" w:cs="宋体" w:eastAsia="宋体" w:hint="default"/>
                <w:sz w:val="18"/>
                <w:szCs w:val="18"/>
              </w:rPr>
              <w:t>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以上股东所 做出的避免 同业竞争的</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长期承诺</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468" w:lineRule="auto"/>
              <w:ind w:left="22" w:right="127"/>
              <w:jc w:val="both"/>
              <w:rPr>
                <w:rFonts w:ascii="宋体" w:hAnsi="宋体" w:cs="宋体" w:eastAsia="宋体" w:hint="default"/>
                <w:sz w:val="18"/>
                <w:szCs w:val="18"/>
              </w:rPr>
            </w:pPr>
            <w:r>
              <w:rPr>
                <w:rFonts w:ascii="宋体" w:hAnsi="宋体" w:cs="宋体" w:eastAsia="宋体" w:hint="default"/>
                <w:sz w:val="18"/>
                <w:szCs w:val="18"/>
              </w:rPr>
              <w:t>该承诺期限 为长期</w:t>
            </w:r>
            <w:r>
              <w:rPr>
                <w:rFonts w:ascii="Times New Roman" w:hAnsi="Times New Roman" w:cs="Times New Roman" w:eastAsia="Times New Roman" w:hint="default"/>
                <w:sz w:val="18"/>
                <w:szCs w:val="18"/>
              </w:rPr>
              <w:t>,</w:t>
            </w:r>
            <w:r>
              <w:rPr>
                <w:rFonts w:ascii="宋体" w:hAnsi="宋体" w:cs="宋体" w:eastAsia="宋体" w:hint="default"/>
                <w:sz w:val="18"/>
                <w:szCs w:val="18"/>
              </w:rPr>
              <w:t>该承 诺目前正在 严格履行</w:t>
            </w:r>
          </w:p>
        </w:tc>
      </w:tr>
      <w:tr>
        <w:trPr>
          <w:trHeight w:val="468" w:hRule="exact"/>
        </w:trPr>
        <w:tc>
          <w:tcPr>
            <w:tcW w:w="2836" w:type="dxa"/>
            <w:vMerge/>
            <w:tcBorders>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477" w:lineRule="auto"/>
              <w:ind w:left="17" w:right="190"/>
              <w:jc w:val="both"/>
              <w:rPr>
                <w:rFonts w:ascii="宋体" w:hAnsi="宋体" w:cs="宋体" w:eastAsia="宋体" w:hint="default"/>
                <w:sz w:val="18"/>
                <w:szCs w:val="18"/>
              </w:rPr>
            </w:pPr>
            <w:r>
              <w:rPr>
                <w:rFonts w:ascii="宋体" w:hAnsi="宋体" w:cs="宋体" w:eastAsia="宋体" w:hint="default"/>
                <w:sz w:val="18"/>
                <w:szCs w:val="18"/>
              </w:rPr>
              <w:t>敦化市康平 投资有限责 任公司</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vMerge w:val="restart"/>
            <w:tcBorders>
              <w:top w:val="single" w:sz="4" w:space="0" w:color="000000"/>
              <w:left w:val="single" w:sz="4" w:space="0" w:color="000000"/>
              <w:right w:val="single" w:sz="4" w:space="0" w:color="000000"/>
            </w:tcBorders>
          </w:tcPr>
          <w:p>
            <w:pPr>
              <w:pStyle w:val="TableParagraph"/>
              <w:spacing w:line="472" w:lineRule="auto" w:before="88"/>
              <w:ind w:left="22" w:right="21"/>
              <w:jc w:val="left"/>
              <w:rPr>
                <w:rFonts w:ascii="宋体" w:hAnsi="宋体" w:cs="宋体" w:eastAsia="宋体" w:hint="default"/>
                <w:sz w:val="18"/>
                <w:szCs w:val="18"/>
              </w:rPr>
            </w:pPr>
            <w:r>
              <w:rPr>
                <w:rFonts w:ascii="宋体" w:hAnsi="宋体" w:cs="宋体" w:eastAsia="宋体" w:hint="default"/>
                <w:spacing w:val="-2"/>
                <w:sz w:val="18"/>
                <w:szCs w:val="18"/>
              </w:rPr>
              <w:t>承诺：紫鑫药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业若因投资 </w:t>
            </w:r>
            <w:r>
              <w:rPr>
                <w:rFonts w:ascii="宋体" w:hAnsi="宋体" w:cs="宋体" w:eastAsia="宋体" w:hint="default"/>
                <w:spacing w:val="-2"/>
                <w:sz w:val="18"/>
                <w:szCs w:val="18"/>
              </w:rPr>
              <w:t>人刘光礼、肖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丽等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 然人股东或 其他投资人 以紫鑫药业</w:t>
            </w:r>
          </w:p>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z w:val="18"/>
                <w:szCs w:val="18"/>
              </w:rPr>
              <w:t>存在证券虚</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477" w:lineRule="auto"/>
              <w:ind w:left="22" w:right="186"/>
              <w:jc w:val="both"/>
              <w:rPr>
                <w:rFonts w:ascii="宋体" w:hAnsi="宋体" w:cs="宋体" w:eastAsia="宋体" w:hint="default"/>
                <w:sz w:val="18"/>
                <w:szCs w:val="18"/>
              </w:rPr>
            </w:pPr>
            <w:r>
              <w:rPr>
                <w:rFonts w:ascii="宋体" w:hAnsi="宋体" w:cs="宋体" w:eastAsia="宋体" w:hint="default"/>
                <w:sz w:val="18"/>
                <w:szCs w:val="18"/>
              </w:rPr>
              <w:t>紫鑫药业涉 及证券诉讼 事项完毕</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477" w:lineRule="auto"/>
              <w:ind w:left="22" w:right="173"/>
              <w:jc w:val="both"/>
              <w:rPr>
                <w:rFonts w:ascii="宋体" w:hAnsi="宋体" w:cs="宋体" w:eastAsia="宋体" w:hint="default"/>
                <w:sz w:val="18"/>
                <w:szCs w:val="18"/>
              </w:rPr>
            </w:pPr>
            <w:r>
              <w:rPr>
                <w:rFonts w:ascii="宋体" w:hAnsi="宋体" w:cs="宋体" w:eastAsia="宋体" w:hint="default"/>
                <w:sz w:val="18"/>
                <w:szCs w:val="18"/>
              </w:rPr>
              <w:t>该承诺目前 正在严格履 行</w:t>
            </w:r>
          </w:p>
        </w:tc>
      </w:tr>
      <w:tr>
        <w:trPr>
          <w:trHeight w:val="468"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2819"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609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12"/>
              <w:jc w:val="left"/>
              <w:rPr>
                <w:rFonts w:ascii="宋体" w:hAnsi="宋体" w:cs="宋体" w:eastAsia="宋体" w:hint="default"/>
                <w:sz w:val="18"/>
                <w:szCs w:val="18"/>
              </w:rPr>
            </w:pPr>
            <w:r>
              <w:rPr>
                <w:rFonts w:ascii="宋体" w:hAnsi="宋体" w:cs="宋体" w:eastAsia="宋体" w:hint="default"/>
                <w:sz w:val="18"/>
                <w:szCs w:val="18"/>
              </w:rPr>
              <w:t>假陈述责任 为由提起民 事诉讼并被 人民法院判 决承担民事 赔偿责任，本 公司自愿根 据人民法院 生效判决代 替紫鑫药业 向投资人承 担相关的民</w:t>
            </w:r>
          </w:p>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事赔偿责任。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4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如承诺超期未履行完毕的，应当详</w:t>
            </w:r>
          </w:p>
          <w:p>
            <w:pPr>
              <w:pStyle w:val="TableParagraph"/>
              <w:spacing w:line="460" w:lineRule="atLeast" w:before="8"/>
              <w:ind w:left="22" w:right="101"/>
              <w:jc w:val="left"/>
              <w:rPr>
                <w:rFonts w:ascii="宋体" w:hAnsi="宋体" w:cs="宋体" w:eastAsia="宋体" w:hint="default"/>
                <w:sz w:val="18"/>
                <w:szCs w:val="18"/>
              </w:rPr>
            </w:pPr>
            <w:r>
              <w:rPr>
                <w:rFonts w:ascii="宋体" w:hAnsi="宋体" w:cs="宋体" w:eastAsia="宋体" w:hint="default"/>
                <w:sz w:val="18"/>
                <w:szCs w:val="18"/>
              </w:rPr>
              <w:t>细说明未完成履行的具体原因及下 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Heading3"/>
        <w:spacing w:line="386" w:lineRule="auto" w:before="63"/>
        <w:ind w:left="154" w:right="0"/>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before="9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3"/>
          <w:szCs w:val="13"/>
        </w:rPr>
      </w:pPr>
    </w:p>
    <w:p>
      <w:pPr>
        <w:pStyle w:val="Heading2"/>
        <w:spacing w:line="240" w:lineRule="auto"/>
        <w:ind w:right="0"/>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451" w:lineRule="auto" w:before="202"/>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pStyle w:val="Heading2"/>
        <w:spacing w:line="240" w:lineRule="auto" w:before="25"/>
        <w:ind w:right="0"/>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before="18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3"/>
          <w:szCs w:val="13"/>
        </w:rPr>
      </w:pPr>
    </w:p>
    <w:p>
      <w:pPr>
        <w:pStyle w:val="Heading2"/>
        <w:spacing w:line="240" w:lineRule="auto"/>
        <w:ind w:right="0"/>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451" w:lineRule="auto" w:before="202"/>
        <w:ind w:left="153" w:right="57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公司报告期无会计政策、会计估计和核算方法发生变化的情况。</w:t>
      </w:r>
    </w:p>
    <w:p>
      <w:pPr>
        <w:spacing w:after="0" w:line="451"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Heading2"/>
        <w:spacing w:line="240" w:lineRule="auto" w:before="26"/>
        <w:ind w:right="0"/>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451" w:lineRule="auto" w:before="202"/>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公司报告期无重大会计差错更正需追溯重述的情况。</w:t>
      </w:r>
    </w:p>
    <w:p>
      <w:pPr>
        <w:pStyle w:val="Heading2"/>
        <w:spacing w:line="240" w:lineRule="auto" w:before="26"/>
        <w:ind w:left="154" w:right="0"/>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before="2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4"/>
          <w:szCs w:val="14"/>
        </w:rPr>
      </w:pPr>
    </w:p>
    <w:p>
      <w:pPr>
        <w:pStyle w:val="BodyText"/>
        <w:spacing w:line="386" w:lineRule="auto" w:before="0"/>
        <w:ind w:right="1122" w:firstLine="420"/>
        <w:jc w:val="left"/>
      </w:pPr>
      <w:r>
        <w:rPr/>
        <w:t>与</w:t>
      </w:r>
      <w:r>
        <w:rPr>
          <w:rFonts w:ascii="Times New Roman" w:hAnsi="Times New Roman" w:cs="Times New Roman" w:eastAsia="Times New Roman" w:hint="default"/>
        </w:rPr>
        <w:t>2016</w:t>
      </w:r>
      <w:r>
        <w:rPr/>
        <w:t>年年度合并财务报表范围相比，本年合并财务报表范围新增吉林紫鑫参工堂生物科技有限公 司、吉林紫鑫汪清药业有限公司和</w:t>
      </w:r>
      <w:r>
        <w:rPr>
          <w:rFonts w:ascii="Times New Roman" w:hAnsi="Times New Roman" w:cs="Times New Roman" w:eastAsia="Times New Roman" w:hint="default"/>
        </w:rPr>
        <w:t>Zixin Pharmaceuticals USA CORP</w:t>
      </w:r>
      <w:r>
        <w:rPr/>
        <w:t>。详见第十一节</w:t>
      </w:r>
      <w:r>
        <w:rPr>
          <w:spacing w:val="-35"/>
        </w:rPr>
        <w:t> </w:t>
      </w:r>
      <w:r>
        <w:rPr/>
        <w:t>财务报告</w:t>
      </w:r>
      <w:r>
        <w:rPr>
          <w:rFonts w:ascii="Times New Roman" w:hAnsi="Times New Roman" w:cs="Times New Roman" w:eastAsia="Times New Roman" w:hint="default"/>
        </w:rPr>
        <w:t>“</w:t>
      </w:r>
      <w:r>
        <w:rPr/>
        <w:t>八、合并范 围的变更</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及本附注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相关内容。</w:t>
      </w:r>
    </w:p>
    <w:p>
      <w:pPr>
        <w:pStyle w:val="Heading2"/>
        <w:spacing w:line="240" w:lineRule="auto" w:before="12"/>
        <w:ind w:left="154" w:right="0"/>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before="202"/>
        <w:ind w:left="154"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78"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中准会计师事务所（特殊普通合伙）</w:t>
            </w:r>
          </w:p>
        </w:tc>
      </w:tr>
      <w:tr>
        <w:trPr>
          <w:trHeight w:val="478"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95</w:t>
            </w:r>
          </w:p>
        </w:tc>
      </w:tr>
      <w:tr>
        <w:trPr>
          <w:trHeight w:val="478"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78"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韩波、刘昆</w:t>
            </w:r>
          </w:p>
        </w:tc>
      </w:tr>
      <w:tr>
        <w:trPr>
          <w:trHeight w:val="479"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8"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78"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w:t>
            </w:r>
          </w:p>
        </w:tc>
      </w:tr>
      <w:tr>
        <w:trPr>
          <w:trHeight w:val="478"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78"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240" w:lineRule="auto" w:before="10"/>
        <w:rPr>
          <w:rFonts w:ascii="宋体" w:hAnsi="宋体" w:cs="宋体" w:eastAsia="宋体" w:hint="default"/>
          <w:sz w:val="17"/>
          <w:szCs w:val="17"/>
        </w:rPr>
      </w:pPr>
    </w:p>
    <w:p>
      <w:pPr>
        <w:spacing w:line="451" w:lineRule="auto" w:before="0"/>
        <w:ind w:left="15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7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3"/>
          <w:szCs w:val="13"/>
        </w:rPr>
      </w:pPr>
    </w:p>
    <w:p>
      <w:pPr>
        <w:pStyle w:val="Heading2"/>
        <w:spacing w:line="240" w:lineRule="auto"/>
        <w:ind w:right="0"/>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before="2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3"/>
          <w:szCs w:val="13"/>
        </w:rPr>
      </w:pPr>
    </w:p>
    <w:p>
      <w:pPr>
        <w:pStyle w:val="Heading2"/>
        <w:spacing w:line="240" w:lineRule="auto"/>
        <w:ind w:right="0"/>
        <w:jc w:val="left"/>
        <w:rPr>
          <w:b w:val="0"/>
          <w:bCs w:val="0"/>
        </w:rPr>
      </w:pPr>
      <w:bookmarkStart w:name="十一、破产重整相关事项" w:id="76"/>
      <w:bookmarkEnd w:id="76"/>
      <w:r>
        <w:rPr>
          <w:b w:val="0"/>
          <w:bCs w:val="0"/>
        </w:rPr>
      </w:r>
      <w:r>
        <w:rPr/>
        <w:t>十一、破产重整相关事项</w:t>
      </w:r>
      <w:r>
        <w:rPr>
          <w:b w:val="0"/>
          <w:bCs w:val="0"/>
        </w:rPr>
      </w:r>
    </w:p>
    <w:p>
      <w:pPr>
        <w:spacing w:line="451" w:lineRule="auto" w:before="202"/>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after="0" w:line="451"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Heading2"/>
        <w:spacing w:line="240" w:lineRule="auto" w:before="26"/>
        <w:ind w:right="0"/>
        <w:jc w:val="left"/>
        <w:rPr>
          <w:b w:val="0"/>
          <w:bCs w:val="0"/>
        </w:rPr>
      </w:pPr>
      <w:bookmarkStart w:name="十二、重大诉讼、仲裁事项" w:id="77"/>
      <w:bookmarkEnd w:id="77"/>
      <w:r>
        <w:rPr>
          <w:b w:val="0"/>
          <w:bCs w:val="0"/>
        </w:rPr>
      </w:r>
      <w:r>
        <w:rPr/>
        <w:t>十二、重大诉讼、仲裁事项</w:t>
      </w:r>
      <w:r>
        <w:rPr>
          <w:b w:val="0"/>
          <w:bCs w:val="0"/>
        </w:rPr>
      </w:r>
    </w:p>
    <w:p>
      <w:pPr>
        <w:spacing w:before="2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50"/>
        <w:gridCol w:w="1363"/>
        <w:gridCol w:w="1248"/>
        <w:gridCol w:w="1064"/>
        <w:gridCol w:w="1063"/>
      </w:tblGrid>
      <w:tr>
        <w:trPr>
          <w:trHeight w:val="94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684" w:right="84"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pacing w:val="-11"/>
                <w:sz w:val="18"/>
                <w:szCs w:val="18"/>
              </w:rPr>
              <w:t>涉案金额（万</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是否形成预计</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负债</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284" w:right="53"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220" w:right="80"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167" w:right="108"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171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日在指定媒体</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477" w:lineRule="auto"/>
              <w:ind w:left="22" w:right="87"/>
              <w:jc w:val="both"/>
              <w:rPr>
                <w:rFonts w:ascii="宋体" w:hAnsi="宋体" w:cs="宋体" w:eastAsia="宋体" w:hint="default"/>
                <w:sz w:val="18"/>
                <w:szCs w:val="18"/>
              </w:rPr>
            </w:pPr>
            <w:r>
              <w:rPr>
                <w:rFonts w:ascii="宋体" w:hAnsi="宋体" w:cs="宋体" w:eastAsia="宋体" w:hint="default"/>
                <w:spacing w:val="-20"/>
                <w:sz w:val="18"/>
                <w:szCs w:val="18"/>
              </w:rPr>
              <w:t>《证券日报》、《证</w:t>
            </w:r>
            <w:r>
              <w:rPr>
                <w:rFonts w:ascii="宋体" w:hAnsi="宋体" w:cs="宋体" w:eastAsia="宋体" w:hint="default"/>
                <w:sz w:val="18"/>
                <w:szCs w:val="18"/>
              </w:rPr>
              <w:t> 券时报》及巨潮资 讯网</w:t>
            </w:r>
          </w:p>
          <w:p>
            <w:pPr>
              <w:pStyle w:val="TableParagraph"/>
              <w:spacing w:line="240" w:lineRule="auto" w:before="54"/>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9"/>
              <w:ind w:right="0"/>
              <w:jc w:val="left"/>
              <w:rPr>
                <w:rFonts w:ascii="宋体" w:hAnsi="宋体" w:cs="宋体" w:eastAsia="宋体" w:hint="default"/>
                <w:sz w:val="16"/>
                <w:szCs w:val="16"/>
              </w:rPr>
            </w:pPr>
          </w:p>
          <w:p>
            <w:pPr>
              <w:pStyle w:val="TableParagraph"/>
              <w:spacing w:line="468"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.com.cn</w:t>
            </w:r>
            <w:r>
              <w:rPr>
                <w:rFonts w:ascii="宋体" w:hAnsi="宋体" w:cs="宋体" w:eastAsia="宋体" w:hint="default"/>
                <w:spacing w:val="-12"/>
                <w:sz w:val="18"/>
                <w:szCs w:val="18"/>
              </w:rPr>
              <w:t>）披露的《关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于涉及诉讼的公 </w:t>
            </w:r>
            <w:r>
              <w:rPr>
                <w:rFonts w:ascii="宋体" w:hAnsi="宋体" w:cs="宋体" w:eastAsia="宋体" w:hint="default"/>
                <w:spacing w:val="-12"/>
                <w:sz w:val="18"/>
                <w:szCs w:val="18"/>
              </w:rPr>
              <w:t>告》（公告编号：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pacing w:val="-20"/>
                <w:sz w:val="18"/>
                <w:szCs w:val="18"/>
              </w:rPr>
              <w:t>2015-072</w:t>
            </w:r>
            <w:r>
              <w:rPr>
                <w:rFonts w:ascii="宋体" w:hAnsi="宋体" w:cs="宋体" w:eastAsia="宋体" w:hint="default"/>
                <w:spacing w:val="-20"/>
                <w:sz w:val="18"/>
                <w:szCs w:val="18"/>
              </w:rPr>
              <w:t>）、《关于涉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及诉讼的进展公 </w:t>
            </w:r>
            <w:r>
              <w:rPr>
                <w:rFonts w:ascii="宋体" w:hAnsi="宋体" w:cs="宋体" w:eastAsia="宋体" w:hint="default"/>
                <w:spacing w:val="-12"/>
                <w:sz w:val="18"/>
                <w:szCs w:val="18"/>
              </w:rPr>
              <w:t>告》（公告编号：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pacing w:val="-20"/>
                <w:sz w:val="18"/>
                <w:szCs w:val="18"/>
              </w:rPr>
              <w:t>2016-044</w:t>
            </w:r>
            <w:r>
              <w:rPr>
                <w:rFonts w:ascii="宋体" w:hAnsi="宋体" w:cs="宋体" w:eastAsia="宋体" w:hint="default"/>
                <w:spacing w:val="-20"/>
                <w:sz w:val="18"/>
                <w:szCs w:val="18"/>
              </w:rPr>
              <w:t>）、《关于涉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及诉讼的进展公 </w:t>
            </w:r>
            <w:r>
              <w:rPr>
                <w:rFonts w:ascii="宋体" w:hAnsi="宋体" w:cs="宋体" w:eastAsia="宋体" w:hint="default"/>
                <w:spacing w:val="-12"/>
                <w:sz w:val="18"/>
                <w:szCs w:val="18"/>
              </w:rPr>
              <w:t>告》（公告编号：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pacing w:val="-8"/>
                <w:sz w:val="18"/>
                <w:szCs w:val="18"/>
              </w:rPr>
              <w:t>2017-003</w:t>
            </w:r>
            <w:r>
              <w:rPr>
                <w:rFonts w:ascii="宋体" w:hAnsi="宋体" w:cs="宋体" w:eastAsia="宋体" w:hint="default"/>
                <w:spacing w:val="-8"/>
                <w:sz w:val="18"/>
                <w:szCs w:val="18"/>
              </w:rPr>
              <w:t>），共有</w:t>
            </w:r>
          </w:p>
          <w:p>
            <w:pPr>
              <w:pStyle w:val="TableParagraph"/>
              <w:spacing w:line="468" w:lineRule="auto" w:before="29"/>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383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名原告以证券 虚假陈述民事责任 为由先后向吉林省 中级人民法院提起</w:t>
            </w:r>
          </w:p>
          <w:p>
            <w:pPr>
              <w:pStyle w:val="TableParagraph"/>
              <w:spacing w:line="240" w:lineRule="auto" w:before="61"/>
              <w:ind w:left="22" w:right="0"/>
              <w:jc w:val="both"/>
              <w:rPr>
                <w:rFonts w:ascii="宋体" w:hAnsi="宋体" w:cs="宋体" w:eastAsia="宋体" w:hint="default"/>
                <w:sz w:val="18"/>
                <w:szCs w:val="18"/>
              </w:rPr>
            </w:pPr>
            <w:r>
              <w:rPr>
                <w:rFonts w:ascii="宋体" w:hAnsi="宋体" w:cs="宋体" w:eastAsia="宋体" w:hint="default"/>
                <w:sz w:val="18"/>
                <w:szCs w:val="18"/>
              </w:rPr>
              <w:t>诉讼，请求法院判</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1,686.11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0" w:type="dxa"/>
            <w:tcBorders>
              <w:top w:val="single" w:sz="4" w:space="0" w:color="000000"/>
              <w:left w:val="single" w:sz="4" w:space="0" w:color="000000"/>
              <w:bottom w:val="single" w:sz="4" w:space="0" w:color="000000"/>
              <w:right w:val="single" w:sz="13" w:space="0" w:color="FFFFFF"/>
            </w:tcBorders>
          </w:tcPr>
          <w:p>
            <w:pPr>
              <w:pStyle w:val="TableParagraph"/>
              <w:spacing w:line="472" w:lineRule="auto" w:before="89"/>
              <w:ind w:left="22" w:right="-3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由法院判 决的案件， 长春市中 级人民法 院已分别 作出相应 </w:t>
            </w:r>
            <w:r>
              <w:rPr>
                <w:rFonts w:ascii="宋体" w:hAnsi="宋体" w:cs="宋体" w:eastAsia="宋体" w:hint="default"/>
                <w:spacing w:val="-4"/>
                <w:sz w:val="18"/>
                <w:szCs w:val="18"/>
              </w:rPr>
              <w:t>判决。其中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名原告 不服一审 判决上诉 至吉林省 高级人民 </w:t>
            </w:r>
            <w:r>
              <w:rPr>
                <w:rFonts w:ascii="宋体" w:hAnsi="宋体" w:cs="宋体" w:eastAsia="宋体" w:hint="default"/>
                <w:spacing w:val="-4"/>
                <w:sz w:val="18"/>
                <w:szCs w:val="18"/>
              </w:rPr>
              <w:t>法院，吉林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省高级人 民法院经 审理后依 据事实和 法律作出 了</w:t>
            </w:r>
            <w:r>
              <w:rPr>
                <w:rFonts w:ascii="Times New Roman" w:hAnsi="Times New Roman" w:cs="Times New Roman" w:eastAsia="Times New Roman" w:hint="default"/>
                <w:sz w:val="18"/>
                <w:szCs w:val="18"/>
              </w:rPr>
              <w:t>“</w:t>
            </w:r>
            <w:r>
              <w:rPr>
                <w:rFonts w:ascii="宋体" w:hAnsi="宋体" w:cs="宋体" w:eastAsia="宋体" w:hint="default"/>
                <w:sz w:val="18"/>
                <w:szCs w:val="18"/>
              </w:rPr>
              <w:t>驳回上 </w:t>
            </w:r>
            <w:r>
              <w:rPr>
                <w:rFonts w:ascii="宋体" w:hAnsi="宋体" w:cs="宋体" w:eastAsia="宋体" w:hint="default"/>
                <w:spacing w:val="-4"/>
                <w:sz w:val="18"/>
                <w:szCs w:val="18"/>
              </w:rPr>
              <w:t>诉，维持原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判</w:t>
            </w:r>
            <w:r>
              <w:rPr>
                <w:rFonts w:ascii="Times New Roman" w:hAnsi="Times New Roman" w:cs="Times New Roman" w:eastAsia="Times New Roman" w:hint="default"/>
                <w:sz w:val="18"/>
                <w:szCs w:val="18"/>
              </w:rPr>
              <w:t>”</w:t>
            </w:r>
            <w:r>
              <w:rPr>
                <w:rFonts w:ascii="宋体" w:hAnsi="宋体" w:cs="宋体" w:eastAsia="宋体" w:hint="default"/>
                <w:sz w:val="18"/>
                <w:szCs w:val="18"/>
              </w:rPr>
              <w:t>的终审 </w:t>
            </w:r>
            <w:r>
              <w:rPr>
                <w:rFonts w:ascii="宋体" w:hAnsi="宋体" w:cs="宋体" w:eastAsia="宋体" w:hint="default"/>
                <w:spacing w:val="-4"/>
                <w:sz w:val="18"/>
                <w:szCs w:val="18"/>
              </w:rPr>
              <w:t>判决；其他</w:t>
            </w:r>
          </w:p>
          <w:p>
            <w:pPr>
              <w:pStyle w:val="TableParagraph"/>
              <w:spacing w:line="451" w:lineRule="auto" w:before="58"/>
              <w:ind w:left="2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个案件， 原告未就</w:t>
            </w:r>
          </w:p>
        </w:tc>
        <w:tc>
          <w:tcPr>
            <w:tcW w:w="1363" w:type="dxa"/>
            <w:tcBorders>
              <w:top w:val="single" w:sz="4" w:space="0" w:color="000000"/>
              <w:left w:val="single" w:sz="13" w:space="0" w:color="FFFFFF"/>
              <w:bottom w:val="single" w:sz="4" w:space="0" w:color="000000"/>
              <w:right w:val="single" w:sz="4" w:space="0" w:color="000000"/>
            </w:tcBorders>
          </w:tcPr>
          <w:p>
            <w:pPr>
              <w:pStyle w:val="TableParagraph"/>
              <w:spacing w:line="477" w:lineRule="auto" w:before="89"/>
              <w:ind w:right="79"/>
              <w:jc w:val="both"/>
              <w:rPr>
                <w:rFonts w:ascii="宋体" w:hAnsi="宋体" w:cs="宋体" w:eastAsia="宋体" w:hint="default"/>
                <w:sz w:val="18"/>
                <w:szCs w:val="18"/>
              </w:rPr>
            </w:pPr>
            <w:r>
              <w:rPr>
                <w:rFonts w:ascii="宋体" w:hAnsi="宋体" w:cs="宋体" w:eastAsia="宋体" w:hint="default"/>
                <w:sz w:val="18"/>
                <w:szCs w:val="18"/>
              </w:rPr>
              <w:t>公司涉及的证券 虚假陈述民事赔 偿案件已经全部 执行完毕。公司 控股股东敦化市 康平投资有限责 任公司为处理公 司因证券虚假陈 述民事赔偿涉及 的诉讼事项，合 计支付相关费用</w:t>
            </w:r>
          </w:p>
          <w:p>
            <w:pPr>
              <w:pStyle w:val="TableParagraph"/>
              <w:spacing w:line="240" w:lineRule="auto" w:before="94"/>
              <w:ind w:right="0"/>
              <w:jc w:val="left"/>
              <w:rPr>
                <w:rFonts w:ascii="Times New Roman" w:hAnsi="Times New Roman" w:cs="Times New Roman" w:eastAsia="Times New Roman" w:hint="default"/>
                <w:sz w:val="18"/>
                <w:szCs w:val="18"/>
              </w:rPr>
            </w:pPr>
            <w:r>
              <w:rPr>
                <w:rFonts w:ascii="Times New Roman"/>
                <w:sz w:val="18"/>
              </w:rPr>
              <w:t>16,861,049.65</w:t>
            </w:r>
          </w:p>
          <w:p>
            <w:pPr>
              <w:pStyle w:val="TableParagraph"/>
              <w:spacing w:line="240" w:lineRule="auto" w:before="12"/>
              <w:ind w:right="0"/>
              <w:jc w:val="left"/>
              <w:rPr>
                <w:rFonts w:ascii="宋体" w:hAnsi="宋体" w:cs="宋体" w:eastAsia="宋体" w:hint="default"/>
                <w:sz w:val="16"/>
                <w:szCs w:val="16"/>
              </w:rPr>
            </w:pPr>
          </w:p>
          <w:p>
            <w:pPr>
              <w:pStyle w:val="TableParagraph"/>
              <w:spacing w:line="477" w:lineRule="auto"/>
              <w:ind w:right="22"/>
              <w:jc w:val="left"/>
              <w:rPr>
                <w:rFonts w:ascii="宋体" w:hAnsi="宋体" w:cs="宋体" w:eastAsia="宋体" w:hint="default"/>
                <w:sz w:val="18"/>
                <w:szCs w:val="18"/>
              </w:rPr>
            </w:pPr>
            <w:r>
              <w:rPr>
                <w:rFonts w:ascii="宋体" w:hAnsi="宋体" w:cs="宋体" w:eastAsia="宋体" w:hint="default"/>
                <w:sz w:val="18"/>
                <w:szCs w:val="18"/>
              </w:rPr>
              <w:t>元。康平公司代 替公司向投资人 承担相关的民事 赔偿责任，属于 接受控股股东直 接捐赠，属于控 股股东对企业的 资本性投入，应 作为权益性交 易，相关利得计 入所有者权益 </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资本公积</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，同时</w:t>
            </w:r>
          </w:p>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支付的赔偿及诉</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已完结</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2017-067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79" w:top="1060" w:bottom="1160" w:left="980" w:right="0"/>
        </w:sectPr>
      </w:pPr>
    </w:p>
    <w:p>
      <w:pPr>
        <w:spacing w:line="240" w:lineRule="auto" w:before="13"/>
        <w:rPr>
          <w:rFonts w:ascii="宋体" w:hAnsi="宋体" w:cs="宋体" w:eastAsia="宋体" w:hint="default"/>
          <w:sz w:val="15"/>
          <w:szCs w:val="15"/>
        </w:rPr>
      </w:pPr>
    </w:p>
    <w:p>
      <w:pPr>
        <w:spacing w:before="0"/>
        <w:ind w:left="181" w:right="-20" w:firstLine="0"/>
        <w:jc w:val="left"/>
        <w:rPr>
          <w:rFonts w:ascii="宋体" w:hAnsi="宋体" w:cs="宋体" w:eastAsia="宋体" w:hint="default"/>
          <w:sz w:val="18"/>
          <w:szCs w:val="18"/>
        </w:rPr>
      </w:pPr>
      <w:r>
        <w:rPr/>
        <w:pict>
          <v:shape style="position:absolute;margin-left:110.779999pt;margin-top:-4.428281pt;width:77.25pt;height:655.3pt;mso-position-horizontal-relative:page;mso-position-vertical-relative:paragraph;z-index:-90443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（注：</w:t>
                  </w:r>
                </w:p>
              </w:txbxContent>
            </v:textbox>
            <w10:wrap type="none"/>
          </v:shape>
        </w:pict>
      </w:r>
      <w:r>
        <w:rPr>
          <w:rFonts w:ascii="宋体" w:hAnsi="宋体" w:cs="宋体" w:eastAsia="宋体" w:hint="default"/>
          <w:sz w:val="18"/>
          <w:szCs w:val="18"/>
        </w:rPr>
        <w:t>令紫鑫药业赔偿因</w:t>
      </w:r>
    </w:p>
    <w:p>
      <w:pPr>
        <w:spacing w:line="240" w:lineRule="auto" w:before="13"/>
        <w:rPr>
          <w:rFonts w:ascii="宋体" w:hAnsi="宋体" w:cs="宋体" w:eastAsia="宋体" w:hint="default"/>
          <w:sz w:val="15"/>
          <w:szCs w:val="15"/>
        </w:rPr>
      </w:pPr>
      <w:r>
        <w:rPr/>
        <w:br w:type="column"/>
      </w:r>
      <w:r>
        <w:rPr>
          <w:rFonts w:ascii="宋体"/>
          <w:sz w:val="15"/>
        </w:rPr>
      </w:r>
    </w:p>
    <w:p>
      <w:pPr>
        <w:spacing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一审判决</w:t>
      </w:r>
    </w:p>
    <w:p>
      <w:pPr>
        <w:spacing w:line="240" w:lineRule="auto" w:before="13"/>
        <w:rPr>
          <w:rFonts w:ascii="宋体" w:hAnsi="宋体" w:cs="宋体" w:eastAsia="宋体" w:hint="default"/>
          <w:sz w:val="15"/>
          <w:szCs w:val="15"/>
        </w:rPr>
      </w:pPr>
      <w:r>
        <w:rPr/>
        <w:br w:type="column"/>
      </w:r>
      <w:r>
        <w:rPr>
          <w:rFonts w:ascii="宋体"/>
          <w:sz w:val="15"/>
        </w:rPr>
      </w:r>
    </w:p>
    <w:p>
      <w:pPr>
        <w:spacing w:before="0"/>
        <w:ind w:left="178" w:right="0" w:firstLine="0"/>
        <w:jc w:val="left"/>
        <w:rPr>
          <w:rFonts w:ascii="宋体" w:hAnsi="宋体" w:cs="宋体" w:eastAsia="宋体" w:hint="default"/>
          <w:sz w:val="18"/>
          <w:szCs w:val="18"/>
        </w:rPr>
      </w:pPr>
      <w:r>
        <w:rPr>
          <w:rFonts w:ascii="宋体" w:hAnsi="宋体" w:cs="宋体" w:eastAsia="宋体" w:hint="default"/>
          <w:sz w:val="18"/>
          <w:szCs w:val="18"/>
        </w:rPr>
        <w:t>讼费计入营业外</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1622" w:space="2258"/>
            <w:col w:w="902" w:space="40"/>
            <w:col w:w="6108"/>
          </w:cols>
        </w:sectPr>
      </w:pPr>
    </w:p>
    <w:p>
      <w:pPr>
        <w:spacing w:line="240" w:lineRule="auto" w:before="5"/>
        <w:rPr>
          <w:rFonts w:ascii="宋体" w:hAnsi="宋体" w:cs="宋体" w:eastAsia="宋体" w:hint="default"/>
          <w:sz w:val="14"/>
          <w:szCs w:val="14"/>
        </w:rPr>
      </w:pPr>
    </w:p>
    <w:p>
      <w:pPr>
        <w:tabs>
          <w:tab w:pos="4061" w:val="left" w:leader="none"/>
        </w:tabs>
        <w:spacing w:before="44"/>
        <w:ind w:left="181" w:right="0" w:firstLine="0"/>
        <w:jc w:val="left"/>
        <w:rPr>
          <w:rFonts w:ascii="宋体" w:hAnsi="宋体" w:cs="宋体" w:eastAsia="宋体" w:hint="default"/>
          <w:sz w:val="18"/>
          <w:szCs w:val="18"/>
        </w:rPr>
      </w:pPr>
      <w:r>
        <w:rPr>
          <w:rFonts w:ascii="宋体" w:hAnsi="宋体" w:cs="宋体" w:eastAsia="宋体" w:hint="default"/>
          <w:sz w:val="18"/>
          <w:szCs w:val="18"/>
        </w:rPr>
        <w:t>信息披露虚假导致</w:t>
        <w:tab/>
        <w:t>提起上诉，</w:t>
      </w:r>
      <w:r>
        <w:rPr>
          <w:rFonts w:ascii="宋体" w:hAnsi="宋体" w:cs="宋体" w:eastAsia="宋体" w:hint="default"/>
          <w:spacing w:val="-52"/>
          <w:sz w:val="18"/>
          <w:szCs w:val="18"/>
        </w:rPr>
        <w:t> </w:t>
      </w:r>
      <w:r>
        <w:rPr>
          <w:rFonts w:ascii="宋体" w:hAnsi="宋体" w:cs="宋体" w:eastAsia="宋体" w:hint="default"/>
          <w:sz w:val="18"/>
          <w:szCs w:val="18"/>
        </w:rPr>
        <w:t>支出，对公司</w:t>
      </w:r>
    </w:p>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060" w:bottom="1160" w:left="980" w:right="0"/>
        </w:sectPr>
      </w:pPr>
    </w:p>
    <w:p>
      <w:pPr>
        <w:spacing w:line="477" w:lineRule="auto" w:before="44"/>
        <w:ind w:left="181" w:right="73" w:firstLine="0"/>
        <w:jc w:val="left"/>
        <w:rPr>
          <w:rFonts w:ascii="宋体" w:hAnsi="宋体" w:cs="宋体" w:eastAsia="宋体" w:hint="default"/>
          <w:sz w:val="18"/>
          <w:szCs w:val="18"/>
        </w:rPr>
      </w:pPr>
      <w:r>
        <w:rPr>
          <w:rFonts w:ascii="宋体" w:hAnsi="宋体" w:cs="宋体" w:eastAsia="宋体" w:hint="default"/>
          <w:sz w:val="18"/>
          <w:szCs w:val="18"/>
        </w:rPr>
        <w:t>其投资损失，起诉 金额合计为 </w:t>
      </w:r>
      <w:r>
        <w:rPr>
          <w:rFonts w:ascii="Times New Roman" w:hAnsi="Times New Roman" w:cs="Times New Roman" w:eastAsia="Times New Roman" w:hint="default"/>
          <w:sz w:val="18"/>
          <w:szCs w:val="18"/>
        </w:rPr>
        <w:t>31,094,897.12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元。</w:t>
      </w:r>
    </w:p>
    <w:p>
      <w:pPr>
        <w:spacing w:before="21"/>
        <w:ind w:left="181" w:right="-19" w:firstLine="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人由法院判</w:t>
      </w:r>
    </w:p>
    <w:p>
      <w:pPr>
        <w:spacing w:line="240" w:lineRule="auto" w:before="9"/>
        <w:rPr>
          <w:rFonts w:ascii="宋体" w:hAnsi="宋体" w:cs="宋体" w:eastAsia="宋体" w:hint="default"/>
          <w:sz w:val="16"/>
          <w:szCs w:val="16"/>
        </w:rPr>
      </w:pPr>
    </w:p>
    <w:p>
      <w:pPr>
        <w:spacing w:line="470" w:lineRule="auto" w:before="0"/>
        <w:ind w:left="181" w:right="115" w:firstLine="0"/>
        <w:jc w:val="left"/>
        <w:rPr>
          <w:rFonts w:ascii="宋体" w:hAnsi="宋体" w:cs="宋体" w:eastAsia="宋体" w:hint="default"/>
          <w:sz w:val="18"/>
          <w:szCs w:val="18"/>
        </w:rPr>
      </w:pPr>
      <w:r>
        <w:rPr>
          <w:rFonts w:ascii="宋体" w:hAnsi="宋体" w:cs="宋体" w:eastAsia="宋体" w:hint="default"/>
          <w:sz w:val="18"/>
          <w:szCs w:val="18"/>
        </w:rPr>
        <w:t>决结案；另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相关起诉人撤回起 诉，由公司承担案 件受理费合计 </w:t>
      </w:r>
      <w:r>
        <w:rPr>
          <w:rFonts w:ascii="Times New Roman" w:hAnsi="Times New Roman" w:cs="Times New Roman" w:eastAsia="Times New Roman" w:hint="default"/>
          <w:sz w:val="18"/>
          <w:szCs w:val="18"/>
        </w:rPr>
        <w:t>268,138.97 </w:t>
      </w:r>
      <w:r>
        <w:rPr>
          <w:rFonts w:ascii="宋体" w:hAnsi="宋体" w:cs="宋体" w:eastAsia="宋体" w:hint="default"/>
          <w:sz w:val="18"/>
          <w:szCs w:val="18"/>
        </w:rPr>
        <w:t>元。</w:t>
      </w:r>
    </w:p>
    <w:p>
      <w:pPr>
        <w:spacing w:line="468" w:lineRule="auto" w:before="27"/>
        <w:ind w:left="181"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个撤诉案件中， 两个人重复立案， 即一个原告两个案 号，故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个撤诉</w:t>
      </w:r>
    </w:p>
    <w:p>
      <w:pPr>
        <w:spacing w:before="30"/>
        <w:ind w:left="181" w:right="7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案件涉及原告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359</w:t>
      </w:r>
    </w:p>
    <w:p>
      <w:pPr>
        <w:spacing w:line="240" w:lineRule="auto" w:before="0"/>
        <w:rPr>
          <w:rFonts w:ascii="Times New Roman" w:hAnsi="Times New Roman" w:cs="Times New Roman" w:eastAsia="Times New Roman" w:hint="default"/>
          <w:sz w:val="19"/>
          <w:szCs w:val="19"/>
        </w:rPr>
      </w:pPr>
    </w:p>
    <w:p>
      <w:pPr>
        <w:spacing w:before="0"/>
        <w:ind w:left="181" w:right="73" w:firstLine="0"/>
        <w:jc w:val="left"/>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472" w:lineRule="auto" w:before="44"/>
        <w:ind w:left="18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一审判决 发生法律 </w:t>
      </w:r>
      <w:r>
        <w:rPr>
          <w:rFonts w:ascii="宋体" w:hAnsi="宋体" w:cs="宋体" w:eastAsia="宋体" w:hint="default"/>
          <w:spacing w:val="-15"/>
          <w:sz w:val="18"/>
          <w:szCs w:val="18"/>
        </w:rPr>
        <w:t>效力。（</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w:t>
      </w:r>
      <w:r>
        <w:rPr>
          <w:rFonts w:ascii="宋体" w:hAnsi="宋体" w:cs="宋体" w:eastAsia="宋体" w:hint="default"/>
          <w:sz w:val="18"/>
          <w:szCs w:val="18"/>
        </w:rPr>
        <w:t> 新增郑跃 </w:t>
      </w:r>
      <w:r>
        <w:rPr>
          <w:rFonts w:ascii="宋体" w:hAnsi="宋体" w:cs="宋体" w:eastAsia="宋体" w:hint="default"/>
          <w:spacing w:val="-4"/>
          <w:sz w:val="18"/>
          <w:szCs w:val="18"/>
        </w:rPr>
        <w:t>华、王海鹰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 然人以证 券虚假陈 述责任纠 纷为由分 别向吉林 省长春市 中级人民 法院提起 </w:t>
      </w:r>
      <w:r>
        <w:rPr>
          <w:rFonts w:ascii="宋体" w:hAnsi="宋体" w:cs="宋体" w:eastAsia="宋体" w:hint="default"/>
          <w:spacing w:val="-4"/>
          <w:sz w:val="18"/>
          <w:szCs w:val="18"/>
        </w:rPr>
        <w:t>诉讼，要求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公司承担 民事赔偿 </w:t>
      </w:r>
      <w:r>
        <w:rPr>
          <w:rFonts w:ascii="宋体" w:hAnsi="宋体" w:cs="宋体" w:eastAsia="宋体" w:hint="default"/>
          <w:spacing w:val="-4"/>
          <w:sz w:val="18"/>
          <w:szCs w:val="18"/>
        </w:rPr>
        <w:t>责任，起诉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金额为</w:t>
      </w:r>
    </w:p>
    <w:p>
      <w:pPr>
        <w:spacing w:before="97"/>
        <w:ind w:left="181" w:right="-20" w:firstLine="0"/>
        <w:jc w:val="left"/>
        <w:rPr>
          <w:rFonts w:ascii="Times New Roman" w:hAnsi="Times New Roman" w:cs="Times New Roman" w:eastAsia="Times New Roman" w:hint="default"/>
          <w:sz w:val="18"/>
          <w:szCs w:val="18"/>
        </w:rPr>
      </w:pPr>
      <w:r>
        <w:rPr>
          <w:rFonts w:ascii="Times New Roman"/>
          <w:sz w:val="18"/>
        </w:rPr>
        <w:t>288,872.60</w:t>
      </w:r>
    </w:p>
    <w:p>
      <w:pPr>
        <w:spacing w:line="240" w:lineRule="auto" w:before="3"/>
        <w:rPr>
          <w:rFonts w:ascii="Times New Roman" w:hAnsi="Times New Roman" w:cs="Times New Roman" w:eastAsia="Times New Roman" w:hint="default"/>
          <w:sz w:val="19"/>
          <w:szCs w:val="19"/>
        </w:rPr>
      </w:pPr>
    </w:p>
    <w:p>
      <w:pPr>
        <w:spacing w:line="465" w:lineRule="auto" w:before="0"/>
        <w:ind w:left="181" w:right="8" w:firstLine="0"/>
        <w:jc w:val="left"/>
        <w:rPr>
          <w:rFonts w:ascii="宋体" w:hAnsi="宋体" w:cs="宋体" w:eastAsia="宋体" w:hint="default"/>
          <w:sz w:val="18"/>
          <w:szCs w:val="18"/>
        </w:rPr>
      </w:pPr>
      <w:r>
        <w:rPr>
          <w:rFonts w:ascii="宋体" w:hAnsi="宋体" w:cs="宋体" w:eastAsia="宋体" w:hint="default"/>
          <w:sz w:val="18"/>
          <w:szCs w:val="18"/>
        </w:rPr>
        <w:t>元，其中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个案件以 法院判决 </w:t>
      </w:r>
      <w:r>
        <w:rPr>
          <w:rFonts w:ascii="宋体" w:hAnsi="宋体" w:cs="宋体" w:eastAsia="宋体" w:hint="default"/>
          <w:spacing w:val="-14"/>
          <w:sz w:val="18"/>
          <w:szCs w:val="18"/>
        </w:rPr>
        <w:t>结案，另</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 </w:t>
      </w:r>
      <w:r>
        <w:rPr>
          <w:rFonts w:ascii="宋体" w:hAnsi="宋体" w:cs="宋体" w:eastAsia="宋体" w:hint="default"/>
          <w:sz w:val="18"/>
          <w:szCs w:val="18"/>
        </w:rPr>
        <w:t>名原告撤 回起诉。</w:t>
      </w:r>
    </w:p>
    <w:p>
      <w:pPr>
        <w:spacing w:line="451" w:lineRule="auto" w:before="44"/>
        <w:ind w:left="-2" w:right="4602"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年业绩产生 一定影响。</w:t>
      </w:r>
    </w:p>
    <w:p>
      <w:pPr>
        <w:spacing w:after="0" w:line="451" w:lineRule="auto"/>
        <w:jc w:val="left"/>
        <w:rPr>
          <w:rFonts w:ascii="宋体" w:hAnsi="宋体" w:cs="宋体" w:eastAsia="宋体" w:hint="default"/>
          <w:sz w:val="18"/>
          <w:szCs w:val="18"/>
        </w:rPr>
        <w:sectPr>
          <w:type w:val="continuous"/>
          <w:pgSz w:w="11910" w:h="16840"/>
          <w:pgMar w:top="1060" w:bottom="1160" w:left="980" w:right="0"/>
          <w:cols w:num="3" w:equalWidth="0">
            <w:col w:w="1757" w:space="2124"/>
            <w:col w:w="1082" w:space="40"/>
            <w:col w:w="5927"/>
          </w:cols>
        </w:sectPr>
      </w:pPr>
    </w:p>
    <w:p>
      <w:pPr>
        <w:pStyle w:val="Heading2"/>
        <w:spacing w:line="240" w:lineRule="auto" w:before="25"/>
        <w:ind w:left="154" w:right="0"/>
        <w:jc w:val="left"/>
        <w:rPr>
          <w:b w:val="0"/>
          <w:bCs w:val="0"/>
        </w:rPr>
      </w:pPr>
      <w:r>
        <w:rPr/>
        <w:pict>
          <v:group style="position:absolute;margin-left:56.459999pt;margin-top:71.759979pt;width:478.95pt;height:656.8pt;mso-position-horizontal-relative:page;mso-position-vertical-relative:page;z-index:-904408" coordorigin="1129,1435" coordsize="9579,13136">
            <v:group style="position:absolute;left:2699;top:1450;width:1061;height:13106" coordorigin="2699,1450" coordsize="1061,13106">
              <v:shape style="position:absolute;left:2699;top:1450;width:1061;height:13106" coordorigin="2699,1450" coordsize="1061,13106" path="m2699,14555l3760,14555,3760,1450,2699,1450,2699,14555xe" filled="true" fillcolor="#ffffff" stroked="false">
                <v:path arrowok="t"/>
                <v:fill type="solid"/>
              </v:shape>
            </v:group>
            <v:group style="position:absolute;left:1139;top:1445;width:1551;height:2" coordorigin="1139,1445" coordsize="1551,2">
              <v:shape style="position:absolute;left:1139;top:1445;width:1551;height:2" coordorigin="1139,1445" coordsize="1551,0" path="m1139,1445l2690,1445e" filled="false" stroked="true" strokeweight=".48pt" strokecolor="#000000">
                <v:path arrowok="t"/>
              </v:shape>
            </v:group>
            <v:group style="position:absolute;left:2699;top:1445;width:1062;height:2" coordorigin="2699,1445" coordsize="1062,2">
              <v:shape style="position:absolute;left:2699;top:1445;width:1062;height:2" coordorigin="2699,1445" coordsize="1062,0" path="m2699,1445l3761,1445e" filled="false" stroked="true" strokeweight=".48pt" strokecolor="#000000">
                <v:path arrowok="t"/>
              </v:shape>
            </v:group>
            <v:group style="position:absolute;left:3771;top:1445;width:1239;height:2" coordorigin="3771,1445" coordsize="1239,2">
              <v:shape style="position:absolute;left:3771;top:1445;width:1239;height:2" coordorigin="3771,1445" coordsize="1239,0" path="m3771,1445l5010,1445e" filled="false" stroked="true" strokeweight=".48pt" strokecolor="#000000">
                <v:path arrowok="t"/>
              </v:shape>
            </v:group>
            <v:group style="position:absolute;left:5019;top:1445;width:929;height:2" coordorigin="5019,1445" coordsize="929,2">
              <v:shape style="position:absolute;left:5019;top:1445;width:929;height:2" coordorigin="5019,1445" coordsize="929,0" path="m5019,1445l5948,1445e" filled="false" stroked="true" strokeweight=".48pt" strokecolor="#000000">
                <v:path arrowok="t"/>
              </v:shape>
            </v:group>
            <v:group style="position:absolute;left:5958;top:1445;width:1365;height:2" coordorigin="5958,1445" coordsize="1365,2">
              <v:shape style="position:absolute;left:5958;top:1445;width:1365;height:2" coordorigin="5958,1445" coordsize="1365,0" path="m5958,1445l7322,1445e" filled="false" stroked="true" strokeweight=".48pt" strokecolor="#000000">
                <v:path arrowok="t"/>
              </v:shape>
            </v:group>
            <v:group style="position:absolute;left:7332;top:1445;width:1239;height:2" coordorigin="7332,1445" coordsize="1239,2">
              <v:shape style="position:absolute;left:7332;top:1445;width:1239;height:2" coordorigin="7332,1445" coordsize="1239,0" path="m7332,1445l8570,1445e" filled="false" stroked="true" strokeweight=".48pt" strokecolor="#000000">
                <v:path arrowok="t"/>
              </v:shape>
            </v:group>
            <v:group style="position:absolute;left:8580;top:1445;width:1055;height:2" coordorigin="8580,1445" coordsize="1055,2">
              <v:shape style="position:absolute;left:8580;top:1445;width:1055;height:2" coordorigin="8580,1445" coordsize="1055,0" path="m8580,1445l9635,1445e" filled="false" stroked="true" strokeweight=".48pt" strokecolor="#000000">
                <v:path arrowok="t"/>
              </v:shape>
            </v:group>
            <v:group style="position:absolute;left:9644;top:1445;width:1054;height:2" coordorigin="9644,1445" coordsize="1054,2">
              <v:shape style="position:absolute;left:9644;top:1445;width:1054;height:2" coordorigin="9644,1445" coordsize="1054,0" path="m9644,1445l10698,1445e" filled="false" stroked="true" strokeweight=".48pt" strokecolor="#000000">
                <v:path arrowok="t"/>
              </v:shape>
            </v:group>
            <v:group style="position:absolute;left:1134;top:1440;width:2;height:13126" coordorigin="1134,1440" coordsize="2,13126">
              <v:shape style="position:absolute;left:1134;top:1440;width:2;height:13126" coordorigin="1134,1440" coordsize="0,13126" path="m1134,1440l1134,14566e" filled="false" stroked="true" strokeweight=".48pt" strokecolor="#000000">
                <v:path arrowok="t"/>
              </v:shape>
            </v:group>
            <v:group style="position:absolute;left:1139;top:14561;width:1551;height:2" coordorigin="1139,14561" coordsize="1551,2">
              <v:shape style="position:absolute;left:1139;top:14561;width:1551;height:2" coordorigin="1139,14561" coordsize="1551,0" path="m1139,14561l2690,14561e" filled="false" stroked="true" strokeweight=".48pt" strokecolor="#000000">
                <v:path arrowok="t"/>
              </v:shape>
            </v:group>
            <v:group style="position:absolute;left:2694;top:1440;width:2;height:13126" coordorigin="2694,1440" coordsize="2,13126">
              <v:shape style="position:absolute;left:2694;top:1440;width:2;height:13126" coordorigin="2694,1440" coordsize="0,13126" path="m2694,1440l2694,14566e" filled="false" stroked="true" strokeweight=".48pt" strokecolor="#000000">
                <v:path arrowok="t"/>
              </v:shape>
            </v:group>
            <v:group style="position:absolute;left:2699;top:14561;width:1062;height:2" coordorigin="2699,14561" coordsize="1062,2">
              <v:shape style="position:absolute;left:2699;top:14561;width:1062;height:2" coordorigin="2699,14561" coordsize="1062,0" path="m2699,14561l3761,14561e" filled="false" stroked="true" strokeweight=".48pt" strokecolor="#000000">
                <v:path arrowok="t"/>
              </v:shape>
            </v:group>
            <v:group style="position:absolute;left:3766;top:1440;width:2;height:13126" coordorigin="3766,1440" coordsize="2,13126">
              <v:shape style="position:absolute;left:3766;top:1440;width:2;height:13126" coordorigin="3766,1440" coordsize="0,13126" path="m3766,1440l3766,14566e" filled="false" stroked="true" strokeweight=".48pt" strokecolor="#000000">
                <v:path arrowok="t"/>
              </v:shape>
            </v:group>
            <v:group style="position:absolute;left:3771;top:14561;width:1239;height:2" coordorigin="3771,14561" coordsize="1239,2">
              <v:shape style="position:absolute;left:3771;top:14561;width:1239;height:2" coordorigin="3771,14561" coordsize="1239,0" path="m3771,14561l5010,14561e" filled="false" stroked="true" strokeweight=".48pt" strokecolor="#000000">
                <v:path arrowok="t"/>
              </v:shape>
            </v:group>
            <v:group style="position:absolute;left:5014;top:1440;width:2;height:13126" coordorigin="5014,1440" coordsize="2,13126">
              <v:shape style="position:absolute;left:5014;top:1440;width:2;height:13126" coordorigin="5014,1440" coordsize="0,13126" path="m5014,1440l5014,14566e" filled="false" stroked="true" strokeweight=".48pt" strokecolor="#000000">
                <v:path arrowok="t"/>
              </v:shape>
            </v:group>
            <v:group style="position:absolute;left:5019;top:14561;width:929;height:2" coordorigin="5019,14561" coordsize="929,2">
              <v:shape style="position:absolute;left:5019;top:14561;width:929;height:2" coordorigin="5019,14561" coordsize="929,0" path="m5019,14561l5948,14561e" filled="false" stroked="true" strokeweight=".48pt" strokecolor="#000000">
                <v:path arrowok="t"/>
              </v:shape>
            </v:group>
            <v:group style="position:absolute;left:5953;top:1440;width:2;height:13126" coordorigin="5953,1440" coordsize="2,13126">
              <v:shape style="position:absolute;left:5953;top:1440;width:2;height:13126" coordorigin="5953,1440" coordsize="0,13126" path="m5953,1440l5953,14566e" filled="false" stroked="true" strokeweight=".48pt" strokecolor="#000000">
                <v:path arrowok="t"/>
              </v:shape>
            </v:group>
            <v:group style="position:absolute;left:5958;top:14561;width:1365;height:2" coordorigin="5958,14561" coordsize="1365,2">
              <v:shape style="position:absolute;left:5958;top:14561;width:1365;height:2" coordorigin="5958,14561" coordsize="1365,0" path="m5958,14561l7322,14561e" filled="false" stroked="true" strokeweight=".48pt" strokecolor="#000000">
                <v:path arrowok="t"/>
              </v:shape>
            </v:group>
            <v:group style="position:absolute;left:7327;top:1440;width:2;height:13126" coordorigin="7327,1440" coordsize="2,13126">
              <v:shape style="position:absolute;left:7327;top:1440;width:2;height:13126" coordorigin="7327,1440" coordsize="0,13126" path="m7327,1440l7327,14566e" filled="false" stroked="true" strokeweight=".48pt" strokecolor="#000000">
                <v:path arrowok="t"/>
              </v:shape>
            </v:group>
            <v:group style="position:absolute;left:7332;top:14561;width:1239;height:2" coordorigin="7332,14561" coordsize="1239,2">
              <v:shape style="position:absolute;left:7332;top:14561;width:1239;height:2" coordorigin="7332,14561" coordsize="1239,0" path="m7332,14561l8570,14561e" filled="false" stroked="true" strokeweight=".48pt" strokecolor="#000000">
                <v:path arrowok="t"/>
              </v:shape>
            </v:group>
            <v:group style="position:absolute;left:8575;top:1440;width:2;height:13126" coordorigin="8575,1440" coordsize="2,13126">
              <v:shape style="position:absolute;left:8575;top:1440;width:2;height:13126" coordorigin="8575,1440" coordsize="0,13126" path="m8575,1440l8575,14566e" filled="false" stroked="true" strokeweight=".48pt" strokecolor="#000000">
                <v:path arrowok="t"/>
              </v:shape>
            </v:group>
            <v:group style="position:absolute;left:8580;top:14561;width:1055;height:2" coordorigin="8580,14561" coordsize="1055,2">
              <v:shape style="position:absolute;left:8580;top:14561;width:1055;height:2" coordorigin="8580,14561" coordsize="1055,0" path="m8580,14561l9635,14561e" filled="false" stroked="true" strokeweight=".48pt" strokecolor="#000000">
                <v:path arrowok="t"/>
              </v:shape>
            </v:group>
            <v:group style="position:absolute;left:9640;top:1440;width:2;height:13126" coordorigin="9640,1440" coordsize="2,13126">
              <v:shape style="position:absolute;left:9640;top:1440;width:2;height:13126" coordorigin="9640,1440" coordsize="0,13126" path="m9640,1440l9640,14566e" filled="false" stroked="true" strokeweight=".48pt" strokecolor="#000000">
                <v:path arrowok="t"/>
              </v:shape>
            </v:group>
            <v:group style="position:absolute;left:9644;top:14561;width:1054;height:2" coordorigin="9644,14561" coordsize="1054,2">
              <v:shape style="position:absolute;left:9644;top:14561;width:1054;height:2" coordorigin="9644,14561" coordsize="1054,0" path="m9644,14561l10698,14561e" filled="false" stroked="true" strokeweight=".48pt" strokecolor="#000000">
                <v:path arrowok="t"/>
              </v:shape>
            </v:group>
            <v:group style="position:absolute;left:10703;top:1440;width:2;height:13126" coordorigin="10703,1440" coordsize="2,13126">
              <v:shape style="position:absolute;left:10703;top:1440;width:2;height:13126" coordorigin="10703,1440" coordsize="0,13126" path="m10703,1440l10703,14566e" filled="false" stroked="true" strokeweight=".48pt" strokecolor="#000000">
                <v:path arrowok="t"/>
              </v:shape>
            </v:group>
            <w10:wrap type="none"/>
          </v:group>
        </w:pict>
      </w:r>
      <w:bookmarkStart w:name="十三、处罚及整改情况" w:id="78"/>
      <w:bookmarkEnd w:id="78"/>
      <w:r>
        <w:rPr>
          <w:b w:val="0"/>
          <w:bCs w:val="0"/>
        </w:rPr>
      </w:r>
      <w:r>
        <w:rPr/>
        <w:t>十三、处罚及整改情况</w:t>
      </w:r>
      <w:r>
        <w:rPr>
          <w:b w:val="0"/>
          <w:bCs w:val="0"/>
        </w:rPr>
      </w:r>
    </w:p>
    <w:p>
      <w:pPr>
        <w:spacing w:before="2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公司报告期不存在处罚及整改情况。</w:t>
      </w:r>
    </w:p>
    <w:p>
      <w:pPr>
        <w:spacing w:line="240" w:lineRule="auto" w:before="1"/>
        <w:rPr>
          <w:rFonts w:ascii="宋体" w:hAnsi="宋体" w:cs="宋体" w:eastAsia="宋体" w:hint="default"/>
          <w:sz w:val="14"/>
          <w:szCs w:val="14"/>
        </w:rPr>
      </w:pPr>
    </w:p>
    <w:p>
      <w:pPr>
        <w:pStyle w:val="Heading2"/>
        <w:spacing w:line="240" w:lineRule="auto"/>
        <w:ind w:right="0"/>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before="2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13"/>
          <w:szCs w:val="13"/>
        </w:rPr>
      </w:pPr>
    </w:p>
    <w:p>
      <w:pPr>
        <w:pStyle w:val="Heading2"/>
        <w:spacing w:line="240" w:lineRule="auto"/>
        <w:ind w:right="0"/>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before="2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4"/>
          <w:szCs w:val="14"/>
        </w:rPr>
      </w:pPr>
    </w:p>
    <w:p>
      <w:pPr>
        <w:pStyle w:val="BodyText"/>
        <w:spacing w:line="386" w:lineRule="auto" w:before="0"/>
        <w:ind w:right="1130" w:firstLine="336"/>
        <w:jc w:val="both"/>
      </w:pPr>
      <w:r>
        <w:rPr>
          <w:spacing w:val="-3"/>
        </w:rPr>
        <w:t>公司分别于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13</w:t>
      </w:r>
      <w:r>
        <w:rPr>
          <w:spacing w:val="-3"/>
        </w:rPr>
        <w:t>日召开的第五届董事会第二十九次会议（临时）以及</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29</w:t>
      </w:r>
      <w:r>
        <w:rPr>
          <w:spacing w:val="-3"/>
        </w:rPr>
        <w:t>日召开的</w:t>
      </w:r>
      <w:r>
        <w:rPr>
          <w:rFonts w:ascii="Times New Roman" w:hAnsi="Times New Roman" w:cs="Times New Roman" w:eastAsia="Times New Roman" w:hint="default"/>
          <w:spacing w:val="-3"/>
        </w:rPr>
        <w:t>2015</w:t>
      </w:r>
      <w:r>
        <w:rPr>
          <w:rFonts w:ascii="Times New Roman" w:hAnsi="Times New Roman" w:cs="Times New Roman" w:eastAsia="Times New Roman" w:hint="default"/>
        </w:rPr>
        <w:t> </w:t>
      </w:r>
      <w:r>
        <w:rPr/>
        <w:t>年第二次临时股东大会审议通过了《</w:t>
      </w:r>
      <w:r>
        <w:rPr>
          <w:rFonts w:ascii="Times New Roman" w:hAnsi="Times New Roman" w:cs="Times New Roman" w:eastAsia="Times New Roman" w:hint="default"/>
        </w:rPr>
        <w:t>2015</w:t>
      </w:r>
      <w:r>
        <w:rPr/>
        <w:t>年度员工持股计划（草案）</w:t>
      </w:r>
      <w:r>
        <w:rPr>
          <w:rFonts w:ascii="Times New Roman" w:hAnsi="Times New Roman" w:cs="Times New Roman" w:eastAsia="Times New Roman" w:hint="default"/>
        </w:rPr>
        <w:t>&gt;</w:t>
      </w:r>
      <w:r>
        <w:rPr/>
        <w:t>及摘要》</w:t>
      </w:r>
      <w:r>
        <w:rPr>
          <w:spacing w:val="-39"/>
        </w:rPr>
        <w:t> </w:t>
      </w:r>
      <w:r>
        <w:rPr/>
        <w:t>，《</w:t>
      </w:r>
      <w:r>
        <w:rPr>
          <w:rFonts w:ascii="Times New Roman" w:hAnsi="Times New Roman" w:cs="Times New Roman" w:eastAsia="Times New Roman" w:hint="default"/>
        </w:rPr>
        <w:t>2015</w:t>
      </w:r>
      <w:r>
        <w:rPr/>
        <w:t>年员工持股计划</w:t>
      </w:r>
    </w:p>
    <w:p>
      <w:pPr>
        <w:pStyle w:val="BodyText"/>
        <w:spacing w:line="386" w:lineRule="auto" w:before="35"/>
        <w:ind w:right="1118"/>
        <w:jc w:val="left"/>
      </w:pPr>
      <w:r>
        <w:rPr>
          <w:spacing w:val="-1"/>
        </w:rPr>
        <w:t>（草案）摘要》（公告编号：</w:t>
      </w:r>
      <w:r>
        <w:rPr>
          <w:rFonts w:ascii="Times New Roman" w:hAnsi="Times New Roman" w:cs="Times New Roman" w:eastAsia="Times New Roman" w:hint="default"/>
          <w:spacing w:val="-1"/>
        </w:rPr>
        <w:t>2015-054</w:t>
      </w:r>
      <w:r>
        <w:rPr>
          <w:spacing w:val="-1"/>
        </w:rPr>
        <w:t>）全文刊登在巨潮资讯网（</w:t>
      </w:r>
      <w:hyperlink r:id="rId11">
        <w:r>
          <w:rPr>
            <w:rFonts w:ascii="Times New Roman" w:hAnsi="Times New Roman" w:cs="Times New Roman" w:eastAsia="Times New Roman" w:hint="default"/>
            <w:spacing w:val="-1"/>
          </w:rPr>
          <w:t>www.cninfo.com.cn</w:t>
        </w:r>
      </w:hyperlink>
      <w:r>
        <w:rPr>
          <w:spacing w:val="-1"/>
        </w:rPr>
        <w:t>）及公司指定信息披</w:t>
      </w:r>
      <w:r>
        <w:rPr>
          <w:spacing w:val="-74"/>
        </w:rPr>
        <w:t> </w:t>
      </w:r>
      <w:r>
        <w:rPr>
          <w:spacing w:val="-74"/>
        </w:rPr>
      </w:r>
      <w:r>
        <w:rPr/>
        <w:t>露媒体。</w:t>
      </w:r>
    </w:p>
    <w:p>
      <w:pPr>
        <w:pStyle w:val="BodyText"/>
        <w:spacing w:line="386" w:lineRule="auto" w:before="65"/>
        <w:ind w:right="1130" w:firstLine="336"/>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28</w:t>
      </w:r>
      <w:r>
        <w:rPr>
          <w:spacing w:val="2"/>
        </w:rPr>
        <w:t>日，公司员工持股计划已通过二级市场购买的方式完成股票购买，购买均价约为</w:t>
      </w:r>
      <w:r>
        <w:rPr>
          <w:rFonts w:ascii="Times New Roman" w:hAnsi="Times New Roman" w:cs="Times New Roman" w:eastAsia="Times New Roman" w:hint="default"/>
          <w:spacing w:val="2"/>
        </w:rPr>
        <w:t>13.1938</w:t>
      </w:r>
      <w:r>
        <w:rPr>
          <w:rFonts w:ascii="Times New Roman" w:hAnsi="Times New Roman" w:cs="Times New Roman" w:eastAsia="Times New Roman" w:hint="default"/>
        </w:rPr>
        <w:t> </w:t>
      </w:r>
      <w:r>
        <w:rPr>
          <w:spacing w:val="-3"/>
        </w:rPr>
        <w:t>元</w:t>
      </w:r>
      <w:r>
        <w:rPr>
          <w:rFonts w:ascii="Times New Roman" w:hAnsi="Times New Roman" w:cs="Times New Roman" w:eastAsia="Times New Roman" w:hint="default"/>
          <w:spacing w:val="-3"/>
        </w:rPr>
        <w:t>/</w:t>
      </w:r>
      <w:r>
        <w:rPr>
          <w:spacing w:val="-3"/>
        </w:rPr>
        <w:t>股，购买数量为</w:t>
      </w:r>
      <w:r>
        <w:rPr>
          <w:rFonts w:ascii="Times New Roman" w:hAnsi="Times New Roman" w:cs="Times New Roman" w:eastAsia="Times New Roman" w:hint="default"/>
          <w:spacing w:val="-3"/>
        </w:rPr>
        <w:t>2,272,846</w:t>
      </w:r>
      <w:r>
        <w:rPr>
          <w:spacing w:val="-3"/>
        </w:rPr>
        <w:t>股，约占公司总股本的比例为</w:t>
      </w:r>
      <w:r>
        <w:rPr>
          <w:rFonts w:ascii="Times New Roman" w:hAnsi="Times New Roman" w:cs="Times New Roman" w:eastAsia="Times New Roman" w:hint="default"/>
          <w:spacing w:val="-3"/>
        </w:rPr>
        <w:t>0.4431%</w:t>
      </w:r>
      <w:r>
        <w:rPr>
          <w:spacing w:val="-3"/>
        </w:rPr>
        <w:t>，成交总额为</w:t>
      </w:r>
      <w:r>
        <w:rPr>
          <w:rFonts w:ascii="Times New Roman" w:hAnsi="Times New Roman" w:cs="Times New Roman" w:eastAsia="Times New Roman" w:hint="default"/>
          <w:spacing w:val="-3"/>
        </w:rPr>
        <w:t>29,987,365.10</w:t>
      </w:r>
      <w:r>
        <w:rPr>
          <w:spacing w:val="-3"/>
        </w:rPr>
        <w:t>元。公司</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spacing w:val="-1"/>
        </w:rPr>
        <w:t>年员工持股计划已完成股票购买，所购买的股票锁定期为自本公告日起</w:t>
      </w:r>
      <w:r>
        <w:rPr>
          <w:rFonts w:ascii="Times New Roman" w:hAnsi="Times New Roman" w:cs="Times New Roman" w:eastAsia="Times New Roman" w:hint="default"/>
          <w:spacing w:val="-1"/>
        </w:rPr>
        <w:t>12</w:t>
      </w:r>
      <w:r>
        <w:rPr>
          <w:spacing w:val="-1"/>
        </w:rPr>
        <w:t>个月。《关于员工持股计划完成</w:t>
      </w:r>
      <w:r>
        <w:rPr>
          <w:spacing w:val="-82"/>
        </w:rPr>
        <w:t> </w:t>
      </w:r>
      <w:r>
        <w:rPr>
          <w:spacing w:val="-82"/>
        </w:rPr>
      </w:r>
      <w:r>
        <w:rPr>
          <w:spacing w:val="-2"/>
        </w:rPr>
        <w:t>股票购买的公告》</w:t>
      </w:r>
      <w:r>
        <w:rPr>
          <w:rFonts w:ascii="Times New Roman" w:hAnsi="Times New Roman" w:cs="Times New Roman" w:eastAsia="Times New Roman" w:hint="default"/>
          <w:spacing w:val="-2"/>
        </w:rPr>
        <w:t>(</w:t>
      </w:r>
      <w:r>
        <w:rPr>
          <w:spacing w:val="-2"/>
        </w:rPr>
        <w:t>公告编号：</w:t>
      </w:r>
      <w:r>
        <w:rPr>
          <w:rFonts w:ascii="Times New Roman" w:hAnsi="Times New Roman" w:cs="Times New Roman" w:eastAsia="Times New Roman" w:hint="default"/>
          <w:spacing w:val="-2"/>
        </w:rPr>
        <w:t>2016-007</w:t>
      </w:r>
      <w:r>
        <w:rPr>
          <w:spacing w:val="-2"/>
        </w:rPr>
        <w:t>）全文刊登在巨潮资讯网（</w:t>
      </w:r>
      <w:hyperlink r:id="rId11">
        <w:r>
          <w:rPr>
            <w:rFonts w:ascii="Times New Roman" w:hAnsi="Times New Roman" w:cs="Times New Roman" w:eastAsia="Times New Roman" w:hint="default"/>
            <w:spacing w:val="-2"/>
          </w:rPr>
          <w:t>www.cninfo.com.cn</w:t>
        </w:r>
      </w:hyperlink>
      <w:r>
        <w:rPr>
          <w:spacing w:val="-2"/>
        </w:rPr>
        <w:t>）及公司指定信息披</w:t>
      </w:r>
      <w:r>
        <w:rPr>
          <w:spacing w:val="-80"/>
        </w:rPr>
        <w:t> </w:t>
      </w:r>
      <w:r>
        <w:rPr>
          <w:spacing w:val="-80"/>
        </w:rPr>
      </w:r>
      <w:r>
        <w:rPr/>
        <w:t>露媒体。</w:t>
      </w:r>
    </w:p>
    <w:p>
      <w:pPr>
        <w:pStyle w:val="BodyText"/>
        <w:spacing w:line="400" w:lineRule="auto" w:before="65"/>
        <w:ind w:left="154" w:right="1131" w:firstLine="336"/>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27</w:t>
      </w:r>
      <w:r>
        <w:rPr>
          <w:spacing w:val="-1"/>
        </w:rPr>
        <w:t>日，经公司员工持股计划持有人会议和第六届董事会第二十六次会议审议通过了《关于公</w:t>
      </w:r>
      <w:r>
        <w:rPr/>
        <w:t> </w:t>
      </w:r>
      <w:r>
        <w:rPr>
          <w:spacing w:val="-1"/>
        </w:rPr>
        <w:t>司员工持股计划延期的议案》基于对公司未来持续稳定发展的信心及公司股票价值的判断，同时为了维护</w:t>
      </w:r>
      <w:r>
        <w:rPr>
          <w:spacing w:val="-81"/>
        </w:rPr>
        <w:t> </w:t>
      </w:r>
      <w:r>
        <w:rPr>
          <w:spacing w:val="-81"/>
        </w:rPr>
      </w:r>
      <w:r>
        <w:rPr>
          <w:spacing w:val="-1"/>
        </w:rPr>
        <w:t>员工持股计划持有人的利益，并以实际行动参与维护资本市场稳定，董事会同意将公司员工持股计划延期</w:t>
      </w:r>
      <w:r>
        <w:rPr>
          <w:spacing w:val="-81"/>
        </w:rPr>
        <w:t> </w:t>
      </w:r>
      <w:r>
        <w:rPr>
          <w:spacing w:val="-81"/>
        </w:rPr>
      </w:r>
      <w:r>
        <w:rPr>
          <w:rFonts w:ascii="Times New Roman" w:hAnsi="Times New Roman" w:cs="Times New Roman" w:eastAsia="Times New Roman" w:hint="default"/>
        </w:rPr>
        <w:t>18</w:t>
      </w:r>
      <w:r>
        <w:rPr>
          <w:rFonts w:ascii="Times New Roman" w:hAnsi="Times New Roman" w:cs="Times New Roman" w:eastAsia="Times New Roman" w:hint="default"/>
          <w:spacing w:val="-29"/>
        </w:rPr>
        <w:t> </w:t>
      </w:r>
      <w:r>
        <w:rPr>
          <w:spacing w:val="16"/>
        </w:rPr>
        <w:t>个月。《</w:t>
      </w:r>
      <w:r>
        <w:rPr>
          <w:spacing w:val="-82"/>
        </w:rPr>
        <w:t> </w:t>
      </w:r>
      <w:r>
        <w:rPr>
          <w:spacing w:val="20"/>
        </w:rPr>
        <w:t>关于公司员工持股计划延期的公告》（</w:t>
      </w:r>
      <w:r>
        <w:rPr>
          <w:spacing w:val="-81"/>
        </w:rPr>
        <w:t> </w:t>
      </w:r>
      <w:r>
        <w:rPr>
          <w:spacing w:val="17"/>
        </w:rPr>
        <w:t>公告编号：</w:t>
      </w:r>
      <w:r>
        <w:rPr>
          <w:spacing w:val="-77"/>
        </w:rPr>
        <w:t> </w:t>
      </w:r>
      <w:r>
        <w:rPr>
          <w:rFonts w:ascii="Times New Roman" w:hAnsi="Times New Roman" w:cs="Times New Roman" w:eastAsia="Times New Roman" w:hint="default"/>
        </w:rPr>
        <w:t>2017-046</w:t>
      </w:r>
      <w:r>
        <w:rPr>
          <w:rFonts w:ascii="Times New Roman" w:hAnsi="Times New Roman" w:cs="Times New Roman" w:eastAsia="Times New Roman" w:hint="default"/>
          <w:spacing w:val="-27"/>
        </w:rPr>
        <w:t> </w:t>
      </w:r>
      <w:r>
        <w:rPr/>
        <w:t>）</w:t>
      </w:r>
      <w:r>
        <w:rPr>
          <w:spacing w:val="-81"/>
        </w:rPr>
        <w:t> </w:t>
      </w:r>
      <w:r>
        <w:rPr>
          <w:spacing w:val="19"/>
        </w:rPr>
        <w:t>全文刊登在巨潮资讯网</w:t>
      </w:r>
    </w:p>
    <w:p>
      <w:pPr>
        <w:spacing w:line="372" w:lineRule="auto" w:before="21"/>
        <w:ind w:left="154" w:right="6103" w:firstLine="0"/>
        <w:jc w:val="left"/>
        <w:rPr>
          <w:rFonts w:ascii="宋体" w:hAnsi="宋体" w:cs="宋体" w:eastAsia="宋体" w:hint="default"/>
          <w:sz w:val="21"/>
          <w:szCs w:val="21"/>
        </w:rPr>
      </w:pPr>
      <w:r>
        <w:rPr>
          <w:rFonts w:ascii="宋体" w:hAnsi="宋体" w:cs="宋体" w:eastAsia="宋体" w:hint="default"/>
          <w:sz w:val="21"/>
          <w:szCs w:val="21"/>
        </w:rPr>
        <w:t>（</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）及公司指定信息披露媒体。</w:t>
      </w:r>
      <w:r>
        <w:rPr>
          <w:rFonts w:ascii="宋体" w:hAnsi="宋体" w:cs="宋体" w:eastAsia="宋体" w:hint="default"/>
          <w:w w:val="99"/>
          <w:sz w:val="21"/>
          <w:szCs w:val="21"/>
        </w:rPr>
        <w:t> </w:t>
      </w:r>
      <w:bookmarkStart w:name="十六、重大关联交易" w:id="81"/>
      <w:bookmarkEnd w:id="81"/>
      <w:r>
        <w:rPr>
          <w:rFonts w:ascii="宋体" w:hAnsi="宋体" w:cs="宋体" w:eastAsia="宋体" w:hint="default"/>
          <w:w w:val="99"/>
          <w:sz w:val="21"/>
          <w:szCs w:val="21"/>
        </w:rPr>
      </w:r>
      <w:r>
        <w:rPr>
          <w:rFonts w:ascii="宋体" w:hAnsi="宋体" w:cs="宋体" w:eastAsia="宋体" w:hint="default"/>
          <w:b/>
          <w:bCs/>
          <w:sz w:val="24"/>
          <w:szCs w:val="24"/>
        </w:rPr>
        <w:t>十六、重大关联交易</w:t>
      </w:r>
      <w:r>
        <w:rPr>
          <w:rFonts w:ascii="宋体" w:hAnsi="宋体" w:cs="宋体" w:eastAsia="宋体" w:hint="default"/>
          <w:b/>
          <w:bCs/>
          <w:w w:val="99"/>
          <w:sz w:val="24"/>
          <w:szCs w:val="24"/>
        </w:rPr>
        <w:t> </w:t>
      </w:r>
      <w:bookmarkStart w:name="1、与日常经营相关的关联交易" w:id="82"/>
      <w:bookmarkEnd w:id="8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451" w:lineRule="auto" w:before="75"/>
        <w:ind w:left="153" w:right="6853"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 </w:t>
      </w:r>
      <w:bookmarkStart w:name="2、资产或股权收购、出售发生的关联交易" w:id="83"/>
      <w:bookmarkEnd w:id="83"/>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line="451" w:lineRule="auto" w:before="0"/>
        <w:ind w:left="153" w:right="6433"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 </w:t>
      </w:r>
      <w:bookmarkStart w:name="3、共同对外投资的关联交易" w:id="84"/>
      <w:bookmarkEnd w:id="84"/>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451" w:lineRule="auto" w:before="0"/>
        <w:ind w:left="15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after="0" w:line="451" w:lineRule="auto"/>
        <w:jc w:val="left"/>
        <w:rPr>
          <w:rFonts w:ascii="宋体" w:hAnsi="宋体" w:cs="宋体" w:eastAsia="宋体" w:hint="default"/>
          <w:sz w:val="18"/>
          <w:szCs w:val="18"/>
        </w:rPr>
        <w:sectPr>
          <w:footerReference w:type="default" r:id="rId12"/>
          <w:pgSz w:w="11910" w:h="16840"/>
          <w:pgMar w:footer="979" w:header="747" w:top="1060" w:bottom="1160" w:left="980" w:right="0"/>
          <w:pgNumType w:start="5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6"/>
        <w:rPr>
          <w:rFonts w:ascii="宋体" w:hAnsi="宋体" w:cs="宋体" w:eastAsia="宋体" w:hint="default"/>
          <w:b/>
          <w:bCs/>
          <w:sz w:val="15"/>
          <w:szCs w:val="15"/>
        </w:rPr>
      </w:pPr>
    </w:p>
    <w:p>
      <w:pPr>
        <w:spacing w:line="451" w:lineRule="auto" w:before="0"/>
        <w:ind w:left="153" w:right="7693"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 </w:t>
      </w:r>
      <w:bookmarkStart w:name="5、其他重大关联交易" w:id="86"/>
      <w:bookmarkEnd w:id="86"/>
      <w:r>
        <w:rPr>
          <w:rFonts w:ascii="宋体" w:hAnsi="宋体" w:cs="宋体" w:eastAsia="宋体" w:hint="default"/>
          <w:sz w:val="18"/>
          <w:szCs w:val="18"/>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7" w:lineRule="exact"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4"/>
          <w:szCs w:val="14"/>
        </w:rPr>
      </w:pPr>
    </w:p>
    <w:p>
      <w:pPr>
        <w:pStyle w:val="BodyText"/>
        <w:spacing w:line="398" w:lineRule="auto" w:before="0"/>
        <w:ind w:right="0" w:firstLine="475"/>
        <w:jc w:val="left"/>
      </w:pPr>
      <w:r>
        <w:rPr>
          <w:spacing w:val="-2"/>
        </w:rPr>
        <w:t>经过公司董事会、管理层反复论证，多方征求意见，根据《企业会计准则》、《中国证券监督管理委</w:t>
      </w:r>
      <w:r>
        <w:rPr/>
        <w:t> </w:t>
      </w:r>
      <w:r>
        <w:rPr>
          <w:spacing w:val="-3"/>
        </w:rPr>
        <w:t>员会公告》〔</w:t>
      </w:r>
      <w:r>
        <w:rPr>
          <w:rFonts w:ascii="Times New Roman" w:hAnsi="Times New Roman" w:cs="Times New Roman" w:eastAsia="Times New Roman" w:hint="default"/>
          <w:spacing w:val="-3"/>
        </w:rPr>
        <w:t>2008</w:t>
      </w:r>
      <w:r>
        <w:rPr>
          <w:spacing w:val="-3"/>
        </w:rPr>
        <w:t>〕</w:t>
      </w:r>
      <w:r>
        <w:rPr>
          <w:rFonts w:ascii="Times New Roman" w:hAnsi="Times New Roman" w:cs="Times New Roman" w:eastAsia="Times New Roman" w:hint="default"/>
          <w:spacing w:val="-3"/>
        </w:rPr>
        <w:t>48</w:t>
      </w:r>
      <w:r>
        <w:rPr>
          <w:spacing w:val="-3"/>
        </w:rPr>
        <w:t>号等相关法律法规文件，本次康平公司代替公司向投资人承担相关的民事赔偿责任，</w:t>
      </w:r>
      <w:r>
        <w:rPr>
          <w:spacing w:val="-85"/>
        </w:rPr>
        <w:t> </w:t>
      </w:r>
      <w:r>
        <w:rPr>
          <w:spacing w:val="-85"/>
        </w:rPr>
      </w:r>
      <w:r>
        <w:rPr/>
        <w:t>属于接受控股股东直接捐赠，属于控股股东对企业的资本性投入，应作为权益性交易，相关利得计入所有</w:t>
      </w:r>
      <w:r>
        <w:rPr/>
        <w:t> 者权益</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，同时支付的赔偿及诉讼费计入营业外支出，预计对公司</w:t>
      </w:r>
      <w:r>
        <w:rPr>
          <w:rFonts w:ascii="Times New Roman" w:hAnsi="Times New Roman" w:cs="Times New Roman" w:eastAsia="Times New Roman" w:hint="default"/>
        </w:rPr>
        <w:t>2017</w:t>
      </w:r>
      <w:r>
        <w:rPr/>
        <w:t>年业绩产生一定影响，本</w:t>
      </w:r>
      <w:r>
        <w:rPr>
          <w:spacing w:val="-68"/>
        </w:rPr>
        <w:t> </w:t>
      </w:r>
      <w:r>
        <w:rPr>
          <w:spacing w:val="-68"/>
        </w:rPr>
      </w:r>
      <w:r>
        <w:rPr/>
        <w:t>次会计处理在公司</w:t>
      </w:r>
      <w:r>
        <w:rPr>
          <w:rFonts w:ascii="Times New Roman" w:hAnsi="Times New Roman" w:cs="Times New Roman" w:eastAsia="Times New Roman" w:hint="default"/>
        </w:rPr>
        <w:t>2017</w:t>
      </w:r>
      <w:r>
        <w:rPr/>
        <w:t>年度财务指标预计之内，请投资者注意投资风险。</w:t>
      </w:r>
    </w:p>
    <w:p>
      <w:pPr>
        <w:pStyle w:val="BodyText"/>
        <w:spacing w:line="420" w:lineRule="auto" w:before="24"/>
        <w:ind w:right="0" w:firstLine="336"/>
        <w:jc w:val="left"/>
        <w:rPr>
          <w:sz w:val="18"/>
          <w:szCs w:val="18"/>
        </w:rPr>
      </w:pPr>
      <w:r>
        <w:rPr/>
        <w:t>公司第一大股东康平公司代替公司向投资人承担相关的民事赔偿责任，有效的保护了公司及其他股东 特别是中小股东的利益，充分体现了大股东对公司经营的持续看好，对公司发展的大力支持。 </w:t>
      </w:r>
      <w:r>
        <w:rPr>
          <w:sz w:val="18"/>
          <w:szCs w:val="18"/>
        </w:rPr>
        <w:t>重大关联交易临时报告披露网站相关查询</w:t>
      </w: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78"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947"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《关于控股股东代替公司承担民事赔偿责</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任的关联交易公告》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tc>
      </w:tr>
    </w:tbl>
    <w:p>
      <w:pPr>
        <w:pStyle w:val="Heading2"/>
        <w:spacing w:line="240" w:lineRule="auto" w:before="49"/>
        <w:ind w:left="154" w:right="0"/>
        <w:jc w:val="left"/>
        <w:rPr>
          <w:b w:val="0"/>
          <w:bCs w:val="0"/>
        </w:rPr>
      </w:pPr>
      <w:bookmarkStart w:name="十七、重大合同及其履行情况" w:id="87"/>
      <w:bookmarkEnd w:id="87"/>
      <w:r>
        <w:rPr>
          <w:b w:val="0"/>
          <w:bCs w:val="0"/>
        </w:rPr>
      </w:r>
      <w:r>
        <w:rPr/>
        <w:t>十七、重大合同及其履行情况</w:t>
      </w:r>
      <w:r>
        <w:rPr>
          <w:b w:val="0"/>
          <w:bCs w:val="0"/>
        </w:rPr>
      </w:r>
    </w:p>
    <w:p>
      <w:pPr>
        <w:pStyle w:val="Heading3"/>
        <w:spacing w:line="240" w:lineRule="auto" w:before="177"/>
        <w:ind w:right="0"/>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pStyle w:val="Heading3"/>
        <w:spacing w:line="240" w:lineRule="auto" w:before="177"/>
        <w:ind w:right="0"/>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6"/>
        <w:rPr>
          <w:rFonts w:ascii="宋体" w:hAnsi="宋体" w:cs="宋体" w:eastAsia="宋体" w:hint="default"/>
          <w:b/>
          <w:bCs/>
          <w:sz w:val="15"/>
          <w:szCs w:val="15"/>
        </w:rPr>
      </w:pPr>
    </w:p>
    <w:p>
      <w:pPr>
        <w:spacing w:line="451"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pStyle w:val="Heading3"/>
        <w:spacing w:line="240" w:lineRule="auto" w:before="48"/>
        <w:ind w:right="0"/>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6"/>
        <w:rPr>
          <w:rFonts w:ascii="宋体" w:hAnsi="宋体" w:cs="宋体" w:eastAsia="宋体" w:hint="default"/>
          <w:b/>
          <w:bCs/>
          <w:sz w:val="15"/>
          <w:szCs w:val="15"/>
        </w:rPr>
      </w:pPr>
    </w:p>
    <w:p>
      <w:pPr>
        <w:spacing w:line="451"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pStyle w:val="Heading3"/>
        <w:spacing w:line="240" w:lineRule="auto" w:before="48"/>
        <w:ind w:right="0"/>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6"/>
        <w:rPr>
          <w:rFonts w:ascii="宋体" w:hAnsi="宋体" w:cs="宋体" w:eastAsia="宋体" w:hint="default"/>
          <w:b/>
          <w:bCs/>
          <w:sz w:val="15"/>
          <w:szCs w:val="15"/>
        </w:rPr>
      </w:pPr>
    </w:p>
    <w:p>
      <w:pPr>
        <w:spacing w:line="451" w:lineRule="auto" w:before="0"/>
        <w:ind w:left="153" w:right="848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租赁情况说明</w:t>
      </w:r>
    </w:p>
    <w:p>
      <w:pPr>
        <w:pStyle w:val="BodyText"/>
        <w:spacing w:line="386" w:lineRule="auto" w:before="49"/>
        <w:ind w:left="154" w:right="0" w:firstLine="482"/>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日，公司第六届董事会第一次会议审议通过了《关于全资子公司开展售后回租融资租赁 </w:t>
      </w:r>
      <w:r>
        <w:rPr>
          <w:spacing w:val="-1"/>
        </w:rPr>
        <w:t>业务的议案》，公司全资子公司吉林紫鑫般若药业有限公司将其部分生产设备及设施与平安国际融资租赁</w:t>
      </w:r>
    </w:p>
    <w:p>
      <w:pPr>
        <w:spacing w:after="0" w:line="38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98" w:lineRule="auto" w:before="174"/>
        <w:ind w:right="0"/>
        <w:jc w:val="left"/>
      </w:pPr>
      <w:r>
        <w:rPr>
          <w:spacing w:val="-3"/>
        </w:rPr>
        <w:t>有限公司开展售后回租融资租赁业务，融资金额不超过</w:t>
      </w:r>
      <w:r>
        <w:rPr>
          <w:rFonts w:ascii="Times New Roman" w:hAnsi="Times New Roman" w:cs="Times New Roman" w:eastAsia="Times New Roman" w:hint="default"/>
          <w:spacing w:val="-3"/>
        </w:rPr>
        <w:t>2,000.00</w:t>
      </w:r>
      <w:r>
        <w:rPr>
          <w:spacing w:val="-3"/>
        </w:rPr>
        <w:t>万元人民币，融资期限为</w:t>
      </w:r>
      <w:r>
        <w:rPr>
          <w:rFonts w:ascii="Times New Roman" w:hAnsi="Times New Roman" w:cs="Times New Roman" w:eastAsia="Times New Roman" w:hint="default"/>
          <w:spacing w:val="-3"/>
        </w:rPr>
        <w:t>3</w:t>
      </w:r>
      <w:r>
        <w:rPr>
          <w:spacing w:val="-3"/>
        </w:rPr>
        <w:t>年。在租赁期间，</w:t>
      </w:r>
      <w:r>
        <w:rPr>
          <w:spacing w:val="-81"/>
        </w:rPr>
        <w:t> </w:t>
      </w:r>
      <w:r>
        <w:rPr>
          <w:spacing w:val="-81"/>
        </w:rPr>
      </w:r>
      <w:r>
        <w:rPr/>
        <w:t>般若药业以回租方式继续占有并使用该部分生产设备及设施，同时按双方约定向平安国际融资租赁有限公</w:t>
      </w:r>
      <w:r>
        <w:rPr/>
        <w:t> 司支付租金和费用，租赁期满，般若药业以留购价格人民币</w:t>
      </w:r>
      <w:r>
        <w:rPr>
          <w:rFonts w:ascii="Times New Roman" w:hAnsi="Times New Roman" w:cs="Times New Roman" w:eastAsia="Times New Roman" w:hint="default"/>
        </w:rPr>
        <w:t>100.00</w:t>
      </w:r>
      <w:r>
        <w:rPr/>
        <w:t>元回购此融资租赁资产所有权。</w:t>
      </w:r>
    </w:p>
    <w:p>
      <w:pPr>
        <w:pStyle w:val="BodyText"/>
        <w:spacing w:line="398" w:lineRule="auto" w:before="24"/>
        <w:ind w:left="154" w:right="1131" w:firstLine="482"/>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17</w:t>
      </w:r>
      <w:r>
        <w:rPr>
          <w:spacing w:val="-2"/>
        </w:rPr>
        <w:t>日，公司第六届董事会第八次会议审议通过了《关于公司开展售后回租融资租赁业务的</w:t>
      </w:r>
      <w:r>
        <w:rPr/>
        <w:t> </w:t>
      </w:r>
      <w:r>
        <w:rPr>
          <w:spacing w:val="-1"/>
        </w:rPr>
        <w:t>议案》，公司将其部分生产设备及设施与安徽兴泰融资租赁有限责任公司开展售后回租融资租赁业务，融</w:t>
      </w:r>
      <w:r>
        <w:rPr>
          <w:spacing w:val="-83"/>
        </w:rPr>
        <w:t> </w:t>
      </w:r>
      <w:r>
        <w:rPr>
          <w:spacing w:val="-83"/>
        </w:rPr>
      </w:r>
      <w:r>
        <w:rPr>
          <w:spacing w:val="-1"/>
        </w:rPr>
        <w:t>资金额不超过</w:t>
      </w:r>
      <w:r>
        <w:rPr>
          <w:rFonts w:ascii="Times New Roman" w:hAnsi="Times New Roman" w:cs="Times New Roman" w:eastAsia="Times New Roman" w:hint="default"/>
          <w:spacing w:val="-1"/>
        </w:rPr>
        <w:t>6,500.00</w:t>
      </w:r>
      <w:r>
        <w:rPr>
          <w:spacing w:val="-1"/>
        </w:rPr>
        <w:t>万元人民币，融资期限为</w:t>
      </w:r>
      <w:r>
        <w:rPr>
          <w:rFonts w:ascii="Times New Roman" w:hAnsi="Times New Roman" w:cs="Times New Roman" w:eastAsia="Times New Roman" w:hint="default"/>
          <w:spacing w:val="-1"/>
        </w:rPr>
        <w:t>3</w:t>
      </w:r>
      <w:r>
        <w:rPr>
          <w:spacing w:val="-1"/>
        </w:rPr>
        <w:t>年。在租赁期间，公司以回租方式继续占有并使用该部分</w:t>
      </w:r>
      <w:r>
        <w:rPr>
          <w:spacing w:val="-82"/>
        </w:rPr>
        <w:t> </w:t>
      </w:r>
      <w:r>
        <w:rPr>
          <w:spacing w:val="-82"/>
        </w:rPr>
      </w:r>
      <w:r>
        <w:rPr>
          <w:spacing w:val="-1"/>
        </w:rPr>
        <w:t>生产设备及设施，同时按双方约定向安徽兴泰融资租赁有限责任公司支付租金和费用，租赁期满，公司以</w:t>
      </w:r>
      <w:r>
        <w:rPr>
          <w:spacing w:val="-83"/>
        </w:rPr>
        <w:t> </w:t>
      </w:r>
      <w:r>
        <w:rPr>
          <w:spacing w:val="-83"/>
        </w:rPr>
      </w:r>
      <w:r>
        <w:rPr/>
        <w:t>留购价格人民币</w:t>
      </w:r>
      <w:r>
        <w:rPr>
          <w:rFonts w:ascii="Times New Roman" w:hAnsi="Times New Roman" w:cs="Times New Roman" w:eastAsia="Times New Roman" w:hint="default"/>
        </w:rPr>
        <w:t>1,000.00</w:t>
      </w:r>
      <w:r>
        <w:rPr/>
        <w:t>元回购此融资租赁资产所有权。</w:t>
      </w:r>
    </w:p>
    <w:p>
      <w:pPr>
        <w:pStyle w:val="BodyText"/>
        <w:spacing w:line="396" w:lineRule="auto" w:before="24"/>
        <w:ind w:right="1131" w:firstLine="482"/>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17</w:t>
      </w:r>
      <w:r>
        <w:rPr>
          <w:spacing w:val="-2"/>
        </w:rPr>
        <w:t>日，公司第六届董事会第八次会议审议通过了《关于为全资子公司开展售后回租融资租</w:t>
      </w:r>
      <w:r>
        <w:rPr/>
        <w:t> </w:t>
      </w:r>
      <w:r>
        <w:rPr>
          <w:spacing w:val="-1"/>
        </w:rPr>
        <w:t>赁业务提供担保的议案》，公司全资子公司吉林紫鑫禺拙药业有限公司将其部分生产设备及设施与安徽兴</w:t>
      </w:r>
      <w:r>
        <w:rPr>
          <w:spacing w:val="-81"/>
        </w:rPr>
        <w:t> </w:t>
      </w:r>
      <w:r>
        <w:rPr>
          <w:spacing w:val="-81"/>
        </w:rPr>
      </w:r>
      <w:r>
        <w:rPr>
          <w:spacing w:val="-1"/>
        </w:rPr>
        <w:t>泰融资租赁有限责任公司开展售后回租融资租赁业务，融资金额不超过</w:t>
      </w:r>
      <w:r>
        <w:rPr>
          <w:rFonts w:ascii="Times New Roman" w:hAnsi="Times New Roman" w:cs="Times New Roman" w:eastAsia="Times New Roman" w:hint="default"/>
          <w:spacing w:val="-1"/>
        </w:rPr>
        <w:t>3,500.00</w:t>
      </w:r>
      <w:r>
        <w:rPr>
          <w:spacing w:val="-1"/>
        </w:rPr>
        <w:t>万元人民币，融资期限为</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6"/>
        </w:rPr>
        <w:t> </w:t>
      </w:r>
      <w:r>
        <w:rPr>
          <w:spacing w:val="-1"/>
        </w:rPr>
        <w:t>年。在租赁期间，禺拙药业以回租方式继续占有并使用该部分生产设备及设施，同时按双方约定向安徽兴</w:t>
      </w:r>
      <w:r>
        <w:rPr>
          <w:spacing w:val="-83"/>
        </w:rPr>
        <w:t> </w:t>
      </w:r>
      <w:r>
        <w:rPr>
          <w:spacing w:val="-83"/>
        </w:rPr>
      </w:r>
      <w:r>
        <w:rPr/>
        <w:t>泰融资租赁有限责任公司支付租金和费用，租赁期满，禺拙药业以留购价格人民币</w:t>
      </w:r>
      <w:r>
        <w:rPr>
          <w:rFonts w:ascii="Times New Roman" w:hAnsi="Times New Roman" w:cs="Times New Roman" w:eastAsia="Times New Roman" w:hint="default"/>
        </w:rPr>
        <w:t>1,000.00</w:t>
      </w:r>
      <w:r>
        <w:rPr/>
        <w:t>元回购此融资</w:t>
      </w:r>
      <w:r>
        <w:rPr>
          <w:spacing w:val="-27"/>
        </w:rPr>
        <w:t> </w:t>
      </w:r>
      <w:r>
        <w:rPr>
          <w:spacing w:val="-27"/>
        </w:rPr>
      </w:r>
      <w:r>
        <w:rPr/>
        <w:t>租赁资产所有权。</w:t>
      </w:r>
    </w:p>
    <w:p>
      <w:pPr>
        <w:pStyle w:val="BodyText"/>
        <w:spacing w:line="398" w:lineRule="auto" w:before="56"/>
        <w:ind w:right="1110" w:firstLine="482"/>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29</w:t>
      </w:r>
      <w:r>
        <w:rPr>
          <w:spacing w:val="-2"/>
        </w:rPr>
        <w:t>日，公司第六届董事会第十六次会议审议通过了《关于全资子公司开展售后回租融资租</w:t>
      </w:r>
      <w:r>
        <w:rPr/>
        <w:t> </w:t>
      </w:r>
      <w:r>
        <w:rPr>
          <w:spacing w:val="-1"/>
        </w:rPr>
        <w:t>赁业务的议案》，公司全资子公司吉林草还丹药业有限公司将其部分生产设备及设施与无锡金控融资租赁</w:t>
      </w:r>
      <w:r>
        <w:rPr>
          <w:spacing w:val="-81"/>
        </w:rPr>
        <w:t> </w:t>
      </w:r>
      <w:r>
        <w:rPr>
          <w:spacing w:val="-81"/>
        </w:rPr>
      </w:r>
      <w:r>
        <w:rPr/>
        <w:t>有限公司开展售后回租融资租赁业务，融资金额不超过</w:t>
      </w:r>
      <w:r>
        <w:rPr>
          <w:rFonts w:ascii="Times New Roman" w:hAnsi="Times New Roman" w:cs="Times New Roman" w:eastAsia="Times New Roman" w:hint="default"/>
        </w:rPr>
        <w:t>2,500.00</w:t>
      </w:r>
      <w:r>
        <w:rPr/>
        <w:t>万元人民币，融资期限</w:t>
      </w:r>
      <w:r>
        <w:rPr>
          <w:rFonts w:ascii="Times New Roman" w:hAnsi="Times New Roman" w:cs="Times New Roman" w:eastAsia="Times New Roman" w:hint="default"/>
        </w:rPr>
        <w:t>2</w:t>
      </w:r>
      <w:r>
        <w:rPr/>
        <w:t>年。在租赁期间， </w:t>
      </w:r>
      <w:r>
        <w:rPr>
          <w:spacing w:val="-1"/>
        </w:rPr>
        <w:t>草还丹药业以回租方式继续占有并使用该部分生产设备及设施，同时按双方约定向无锡金控融资租赁有限</w:t>
      </w:r>
      <w:r>
        <w:rPr>
          <w:spacing w:val="-81"/>
        </w:rPr>
        <w:t> </w:t>
      </w:r>
      <w:r>
        <w:rPr>
          <w:spacing w:val="-81"/>
        </w:rPr>
      </w:r>
      <w:r>
        <w:rPr/>
        <w:t>公司支付租金和费用，租赁期满，草还丹药业以留购价格人民币</w:t>
      </w:r>
      <w:r>
        <w:rPr>
          <w:rFonts w:ascii="Times New Roman" w:hAnsi="Times New Roman" w:cs="Times New Roman" w:eastAsia="Times New Roman" w:hint="default"/>
        </w:rPr>
        <w:t>100.00</w:t>
      </w:r>
      <w:r>
        <w:rPr/>
        <w:t>元回购此融资租赁资产所有权。</w:t>
      </w:r>
    </w:p>
    <w:p>
      <w:pPr>
        <w:pStyle w:val="BodyText"/>
        <w:spacing w:line="396" w:lineRule="auto" w:before="24"/>
        <w:ind w:right="1008" w:firstLine="336"/>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日，公司第六届董事会第十八次会议审议通过了《关于全资子公司开展售后回租融资租赁 业务的议案》，公司全资子公司吉林紫鑫初元药业有限公司将其部分生产设备及设施与新力德润（天津） 租赁有限公司开展售后回租融资租赁业务，融资金额不超过</w:t>
      </w:r>
      <w:r>
        <w:rPr>
          <w:rFonts w:ascii="Times New Roman" w:hAnsi="Times New Roman" w:cs="Times New Roman" w:eastAsia="Times New Roman" w:hint="default"/>
        </w:rPr>
        <w:t>7,000.00</w:t>
      </w:r>
      <w:r>
        <w:rPr/>
        <w:t>万元人民币，融资期限为</w:t>
      </w:r>
      <w:r>
        <w:rPr>
          <w:rFonts w:ascii="Times New Roman" w:hAnsi="Times New Roman" w:cs="Times New Roman" w:eastAsia="Times New Roman" w:hint="default"/>
        </w:rPr>
        <w:t>3</w:t>
      </w:r>
      <w:r>
        <w:rPr/>
        <w:t>年。在租赁 期间，初元药业以回租方式继续占有并使用该部分生产设备及设施，同时按双方约定向</w:t>
      </w:r>
      <w:r>
        <w:rPr>
          <w:spacing w:val="-20"/>
        </w:rPr>
        <w:t> </w:t>
      </w:r>
      <w:r>
        <w:rPr/>
        <w:t>新力德润（天津）</w:t>
      </w:r>
      <w:r>
        <w:rPr/>
        <w:t> 租赁有限公司支付租金和费用，租赁期满，初元药业以留购价格人民币</w:t>
      </w:r>
      <w:r>
        <w:rPr>
          <w:rFonts w:ascii="Times New Roman" w:hAnsi="Times New Roman" w:cs="Times New Roman" w:eastAsia="Times New Roman" w:hint="default"/>
        </w:rPr>
        <w:t>1,000.00</w:t>
      </w:r>
      <w:r>
        <w:rPr/>
        <w:t>元回购此融资租赁资产所</w:t>
      </w:r>
      <w:r>
        <w:rPr>
          <w:spacing w:val="-28"/>
        </w:rPr>
        <w:t> </w:t>
      </w:r>
      <w:r>
        <w:rPr>
          <w:spacing w:val="-28"/>
        </w:rPr>
      </w:r>
      <w:r>
        <w:rPr/>
        <w:t>有权。</w:t>
      </w:r>
    </w:p>
    <w:p>
      <w:pPr>
        <w:pStyle w:val="BodyText"/>
        <w:spacing w:line="398" w:lineRule="auto" w:before="56"/>
        <w:ind w:left="154" w:right="1026" w:firstLine="336"/>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w:t>
      </w:r>
      <w:r>
        <w:rPr/>
        <w:t>日，公司第六届董事会第二十二次会议（临时）审议通过了《关于全资子公司分别开展售 后回租融资租赁业务的议案》，公司全资子公司吉林紫鑫般若药业有限公司将其部分生产设备及设施与中 远海运租赁有限公司开展售后回租融资租赁业务，融资金额不超过</w:t>
      </w:r>
      <w:r>
        <w:rPr>
          <w:rFonts w:ascii="Times New Roman" w:hAnsi="Times New Roman" w:cs="Times New Roman" w:eastAsia="Times New Roman" w:hint="default"/>
        </w:rPr>
        <w:t>2,500.00</w:t>
      </w:r>
      <w:r>
        <w:rPr/>
        <w:t>万元人民币，融资期限为</w:t>
      </w:r>
      <w:r>
        <w:rPr>
          <w:rFonts w:ascii="Times New Roman" w:hAnsi="Times New Roman" w:cs="Times New Roman" w:eastAsia="Times New Roman" w:hint="default"/>
        </w:rPr>
        <w:t>3</w:t>
      </w:r>
      <w:r>
        <w:rPr/>
        <w:t>年。 在租赁期间，般若药业以回租方式继续占有并使用该部分生产设备及设施，同时按双方约定向中远海运租 </w:t>
      </w:r>
      <w:r>
        <w:rPr>
          <w:spacing w:val="-2"/>
        </w:rPr>
        <w:t>赁有限公司支付租金和费用，租赁期满，般若药业以留购价格人民币</w:t>
      </w:r>
      <w:r>
        <w:rPr>
          <w:rFonts w:ascii="Times New Roman" w:hAnsi="Times New Roman" w:cs="Times New Roman" w:eastAsia="Times New Roman" w:hint="default"/>
          <w:spacing w:val="-2"/>
        </w:rPr>
        <w:t>100.00</w:t>
      </w:r>
      <w:r>
        <w:rPr>
          <w:spacing w:val="-2"/>
        </w:rPr>
        <w:t>元回购此融资租赁资产所有权。</w:t>
      </w:r>
    </w:p>
    <w:p>
      <w:pPr>
        <w:spacing w:after="0" w:line="39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3"/>
          <w:szCs w:val="13"/>
        </w:rPr>
      </w:pPr>
    </w:p>
    <w:p>
      <w:pPr>
        <w:pStyle w:val="BodyText"/>
        <w:spacing w:line="403" w:lineRule="auto" w:before="0"/>
        <w:ind w:right="1093"/>
        <w:jc w:val="left"/>
        <w:rPr>
          <w:sz w:val="18"/>
          <w:szCs w:val="18"/>
        </w:rPr>
      </w:pPr>
      <w:r>
        <w:rPr>
          <w:spacing w:val="3"/>
        </w:rPr>
        <w:t>公司全资子公司吉林草还丹药业有限公司将其部分生产设备及设施与中远海运租赁有限公司开展售后回</w:t>
      </w:r>
      <w:r>
        <w:rPr>
          <w:spacing w:val="-82"/>
        </w:rPr>
        <w:t> </w:t>
      </w:r>
      <w:r>
        <w:rPr>
          <w:spacing w:val="-82"/>
        </w:rPr>
      </w:r>
      <w:r>
        <w:rPr>
          <w:spacing w:val="-1"/>
        </w:rPr>
        <w:t>租融资租赁业务，融资金额不超过</w:t>
      </w:r>
      <w:r>
        <w:rPr>
          <w:rFonts w:ascii="Times New Roman" w:hAnsi="Times New Roman" w:cs="Times New Roman" w:eastAsia="Times New Roman" w:hint="default"/>
          <w:spacing w:val="-1"/>
        </w:rPr>
        <w:t>2,500.00</w:t>
      </w:r>
      <w:r>
        <w:rPr>
          <w:spacing w:val="-1"/>
        </w:rPr>
        <w:t>万元人民币，融资期限为</w:t>
      </w:r>
      <w:r>
        <w:rPr>
          <w:rFonts w:ascii="Times New Roman" w:hAnsi="Times New Roman" w:cs="Times New Roman" w:eastAsia="Times New Roman" w:hint="default"/>
          <w:spacing w:val="-1"/>
        </w:rPr>
        <w:t>3</w:t>
      </w:r>
      <w:r>
        <w:rPr>
          <w:spacing w:val="-1"/>
        </w:rPr>
        <w:t>年。在租赁期间，草还丹药业以回租</w:t>
      </w:r>
      <w:r>
        <w:rPr>
          <w:spacing w:val="-82"/>
        </w:rPr>
        <w:t> </w:t>
      </w:r>
      <w:r>
        <w:rPr>
          <w:spacing w:val="-82"/>
        </w:rPr>
      </w:r>
      <w:r>
        <w:rPr/>
        <w:t>方式继续占有并使用该部分生产设备及设施，同时按双方约定向中远海运租赁有限公司支付租金和费用， 租赁期满，草还丹药业以留购价格人民币</w:t>
      </w:r>
      <w:r>
        <w:rPr>
          <w:rFonts w:ascii="Times New Roman" w:hAnsi="Times New Roman" w:cs="Times New Roman" w:eastAsia="Times New Roman" w:hint="default"/>
        </w:rPr>
        <w:t>100.00</w:t>
      </w:r>
      <w:r>
        <w:rPr/>
        <w:t>元回购此融资租赁资产所有权。 </w:t>
      </w:r>
      <w:r>
        <w:rPr>
          <w:sz w:val="18"/>
          <w:szCs w:val="18"/>
        </w:rPr>
        <w:t>为公司带来的损益达到公司报告期利润总额</w:t>
      </w:r>
      <w:r>
        <w:rPr>
          <w:spacing w:val="-46"/>
          <w:sz w:val="18"/>
          <w:szCs w:val="18"/>
        </w:rPr>
        <w:t> </w:t>
      </w:r>
      <w:r>
        <w:rPr>
          <w:rFonts w:ascii="Times New Roman" w:hAnsi="Times New Roman" w:cs="Times New Roman" w:eastAsia="Times New Roman" w:hint="default"/>
          <w:sz w:val="18"/>
          <w:szCs w:val="18"/>
        </w:rPr>
        <w:t>10%</w:t>
      </w:r>
      <w:r>
        <w:rPr>
          <w:sz w:val="18"/>
          <w:szCs w:val="18"/>
        </w:rPr>
        <w:t>以上的项目</w:t>
      </w:r>
    </w:p>
    <w:p>
      <w:pPr>
        <w:spacing w:before="8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6"/>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1）担保情况" w:id="93"/>
      <w:bookmarkEnd w:id="93"/>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6"/>
        <w:rPr>
          <w:rFonts w:ascii="宋体" w:hAnsi="宋体" w:cs="宋体" w:eastAsia="宋体" w:hint="default"/>
          <w:b/>
          <w:bCs/>
          <w:sz w:val="15"/>
          <w:szCs w:val="15"/>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709"/>
        <w:gridCol w:w="926"/>
        <w:gridCol w:w="924"/>
        <w:gridCol w:w="1296"/>
        <w:gridCol w:w="1063"/>
        <w:gridCol w:w="1034"/>
        <w:gridCol w:w="1049"/>
        <w:gridCol w:w="792"/>
        <w:gridCol w:w="780"/>
      </w:tblGrid>
      <w:tr>
        <w:trPr>
          <w:trHeight w:val="478"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41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p>
            <w:pPr>
              <w:pStyle w:val="TableParagraph"/>
              <w:spacing w:line="460" w:lineRule="atLeast" w:before="8"/>
              <w:ind w:left="99" w:right="95"/>
              <w:jc w:val="left"/>
              <w:rPr>
                <w:rFonts w:ascii="宋体" w:hAnsi="宋体" w:cs="宋体" w:eastAsia="宋体" w:hint="default"/>
                <w:sz w:val="18"/>
                <w:szCs w:val="18"/>
              </w:rPr>
            </w:pPr>
            <w:r>
              <w:rPr>
                <w:rFonts w:ascii="宋体" w:hAnsi="宋体" w:cs="宋体" w:eastAsia="宋体" w:hint="default"/>
                <w:sz w:val="18"/>
                <w:szCs w:val="18"/>
              </w:rPr>
              <w:t>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4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78"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414"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88"/>
              <w:ind w:left="96" w:right="98"/>
              <w:jc w:val="left"/>
              <w:rPr>
                <w:rFonts w:ascii="宋体" w:hAnsi="宋体" w:cs="宋体" w:eastAsia="宋体" w:hint="default"/>
                <w:sz w:val="18"/>
                <w:szCs w:val="18"/>
              </w:rPr>
            </w:pPr>
            <w:r>
              <w:rPr>
                <w:rFonts w:ascii="宋体" w:hAnsi="宋体" w:cs="宋体" w:eastAsia="宋体" w:hint="default"/>
                <w:sz w:val="18"/>
                <w:szCs w:val="18"/>
              </w:rPr>
              <w:t>担保额度 相关公告</w:t>
            </w:r>
          </w:p>
          <w:p>
            <w:pPr>
              <w:pStyle w:val="TableParagraph"/>
              <w:spacing w:line="240" w:lineRule="auto" w:before="54"/>
              <w:ind w:left="9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94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吉林紫鑫般若药业有</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连带责任保</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吉林紫鑫红石种养殖</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20,000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连带责任保</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吉林紫鑫禺拙药业有</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3,500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3,500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连带责任保</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吉林草还丹药业有限</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连带责任保</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吉林草还丹药业有限</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2,500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2,500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连带责任保</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8"/>
        <w:gridCol w:w="1296"/>
        <w:gridCol w:w="1063"/>
        <w:gridCol w:w="1034"/>
        <w:gridCol w:w="1046"/>
        <w:gridCol w:w="796"/>
        <w:gridCol w:w="780"/>
      </w:tblGrid>
      <w:tr>
        <w:trPr>
          <w:trHeight w:val="94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吉林紫鑫初元药业有</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连带责任保</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88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44"/>
              <w:ind w:left="22" w:right="54"/>
              <w:jc w:val="left"/>
              <w:rPr>
                <w:rFonts w:ascii="宋体" w:hAnsi="宋体" w:cs="宋体" w:eastAsia="宋体" w:hint="default"/>
                <w:sz w:val="18"/>
                <w:szCs w:val="18"/>
              </w:rPr>
            </w:pPr>
            <w:r>
              <w:rPr>
                <w:rFonts w:ascii="宋体" w:hAnsi="宋体" w:cs="宋体" w:eastAsia="宋体" w:hint="default"/>
                <w:sz w:val="18"/>
                <w:szCs w:val="18"/>
              </w:rPr>
              <w:t>吉林紫鑫初元药业有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44"/>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9"/>
              <w:ind w:left="22" w:right="111"/>
              <w:jc w:val="both"/>
              <w:rPr>
                <w:rFonts w:ascii="宋体" w:hAnsi="宋体" w:cs="宋体" w:eastAsia="宋体" w:hint="default"/>
                <w:sz w:val="18"/>
                <w:szCs w:val="18"/>
              </w:rPr>
            </w:pPr>
            <w:r>
              <w:rPr>
                <w:rFonts w:ascii="宋体" w:hAnsi="宋体" w:cs="宋体" w:eastAsia="宋体" w:hint="default"/>
                <w:sz w:val="18"/>
                <w:szCs w:val="18"/>
              </w:rPr>
              <w:t>此笔贷款发 放之日起至 贷款本息结</w:t>
            </w:r>
          </w:p>
          <w:p>
            <w:pPr>
              <w:pStyle w:val="TableParagraph"/>
              <w:spacing w:line="240" w:lineRule="auto" w:before="54"/>
              <w:ind w:left="22" w:right="0"/>
              <w:jc w:val="both"/>
              <w:rPr>
                <w:rFonts w:ascii="宋体" w:hAnsi="宋体" w:cs="宋体" w:eastAsia="宋体" w:hint="default"/>
                <w:sz w:val="18"/>
                <w:szCs w:val="18"/>
              </w:rPr>
            </w:pPr>
            <w:r>
              <w:rPr>
                <w:rFonts w:ascii="宋体" w:hAnsi="宋体" w:cs="宋体" w:eastAsia="宋体" w:hint="default"/>
                <w:sz w:val="18"/>
                <w:szCs w:val="18"/>
              </w:rPr>
              <w:t>清之日止</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88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42"/>
              <w:ind w:left="22" w:right="54"/>
              <w:jc w:val="left"/>
              <w:rPr>
                <w:rFonts w:ascii="宋体" w:hAnsi="宋体" w:cs="宋体" w:eastAsia="宋体" w:hint="default"/>
                <w:sz w:val="18"/>
                <w:szCs w:val="18"/>
              </w:rPr>
            </w:pPr>
            <w:r>
              <w:rPr>
                <w:rFonts w:ascii="宋体" w:hAnsi="宋体" w:cs="宋体" w:eastAsia="宋体" w:hint="default"/>
                <w:sz w:val="18"/>
                <w:szCs w:val="18"/>
              </w:rPr>
              <w:t>吉林草还丹药业有限 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4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111"/>
              <w:jc w:val="both"/>
              <w:rPr>
                <w:rFonts w:ascii="宋体" w:hAnsi="宋体" w:cs="宋体" w:eastAsia="宋体" w:hint="default"/>
                <w:sz w:val="18"/>
                <w:szCs w:val="18"/>
              </w:rPr>
            </w:pPr>
            <w:r>
              <w:rPr>
                <w:rFonts w:ascii="宋体" w:hAnsi="宋体" w:cs="宋体" w:eastAsia="宋体" w:hint="default"/>
                <w:sz w:val="18"/>
                <w:szCs w:val="18"/>
              </w:rPr>
              <w:t>此笔贷款发 放之日起至 贷款本息结</w:t>
            </w:r>
          </w:p>
          <w:p>
            <w:pPr>
              <w:pStyle w:val="TableParagraph"/>
              <w:spacing w:line="240" w:lineRule="auto" w:before="54"/>
              <w:ind w:left="22" w:right="0"/>
              <w:jc w:val="both"/>
              <w:rPr>
                <w:rFonts w:ascii="宋体" w:hAnsi="宋体" w:cs="宋体" w:eastAsia="宋体" w:hint="default"/>
                <w:sz w:val="18"/>
                <w:szCs w:val="18"/>
              </w:rPr>
            </w:pPr>
            <w:r>
              <w:rPr>
                <w:rFonts w:ascii="宋体" w:hAnsi="宋体" w:cs="宋体" w:eastAsia="宋体" w:hint="default"/>
                <w:sz w:val="18"/>
                <w:szCs w:val="18"/>
              </w:rPr>
              <w:t>清之日止</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88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42"/>
              <w:ind w:left="22" w:right="54"/>
              <w:jc w:val="left"/>
              <w:rPr>
                <w:rFonts w:ascii="宋体" w:hAnsi="宋体" w:cs="宋体" w:eastAsia="宋体" w:hint="default"/>
                <w:sz w:val="18"/>
                <w:szCs w:val="18"/>
              </w:rPr>
            </w:pPr>
            <w:r>
              <w:rPr>
                <w:rFonts w:ascii="宋体" w:hAnsi="宋体" w:cs="宋体" w:eastAsia="宋体" w:hint="default"/>
                <w:sz w:val="18"/>
                <w:szCs w:val="18"/>
              </w:rPr>
              <w:t>吉林紫鑫初元药业有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4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111"/>
              <w:jc w:val="both"/>
              <w:rPr>
                <w:rFonts w:ascii="宋体" w:hAnsi="宋体" w:cs="宋体" w:eastAsia="宋体" w:hint="default"/>
                <w:sz w:val="18"/>
                <w:szCs w:val="18"/>
              </w:rPr>
            </w:pPr>
            <w:r>
              <w:rPr>
                <w:rFonts w:ascii="宋体" w:hAnsi="宋体" w:cs="宋体" w:eastAsia="宋体" w:hint="default"/>
                <w:sz w:val="18"/>
                <w:szCs w:val="18"/>
              </w:rPr>
              <w:t>此笔贷款发 放之日起至 贷款本息结</w:t>
            </w:r>
          </w:p>
          <w:p>
            <w:pPr>
              <w:pStyle w:val="TableParagraph"/>
              <w:spacing w:line="240" w:lineRule="auto" w:before="54"/>
              <w:ind w:left="22" w:right="0"/>
              <w:jc w:val="both"/>
              <w:rPr>
                <w:rFonts w:ascii="宋体" w:hAnsi="宋体" w:cs="宋体" w:eastAsia="宋体" w:hint="default"/>
                <w:sz w:val="18"/>
                <w:szCs w:val="18"/>
              </w:rPr>
            </w:pPr>
            <w:r>
              <w:rPr>
                <w:rFonts w:ascii="宋体" w:hAnsi="宋体" w:cs="宋体" w:eastAsia="宋体" w:hint="default"/>
                <w:sz w:val="18"/>
                <w:szCs w:val="18"/>
              </w:rPr>
              <w:t>清之日止</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88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44"/>
              <w:ind w:left="22" w:right="54"/>
              <w:jc w:val="left"/>
              <w:rPr>
                <w:rFonts w:ascii="宋体" w:hAnsi="宋体" w:cs="宋体" w:eastAsia="宋体" w:hint="default"/>
                <w:sz w:val="18"/>
                <w:szCs w:val="18"/>
              </w:rPr>
            </w:pPr>
            <w:r>
              <w:rPr>
                <w:rFonts w:ascii="宋体" w:hAnsi="宋体" w:cs="宋体" w:eastAsia="宋体" w:hint="default"/>
                <w:sz w:val="18"/>
                <w:szCs w:val="18"/>
              </w:rPr>
              <w:t>吉林紫鑫初元药业有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44"/>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9"/>
              <w:ind w:left="22" w:right="111"/>
              <w:jc w:val="both"/>
              <w:rPr>
                <w:rFonts w:ascii="宋体" w:hAnsi="宋体" w:cs="宋体" w:eastAsia="宋体" w:hint="default"/>
                <w:sz w:val="18"/>
                <w:szCs w:val="18"/>
              </w:rPr>
            </w:pPr>
            <w:r>
              <w:rPr>
                <w:rFonts w:ascii="宋体" w:hAnsi="宋体" w:cs="宋体" w:eastAsia="宋体" w:hint="default"/>
                <w:sz w:val="18"/>
                <w:szCs w:val="18"/>
              </w:rPr>
              <w:t>此笔贷款发 放之日起至 贷款本息结</w:t>
            </w:r>
          </w:p>
          <w:p>
            <w:pPr>
              <w:pStyle w:val="TableParagraph"/>
              <w:spacing w:line="240" w:lineRule="auto" w:before="54"/>
              <w:ind w:left="22" w:right="0"/>
              <w:jc w:val="both"/>
              <w:rPr>
                <w:rFonts w:ascii="宋体" w:hAnsi="宋体" w:cs="宋体" w:eastAsia="宋体" w:hint="default"/>
                <w:sz w:val="18"/>
                <w:szCs w:val="18"/>
              </w:rPr>
            </w:pPr>
            <w:r>
              <w:rPr>
                <w:rFonts w:ascii="宋体" w:hAnsi="宋体" w:cs="宋体" w:eastAsia="宋体" w:hint="default"/>
                <w:sz w:val="18"/>
                <w:szCs w:val="18"/>
              </w:rPr>
              <w:t>清之日止</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88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42"/>
              <w:ind w:left="22" w:right="54"/>
              <w:jc w:val="left"/>
              <w:rPr>
                <w:rFonts w:ascii="宋体" w:hAnsi="宋体" w:cs="宋体" w:eastAsia="宋体" w:hint="default"/>
                <w:sz w:val="18"/>
                <w:szCs w:val="18"/>
              </w:rPr>
            </w:pPr>
            <w:r>
              <w:rPr>
                <w:rFonts w:ascii="宋体" w:hAnsi="宋体" w:cs="宋体" w:eastAsia="宋体" w:hint="default"/>
                <w:sz w:val="18"/>
                <w:szCs w:val="18"/>
              </w:rPr>
              <w:t>吉林紫鑫般若药业有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4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111"/>
              <w:jc w:val="both"/>
              <w:rPr>
                <w:rFonts w:ascii="宋体" w:hAnsi="宋体" w:cs="宋体" w:eastAsia="宋体" w:hint="default"/>
                <w:sz w:val="18"/>
                <w:szCs w:val="18"/>
              </w:rPr>
            </w:pPr>
            <w:r>
              <w:rPr>
                <w:rFonts w:ascii="宋体" w:hAnsi="宋体" w:cs="宋体" w:eastAsia="宋体" w:hint="default"/>
                <w:sz w:val="18"/>
                <w:szCs w:val="18"/>
              </w:rPr>
              <w:t>此笔贷款发 放之日起至 贷款本息结</w:t>
            </w:r>
          </w:p>
          <w:p>
            <w:pPr>
              <w:pStyle w:val="TableParagraph"/>
              <w:spacing w:line="240" w:lineRule="auto" w:before="54"/>
              <w:ind w:left="22" w:right="0"/>
              <w:jc w:val="both"/>
              <w:rPr>
                <w:rFonts w:ascii="宋体" w:hAnsi="宋体" w:cs="宋体" w:eastAsia="宋体" w:hint="default"/>
                <w:sz w:val="18"/>
                <w:szCs w:val="18"/>
              </w:rPr>
            </w:pPr>
            <w:r>
              <w:rPr>
                <w:rFonts w:ascii="宋体" w:hAnsi="宋体" w:cs="宋体" w:eastAsia="宋体" w:hint="default"/>
                <w:sz w:val="18"/>
                <w:szCs w:val="18"/>
              </w:rPr>
              <w:t>清之日止</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吉林紫鑫初元药业有</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8,600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8,600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连带责任保</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二年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吉林草还丹药业有限</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pacing w:val="-2"/>
                <w:sz w:val="18"/>
              </w:rPr>
              <w:t>11,000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spacing w:val="-2"/>
                <w:sz w:val="18"/>
              </w:rPr>
              <w:t>11,000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连带责任保</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二年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吉林紫鑫般若药业有</w:t>
            </w: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2,500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2,500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连带责任保</w:t>
            </w: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吉林草还丹药业有限</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2,500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连带责任保</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15"/>
        <w:gridCol w:w="907"/>
        <w:gridCol w:w="935"/>
        <w:gridCol w:w="1299"/>
        <w:gridCol w:w="1048"/>
        <w:gridCol w:w="1046"/>
        <w:gridCol w:w="1055"/>
        <w:gridCol w:w="785"/>
        <w:gridCol w:w="785"/>
      </w:tblGrid>
      <w:tr>
        <w:trPr>
          <w:trHeight w:val="478"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8"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5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吉林草还丹药业有限</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right"/>
              <w:rPr>
                <w:rFonts w:ascii="Times New Roman" w:hAnsi="Times New Roman" w:cs="Times New Roman" w:eastAsia="Times New Roman" w:hint="default"/>
                <w:sz w:val="18"/>
                <w:szCs w:val="18"/>
              </w:rPr>
            </w:pPr>
            <w:r>
              <w:rPr>
                <w:rFonts w:ascii="Times New Roman"/>
                <w:sz w:val="18"/>
              </w:rPr>
              <w:t>3,000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
              <w:jc w:val="right"/>
              <w:rPr>
                <w:rFonts w:ascii="Times New Roman" w:hAnsi="Times New Roman" w:cs="Times New Roman" w:eastAsia="Times New Roman" w:hint="default"/>
                <w:sz w:val="18"/>
                <w:szCs w:val="18"/>
              </w:rPr>
            </w:pPr>
            <w:r>
              <w:rPr>
                <w:rFonts w:ascii="Times New Roman"/>
                <w:sz w:val="18"/>
              </w:rPr>
              <w:t>3,000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8" w:right="0"/>
              <w:jc w:val="left"/>
              <w:rPr>
                <w:rFonts w:ascii="宋体" w:hAnsi="宋体" w:cs="宋体" w:eastAsia="宋体" w:hint="default"/>
                <w:sz w:val="18"/>
                <w:szCs w:val="18"/>
              </w:rPr>
            </w:pPr>
            <w:r>
              <w:rPr>
                <w:rFonts w:ascii="宋体" w:hAnsi="宋体" w:cs="宋体" w:eastAsia="宋体" w:hint="default"/>
                <w:sz w:val="18"/>
                <w:szCs w:val="18"/>
              </w:rPr>
              <w:t>连带责任保</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6"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882"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42"/>
              <w:ind w:left="22" w:right="60"/>
              <w:jc w:val="left"/>
              <w:rPr>
                <w:rFonts w:ascii="宋体" w:hAnsi="宋体" w:cs="宋体" w:eastAsia="宋体" w:hint="default"/>
                <w:sz w:val="18"/>
                <w:szCs w:val="18"/>
              </w:rPr>
            </w:pPr>
            <w:r>
              <w:rPr>
                <w:rFonts w:ascii="宋体" w:hAnsi="宋体" w:cs="宋体" w:eastAsia="宋体" w:hint="default"/>
                <w:sz w:val="18"/>
                <w:szCs w:val="18"/>
              </w:rPr>
              <w:t>吉林紫鑫初元药业有 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20,000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42"/>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6" w:right="116"/>
              <w:jc w:val="both"/>
              <w:rPr>
                <w:rFonts w:ascii="宋体" w:hAnsi="宋体" w:cs="宋体" w:eastAsia="宋体" w:hint="default"/>
                <w:sz w:val="18"/>
                <w:szCs w:val="18"/>
              </w:rPr>
            </w:pPr>
            <w:r>
              <w:rPr>
                <w:rFonts w:ascii="宋体" w:hAnsi="宋体" w:cs="宋体" w:eastAsia="宋体" w:hint="default"/>
                <w:sz w:val="18"/>
                <w:szCs w:val="18"/>
              </w:rPr>
              <w:t>此笔贷款发 放之日起至 贷款本息结</w:t>
            </w:r>
          </w:p>
          <w:p>
            <w:pPr>
              <w:pStyle w:val="TableParagraph"/>
              <w:spacing w:line="240" w:lineRule="auto" w:before="54"/>
              <w:ind w:left="26" w:right="0"/>
              <w:jc w:val="both"/>
              <w:rPr>
                <w:rFonts w:ascii="宋体" w:hAnsi="宋体" w:cs="宋体" w:eastAsia="宋体" w:hint="default"/>
                <w:sz w:val="18"/>
                <w:szCs w:val="18"/>
              </w:rPr>
            </w:pPr>
            <w:r>
              <w:rPr>
                <w:rFonts w:ascii="宋体" w:hAnsi="宋体" w:cs="宋体" w:eastAsia="宋体" w:hint="default"/>
                <w:sz w:val="18"/>
                <w:szCs w:val="18"/>
              </w:rPr>
              <w:t>清之日止</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吉林紫鑫禺拙药业有</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7"/>
              <w:jc w:val="right"/>
              <w:rPr>
                <w:rFonts w:ascii="Times New Roman" w:hAnsi="Times New Roman" w:cs="Times New Roman" w:eastAsia="Times New Roman" w:hint="default"/>
                <w:sz w:val="18"/>
                <w:szCs w:val="18"/>
              </w:rPr>
            </w:pPr>
            <w:r>
              <w:rPr>
                <w:rFonts w:ascii="Times New Roman"/>
                <w:sz w:val="18"/>
              </w:rPr>
              <w:t>10,000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5"/>
              <w:jc w:val="right"/>
              <w:rPr>
                <w:rFonts w:ascii="Times New Roman" w:hAnsi="Times New Roman" w:cs="Times New Roman" w:eastAsia="Times New Roman" w:hint="default"/>
                <w:sz w:val="18"/>
                <w:szCs w:val="18"/>
              </w:rPr>
            </w:pPr>
            <w:r>
              <w:rPr>
                <w:rFonts w:ascii="Times New Roman"/>
                <w:sz w:val="18"/>
              </w:rPr>
              <w:t>10,000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8" w:right="0"/>
              <w:jc w:val="left"/>
              <w:rPr>
                <w:rFonts w:ascii="宋体" w:hAnsi="宋体" w:cs="宋体" w:eastAsia="宋体" w:hint="default"/>
                <w:sz w:val="18"/>
                <w:szCs w:val="18"/>
              </w:rPr>
            </w:pPr>
            <w:r>
              <w:rPr>
                <w:rFonts w:ascii="宋体" w:hAnsi="宋体" w:cs="宋体" w:eastAsia="宋体" w:hint="default"/>
                <w:sz w:val="18"/>
                <w:szCs w:val="18"/>
              </w:rPr>
              <w:t>连带责任保</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6"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7"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吉林紫鑫般若药业有</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right"/>
              <w:rPr>
                <w:rFonts w:ascii="Times New Roman" w:hAnsi="Times New Roman" w:cs="Times New Roman" w:eastAsia="Times New Roman" w:hint="default"/>
                <w:sz w:val="18"/>
                <w:szCs w:val="18"/>
              </w:rPr>
            </w:pPr>
            <w:r>
              <w:rPr>
                <w:rFonts w:ascii="Times New Roman"/>
                <w:sz w:val="18"/>
              </w:rPr>
              <w:t>20,000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
              <w:jc w:val="right"/>
              <w:rPr>
                <w:rFonts w:ascii="Times New Roman" w:hAnsi="Times New Roman" w:cs="Times New Roman" w:eastAsia="Times New Roman" w:hint="default"/>
                <w:sz w:val="18"/>
                <w:szCs w:val="18"/>
              </w:rPr>
            </w:pPr>
            <w:r>
              <w:rPr>
                <w:rFonts w:ascii="Times New Roman"/>
                <w:sz w:val="18"/>
              </w:rPr>
              <w:t>20,000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8" w:right="0"/>
              <w:jc w:val="left"/>
              <w:rPr>
                <w:rFonts w:ascii="宋体" w:hAnsi="宋体" w:cs="宋体" w:eastAsia="宋体" w:hint="default"/>
                <w:sz w:val="18"/>
                <w:szCs w:val="18"/>
              </w:rPr>
            </w:pPr>
            <w:r>
              <w:rPr>
                <w:rFonts w:ascii="宋体" w:hAnsi="宋体" w:cs="宋体" w:eastAsia="宋体" w:hint="default"/>
                <w:sz w:val="18"/>
                <w:szCs w:val="18"/>
              </w:rPr>
              <w:t>连带责任保</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6"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
              <w:jc w:val="right"/>
              <w:rPr>
                <w:rFonts w:ascii="Times New Roman" w:hAnsi="Times New Roman" w:cs="Times New Roman" w:eastAsia="Times New Roman" w:hint="default"/>
                <w:sz w:val="18"/>
                <w:szCs w:val="18"/>
              </w:rPr>
            </w:pPr>
            <w:r>
              <w:rPr>
                <w:rFonts w:ascii="Times New Roman"/>
                <w:spacing w:val="-2"/>
                <w:sz w:val="18"/>
              </w:rPr>
              <w:t>115,600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报告期内对子公司担保实</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spacing w:val="-2"/>
                <w:sz w:val="18"/>
              </w:rPr>
              <w:t>115,600</w:t>
            </w:r>
          </w:p>
        </w:tc>
      </w:tr>
      <w:tr>
        <w:trPr>
          <w:trHeight w:val="952"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8"/>
              <w:jc w:val="right"/>
              <w:rPr>
                <w:rFonts w:ascii="Times New Roman" w:hAnsi="Times New Roman" w:cs="Times New Roman" w:eastAsia="Times New Roman" w:hint="default"/>
                <w:sz w:val="18"/>
                <w:szCs w:val="18"/>
              </w:rPr>
            </w:pPr>
            <w:r>
              <w:rPr>
                <w:rFonts w:ascii="Times New Roman"/>
                <w:sz w:val="18"/>
              </w:rPr>
              <w:t>146,600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报告期末对子公司实际担</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146,600</w:t>
            </w:r>
          </w:p>
        </w:tc>
      </w:tr>
      <w:tr>
        <w:trPr>
          <w:trHeight w:val="468"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244"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07"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93"/>
              <w:ind w:left="86" w:right="90"/>
              <w:jc w:val="left"/>
              <w:rPr>
                <w:rFonts w:ascii="宋体" w:hAnsi="宋体" w:cs="宋体" w:eastAsia="宋体" w:hint="default"/>
                <w:sz w:val="18"/>
                <w:szCs w:val="18"/>
              </w:rPr>
            </w:pPr>
            <w:r>
              <w:rPr>
                <w:rFonts w:ascii="宋体" w:hAnsi="宋体" w:cs="宋体" w:eastAsia="宋体" w:hint="default"/>
                <w:sz w:val="18"/>
                <w:szCs w:val="18"/>
              </w:rPr>
              <w:t>担保额度 相关公告</w:t>
            </w:r>
          </w:p>
          <w:p>
            <w:pPr>
              <w:pStyle w:val="TableParagraph"/>
              <w:spacing w:line="240" w:lineRule="auto" w:before="54"/>
              <w:ind w:left="8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35" w:type="dxa"/>
            <w:vMerge w:val="restart"/>
            <w:tcBorders>
              <w:top w:val="single" w:sz="4" w:space="0" w:color="000000"/>
              <w:left w:val="single" w:sz="4" w:space="0" w:color="000000"/>
              <w:right w:val="single" w:sz="4" w:space="0" w:color="000000"/>
            </w:tcBorders>
            <w:shd w:val="clear" w:color="auto" w:fill="D2D2D2"/>
          </w:tcPr>
          <w:p>
            <w:pPr/>
          </w:p>
        </w:tc>
        <w:tc>
          <w:tcPr>
            <w:tcW w:w="12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34"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12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9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right="3"/>
              <w:jc w:val="center"/>
              <w:rPr>
                <w:rFonts w:ascii="宋体" w:hAnsi="宋体" w:cs="宋体" w:eastAsia="宋体" w:hint="default"/>
                <w:sz w:val="18"/>
                <w:szCs w:val="18"/>
              </w:rPr>
            </w:pPr>
            <w:r>
              <w:rPr>
                <w:rFonts w:ascii="宋体" w:hAnsi="宋体" w:cs="宋体" w:eastAsia="宋体" w:hint="default"/>
                <w:sz w:val="18"/>
                <w:szCs w:val="18"/>
              </w:rPr>
              <w:t>实际担保金</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right="9"/>
              <w:jc w:val="center"/>
              <w:rPr>
                <w:rFonts w:ascii="宋体" w:hAnsi="宋体" w:cs="宋体" w:eastAsia="宋体" w:hint="default"/>
                <w:sz w:val="18"/>
                <w:szCs w:val="18"/>
              </w:rPr>
            </w:pPr>
            <w:r>
              <w:rPr>
                <w:rFonts w:ascii="宋体" w:hAnsi="宋体" w:cs="宋体" w:eastAsia="宋体" w:hint="default"/>
                <w:sz w:val="18"/>
                <w:szCs w:val="18"/>
              </w:rPr>
              <w:t>是否履行</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24" w:right="0"/>
              <w:jc w:val="left"/>
              <w:rPr>
                <w:rFonts w:ascii="宋体" w:hAnsi="宋体" w:cs="宋体" w:eastAsia="宋体" w:hint="default"/>
                <w:sz w:val="18"/>
                <w:szCs w:val="18"/>
              </w:rPr>
            </w:pPr>
            <w:r>
              <w:rPr>
                <w:rFonts w:ascii="宋体" w:hAnsi="宋体" w:cs="宋体" w:eastAsia="宋体" w:hint="default"/>
                <w:sz w:val="18"/>
                <w:szCs w:val="18"/>
              </w:rPr>
              <w:t>是否为关</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联方担保</w:t>
            </w:r>
          </w:p>
        </w:tc>
      </w:tr>
      <w:tr>
        <w:trPr>
          <w:trHeight w:val="468"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7" w:type="dxa"/>
            <w:vMerge/>
            <w:tcBorders>
              <w:left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9" w:type="dxa"/>
            <w:vMerge/>
            <w:tcBorders>
              <w:left w:val="single" w:sz="4" w:space="0" w:color="000000"/>
              <w:right w:val="single" w:sz="4" w:space="0" w:color="000000"/>
            </w:tcBorders>
            <w:shd w:val="clear" w:color="auto" w:fill="D2D2D2"/>
          </w:tcPr>
          <w:p>
            <w:pPr/>
          </w:p>
        </w:tc>
        <w:tc>
          <w:tcPr>
            <w:tcW w:w="1048"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5"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234"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
        </w:tc>
        <w:tc>
          <w:tcPr>
            <w:tcW w:w="1299" w:type="dxa"/>
            <w:vMerge/>
            <w:tcBorders>
              <w:left w:val="single" w:sz="4" w:space="0" w:color="000000"/>
              <w:bottom w:val="nil" w:sz="6" w:space="0" w:color="auto"/>
              <w:right w:val="single" w:sz="4" w:space="0" w:color="000000"/>
            </w:tcBorders>
            <w:shd w:val="clear" w:color="auto" w:fill="D2D2D2"/>
          </w:tcPr>
          <w:p>
            <w:pPr/>
          </w:p>
        </w:tc>
        <w:tc>
          <w:tcPr>
            <w:tcW w:w="1048"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244"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07"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2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7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947"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9"/>
              <w:jc w:val="right"/>
              <w:rPr>
                <w:rFonts w:ascii="Times New Roman" w:hAnsi="Times New Roman" w:cs="Times New Roman" w:eastAsia="Times New Roman" w:hint="default"/>
                <w:sz w:val="18"/>
                <w:szCs w:val="18"/>
              </w:rPr>
            </w:pPr>
            <w:r>
              <w:rPr>
                <w:rFonts w:ascii="Times New Roman"/>
                <w:spacing w:val="-2"/>
                <w:sz w:val="18"/>
              </w:rPr>
              <w:t>115,600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报告期内担保实际发生额</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spacing w:val="-2"/>
                <w:sz w:val="18"/>
              </w:rPr>
              <w:t>115,600</w:t>
            </w:r>
          </w:p>
        </w:tc>
      </w:tr>
      <w:tr>
        <w:trPr>
          <w:trHeight w:val="946"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8"/>
              <w:jc w:val="right"/>
              <w:rPr>
                <w:rFonts w:ascii="Times New Roman" w:hAnsi="Times New Roman" w:cs="Times New Roman" w:eastAsia="Times New Roman" w:hint="default"/>
                <w:sz w:val="18"/>
                <w:szCs w:val="18"/>
              </w:rPr>
            </w:pPr>
            <w:r>
              <w:rPr>
                <w:rFonts w:ascii="Times New Roman"/>
                <w:sz w:val="18"/>
              </w:rPr>
              <w:t>146,600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报告期末实际担保余额合</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146,600</w:t>
            </w:r>
          </w:p>
        </w:tc>
      </w:tr>
      <w:tr>
        <w:trPr>
          <w:trHeight w:val="48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35.49%</w:t>
            </w:r>
          </w:p>
        </w:tc>
      </w:tr>
      <w:tr>
        <w:trPr>
          <w:trHeight w:val="468"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951"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2"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1"/>
              <w:jc w:val="right"/>
              <w:rPr>
                <w:rFonts w:ascii="Times New Roman" w:hAnsi="Times New Roman" w:cs="Times New Roman" w:eastAsia="Times New Roman" w:hint="default"/>
                <w:sz w:val="18"/>
                <w:szCs w:val="18"/>
              </w:rPr>
            </w:pPr>
            <w:r>
              <w:rPr>
                <w:rFonts w:ascii="Times New Roman"/>
                <w:sz w:val="18"/>
              </w:rPr>
              <w:t>20,000</w:t>
            </w:r>
          </w:p>
        </w:tc>
      </w:tr>
      <w:tr>
        <w:trPr>
          <w:trHeight w:val="479"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20,000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856"/>
        <w:gridCol w:w="4719"/>
      </w:tblGrid>
      <w:tr>
        <w:trPr>
          <w:trHeight w:val="946"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责任的情况说明（如有）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79"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477" w:lineRule="auto" w:before="88"/>
        <w:ind w:left="154" w:right="8052"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 不适用</w:t>
      </w:r>
    </w:p>
    <w:p>
      <w:pPr>
        <w:pStyle w:val="Heading3"/>
        <w:spacing w:line="240" w:lineRule="auto" w:before="29"/>
        <w:ind w:left="154" w:right="0"/>
        <w:jc w:val="left"/>
        <w:rPr>
          <w:b w:val="0"/>
          <w:bCs w:val="0"/>
        </w:rPr>
      </w:pPr>
      <w:bookmarkStart w:name="（2）违规对外担保情况" w:id="94"/>
      <w:bookmarkEnd w:id="94"/>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6"/>
        <w:rPr>
          <w:rFonts w:ascii="宋体" w:hAnsi="宋体" w:cs="宋体" w:eastAsia="宋体" w:hint="default"/>
          <w:b/>
          <w:bCs/>
          <w:sz w:val="15"/>
          <w:szCs w:val="15"/>
        </w:rPr>
      </w:pPr>
    </w:p>
    <w:p>
      <w:pPr>
        <w:spacing w:line="451" w:lineRule="auto" w:before="0"/>
        <w:ind w:left="153" w:right="7486"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 </w:t>
      </w:r>
      <w:bookmarkStart w:name="3、委托他人进行现金资产管理情况" w:id="95"/>
      <w:bookmarkEnd w:id="95"/>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pStyle w:val="Heading3"/>
        <w:spacing w:line="263" w:lineRule="exact"/>
        <w:ind w:right="0"/>
        <w:jc w:val="left"/>
        <w:rPr>
          <w:b w:val="0"/>
          <w:bCs w:val="0"/>
        </w:rPr>
      </w:pPr>
      <w:bookmarkStart w:name="（1）委托理财情况" w:id="96"/>
      <w:bookmarkEnd w:id="9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6"/>
        <w:rPr>
          <w:rFonts w:ascii="宋体" w:hAnsi="宋体" w:cs="宋体" w:eastAsia="宋体" w:hint="default"/>
          <w:b/>
          <w:bCs/>
          <w:sz w:val="15"/>
          <w:szCs w:val="15"/>
        </w:rPr>
      </w:pPr>
    </w:p>
    <w:p>
      <w:pPr>
        <w:spacing w:line="451"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公司报告期不存在委托理财。</w:t>
      </w:r>
    </w:p>
    <w:p>
      <w:pPr>
        <w:pStyle w:val="Heading3"/>
        <w:spacing w:line="240" w:lineRule="auto" w:before="48"/>
        <w:ind w:right="0"/>
        <w:jc w:val="left"/>
        <w:rPr>
          <w:b w:val="0"/>
          <w:bCs w:val="0"/>
        </w:rPr>
      </w:pPr>
      <w:bookmarkStart w:name="（2）委托贷款情况" w:id="97"/>
      <w:bookmarkEnd w:id="97"/>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6"/>
        <w:rPr>
          <w:rFonts w:ascii="宋体" w:hAnsi="宋体" w:cs="宋体" w:eastAsia="宋体" w:hint="default"/>
          <w:b/>
          <w:bCs/>
          <w:sz w:val="15"/>
          <w:szCs w:val="15"/>
        </w:rPr>
      </w:pPr>
    </w:p>
    <w:p>
      <w:pPr>
        <w:spacing w:line="451" w:lineRule="auto" w:before="0"/>
        <w:ind w:left="153" w:right="8413"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 </w:t>
      </w:r>
      <w:bookmarkStart w:name="4、其他重大合同" w:id="98"/>
      <w:bookmarkEnd w:id="98"/>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451"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pStyle w:val="Heading2"/>
        <w:spacing w:line="240" w:lineRule="auto" w:before="25"/>
        <w:ind w:right="0"/>
        <w:jc w:val="left"/>
        <w:rPr>
          <w:b w:val="0"/>
          <w:bCs w:val="0"/>
        </w:rPr>
      </w:pPr>
      <w:bookmarkStart w:name="十八、社会责任情况" w:id="99"/>
      <w:bookmarkEnd w:id="99"/>
      <w:r>
        <w:rPr>
          <w:b w:val="0"/>
          <w:bCs w:val="0"/>
        </w:rPr>
      </w:r>
      <w:r>
        <w:rPr/>
        <w:t>十八、社会责任情况</w:t>
      </w:r>
      <w:r>
        <w:rPr>
          <w:b w:val="0"/>
          <w:bCs w:val="0"/>
        </w:rPr>
      </w:r>
    </w:p>
    <w:p>
      <w:pPr>
        <w:pStyle w:val="BodyText"/>
        <w:spacing w:line="386" w:lineRule="auto" w:before="177"/>
        <w:ind w:left="573" w:right="0" w:hanging="420"/>
        <w:jc w:val="left"/>
      </w:pPr>
      <w:bookmarkStart w:name="1、履行社会责任情况" w:id="100"/>
      <w:bookmarkEnd w:id="100"/>
      <w:r>
        <w:rPr/>
      </w:r>
      <w:r>
        <w:rPr>
          <w:rFonts w:ascii="Times New Roman" w:hAnsi="Times New Roman" w:cs="Times New Roman" w:eastAsia="Times New Roman" w:hint="default"/>
          <w:b/>
          <w:bCs/>
        </w:rPr>
        <w:t>1</w:t>
      </w:r>
      <w:r>
        <w:rPr>
          <w:rFonts w:ascii="宋体" w:hAnsi="宋体" w:cs="宋体" w:eastAsia="宋体" w:hint="default"/>
          <w:b/>
          <w:bCs/>
        </w:rPr>
        <w:t>、履行社会责任情况</w:t>
      </w:r>
      <w:r>
        <w:rPr>
          <w:rFonts w:ascii="宋体" w:hAnsi="宋体" w:cs="宋体" w:eastAsia="宋体" w:hint="default"/>
          <w:b/>
          <w:bCs/>
          <w:w w:val="99"/>
        </w:rPr>
        <w:t> </w:t>
      </w:r>
      <w:r>
        <w:rPr>
          <w:spacing w:val="-1"/>
        </w:rPr>
        <w:t>股东权益保护：公司始终严格按照《公司法》、《证券法》等有关法律法规的要求，不断完善公司法</w:t>
      </w:r>
    </w:p>
    <w:p>
      <w:pPr>
        <w:pStyle w:val="BodyText"/>
        <w:spacing w:line="408" w:lineRule="auto" w:before="65"/>
        <w:ind w:right="1110"/>
        <w:jc w:val="both"/>
      </w:pPr>
      <w:r>
        <w:rPr/>
        <w:t>人治理结构，建立健全内部控制体系，规范公司运作，认真及时履行信息披露义务，提升公司治理水平， </w:t>
      </w:r>
      <w:r>
        <w:rPr>
          <w:spacing w:val="-1"/>
        </w:rPr>
        <w:t>提高公司效益，切实保障全体股东和债权人的合法权益。公司严格按照《上市公司股东大会规则》、《公</w:t>
      </w:r>
      <w:r>
        <w:rPr>
          <w:spacing w:val="-83"/>
        </w:rPr>
        <w:t> </w:t>
      </w:r>
      <w:r>
        <w:rPr>
          <w:spacing w:val="-83"/>
        </w:rPr>
      </w:r>
      <w:r>
        <w:rPr>
          <w:spacing w:val="-1"/>
        </w:rPr>
        <w:t>司章程》及《股东大会议事规则》等规定和要求，召集、召开股东大会，并聘请律师对股东大会的合法性</w:t>
      </w:r>
      <w:r>
        <w:rPr>
          <w:spacing w:val="-83"/>
        </w:rPr>
        <w:t> </w:t>
      </w:r>
      <w:r>
        <w:rPr>
          <w:spacing w:val="-83"/>
        </w:rPr>
      </w:r>
      <w:r>
        <w:rPr>
          <w:spacing w:val="-1"/>
        </w:rPr>
        <w:t>出具法律意见书，平等对待所有股东，特别是保证中小股东享有平等地位，充分行使自己的权利。股东大</w:t>
      </w:r>
      <w:r>
        <w:rPr>
          <w:spacing w:val="-86"/>
        </w:rPr>
        <w:t> </w:t>
      </w:r>
      <w:r>
        <w:rPr>
          <w:spacing w:val="-86"/>
        </w:rPr>
      </w:r>
      <w:r>
        <w:rPr>
          <w:spacing w:val="-1"/>
        </w:rPr>
        <w:t>会审议影响中小投资者利益的重大事项时，对中小投资者的表决进行单独计票，并将单独计票结果及时公</w:t>
      </w:r>
      <w:r>
        <w:rPr>
          <w:spacing w:val="-81"/>
        </w:rPr>
        <w:t> </w:t>
      </w:r>
      <w:r>
        <w:rPr>
          <w:spacing w:val="-81"/>
        </w:rPr>
      </w:r>
      <w:r>
        <w:rPr/>
        <w:t>开披露。</w:t>
      </w:r>
    </w:p>
    <w:p>
      <w:pPr>
        <w:pStyle w:val="BodyText"/>
        <w:spacing w:line="408" w:lineRule="auto"/>
        <w:ind w:right="0" w:firstLine="420"/>
        <w:jc w:val="left"/>
      </w:pPr>
      <w:r>
        <w:rPr/>
        <w:t>职工权益保护：</w:t>
      </w:r>
      <w:r>
        <w:rPr>
          <w:spacing w:val="-21"/>
        </w:rPr>
        <w:t> </w:t>
      </w:r>
      <w:r>
        <w:rPr/>
        <w:t>公司严格遵守《劳动法》、《劳动合同法》等法律法规的要求，与员工签订劳动合</w:t>
      </w:r>
      <w:r>
        <w:rPr/>
        <w:t> </w:t>
      </w:r>
      <w:r>
        <w:rPr>
          <w:spacing w:val="-1"/>
        </w:rPr>
        <w:t>同，办理医疗、养老、失业、工伤、生育等社会保险，为员工缴纳住房公积金、提供健康、安全的生产和</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1"/>
        </w:rPr>
        <w:t>生活环境，切实维护员工的合法利益；公司拥有健全和完善的党委、工会和职工代表大会组织机构，代表</w:t>
      </w:r>
      <w:r>
        <w:rPr>
          <w:spacing w:val="-86"/>
        </w:rPr>
        <w:t> </w:t>
      </w:r>
      <w:r>
        <w:rPr>
          <w:spacing w:val="-86"/>
        </w:rPr>
      </w:r>
      <w:r>
        <w:rPr/>
        <w:t>和维护职工权益。</w:t>
      </w:r>
    </w:p>
    <w:p>
      <w:pPr>
        <w:pStyle w:val="BodyText"/>
        <w:spacing w:line="408" w:lineRule="auto"/>
        <w:ind w:right="1130" w:firstLine="420"/>
        <w:jc w:val="both"/>
      </w:pPr>
      <w:r>
        <w:rPr>
          <w:spacing w:val="-1"/>
        </w:rPr>
        <w:t>公共关系及社会公益事业：公司积极支持国家财政税收和地方经济建设，依法缴纳各种税款，为地方</w:t>
      </w:r>
      <w:r>
        <w:rPr/>
        <w:t> </w:t>
      </w:r>
      <w:r>
        <w:rPr>
          <w:spacing w:val="-1"/>
        </w:rPr>
        <w:t>经济发展做出重要贡献。公司在努力发展自身经济的同时，积极为社会提供就业岗位尤，积极参加所在地</w:t>
      </w:r>
      <w:r>
        <w:rPr>
          <w:spacing w:val="-82"/>
        </w:rPr>
        <w:t> </w:t>
      </w:r>
      <w:r>
        <w:rPr>
          <w:spacing w:val="-82"/>
        </w:rPr>
      </w:r>
      <w:r>
        <w:rPr/>
        <w:t>区的科教卫生、社区建设、扶贫济困等社会公益活动，为社会和谐稳定做出了积极的贡献。</w:t>
      </w:r>
    </w:p>
    <w:p>
      <w:pPr>
        <w:pStyle w:val="BodyText"/>
        <w:spacing w:line="408" w:lineRule="auto"/>
        <w:ind w:right="1140" w:firstLine="336"/>
        <w:jc w:val="both"/>
      </w:pPr>
      <w:r>
        <w:rPr/>
        <w:t>其他利益相关者权益保护：公司充分尊重债权人、供应商、客户、政府组织及非政府组织等其他利益 相关者的合法权益。</w:t>
      </w:r>
    </w:p>
    <w:p>
      <w:pPr>
        <w:pStyle w:val="Heading3"/>
        <w:spacing w:line="240" w:lineRule="auto" w:before="46"/>
        <w:ind w:right="0"/>
        <w:jc w:val="left"/>
        <w:rPr>
          <w:b w:val="0"/>
          <w:bCs w:val="0"/>
        </w:rPr>
      </w:pPr>
      <w:bookmarkStart w:name="2、履行精准扶贫社会责任情况" w:id="101"/>
      <w:bookmarkEnd w:id="101"/>
      <w:r>
        <w:rPr>
          <w:b w:val="0"/>
          <w:bCs w:val="0"/>
        </w:rPr>
      </w:r>
      <w:r>
        <w:rPr>
          <w:rFonts w:ascii="Times New Roman" w:hAnsi="Times New Roman" w:cs="Times New Roman" w:eastAsia="Times New Roman" w:hint="default"/>
        </w:rPr>
        <w:t>2</w:t>
      </w:r>
      <w:r>
        <w:rPr/>
        <w:t>、履行精准扶贫社会责任情况</w:t>
      </w:r>
      <w:r>
        <w:rPr>
          <w:b w:val="0"/>
          <w:bCs w:val="0"/>
        </w:rPr>
      </w:r>
    </w:p>
    <w:p>
      <w:pPr>
        <w:pStyle w:val="Heading3"/>
        <w:spacing w:line="240" w:lineRule="auto" w:before="177"/>
        <w:ind w:right="0"/>
        <w:jc w:val="left"/>
        <w:rPr>
          <w:b w:val="0"/>
          <w:bCs w:val="0"/>
        </w:rPr>
      </w:pPr>
      <w:bookmarkStart w:name="（1）精准扶贫规划" w:id="102"/>
      <w:bookmarkEnd w:id="102"/>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6"/>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公司报告期内暂未开展精准扶贫工作，也暂无后续精准扶贫计划。</w:t>
      </w:r>
    </w:p>
    <w:p>
      <w:pPr>
        <w:spacing w:line="240" w:lineRule="auto" w:before="11"/>
        <w:rPr>
          <w:rFonts w:ascii="宋体" w:hAnsi="宋体" w:cs="宋体" w:eastAsia="宋体" w:hint="default"/>
          <w:sz w:val="15"/>
          <w:szCs w:val="15"/>
        </w:rPr>
      </w:pPr>
    </w:p>
    <w:p>
      <w:pPr>
        <w:pStyle w:val="Heading3"/>
        <w:spacing w:line="240" w:lineRule="auto"/>
        <w:ind w:right="0"/>
        <w:jc w:val="left"/>
        <w:rPr>
          <w:b w:val="0"/>
          <w:bCs w:val="0"/>
        </w:rPr>
      </w:pPr>
      <w:bookmarkStart w:name="（2）年度精准扶贫概要" w:id="103"/>
      <w:bookmarkEnd w:id="103"/>
      <w:r>
        <w:rPr>
          <w:b w:val="0"/>
          <w:bCs w:val="0"/>
        </w:rPr>
      </w:r>
      <w:r>
        <w:rPr/>
        <w:t>（</w:t>
      </w:r>
      <w:r>
        <w:rPr>
          <w:rFonts w:ascii="Times New Roman" w:hAnsi="Times New Roman" w:cs="Times New Roman" w:eastAsia="Times New Roman" w:hint="default"/>
        </w:rPr>
        <w:t>2</w:t>
      </w:r>
      <w:r>
        <w:rPr/>
        <w:t>）年度精准扶贫概要</w:t>
      </w:r>
      <w:r>
        <w:rPr>
          <w:b w:val="0"/>
          <w:bCs w:val="0"/>
        </w:rPr>
      </w:r>
    </w:p>
    <w:p>
      <w:pPr>
        <w:pStyle w:val="Heading3"/>
        <w:spacing w:line="240" w:lineRule="auto" w:before="177"/>
        <w:ind w:right="0"/>
        <w:jc w:val="left"/>
        <w:rPr>
          <w:b w:val="0"/>
          <w:bCs w:val="0"/>
        </w:rPr>
      </w:pPr>
      <w:bookmarkStart w:name="（3）精准扶贫成效" w:id="104"/>
      <w:bookmarkEnd w:id="104"/>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3594"/>
        <w:gridCol w:w="1462"/>
        <w:gridCol w:w="4512"/>
      </w:tblGrid>
      <w:tr>
        <w:trPr>
          <w:trHeight w:val="478"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78"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78"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78"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78"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78"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78"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78"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78"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78"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78"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78"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78"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Heading3"/>
        <w:spacing w:line="240" w:lineRule="auto" w:before="63"/>
        <w:ind w:left="154" w:right="0"/>
        <w:jc w:val="left"/>
        <w:rPr>
          <w:b w:val="0"/>
          <w:bCs w:val="0"/>
        </w:rPr>
      </w:pPr>
      <w:bookmarkStart w:name="（4）后续精准扶贫计划" w:id="105"/>
      <w:bookmarkEnd w:id="105"/>
      <w:r>
        <w:rPr>
          <w:b w:val="0"/>
          <w:bCs w:val="0"/>
        </w:rPr>
      </w:r>
      <w:r>
        <w:rPr/>
        <w:t>（</w:t>
      </w:r>
      <w:r>
        <w:rPr>
          <w:rFonts w:ascii="Times New Roman" w:hAnsi="Times New Roman" w:cs="Times New Roman" w:eastAsia="Times New Roman" w:hint="default"/>
        </w:rPr>
        <w:t>4</w:t>
      </w:r>
      <w:r>
        <w:rPr/>
        <w:t>）后续精准扶贫计划</w:t>
      </w:r>
      <w:r>
        <w:rPr>
          <w:b w:val="0"/>
          <w:bCs w:val="0"/>
        </w:rPr>
      </w:r>
    </w:p>
    <w:p>
      <w:pPr>
        <w:pStyle w:val="Heading3"/>
        <w:spacing w:line="240" w:lineRule="auto" w:before="177"/>
        <w:ind w:left="154" w:right="0"/>
        <w:jc w:val="left"/>
        <w:rPr>
          <w:b w:val="0"/>
          <w:bCs w:val="0"/>
        </w:rPr>
      </w:pPr>
      <w:bookmarkStart w:name="3、环境保护相关的情况" w:id="106"/>
      <w:bookmarkEnd w:id="106"/>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6"/>
        <w:rPr>
          <w:rFonts w:ascii="宋体" w:hAnsi="宋体" w:cs="宋体" w:eastAsia="宋体" w:hint="default"/>
          <w:b/>
          <w:bCs/>
          <w:sz w:val="15"/>
          <w:szCs w:val="15"/>
        </w:rPr>
      </w:pPr>
    </w:p>
    <w:p>
      <w:pPr>
        <w:spacing w:line="477" w:lineRule="auto" w:before="0"/>
        <w:ind w:left="154" w:right="5712"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不适用</w:t>
      </w:r>
    </w:p>
    <w:p>
      <w:pPr>
        <w:spacing w:after="0" w:line="47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
        <w:rPr>
          <w:rFonts w:ascii="宋体" w:hAnsi="宋体" w:cs="宋体" w:eastAsia="宋体" w:hint="default"/>
          <w:sz w:val="14"/>
          <w:szCs w:val="14"/>
        </w:rPr>
      </w:pPr>
    </w:p>
    <w:p>
      <w:pPr>
        <w:pStyle w:val="Heading2"/>
        <w:spacing w:line="240" w:lineRule="auto"/>
        <w:ind w:right="0"/>
        <w:jc w:val="left"/>
        <w:rPr>
          <w:b w:val="0"/>
          <w:bCs w:val="0"/>
        </w:rPr>
      </w:pPr>
      <w:bookmarkStart w:name="十九、其他重大事项的说明" w:id="107"/>
      <w:bookmarkEnd w:id="107"/>
      <w:r>
        <w:rPr>
          <w:b w:val="0"/>
          <w:bCs w:val="0"/>
        </w:rPr>
      </w:r>
      <w:r>
        <w:rPr/>
        <w:t>十九、其他重大事项的说明</w:t>
      </w:r>
      <w:r>
        <w:rPr>
          <w:b w:val="0"/>
          <w:bCs w:val="0"/>
        </w:rPr>
      </w:r>
    </w:p>
    <w:p>
      <w:pPr>
        <w:spacing w:before="2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9"/>
          <w:szCs w:val="9"/>
        </w:rPr>
      </w:pPr>
    </w:p>
    <w:tbl>
      <w:tblPr>
        <w:tblW w:w="0" w:type="auto"/>
        <w:jc w:val="left"/>
        <w:tblInd w:w="137" w:type="dxa"/>
        <w:tblLayout w:type="fixed"/>
        <w:tblCellMar>
          <w:top w:w="0" w:type="dxa"/>
          <w:left w:w="0" w:type="dxa"/>
          <w:bottom w:w="0" w:type="dxa"/>
          <w:right w:w="0" w:type="dxa"/>
        </w:tblCellMar>
        <w:tblLook w:val="01E0"/>
      </w:tblPr>
      <w:tblGrid>
        <w:gridCol w:w="4080"/>
        <w:gridCol w:w="1648"/>
        <w:gridCol w:w="3932"/>
      </w:tblGrid>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重要事项概述</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临时报告披露网站查询索引</w:t>
            </w:r>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第六届董事会第十七次会议（临时）决议公告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关于为全资子公司提供担保的公告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4"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关于涉及诉讼的进展公告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年年度业绩预告修正公告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年度业绩快报</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关于公司及子公司产品列入国家医保目录的公告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第六届董事会第十八次会议决议公告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971"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关于投资参股吉林梅河口农村商业银行股份有限公</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司的公告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4"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关于全资子公司开展售后回租融资租赁业务的公告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 w:right="0"/>
              <w:jc w:val="left"/>
              <w:rPr>
                <w:rFonts w:ascii="宋体" w:hAnsi="宋体" w:cs="宋体" w:eastAsia="宋体" w:hint="default"/>
                <w:sz w:val="18"/>
                <w:szCs w:val="18"/>
              </w:rPr>
            </w:pPr>
            <w:r>
              <w:rPr>
                <w:rFonts w:ascii="宋体" w:hAnsi="宋体" w:cs="宋体" w:eastAsia="宋体" w:hint="default"/>
                <w:sz w:val="18"/>
                <w:szCs w:val="18"/>
              </w:rPr>
              <w:t>关于分别为全资子公司提供担保的公告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第六届董事会第十九次会议（临时）决议公告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关于为全资子公司提供担保的公告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关于全资子公司收到政府补助的公告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年第一季度业绩预告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4"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第六届董事会第二十次会议决议公告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 w:right="0"/>
              <w:jc w:val="left"/>
              <w:rPr>
                <w:rFonts w:ascii="宋体" w:hAnsi="宋体" w:cs="宋体" w:eastAsia="宋体" w:hint="default"/>
                <w:sz w:val="18"/>
                <w:szCs w:val="18"/>
              </w:rPr>
            </w:pPr>
            <w:r>
              <w:rPr>
                <w:rFonts w:ascii="宋体" w:hAnsi="宋体" w:cs="宋体" w:eastAsia="宋体" w:hint="default"/>
                <w:sz w:val="18"/>
                <w:szCs w:val="18"/>
              </w:rPr>
              <w:t>关于设立子公司的公告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关于分别为全资子公司提供担保的公告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第六届董事会第二十一次会议决议公告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第六届监事会第四次会议决议公告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年年度报告摘要</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972"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451" w:lineRule="auto" w:before="99"/>
              <w:ind w:left="2" w:right="100"/>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年第一季度报告正 文</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 w:right="0"/>
              <w:jc w:val="left"/>
              <w:rPr>
                <w:rFonts w:ascii="宋体" w:hAnsi="宋体" w:cs="宋体" w:eastAsia="宋体" w:hint="default"/>
                <w:sz w:val="18"/>
                <w:szCs w:val="18"/>
              </w:rPr>
            </w:pPr>
            <w:r>
              <w:rPr>
                <w:rFonts w:ascii="宋体" w:hAnsi="宋体" w:cs="宋体" w:eastAsia="宋体" w:hint="default"/>
                <w:sz w:val="18"/>
                <w:szCs w:val="18"/>
              </w:rPr>
              <w:t>关于会计政策变更的公告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7" w:type="dxa"/>
        <w:tblLayout w:type="fixed"/>
        <w:tblCellMar>
          <w:top w:w="0" w:type="dxa"/>
          <w:left w:w="0" w:type="dxa"/>
          <w:bottom w:w="0" w:type="dxa"/>
          <w:right w:w="0" w:type="dxa"/>
        </w:tblCellMar>
        <w:tblLook w:val="01E0"/>
      </w:tblPr>
      <w:tblGrid>
        <w:gridCol w:w="4080"/>
        <w:gridCol w:w="1648"/>
        <w:gridCol w:w="3932"/>
      </w:tblGrid>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关于聘任证券事务代表的公告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81"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关于变更营业范围并修订公司章程的公告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81"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年年度股东大会的公告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81"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4"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关于举行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年年度报告网上说明会的公告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81"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 w:right="0"/>
              <w:jc w:val="left"/>
              <w:rPr>
                <w:rFonts w:ascii="宋体" w:hAnsi="宋体" w:cs="宋体" w:eastAsia="宋体" w:hint="default"/>
                <w:sz w:val="18"/>
                <w:szCs w:val="18"/>
              </w:rPr>
            </w:pPr>
            <w:r>
              <w:rPr>
                <w:rFonts w:ascii="宋体" w:hAnsi="宋体" w:cs="宋体" w:eastAsia="宋体" w:hint="default"/>
                <w:sz w:val="18"/>
                <w:szCs w:val="18"/>
              </w:rPr>
              <w:t>第六届董事会第二十二次会议（临时）决议公告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381"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971"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关于全资子公司分别开展售后回租融资租赁业务的</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81"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971"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关于分别为全资子公司开展售后回租融资租赁业务</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提供担保的公告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81"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关于公司收到政府补助的公告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81"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第六届董事会第二十三次会议（临时）决议公告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81"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4"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关于签订技术服务合同的公告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81"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 w:right="0"/>
              <w:jc w:val="left"/>
              <w:rPr>
                <w:rFonts w:ascii="宋体" w:hAnsi="宋体" w:cs="宋体" w:eastAsia="宋体" w:hint="default"/>
                <w:sz w:val="18"/>
                <w:szCs w:val="18"/>
              </w:rPr>
            </w:pPr>
            <w:r>
              <w:rPr>
                <w:rFonts w:ascii="宋体" w:hAnsi="宋体" w:cs="宋体" w:eastAsia="宋体" w:hint="default"/>
                <w:sz w:val="18"/>
                <w:szCs w:val="18"/>
              </w:rPr>
              <w:t>关于签署购销协议书的公告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381"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年年度股东大会决议公告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81"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971"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关于股东完成股票质押式回购交易购回并进行股票</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质押式回购交易的公告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81"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关于公司收到政府补助的公告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81"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关于深圳证券交易所</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年年报问询函的回复公告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1440"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463" w:lineRule="auto" w:before="99"/>
              <w:ind w:left="2" w:right="1"/>
              <w:jc w:val="both"/>
              <w:rPr>
                <w:rFonts w:ascii="宋体" w:hAnsi="宋体" w:cs="宋体" w:eastAsia="宋体" w:hint="default"/>
                <w:sz w:val="18"/>
                <w:szCs w:val="18"/>
              </w:rPr>
            </w:pPr>
            <w:r>
              <w:rPr>
                <w:rFonts w:ascii="宋体" w:hAnsi="宋体" w:cs="宋体" w:eastAsia="宋体" w:hint="default"/>
                <w:spacing w:val="-4"/>
                <w:sz w:val="18"/>
                <w:szCs w:val="18"/>
              </w:rPr>
              <w:t>中准会计师事务所（特殊普通合伙）《关于对吉林紫</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鑫药业股份有限公司</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年年报的问询函》的回复确</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认意见</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 w:right="0"/>
              <w:jc w:val="left"/>
              <w:rPr>
                <w:rFonts w:ascii="宋体" w:hAnsi="宋体" w:cs="宋体" w:eastAsia="宋体" w:hint="default"/>
                <w:sz w:val="18"/>
                <w:szCs w:val="18"/>
              </w:rPr>
            </w:pPr>
            <w:r>
              <w:rPr>
                <w:rFonts w:ascii="宋体" w:hAnsi="宋体" w:cs="宋体" w:eastAsia="宋体" w:hint="default"/>
                <w:sz w:val="18"/>
                <w:szCs w:val="18"/>
              </w:rPr>
              <w:t>第六届董事会第二十四次会议决议公告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关于公司全资子公司间资产划转的公告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第六届董事会第二十五次会议决议公告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关于设立子公司的公告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关于为全资子公司提供担保的公告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504"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关于控股股东参与设立产业并购基金的公告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 w:right="0"/>
              <w:jc w:val="left"/>
              <w:rPr>
                <w:rFonts w:ascii="宋体" w:hAnsi="宋体" w:cs="宋体" w:eastAsia="宋体" w:hint="default"/>
                <w:sz w:val="18"/>
                <w:szCs w:val="18"/>
              </w:rPr>
            </w:pPr>
            <w:r>
              <w:rPr>
                <w:rFonts w:ascii="宋体" w:hAnsi="宋体" w:cs="宋体" w:eastAsia="宋体" w:hint="default"/>
                <w:sz w:val="18"/>
                <w:szCs w:val="18"/>
              </w:rPr>
              <w:t>关于股东股权质押解除和再次质押公告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7" w:type="dxa"/>
        <w:tblLayout w:type="fixed"/>
        <w:tblCellMar>
          <w:top w:w="0" w:type="dxa"/>
          <w:left w:w="0" w:type="dxa"/>
          <w:bottom w:w="0" w:type="dxa"/>
          <w:right w:w="0" w:type="dxa"/>
        </w:tblCellMar>
        <w:tblLook w:val="01E0"/>
      </w:tblPr>
      <w:tblGrid>
        <w:gridCol w:w="4080"/>
        <w:gridCol w:w="1648"/>
        <w:gridCol w:w="3932"/>
      </w:tblGrid>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第六届董事会第二十六次会议决议公告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22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关于公司员工持股计划延期的公告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22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关于为全资子公司提供担保的公告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22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972"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关于股东完成股票质押式回购交易购回并进行股票</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质押式回购交易的公告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年半年度报告摘要</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22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独立董事关于相关事项的独立意见</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22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年半年度报告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22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年半年度财务报告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22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关于股东股权质押解除和再次质押公告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22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504"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第六届董事会第二十八次会议决议公告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 w:right="0"/>
              <w:jc w:val="left"/>
              <w:rPr>
                <w:rFonts w:ascii="宋体" w:hAnsi="宋体" w:cs="宋体" w:eastAsia="宋体" w:hint="default"/>
                <w:sz w:val="18"/>
                <w:szCs w:val="18"/>
              </w:rPr>
            </w:pPr>
            <w:r>
              <w:rPr>
                <w:rFonts w:ascii="宋体" w:hAnsi="宋体" w:cs="宋体" w:eastAsia="宋体" w:hint="default"/>
                <w:sz w:val="18"/>
                <w:szCs w:val="18"/>
              </w:rPr>
              <w:t>关于设立子公司的公告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关于公司全资孙公司获得发明专利证书的公告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第六届董事会第二十九次会议决议公告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85"/>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关于分别为全资子公司提供担保的公告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85"/>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年第三季度报告正文</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85"/>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504"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年第三季度报告全文</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85"/>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 w:right="0"/>
              <w:jc w:val="left"/>
              <w:rPr>
                <w:rFonts w:ascii="宋体" w:hAnsi="宋体" w:cs="宋体" w:eastAsia="宋体" w:hint="default"/>
                <w:sz w:val="18"/>
                <w:szCs w:val="18"/>
              </w:rPr>
            </w:pPr>
            <w:r>
              <w:rPr>
                <w:rFonts w:ascii="宋体" w:hAnsi="宋体" w:cs="宋体" w:eastAsia="宋体" w:hint="default"/>
                <w:sz w:val="18"/>
                <w:szCs w:val="18"/>
              </w:rPr>
              <w:t>关于签署购销框架协议的公告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22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971"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关于股东完成股票质押式回购交易购回并进行股票</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质押式回购交易及股权质押的公告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85"/>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关于股东进行股票质押式回购交易的公告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85"/>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第六届董事会第三十次会议决议公告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85"/>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第六届董事会第三十一次会议（临时）决议公告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85"/>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504"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第六届董事会第三十二次会议（临时）决议公告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85"/>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 w:right="0"/>
              <w:jc w:val="left"/>
              <w:rPr>
                <w:rFonts w:ascii="宋体" w:hAnsi="宋体" w:cs="宋体" w:eastAsia="宋体" w:hint="default"/>
                <w:sz w:val="18"/>
                <w:szCs w:val="18"/>
              </w:rPr>
            </w:pPr>
            <w:r>
              <w:rPr>
                <w:rFonts w:ascii="宋体" w:hAnsi="宋体" w:cs="宋体" w:eastAsia="宋体" w:hint="default"/>
                <w:sz w:val="18"/>
                <w:szCs w:val="18"/>
              </w:rPr>
              <w:t>关于与耶鲁大学签署合作研究协议的公告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85"/>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关于公司收到政府补助的公告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85"/>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504"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关于股东完成股票质押式回购交易购回并进行股票</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22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7" w:type="dxa"/>
        <w:tblLayout w:type="fixed"/>
        <w:tblCellMar>
          <w:top w:w="0" w:type="dxa"/>
          <w:left w:w="0" w:type="dxa"/>
          <w:bottom w:w="0" w:type="dxa"/>
          <w:right w:w="0" w:type="dxa"/>
        </w:tblCellMar>
        <w:tblLook w:val="01E0"/>
      </w:tblPr>
      <w:tblGrid>
        <w:gridCol w:w="4080"/>
        <w:gridCol w:w="1648"/>
        <w:gridCol w:w="3932"/>
      </w:tblGrid>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质押式回购交易的公告</w:t>
            </w:r>
          </w:p>
        </w:tc>
        <w:tc>
          <w:tcPr>
            <w:tcW w:w="1648" w:type="dxa"/>
            <w:tcBorders>
              <w:top w:val="single" w:sz="6" w:space="0" w:color="000000"/>
              <w:left w:val="single" w:sz="6" w:space="0" w:color="000000"/>
              <w:bottom w:val="single" w:sz="6" w:space="0" w:color="000000"/>
              <w:right w:val="single" w:sz="6" w:space="0" w:color="000000"/>
            </w:tcBorders>
          </w:tcPr>
          <w:p>
            <w:pPr/>
          </w:p>
        </w:tc>
        <w:tc>
          <w:tcPr>
            <w:tcW w:w="3932" w:type="dxa"/>
            <w:tcBorders>
              <w:top w:val="single" w:sz="6" w:space="0" w:color="000000"/>
              <w:left w:val="single" w:sz="6" w:space="0" w:color="000000"/>
              <w:bottom w:val="single" w:sz="6" w:space="0" w:color="000000"/>
              <w:right w:val="single" w:sz="6" w:space="0" w:color="000000"/>
            </w:tcBorders>
          </w:tcPr>
          <w:p>
            <w:pPr/>
          </w:p>
        </w:tc>
      </w:tr>
      <w:tr>
        <w:trPr>
          <w:trHeight w:val="503"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关于全资子公司收到政府补助的公告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971"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关于控股股东代替公司承担民事赔偿责任的关联交</w:t>
            </w: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易公告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504"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关于涉及诉讼的进展公告暨诉讼完结公告</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p>
      <w:pPr>
        <w:pStyle w:val="Heading2"/>
        <w:spacing w:line="240" w:lineRule="auto" w:before="26"/>
        <w:ind w:left="154" w:right="0"/>
        <w:jc w:val="left"/>
        <w:rPr>
          <w:b w:val="0"/>
          <w:bCs w:val="0"/>
        </w:rPr>
      </w:pPr>
      <w:bookmarkStart w:name="二十、公司子公司重大事项" w:id="108"/>
      <w:bookmarkEnd w:id="108"/>
      <w:r>
        <w:rPr>
          <w:b w:val="0"/>
          <w:bCs w:val="0"/>
        </w:rPr>
      </w:r>
      <w:r>
        <w:rPr/>
        <w:t>二十、公司子公司重大事项</w:t>
      </w:r>
      <w:r>
        <w:rPr>
          <w:b w:val="0"/>
          <w:bCs w:val="0"/>
        </w:rPr>
      </w:r>
    </w:p>
    <w:p>
      <w:pPr>
        <w:spacing w:before="2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9"/>
          <w:szCs w:val="9"/>
        </w:rPr>
      </w:pPr>
    </w:p>
    <w:tbl>
      <w:tblPr>
        <w:tblW w:w="0" w:type="auto"/>
        <w:jc w:val="left"/>
        <w:tblInd w:w="137" w:type="dxa"/>
        <w:tblLayout w:type="fixed"/>
        <w:tblCellMar>
          <w:top w:w="0" w:type="dxa"/>
          <w:left w:w="0" w:type="dxa"/>
          <w:bottom w:w="0" w:type="dxa"/>
          <w:right w:w="0" w:type="dxa"/>
        </w:tblCellMar>
        <w:tblLook w:val="01E0"/>
      </w:tblPr>
      <w:tblGrid>
        <w:gridCol w:w="4256"/>
        <w:gridCol w:w="1610"/>
        <w:gridCol w:w="3792"/>
      </w:tblGrid>
      <w:tr>
        <w:trPr>
          <w:trHeight w:val="503"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重要事项概述</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临时报告披露网站查询索引</w:t>
            </w:r>
          </w:p>
        </w:tc>
      </w:tr>
      <w:tr>
        <w:trPr>
          <w:trHeight w:val="503"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关于为全资子公司提供担保的公告</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4"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关于公司及子公司产品列入国家医保目录的公告</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 w:right="0"/>
              <w:jc w:val="left"/>
              <w:rPr>
                <w:rFonts w:ascii="宋体" w:hAnsi="宋体" w:cs="宋体" w:eastAsia="宋体" w:hint="default"/>
                <w:sz w:val="18"/>
                <w:szCs w:val="18"/>
              </w:rPr>
            </w:pPr>
            <w:r>
              <w:rPr>
                <w:rFonts w:ascii="宋体" w:hAnsi="宋体" w:cs="宋体" w:eastAsia="宋体" w:hint="default"/>
                <w:sz w:val="18"/>
                <w:szCs w:val="18"/>
              </w:rPr>
              <w:t>关于全资子公司开展售后回租融资租赁业务的公告</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关于分别为全资子公司提供担保的公告</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关于为全资子公司提供担保的公告</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关于全资子公司收到政府补助的公告</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关于设立子公司的公告</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4"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关于分别为全资子公司提供担保的公告</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971"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 w:right="0"/>
              <w:jc w:val="left"/>
              <w:rPr>
                <w:rFonts w:ascii="宋体" w:hAnsi="宋体" w:cs="宋体" w:eastAsia="宋体" w:hint="default"/>
                <w:sz w:val="18"/>
                <w:szCs w:val="18"/>
              </w:rPr>
            </w:pPr>
            <w:r>
              <w:rPr>
                <w:rFonts w:ascii="宋体" w:hAnsi="宋体" w:cs="宋体" w:eastAsia="宋体" w:hint="default"/>
                <w:sz w:val="18"/>
                <w:szCs w:val="18"/>
              </w:rPr>
              <w:t>关于全资子公司分别开展售后回租融资租赁业务的公</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告</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971"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关于分别为全资子公司开展售后回租融资租赁业务提</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供担保的公告</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关于公司全资子公司间资产划转的公告</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关于设立子公司的公告</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关于为全资子公司提供担保的公告</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4"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关于为全资子公司提供担保的公告</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 w:right="0"/>
              <w:jc w:val="left"/>
              <w:rPr>
                <w:rFonts w:ascii="宋体" w:hAnsi="宋体" w:cs="宋体" w:eastAsia="宋体" w:hint="default"/>
                <w:sz w:val="18"/>
                <w:szCs w:val="18"/>
              </w:rPr>
            </w:pPr>
            <w:r>
              <w:rPr>
                <w:rFonts w:ascii="宋体" w:hAnsi="宋体" w:cs="宋体" w:eastAsia="宋体" w:hint="default"/>
                <w:sz w:val="18"/>
                <w:szCs w:val="18"/>
              </w:rPr>
              <w:t>关于设立子公司的公告</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关于公司全资孙公司获得发明专利证书的公告</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4"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关于分别为全资子公司提供担保的公告</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7" w:type="dxa"/>
        <w:tblLayout w:type="fixed"/>
        <w:tblCellMar>
          <w:top w:w="0" w:type="dxa"/>
          <w:left w:w="0" w:type="dxa"/>
          <w:bottom w:w="0" w:type="dxa"/>
          <w:right w:w="0" w:type="dxa"/>
        </w:tblCellMar>
        <w:tblLook w:val="01E0"/>
      </w:tblPr>
      <w:tblGrid>
        <w:gridCol w:w="4256"/>
        <w:gridCol w:w="1610"/>
        <w:gridCol w:w="3792"/>
      </w:tblGrid>
      <w:tr>
        <w:trPr>
          <w:trHeight w:val="504" w:hRule="exact"/>
        </w:trPr>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关于全资子公司收到政府补助的公告</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10"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6"/>
          <w:szCs w:val="16"/>
        </w:rPr>
      </w:pPr>
    </w:p>
    <w:p>
      <w:pPr>
        <w:pStyle w:val="Heading1"/>
        <w:spacing w:line="240" w:lineRule="auto" w:before="1"/>
        <w:ind w:left="2965" w:right="0"/>
        <w:jc w:val="left"/>
        <w:rPr>
          <w:b w:val="0"/>
          <w:bCs w:val="0"/>
        </w:rPr>
      </w:pPr>
      <w:bookmarkStart w:name="第六节 股份变动及股东情况" w:id="109"/>
      <w:bookmarkEnd w:id="109"/>
      <w:r>
        <w:rPr>
          <w:b w:val="0"/>
          <w:bCs w:val="0"/>
        </w:rPr>
      </w:r>
      <w:bookmarkStart w:name="_bookmark5" w:id="110"/>
      <w:bookmarkEnd w:id="110"/>
      <w:r>
        <w:rPr>
          <w:b w:val="0"/>
          <w:bCs w:val="0"/>
        </w:rPr>
      </w:r>
      <w:r>
        <w:rPr/>
        <w:t>第六节</w:t>
      </w:r>
      <w:r>
        <w:rPr>
          <w:spacing w:val="-10"/>
        </w:rPr>
        <w:t> </w:t>
      </w:r>
      <w:r>
        <w:rPr/>
        <w:t>股份变动及股东情况</w:t>
      </w:r>
      <w:r>
        <w:rPr>
          <w:b w:val="0"/>
          <w:bCs w:val="0"/>
        </w:rPr>
      </w:r>
    </w:p>
    <w:p>
      <w:pPr>
        <w:spacing w:line="240" w:lineRule="auto" w:before="10"/>
        <w:rPr>
          <w:rFonts w:ascii="宋体" w:hAnsi="宋体" w:cs="宋体" w:eastAsia="宋体" w:hint="default"/>
          <w:b/>
          <w:bCs/>
          <w:sz w:val="12"/>
          <w:szCs w:val="12"/>
        </w:rPr>
      </w:pPr>
    </w:p>
    <w:p>
      <w:pPr>
        <w:pStyle w:val="Heading2"/>
        <w:spacing w:line="240" w:lineRule="auto" w:before="26"/>
        <w:ind w:right="0"/>
        <w:jc w:val="left"/>
        <w:rPr>
          <w:b w:val="0"/>
          <w:bCs w:val="0"/>
        </w:rPr>
      </w:pPr>
      <w:bookmarkStart w:name="一、股份变动情况" w:id="111"/>
      <w:bookmarkEnd w:id="111"/>
      <w:r>
        <w:rPr>
          <w:b w:val="0"/>
          <w:bCs w:val="0"/>
        </w:rPr>
      </w:r>
      <w:r>
        <w:rPr/>
        <w:t>一、股份变动情况</w:t>
      </w:r>
      <w:r>
        <w:rPr>
          <w:b w:val="0"/>
          <w:bCs w:val="0"/>
        </w:rPr>
      </w:r>
    </w:p>
    <w:p>
      <w:pPr>
        <w:pStyle w:val="Heading3"/>
        <w:spacing w:line="240" w:lineRule="auto" w:before="177"/>
        <w:ind w:right="0"/>
        <w:jc w:val="left"/>
        <w:rPr>
          <w:b w:val="0"/>
          <w:bCs w:val="0"/>
        </w:rPr>
      </w:pPr>
      <w:bookmarkStart w:name="1、股份变动情况" w:id="112"/>
      <w:bookmarkEnd w:id="112"/>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78"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239"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公积金转</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28"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40"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239"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39"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255,328,0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5" w:right="0"/>
              <w:jc w:val="left"/>
              <w:rPr>
                <w:rFonts w:ascii="Times New Roman" w:hAnsi="Times New Roman" w:cs="Times New Roman" w:eastAsia="Times New Roman" w:hint="default"/>
                <w:sz w:val="18"/>
                <w:szCs w:val="18"/>
              </w:rPr>
            </w:pPr>
            <w:r>
              <w:rPr>
                <w:rFonts w:ascii="Times New Roman"/>
                <w:sz w:val="18"/>
              </w:rPr>
              <w:t>19.94%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255,328,0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06" w:right="0"/>
              <w:jc w:val="left"/>
              <w:rPr>
                <w:rFonts w:ascii="Times New Roman" w:hAnsi="Times New Roman" w:cs="Times New Roman" w:eastAsia="Times New Roman" w:hint="default"/>
                <w:sz w:val="18"/>
                <w:szCs w:val="18"/>
              </w:rPr>
            </w:pPr>
            <w:r>
              <w:rPr>
                <w:rFonts w:ascii="Times New Roman"/>
                <w:sz w:val="18"/>
              </w:rPr>
              <w:t>19.94%</w:t>
            </w:r>
          </w:p>
        </w:tc>
      </w:tr>
      <w:tr>
        <w:trPr>
          <w:trHeight w:val="468"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239"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239"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255,328,0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5" w:right="0"/>
              <w:jc w:val="left"/>
              <w:rPr>
                <w:rFonts w:ascii="Times New Roman" w:hAnsi="Times New Roman" w:cs="Times New Roman" w:eastAsia="Times New Roman" w:hint="default"/>
                <w:sz w:val="18"/>
                <w:szCs w:val="18"/>
              </w:rPr>
            </w:pPr>
            <w:r>
              <w:rPr>
                <w:rFonts w:ascii="Times New Roman"/>
                <w:sz w:val="18"/>
              </w:rPr>
              <w:t>19.94%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255,328,0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06" w:right="0"/>
              <w:jc w:val="left"/>
              <w:rPr>
                <w:rFonts w:ascii="Times New Roman" w:hAnsi="Times New Roman" w:cs="Times New Roman" w:eastAsia="Times New Roman" w:hint="default"/>
                <w:sz w:val="18"/>
                <w:szCs w:val="18"/>
              </w:rPr>
            </w:pPr>
            <w:r>
              <w:rPr>
                <w:rFonts w:ascii="Times New Roman"/>
                <w:sz w:val="18"/>
              </w:rPr>
              <w:t>19.94%</w:t>
            </w:r>
          </w:p>
        </w:tc>
      </w:tr>
      <w:tr>
        <w:trPr>
          <w:trHeight w:val="468"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239"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240"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159,235,6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5" w:right="0"/>
              <w:jc w:val="left"/>
              <w:rPr>
                <w:rFonts w:ascii="Times New Roman" w:hAnsi="Times New Roman" w:cs="Times New Roman" w:eastAsia="Times New Roman" w:hint="default"/>
                <w:sz w:val="18"/>
                <w:szCs w:val="18"/>
              </w:rPr>
            </w:pPr>
            <w:r>
              <w:rPr>
                <w:rFonts w:ascii="Times New Roman"/>
                <w:sz w:val="18"/>
              </w:rPr>
              <w:t>12.43%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159,235,6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6" w:right="0"/>
              <w:jc w:val="left"/>
              <w:rPr>
                <w:rFonts w:ascii="Times New Roman" w:hAnsi="Times New Roman" w:cs="Times New Roman" w:eastAsia="Times New Roman" w:hint="default"/>
                <w:sz w:val="18"/>
                <w:szCs w:val="18"/>
              </w:rPr>
            </w:pPr>
            <w:r>
              <w:rPr>
                <w:rFonts w:ascii="Times New Roman"/>
                <w:sz w:val="18"/>
              </w:rPr>
              <w:t>12.43%</w:t>
            </w:r>
          </w:p>
        </w:tc>
      </w:tr>
      <w:tr>
        <w:trPr>
          <w:trHeight w:val="468"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239"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239"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96,092,34</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25" w:right="0"/>
              <w:jc w:val="left"/>
              <w:rPr>
                <w:rFonts w:ascii="Times New Roman" w:hAnsi="Times New Roman" w:cs="Times New Roman" w:eastAsia="Times New Roman" w:hint="default"/>
                <w:sz w:val="18"/>
                <w:szCs w:val="18"/>
              </w:rPr>
            </w:pPr>
            <w:r>
              <w:rPr>
                <w:rFonts w:ascii="Times New Roman"/>
                <w:sz w:val="18"/>
              </w:rPr>
              <w:t>7.50%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96,092,34</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96" w:right="0"/>
              <w:jc w:val="left"/>
              <w:rPr>
                <w:rFonts w:ascii="Times New Roman" w:hAnsi="Times New Roman" w:cs="Times New Roman" w:eastAsia="Times New Roman" w:hint="default"/>
                <w:sz w:val="18"/>
                <w:szCs w:val="18"/>
              </w:rPr>
            </w:pPr>
            <w:r>
              <w:rPr>
                <w:rFonts w:ascii="Times New Roman"/>
                <w:sz w:val="18"/>
              </w:rPr>
              <w:t>7.50%</w:t>
            </w:r>
          </w:p>
        </w:tc>
      </w:tr>
      <w:tr>
        <w:trPr>
          <w:trHeight w:val="468"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239"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239"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128"/>
              <w:ind w:left="18" w:right="0"/>
              <w:jc w:val="left"/>
              <w:rPr>
                <w:rFonts w:ascii="Times New Roman" w:hAnsi="Times New Roman" w:cs="Times New Roman" w:eastAsia="Times New Roman" w:hint="default"/>
                <w:sz w:val="18"/>
                <w:szCs w:val="18"/>
              </w:rPr>
            </w:pPr>
            <w:r>
              <w:rPr>
                <w:rFonts w:ascii="Times New Roman"/>
                <w:sz w:val="18"/>
              </w:rPr>
              <w:t>1,025,431,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12" w:right="0"/>
              <w:jc w:val="left"/>
              <w:rPr>
                <w:rFonts w:ascii="Times New Roman" w:hAnsi="Times New Roman" w:cs="Times New Roman" w:eastAsia="Times New Roman" w:hint="default"/>
                <w:sz w:val="18"/>
                <w:szCs w:val="18"/>
              </w:rPr>
            </w:pPr>
            <w:r>
              <w:rPr>
                <w:rFonts w:ascii="Times New Roman"/>
                <w:sz w:val="18"/>
              </w:rPr>
              <w:t>814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5" w:right="0"/>
              <w:jc w:val="left"/>
              <w:rPr>
                <w:rFonts w:ascii="Times New Roman" w:hAnsi="Times New Roman" w:cs="Times New Roman" w:eastAsia="Times New Roman" w:hint="default"/>
                <w:sz w:val="18"/>
                <w:szCs w:val="18"/>
              </w:rPr>
            </w:pPr>
            <w:r>
              <w:rPr>
                <w:rFonts w:ascii="Times New Roman"/>
                <w:sz w:val="18"/>
              </w:rPr>
              <w:t>80.06%</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8"/>
              <w:ind w:left="41" w:right="0"/>
              <w:jc w:val="left"/>
              <w:rPr>
                <w:rFonts w:ascii="Times New Roman" w:hAnsi="Times New Roman" w:cs="Times New Roman" w:eastAsia="Times New Roman" w:hint="default"/>
                <w:sz w:val="18"/>
                <w:szCs w:val="18"/>
              </w:rPr>
            </w:pPr>
            <w:r>
              <w:rPr>
                <w:rFonts w:ascii="Times New Roman"/>
                <w:sz w:val="18"/>
              </w:rPr>
              <w:t>1,025,431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47" w:right="0"/>
              <w:jc w:val="left"/>
              <w:rPr>
                <w:rFonts w:ascii="Times New Roman" w:hAnsi="Times New Roman" w:cs="Times New Roman" w:eastAsia="Times New Roman" w:hint="default"/>
                <w:sz w:val="18"/>
                <w:szCs w:val="18"/>
              </w:rPr>
            </w:pPr>
            <w:r>
              <w:rPr>
                <w:rFonts w:ascii="Times New Roman"/>
                <w:sz w:val="18"/>
              </w:rPr>
              <w:t>,814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06" w:right="0"/>
              <w:jc w:val="left"/>
              <w:rPr>
                <w:rFonts w:ascii="Times New Roman" w:hAnsi="Times New Roman" w:cs="Times New Roman" w:eastAsia="Times New Roman" w:hint="default"/>
                <w:sz w:val="18"/>
                <w:szCs w:val="18"/>
              </w:rPr>
            </w:pPr>
            <w:r>
              <w:rPr>
                <w:rFonts w:ascii="Times New Roman"/>
                <w:sz w:val="18"/>
              </w:rPr>
              <w:t>80.06%</w:t>
            </w:r>
          </w:p>
        </w:tc>
      </w:tr>
      <w:tr>
        <w:trPr>
          <w:trHeight w:val="468"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239"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240"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129"/>
              <w:ind w:left="18" w:right="0"/>
              <w:jc w:val="left"/>
              <w:rPr>
                <w:rFonts w:ascii="Times New Roman" w:hAnsi="Times New Roman" w:cs="Times New Roman" w:eastAsia="Times New Roman" w:hint="default"/>
                <w:sz w:val="18"/>
                <w:szCs w:val="18"/>
              </w:rPr>
            </w:pPr>
            <w:r>
              <w:rPr>
                <w:rFonts w:ascii="Times New Roman"/>
                <w:sz w:val="18"/>
              </w:rPr>
              <w:t>1,025,431,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12" w:right="0"/>
              <w:jc w:val="left"/>
              <w:rPr>
                <w:rFonts w:ascii="Times New Roman" w:hAnsi="Times New Roman" w:cs="Times New Roman" w:eastAsia="Times New Roman" w:hint="default"/>
                <w:sz w:val="18"/>
                <w:szCs w:val="18"/>
              </w:rPr>
            </w:pPr>
            <w:r>
              <w:rPr>
                <w:rFonts w:ascii="Times New Roman"/>
                <w:sz w:val="18"/>
              </w:rPr>
              <w:t>814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5" w:right="0"/>
              <w:jc w:val="left"/>
              <w:rPr>
                <w:rFonts w:ascii="Times New Roman" w:hAnsi="Times New Roman" w:cs="Times New Roman" w:eastAsia="Times New Roman" w:hint="default"/>
                <w:sz w:val="18"/>
                <w:szCs w:val="18"/>
              </w:rPr>
            </w:pPr>
            <w:r>
              <w:rPr>
                <w:rFonts w:ascii="Times New Roman"/>
                <w:sz w:val="18"/>
              </w:rPr>
              <w:t>80.06%</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9"/>
              <w:ind w:left="41" w:right="0"/>
              <w:jc w:val="left"/>
              <w:rPr>
                <w:rFonts w:ascii="Times New Roman" w:hAnsi="Times New Roman" w:cs="Times New Roman" w:eastAsia="Times New Roman" w:hint="default"/>
                <w:sz w:val="18"/>
                <w:szCs w:val="18"/>
              </w:rPr>
            </w:pPr>
            <w:r>
              <w:rPr>
                <w:rFonts w:ascii="Times New Roman"/>
                <w:sz w:val="18"/>
              </w:rPr>
              <w:t>1,025,431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47" w:right="0"/>
              <w:jc w:val="left"/>
              <w:rPr>
                <w:rFonts w:ascii="Times New Roman" w:hAnsi="Times New Roman" w:cs="Times New Roman" w:eastAsia="Times New Roman" w:hint="default"/>
                <w:sz w:val="18"/>
                <w:szCs w:val="18"/>
              </w:rPr>
            </w:pPr>
            <w:r>
              <w:rPr>
                <w:rFonts w:ascii="Times New Roman"/>
                <w:sz w:val="18"/>
              </w:rPr>
              <w:t>,814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6" w:right="0"/>
              <w:jc w:val="left"/>
              <w:rPr>
                <w:rFonts w:ascii="Times New Roman" w:hAnsi="Times New Roman" w:cs="Times New Roman" w:eastAsia="Times New Roman" w:hint="default"/>
                <w:sz w:val="18"/>
                <w:szCs w:val="18"/>
              </w:rPr>
            </w:pPr>
            <w:r>
              <w:rPr>
                <w:rFonts w:ascii="Times New Roman"/>
                <w:sz w:val="18"/>
              </w:rPr>
              <w:t>80.06%</w:t>
            </w:r>
          </w:p>
        </w:tc>
      </w:tr>
      <w:tr>
        <w:trPr>
          <w:trHeight w:val="468"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239"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239"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128"/>
              <w:ind w:left="18" w:right="0"/>
              <w:jc w:val="left"/>
              <w:rPr>
                <w:rFonts w:ascii="Times New Roman" w:hAnsi="Times New Roman" w:cs="Times New Roman" w:eastAsia="Times New Roman" w:hint="default"/>
                <w:sz w:val="18"/>
                <w:szCs w:val="18"/>
              </w:rPr>
            </w:pPr>
            <w:r>
              <w:rPr>
                <w:rFonts w:ascii="Times New Roman"/>
                <w:sz w:val="18"/>
              </w:rPr>
              <w:t>1,280,759,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12" w:right="0"/>
              <w:jc w:val="left"/>
              <w:rPr>
                <w:rFonts w:ascii="Times New Roman" w:hAnsi="Times New Roman" w:cs="Times New Roman" w:eastAsia="Times New Roman" w:hint="default"/>
                <w:sz w:val="18"/>
                <w:szCs w:val="18"/>
              </w:rPr>
            </w:pPr>
            <w:r>
              <w:rPr>
                <w:rFonts w:ascii="Times New Roman"/>
                <w:sz w:val="18"/>
              </w:rPr>
              <w:t>826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8"/>
              <w:ind w:left="41" w:right="0"/>
              <w:jc w:val="left"/>
              <w:rPr>
                <w:rFonts w:ascii="Times New Roman" w:hAnsi="Times New Roman" w:cs="Times New Roman" w:eastAsia="Times New Roman" w:hint="default"/>
                <w:sz w:val="18"/>
                <w:szCs w:val="18"/>
              </w:rPr>
            </w:pPr>
            <w:r>
              <w:rPr>
                <w:rFonts w:ascii="Times New Roman"/>
                <w:sz w:val="18"/>
              </w:rPr>
              <w:t>1,280,759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47" w:right="0"/>
              <w:jc w:val="left"/>
              <w:rPr>
                <w:rFonts w:ascii="Times New Roman" w:hAnsi="Times New Roman" w:cs="Times New Roman" w:eastAsia="Times New Roman" w:hint="default"/>
                <w:sz w:val="18"/>
                <w:szCs w:val="18"/>
              </w:rPr>
            </w:pPr>
            <w:r>
              <w:rPr>
                <w:rFonts w:ascii="Times New Roman"/>
                <w:sz w:val="18"/>
              </w:rPr>
              <w:t>,826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468"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239"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240" w:lineRule="auto" w:before="10"/>
        <w:rPr>
          <w:rFonts w:ascii="宋体" w:hAnsi="宋体" w:cs="宋体" w:eastAsia="宋体" w:hint="default"/>
          <w:sz w:val="17"/>
          <w:szCs w:val="17"/>
        </w:rPr>
      </w:pPr>
    </w:p>
    <w:p>
      <w:pPr>
        <w:spacing w:line="451" w:lineRule="auto" w:before="0"/>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股份变动的批准情况</w:t>
      </w:r>
    </w:p>
    <w:p>
      <w:pPr>
        <w:spacing w:line="451" w:lineRule="auto" w:before="74"/>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股份变动的过户情况</w:t>
      </w:r>
    </w:p>
    <w:p>
      <w:pPr>
        <w:spacing w:line="451" w:lineRule="auto" w:before="74"/>
        <w:ind w:left="153" w:right="13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before="7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line="240" w:lineRule="auto" w:before="10"/>
        <w:rPr>
          <w:rFonts w:ascii="宋体" w:hAnsi="宋体" w:cs="宋体" w:eastAsia="宋体" w:hint="default"/>
          <w:sz w:val="17"/>
          <w:szCs w:val="1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2、限售股份变动情况" w:id="113"/>
      <w:bookmarkEnd w:id="113"/>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7"/>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3"/>
          <w:szCs w:val="13"/>
        </w:rPr>
      </w:pPr>
    </w:p>
    <w:p>
      <w:pPr>
        <w:pStyle w:val="Heading2"/>
        <w:spacing w:line="240" w:lineRule="auto"/>
        <w:ind w:right="0"/>
        <w:jc w:val="left"/>
        <w:rPr>
          <w:b w:val="0"/>
          <w:bCs w:val="0"/>
        </w:rPr>
      </w:pPr>
      <w:bookmarkStart w:name="二、证券发行与上市情况" w:id="114"/>
      <w:bookmarkEnd w:id="114"/>
      <w:r>
        <w:rPr>
          <w:b w:val="0"/>
          <w:bCs w:val="0"/>
        </w:rPr>
      </w:r>
      <w:r>
        <w:rPr/>
        <w:t>二、证券发行与上市情况</w:t>
      </w:r>
      <w:r>
        <w:rPr>
          <w:b w:val="0"/>
          <w:bCs w:val="0"/>
        </w:rPr>
      </w:r>
    </w:p>
    <w:p>
      <w:pPr>
        <w:pStyle w:val="Heading3"/>
        <w:spacing w:line="240" w:lineRule="auto" w:before="177"/>
        <w:ind w:right="0"/>
        <w:jc w:val="left"/>
        <w:rPr>
          <w:b w:val="0"/>
          <w:bCs w:val="0"/>
        </w:rPr>
      </w:pPr>
      <w:bookmarkStart w:name="1、报告期内证券发行（不含优先股）情况" w:id="115"/>
      <w:bookmarkEnd w:id="115"/>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6"/>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2、公司股份总数及股东结构的变动、公司资产和负债结构的变动情况说明" w:id="116"/>
      <w:bookmarkEnd w:id="116"/>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6"/>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3、现存的内部职工股情况" w:id="117"/>
      <w:bookmarkEnd w:id="117"/>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6"/>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3"/>
          <w:szCs w:val="13"/>
        </w:rPr>
      </w:pPr>
    </w:p>
    <w:p>
      <w:pPr>
        <w:pStyle w:val="Heading2"/>
        <w:spacing w:line="240" w:lineRule="auto"/>
        <w:ind w:right="0"/>
        <w:jc w:val="left"/>
        <w:rPr>
          <w:b w:val="0"/>
          <w:bCs w:val="0"/>
        </w:rPr>
      </w:pPr>
      <w:bookmarkStart w:name="三、股东和实际控制人情况" w:id="118"/>
      <w:bookmarkEnd w:id="118"/>
      <w:r>
        <w:rPr>
          <w:b w:val="0"/>
          <w:bCs w:val="0"/>
        </w:rPr>
      </w:r>
      <w:r>
        <w:rPr/>
        <w:t>三、股东和实际控制人情况</w:t>
      </w:r>
      <w:r>
        <w:rPr>
          <w:b w:val="0"/>
          <w:bCs w:val="0"/>
        </w:rPr>
      </w:r>
    </w:p>
    <w:p>
      <w:pPr>
        <w:pStyle w:val="Heading3"/>
        <w:spacing w:line="240" w:lineRule="auto" w:before="177"/>
        <w:ind w:right="0"/>
        <w:jc w:val="left"/>
        <w:rPr>
          <w:b w:val="0"/>
          <w:bCs w:val="0"/>
        </w:rPr>
      </w:pPr>
      <w:bookmarkStart w:name="1、公司股东数量及持股情况" w:id="119"/>
      <w:bookmarkEnd w:id="119"/>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2"/>
        <w:gridCol w:w="317"/>
        <w:gridCol w:w="1033"/>
        <w:gridCol w:w="140"/>
        <w:gridCol w:w="1207"/>
      </w:tblGrid>
      <w:tr>
        <w:trPr>
          <w:trHeight w:val="239"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661" w:right="0"/>
              <w:jc w:val="left"/>
              <w:rPr>
                <w:rFonts w:ascii="Times New Roman" w:hAnsi="Times New Roman" w:cs="Times New Roman" w:eastAsia="Times New Roman" w:hint="default"/>
                <w:sz w:val="18"/>
                <w:szCs w:val="18"/>
              </w:rPr>
            </w:pPr>
            <w:r>
              <w:rPr>
                <w:rFonts w:ascii="Times New Roman"/>
                <w:sz w:val="18"/>
              </w:rPr>
              <w:t>45,366</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672" w:right="0"/>
              <w:jc w:val="left"/>
              <w:rPr>
                <w:rFonts w:ascii="Times New Roman" w:hAnsi="Times New Roman" w:cs="Times New Roman" w:eastAsia="Times New Roman" w:hint="default"/>
                <w:sz w:val="18"/>
                <w:szCs w:val="18"/>
              </w:rPr>
            </w:pPr>
            <w:r>
              <w:rPr>
                <w:rFonts w:ascii="Times New Roman"/>
                <w:sz w:val="18"/>
              </w:rPr>
              <w:t>41,567</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88"/>
              <w:ind w:left="11" w:right="8"/>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p>
          <w:p>
            <w:pPr>
              <w:pStyle w:val="TableParagraph"/>
              <w:spacing w:line="240" w:lineRule="auto" w:before="54"/>
              <w:ind w:left="11" w:right="0"/>
              <w:jc w:val="both"/>
              <w:rPr>
                <w:rFonts w:ascii="宋体" w:hAnsi="宋体" w:cs="宋体" w:eastAsia="宋体" w:hint="default"/>
                <w:sz w:val="18"/>
                <w:szCs w:val="18"/>
              </w:rPr>
            </w:pP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0</w:t>
            </w:r>
          </w:p>
        </w:tc>
      </w:tr>
      <w:tr>
        <w:trPr>
          <w:trHeight w:val="234"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477" w:lineRule="auto" w:before="89"/>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240" w:lineRule="auto" w:before="54"/>
              <w:ind w:left="11" w:right="0"/>
              <w:jc w:val="both"/>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121"/>
                <w:sz w:val="18"/>
                <w:szCs w:val="18"/>
              </w:rPr>
              <w:t>）</w:t>
            </w:r>
            <w:r>
              <w:rPr>
                <w:rFonts w:ascii="宋体" w:hAnsi="宋体" w:cs="宋体" w:eastAsia="宋体" w:hint="default"/>
                <w:sz w:val="18"/>
                <w:szCs w:val="18"/>
              </w:rPr>
              <w:t>（参见</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468"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477" w:lineRule="auto" w:before="88"/>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w:t>
            </w:r>
          </w:p>
          <w:p>
            <w:pPr>
              <w:pStyle w:val="TableParagraph"/>
              <w:spacing w:line="240" w:lineRule="auto" w:before="54"/>
              <w:ind w:left="11" w:right="0"/>
              <w:jc w:val="both"/>
              <w:rPr>
                <w:rFonts w:ascii="宋体" w:hAnsi="宋体" w:cs="宋体" w:eastAsia="宋体" w:hint="default"/>
                <w:sz w:val="18"/>
                <w:szCs w:val="18"/>
              </w:rPr>
            </w:pPr>
            <w:r>
              <w:rPr>
                <w:rFonts w:ascii="宋体" w:hAnsi="宋体" w:cs="宋体" w:eastAsia="宋体" w:hint="default"/>
                <w:sz w:val="18"/>
                <w:szCs w:val="18"/>
              </w:rPr>
              <w:t>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936"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报告期末普通</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468"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234"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245"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468"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44"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报告期内</w:t>
            </w:r>
          </w:p>
          <w:p>
            <w:pPr>
              <w:pStyle w:val="TableParagraph"/>
              <w:spacing w:line="460" w:lineRule="atLeast" w:before="8"/>
              <w:ind w:left="28" w:right="29"/>
              <w:jc w:val="center"/>
              <w:rPr>
                <w:rFonts w:ascii="宋体" w:hAnsi="宋体" w:cs="宋体" w:eastAsia="宋体" w:hint="default"/>
                <w:sz w:val="18"/>
                <w:szCs w:val="18"/>
              </w:rPr>
            </w:pPr>
            <w:r>
              <w:rPr>
                <w:rFonts w:ascii="宋体" w:hAnsi="宋体" w:cs="宋体" w:eastAsia="宋体" w:hint="default"/>
                <w:sz w:val="18"/>
                <w:szCs w:val="18"/>
              </w:rPr>
              <w:t>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27" w:right="-2"/>
              <w:jc w:val="left"/>
              <w:rPr>
                <w:rFonts w:ascii="宋体" w:hAnsi="宋体" w:cs="宋体" w:eastAsia="宋体" w:hint="default"/>
                <w:sz w:val="18"/>
                <w:szCs w:val="18"/>
              </w:rPr>
            </w:pPr>
            <w:r>
              <w:rPr>
                <w:rFonts w:ascii="宋体" w:hAnsi="宋体" w:cs="宋体" w:eastAsia="宋体" w:hint="default"/>
                <w:sz w:val="18"/>
                <w:szCs w:val="18"/>
              </w:rPr>
              <w:t>持有有限</w:t>
            </w:r>
          </w:p>
          <w:p>
            <w:pPr>
              <w:pStyle w:val="TableParagraph"/>
              <w:spacing w:line="460" w:lineRule="atLeast" w:before="8"/>
              <w:ind w:left="27" w:right="-2"/>
              <w:jc w:val="left"/>
              <w:rPr>
                <w:rFonts w:ascii="宋体" w:hAnsi="宋体" w:cs="宋体" w:eastAsia="宋体" w:hint="default"/>
                <w:sz w:val="18"/>
                <w:szCs w:val="18"/>
              </w:rPr>
            </w:pPr>
            <w:r>
              <w:rPr>
                <w:rFonts w:ascii="宋体" w:hAnsi="宋体" w:cs="宋体" w:eastAsia="宋体" w:hint="default"/>
                <w:sz w:val="18"/>
                <w:szCs w:val="18"/>
              </w:rPr>
              <w:t>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85" w:right="0"/>
              <w:jc w:val="left"/>
              <w:rPr>
                <w:rFonts w:ascii="宋体" w:hAnsi="宋体" w:cs="宋体" w:eastAsia="宋体" w:hint="default"/>
                <w:sz w:val="18"/>
                <w:szCs w:val="18"/>
              </w:rPr>
            </w:pPr>
            <w:r>
              <w:rPr>
                <w:rFonts w:ascii="宋体" w:hAnsi="宋体" w:cs="宋体" w:eastAsia="宋体" w:hint="default"/>
                <w:sz w:val="18"/>
                <w:szCs w:val="18"/>
              </w:rPr>
              <w:t>持有无限</w:t>
            </w:r>
          </w:p>
          <w:p>
            <w:pPr>
              <w:pStyle w:val="TableParagraph"/>
              <w:spacing w:line="460" w:lineRule="atLeast" w:before="8"/>
              <w:ind w:left="85" w:right="54"/>
              <w:jc w:val="left"/>
              <w:rPr>
                <w:rFonts w:ascii="宋体" w:hAnsi="宋体" w:cs="宋体" w:eastAsia="宋体" w:hint="default"/>
                <w:sz w:val="18"/>
                <w:szCs w:val="18"/>
              </w:rPr>
            </w:pPr>
            <w:r>
              <w:rPr>
                <w:rFonts w:ascii="宋体" w:hAnsi="宋体" w:cs="宋体" w:eastAsia="宋体" w:hint="default"/>
                <w:sz w:val="18"/>
                <w:szCs w:val="18"/>
              </w:rPr>
              <w:t>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23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27" w:right="0"/>
              <w:jc w:val="left"/>
              <w:rPr>
                <w:rFonts w:ascii="宋体" w:hAnsi="宋体" w:cs="宋体" w:eastAsia="宋体" w:hint="default"/>
                <w:sz w:val="18"/>
                <w:szCs w:val="18"/>
              </w:rPr>
            </w:pPr>
            <w:r>
              <w:rPr>
                <w:rFonts w:ascii="宋体" w:hAnsi="宋体" w:cs="宋体" w:eastAsia="宋体" w:hint="default"/>
                <w:sz w:val="18"/>
                <w:szCs w:val="18"/>
              </w:rPr>
              <w:t>报告期末</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3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6"/>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6"/>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6"/>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348"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29"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3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bottom w:val="nil" w:sz="6" w:space="0" w:color="auto"/>
              <w:right w:val="single" w:sz="4" w:space="0" w:color="000000"/>
            </w:tcBorders>
            <w:shd w:val="clear" w:color="auto" w:fill="D2D2D2"/>
          </w:tcPr>
          <w:p>
            <w:pPr/>
          </w:p>
        </w:tc>
        <w:tc>
          <w:tcPr>
            <w:tcW w:w="1348" w:type="dxa"/>
            <w:gridSpan w:val="2"/>
            <w:vMerge/>
            <w:tcBorders>
              <w:left w:val="single" w:sz="4" w:space="0" w:color="000000"/>
              <w:bottom w:val="nil" w:sz="6" w:space="0" w:color="auto"/>
              <w:right w:val="single" w:sz="4" w:space="0" w:color="000000"/>
            </w:tcBorders>
            <w:shd w:val="clear" w:color="auto" w:fill="D2D2D2"/>
          </w:tcPr>
          <w:p>
            <w:pPr/>
          </w:p>
        </w:tc>
      </w:tr>
      <w:tr>
        <w:trPr>
          <w:trHeight w:val="236"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348"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94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敦化市康平投资</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00" w:right="0"/>
              <w:jc w:val="left"/>
              <w:rPr>
                <w:rFonts w:ascii="Times New Roman" w:hAnsi="Times New Roman" w:cs="Times New Roman" w:eastAsia="Times New Roman" w:hint="default"/>
                <w:sz w:val="18"/>
                <w:szCs w:val="18"/>
              </w:rPr>
            </w:pPr>
            <w:r>
              <w:rPr>
                <w:rFonts w:ascii="Times New Roman"/>
                <w:sz w:val="18"/>
              </w:rPr>
              <w:t>39.27%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502,950,0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Times New Roman" w:hAnsi="Times New Roman" w:cs="Times New Roman" w:eastAsia="Times New Roman" w:hint="default"/>
                <w:sz w:val="18"/>
                <w:szCs w:val="18"/>
              </w:rPr>
            </w:pPr>
            <w:r>
              <w:rPr>
                <w:rFonts w:ascii="Times New Roman"/>
                <w:sz w:val="18"/>
              </w:rPr>
              <w:t>0.00</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502,950,0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15" w:right="0"/>
              <w:jc w:val="left"/>
              <w:rPr>
                <w:rFonts w:ascii="Times New Roman" w:hAnsi="Times New Roman" w:cs="Times New Roman" w:eastAsia="Times New Roman" w:hint="default"/>
                <w:sz w:val="18"/>
                <w:szCs w:val="18"/>
              </w:rPr>
            </w:pPr>
            <w:r>
              <w:rPr>
                <w:rFonts w:ascii="Times New Roman"/>
                <w:sz w:val="18"/>
              </w:rPr>
              <w:t>501,360,000</w:t>
            </w:r>
          </w:p>
        </w:tc>
      </w:tr>
      <w:tr>
        <w:trPr>
          <w:trHeight w:val="94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仲桂兰</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0" w:right="0"/>
              <w:jc w:val="left"/>
              <w:rPr>
                <w:rFonts w:ascii="Times New Roman" w:hAnsi="Times New Roman" w:cs="Times New Roman" w:eastAsia="Times New Roman" w:hint="default"/>
                <w:sz w:val="18"/>
                <w:szCs w:val="18"/>
              </w:rPr>
            </w:pPr>
            <w:r>
              <w:rPr>
                <w:rFonts w:ascii="Times New Roman"/>
                <w:sz w:val="18"/>
              </w:rPr>
              <w:t>4.97%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63,694,26</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0.00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
              <w:jc w:val="right"/>
              <w:rPr>
                <w:rFonts w:ascii="Times New Roman" w:hAnsi="Times New Roman" w:cs="Times New Roman" w:eastAsia="Times New Roman" w:hint="default"/>
                <w:sz w:val="18"/>
                <w:szCs w:val="18"/>
              </w:rPr>
            </w:pPr>
            <w:r>
              <w:rPr>
                <w:rFonts w:ascii="Times New Roman"/>
                <w:sz w:val="18"/>
              </w:rPr>
              <w:t>63,694,26</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6</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05" w:right="0"/>
              <w:jc w:val="left"/>
              <w:rPr>
                <w:rFonts w:ascii="Times New Roman" w:hAnsi="Times New Roman" w:cs="Times New Roman" w:eastAsia="Times New Roman" w:hint="default"/>
                <w:sz w:val="18"/>
                <w:szCs w:val="18"/>
              </w:rPr>
            </w:pPr>
            <w:r>
              <w:rPr>
                <w:rFonts w:ascii="Times New Roman"/>
                <w:sz w:val="18"/>
              </w:rPr>
              <w:t>63,694,200</w:t>
            </w:r>
          </w:p>
        </w:tc>
      </w:tr>
      <w:tr>
        <w:trPr>
          <w:trHeight w:val="47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北京富德昊邦投</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90" w:right="0"/>
              <w:jc w:val="left"/>
              <w:rPr>
                <w:rFonts w:ascii="Times New Roman" w:hAnsi="Times New Roman" w:cs="Times New Roman" w:eastAsia="Times New Roman" w:hint="default"/>
                <w:sz w:val="18"/>
                <w:szCs w:val="18"/>
              </w:rPr>
            </w:pPr>
            <w:r>
              <w:rPr>
                <w:rFonts w:ascii="Times New Roman"/>
                <w:sz w:val="18"/>
              </w:rPr>
              <w:t>4.97%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2" w:right="0"/>
              <w:jc w:val="left"/>
              <w:rPr>
                <w:rFonts w:ascii="Times New Roman" w:hAnsi="Times New Roman" w:cs="Times New Roman" w:eastAsia="Times New Roman" w:hint="default"/>
                <w:sz w:val="18"/>
                <w:szCs w:val="18"/>
              </w:rPr>
            </w:pPr>
            <w:r>
              <w:rPr>
                <w:rFonts w:ascii="Times New Roman"/>
                <w:sz w:val="18"/>
              </w:rPr>
              <w:t>63,694,26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0.00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3" w:right="-9"/>
              <w:jc w:val="left"/>
              <w:rPr>
                <w:rFonts w:ascii="Times New Roman" w:hAnsi="Times New Roman" w:cs="Times New Roman" w:eastAsia="Times New Roman" w:hint="default"/>
                <w:sz w:val="18"/>
                <w:szCs w:val="18"/>
              </w:rPr>
            </w:pPr>
            <w:r>
              <w:rPr>
                <w:rFonts w:ascii="Times New Roman"/>
                <w:sz w:val="18"/>
              </w:rPr>
              <w:t>63,694,26</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05" w:right="0"/>
              <w:jc w:val="left"/>
              <w:rPr>
                <w:rFonts w:ascii="Times New Roman" w:hAnsi="Times New Roman" w:cs="Times New Roman" w:eastAsia="Times New Roman" w:hint="default"/>
                <w:sz w:val="18"/>
                <w:szCs w:val="18"/>
              </w:rPr>
            </w:pPr>
            <w:r>
              <w:rPr>
                <w:rFonts w:ascii="Times New Roman"/>
                <w:sz w:val="18"/>
              </w:rPr>
              <w:t>63,210,000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786"/>
        <w:gridCol w:w="788"/>
        <w:gridCol w:w="787"/>
        <w:gridCol w:w="840"/>
        <w:gridCol w:w="1349"/>
        <w:gridCol w:w="1348"/>
      </w:tblGrid>
      <w:tr>
        <w:trPr>
          <w:trHeight w:val="94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资中心（有限合</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41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z w:val="18"/>
              </w:rPr>
              <w:t>6</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z w:val="18"/>
              </w:rPr>
              <w:t>6</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上海红樱资产管</w:t>
            </w: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sz w:val="18"/>
              </w:rPr>
              <w:t>4.97%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63,694,26</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Times New Roman" w:hAnsi="Times New Roman" w:cs="Times New Roman" w:eastAsia="Times New Roman" w:hint="default"/>
                <w:sz w:val="18"/>
                <w:szCs w:val="18"/>
              </w:rPr>
            </w:pPr>
            <w:r>
              <w:rPr>
                <w:rFonts w:ascii="Times New Roman"/>
                <w:sz w:val="18"/>
              </w:rPr>
              <w:t>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63,694,26</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z w:val="18"/>
              </w:rPr>
              <w:t>63,210,000</w:t>
            </w:r>
          </w:p>
        </w:tc>
      </w:tr>
      <w:tr>
        <w:trPr>
          <w:trHeight w:val="94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仲维光</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4.83%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61,922,55</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Times New Roman" w:hAnsi="Times New Roman" w:cs="Times New Roman" w:eastAsia="Times New Roman" w:hint="default"/>
                <w:sz w:val="18"/>
                <w:szCs w:val="18"/>
              </w:rPr>
            </w:pPr>
            <w:r>
              <w:rPr>
                <w:rFonts w:ascii="Times New Roman"/>
                <w:sz w:val="18"/>
              </w:rPr>
              <w:t>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61,922,55</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94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郭华</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2.49%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31,847,13</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Times New Roman" w:hAnsi="Times New Roman" w:cs="Times New Roman" w:eastAsia="Times New Roman" w:hint="default"/>
                <w:sz w:val="18"/>
                <w:szCs w:val="18"/>
              </w:rPr>
            </w:pPr>
            <w:r>
              <w:rPr>
                <w:rFonts w:ascii="Times New Roman"/>
                <w:sz w:val="18"/>
              </w:rPr>
              <w:t>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31,847,13</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31,800,000</w:t>
            </w:r>
          </w:p>
        </w:tc>
      </w:tr>
      <w:tr>
        <w:trPr>
          <w:trHeight w:val="14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9"/>
              <w:ind w:left="22" w:right="22"/>
              <w:jc w:val="left"/>
              <w:rPr>
                <w:rFonts w:ascii="宋体" w:hAnsi="宋体" w:cs="宋体" w:eastAsia="宋体" w:hint="default"/>
                <w:sz w:val="18"/>
                <w:szCs w:val="18"/>
              </w:rPr>
            </w:pPr>
            <w:r>
              <w:rPr>
                <w:rFonts w:ascii="宋体" w:hAnsi="宋体" w:cs="宋体" w:eastAsia="宋体" w:hint="default"/>
                <w:sz w:val="18"/>
                <w:szCs w:val="18"/>
              </w:rPr>
              <w:t>佛山市科技孵化 </w:t>
            </w:r>
            <w:r>
              <w:rPr>
                <w:rFonts w:ascii="宋体" w:hAnsi="宋体" w:cs="宋体" w:eastAsia="宋体" w:hint="default"/>
                <w:spacing w:val="-4"/>
                <w:sz w:val="18"/>
                <w:szCs w:val="18"/>
              </w:rPr>
              <w:t>合伙企业（有限合</w:t>
            </w:r>
          </w:p>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z w:val="18"/>
              </w:rPr>
              <w:t>31,847,13</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z w:val="18"/>
              </w:rPr>
              <w:t>31,847,13</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9,554,000</w:t>
            </w:r>
          </w:p>
        </w:tc>
      </w:tr>
      <w:tr>
        <w:trPr>
          <w:trHeight w:val="23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468" w:lineRule="auto" w:before="88"/>
              <w:ind w:left="22" w:right="131"/>
              <w:jc w:val="both"/>
              <w:rPr>
                <w:rFonts w:ascii="宋体" w:hAnsi="宋体" w:cs="宋体" w:eastAsia="宋体" w:hint="default"/>
                <w:sz w:val="18"/>
                <w:szCs w:val="18"/>
              </w:rPr>
            </w:pPr>
            <w:r>
              <w:rPr>
                <w:rFonts w:ascii="宋体" w:hAnsi="宋体" w:cs="宋体" w:eastAsia="宋体" w:hint="default"/>
                <w:sz w:val="18"/>
                <w:szCs w:val="18"/>
              </w:rPr>
              <w:t>光大兴陇信托有 限责任公司－光 大信托－臻享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 </w:t>
            </w:r>
            <w:r>
              <w:rPr>
                <w:rFonts w:ascii="宋体" w:hAnsi="宋体" w:cs="宋体" w:eastAsia="宋体" w:hint="default"/>
                <w:sz w:val="18"/>
                <w:szCs w:val="18"/>
              </w:rPr>
              <w:t>号证券投资集合</w:t>
            </w:r>
          </w:p>
          <w:p>
            <w:pPr>
              <w:pStyle w:val="TableParagraph"/>
              <w:spacing w:line="240" w:lineRule="auto" w:before="62"/>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资金信托计划</w:t>
            </w:r>
            <w:r>
              <w:rPr>
                <w:rFonts w:ascii="Times New Roman" w:hAnsi="Times New Roman" w:cs="Times New Roman" w:eastAsia="Times New Roman" w:hint="default"/>
                <w:sz w:val="18"/>
                <w:szCs w:val="18"/>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16,697,58</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16,697,58</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w:t>
            </w: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16,697,58</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中信证券股份有</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1.10%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14,092,61</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13,601,75</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14,092,61</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235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468" w:lineRule="auto" w:before="89"/>
              <w:ind w:left="22" w:right="25"/>
              <w:jc w:val="left"/>
              <w:rPr>
                <w:rFonts w:ascii="宋体" w:hAnsi="宋体" w:cs="宋体" w:eastAsia="宋体" w:hint="default"/>
                <w:sz w:val="18"/>
                <w:szCs w:val="18"/>
              </w:rPr>
            </w:pPr>
            <w:r>
              <w:rPr>
                <w:rFonts w:ascii="宋体" w:hAnsi="宋体" w:cs="宋体" w:eastAsia="宋体" w:hint="default"/>
                <w:sz w:val="18"/>
                <w:szCs w:val="18"/>
              </w:rPr>
              <w:t>华鑫国际信托有 限公司－华鑫信 托</w:t>
            </w:r>
            <w:r>
              <w:rPr>
                <w:rFonts w:ascii="Times New Roman" w:hAnsi="Times New Roman" w:cs="Times New Roman" w:eastAsia="Times New Roman" w:hint="default"/>
                <w:sz w:val="18"/>
                <w:szCs w:val="18"/>
              </w:rPr>
              <w:t>·</w:t>
            </w:r>
            <w:r>
              <w:rPr>
                <w:rFonts w:ascii="宋体" w:hAnsi="宋体" w:cs="宋体" w:eastAsia="宋体" w:hint="default"/>
                <w:sz w:val="18"/>
                <w:szCs w:val="18"/>
              </w:rPr>
              <w:t>价值回报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 证券投资集合资</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金信托计划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10,753,00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10,753,00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10,753,00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414"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w:t>
            </w:r>
          </w:p>
          <w:p>
            <w:pPr>
              <w:pStyle w:val="TableParagraph"/>
              <w:spacing w:line="460" w:lineRule="atLeast" w:before="21"/>
              <w:ind w:left="22" w:right="23"/>
              <w:jc w:val="left"/>
              <w:rPr>
                <w:rFonts w:ascii="宋体" w:hAnsi="宋体" w:cs="宋体" w:eastAsia="宋体" w:hint="default"/>
                <w:sz w:val="18"/>
                <w:szCs w:val="18"/>
              </w:rPr>
            </w:pPr>
            <w:r>
              <w:rPr>
                <w:rFonts w:ascii="宋体" w:hAnsi="宋体" w:cs="宋体" w:eastAsia="宋体" w:hint="default"/>
                <w:sz w:val="18"/>
                <w:szCs w:val="18"/>
              </w:rPr>
              <w:t>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pacing w:val="-1"/>
                <w:sz w:val="18"/>
                <w:szCs w:val="18"/>
              </w:rPr>
              <w:t>因非公开发行股份，本次发行对象上海红樱资产管理有限公司、北京富徳昊邦投资中</w:t>
            </w:r>
          </w:p>
          <w:p>
            <w:pPr>
              <w:pStyle w:val="TableParagraph"/>
              <w:spacing w:line="460" w:lineRule="atLeast" w:before="8"/>
              <w:ind w:left="22" w:right="82"/>
              <w:jc w:val="left"/>
              <w:rPr>
                <w:rFonts w:ascii="宋体" w:hAnsi="宋体" w:cs="宋体" w:eastAsia="宋体" w:hint="default"/>
                <w:sz w:val="18"/>
                <w:szCs w:val="18"/>
              </w:rPr>
            </w:pPr>
            <w:r>
              <w:rPr>
                <w:rFonts w:ascii="宋体" w:hAnsi="宋体" w:cs="宋体" w:eastAsia="宋体" w:hint="default"/>
                <w:spacing w:val="-3"/>
                <w:sz w:val="18"/>
                <w:szCs w:val="18"/>
              </w:rPr>
              <w:t>心（有限合伙）、佛山市科技孵化合伙企业（有限合伙）以及自然人仲桂兰、郭华自</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发行结束之日起三十六个月内不得转让。</w:t>
            </w:r>
          </w:p>
        </w:tc>
      </w:tr>
      <w:tr>
        <w:trPr>
          <w:trHeight w:val="1415"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16"/>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451" w:lineRule="auto" w:before="88"/>
              <w:ind w:left="22" w:right="21"/>
              <w:jc w:val="both"/>
              <w:rPr>
                <w:rFonts w:ascii="宋体" w:hAnsi="宋体" w:cs="宋体" w:eastAsia="宋体" w:hint="default"/>
                <w:sz w:val="18"/>
                <w:szCs w:val="18"/>
              </w:rPr>
            </w:pPr>
            <w:r>
              <w:rPr>
                <w:rFonts w:ascii="宋体" w:hAnsi="宋体" w:cs="宋体" w:eastAsia="宋体" w:hint="default"/>
                <w:sz w:val="18"/>
                <w:szCs w:val="18"/>
              </w:rPr>
              <w:t>郭春生先生通过其亲属持有康平公司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77.26%</w:t>
            </w:r>
            <w:r>
              <w:rPr>
                <w:rFonts w:ascii="宋体" w:hAnsi="宋体" w:cs="宋体" w:eastAsia="宋体" w:hint="default"/>
                <w:sz w:val="18"/>
                <w:szCs w:val="18"/>
              </w:rPr>
              <w:t>的股份，康平公司持有本公司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39.27%</w:t>
            </w:r>
            <w:r>
              <w:rPr>
                <w:rFonts w:ascii="宋体" w:hAnsi="宋体" w:cs="宋体" w:eastAsia="宋体" w:hint="default"/>
                <w:sz w:val="18"/>
                <w:szCs w:val="18"/>
              </w:rPr>
              <w:t>的 股份，而持有本公司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4.83%</w:t>
            </w:r>
            <w:r>
              <w:rPr>
                <w:rFonts w:ascii="宋体" w:hAnsi="宋体" w:cs="宋体" w:eastAsia="宋体" w:hint="default"/>
                <w:sz w:val="18"/>
                <w:szCs w:val="18"/>
              </w:rPr>
              <w:t>股份的自然人股东仲维光与持有本公司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4.97%</w:t>
            </w:r>
            <w:r>
              <w:rPr>
                <w:rFonts w:ascii="宋体" w:hAnsi="宋体" w:cs="宋体" w:eastAsia="宋体" w:hint="default"/>
                <w:sz w:val="18"/>
                <w:szCs w:val="18"/>
              </w:rPr>
              <w:t>股份的自然 </w:t>
            </w:r>
            <w:r>
              <w:rPr>
                <w:rFonts w:ascii="宋体" w:hAnsi="宋体" w:cs="宋体" w:eastAsia="宋体" w:hint="default"/>
                <w:spacing w:val="-1"/>
                <w:sz w:val="18"/>
                <w:szCs w:val="18"/>
              </w:rPr>
              <w:t>人股东仲桂兰为郭春生先生的亲属，所以康平公司、仲桂兰女士与仲维光先生存在关</w:t>
            </w:r>
          </w:p>
        </w:tc>
      </w:tr>
    </w:tbl>
    <w:p>
      <w:pPr>
        <w:spacing w:after="0" w:line="451"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2"/>
        <w:gridCol w:w="3990"/>
        <w:gridCol w:w="1349"/>
        <w:gridCol w:w="1348"/>
      </w:tblGrid>
      <w:tr>
        <w:trPr>
          <w:trHeight w:val="946"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451" w:lineRule="auto" w:before="88"/>
              <w:ind w:left="22" w:right="21"/>
              <w:jc w:val="left"/>
              <w:rPr>
                <w:rFonts w:ascii="宋体" w:hAnsi="宋体" w:cs="宋体" w:eastAsia="宋体" w:hint="default"/>
                <w:sz w:val="18"/>
                <w:szCs w:val="18"/>
              </w:rPr>
            </w:pPr>
            <w:r>
              <w:rPr>
                <w:rFonts w:ascii="宋体" w:hAnsi="宋体" w:cs="宋体" w:eastAsia="宋体" w:hint="default"/>
                <w:sz w:val="18"/>
                <w:szCs w:val="18"/>
              </w:rPr>
              <w:t>联关系。除上述情况外，其他前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名股东之间未知是否存在关联关系，也未知是否 属于一致行动人。</w:t>
            </w:r>
          </w:p>
        </w:tc>
      </w:tr>
      <w:tr>
        <w:trPr>
          <w:trHeight w:val="479"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44" w:hRule="exact"/>
        </w:trPr>
        <w:tc>
          <w:tcPr>
            <w:tcW w:w="28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229" w:hRule="exact"/>
        </w:trPr>
        <w:tc>
          <w:tcPr>
            <w:tcW w:w="28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39" w:hRule="exact"/>
        </w:trPr>
        <w:tc>
          <w:tcPr>
            <w:tcW w:w="2882" w:type="dxa"/>
            <w:vMerge/>
            <w:tcBorders>
              <w:left w:val="single" w:sz="4" w:space="0" w:color="000000"/>
              <w:bottom w:val="nil" w:sz="6" w:space="0" w:color="auto"/>
              <w:right w:val="single" w:sz="4" w:space="0" w:color="000000"/>
            </w:tcBorders>
            <w:shd w:val="clear" w:color="auto" w:fill="D2D2D2"/>
          </w:tcPr>
          <w:p>
            <w:pPr/>
          </w:p>
        </w:tc>
        <w:tc>
          <w:tcPr>
            <w:tcW w:w="3990" w:type="dxa"/>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44" w:hRule="exact"/>
        </w:trPr>
        <w:tc>
          <w:tcPr>
            <w:tcW w:w="2882" w:type="dxa"/>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79"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敦化市康平投资有限责任公司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502,950,032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502,950,032</w:t>
            </w:r>
          </w:p>
        </w:tc>
      </w:tr>
      <w:tr>
        <w:trPr>
          <w:trHeight w:val="478"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仲维光</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61,922,552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61,922,552</w:t>
            </w:r>
          </w:p>
        </w:tc>
      </w:tr>
      <w:tr>
        <w:trPr>
          <w:trHeight w:val="14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56"/>
              <w:jc w:val="left"/>
              <w:rPr>
                <w:rFonts w:ascii="宋体" w:hAnsi="宋体" w:cs="宋体" w:eastAsia="宋体" w:hint="default"/>
                <w:sz w:val="18"/>
                <w:szCs w:val="18"/>
              </w:rPr>
            </w:pPr>
            <w:r>
              <w:rPr>
                <w:rFonts w:ascii="宋体" w:hAnsi="宋体" w:cs="宋体" w:eastAsia="宋体" w:hint="default"/>
                <w:sz w:val="18"/>
                <w:szCs w:val="18"/>
              </w:rPr>
              <w:t>光大兴陇信托有限责任公司－光大 信托－臻享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 </w:t>
            </w:r>
            <w:r>
              <w:rPr>
                <w:rFonts w:ascii="宋体" w:hAnsi="宋体" w:cs="宋体" w:eastAsia="宋体" w:hint="default"/>
                <w:sz w:val="18"/>
                <w:szCs w:val="18"/>
              </w:rPr>
              <w:t>号证券投资集合资金</w:t>
            </w:r>
          </w:p>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信托计划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16,697,582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16,697,582</w:t>
            </w:r>
          </w:p>
        </w:tc>
      </w:tr>
      <w:tr>
        <w:trPr>
          <w:trHeight w:val="479"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14,092,617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14,092,617</w:t>
            </w:r>
          </w:p>
        </w:tc>
      </w:tr>
      <w:tr>
        <w:trPr>
          <w:trHeight w:val="14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23"/>
              <w:jc w:val="left"/>
              <w:rPr>
                <w:rFonts w:ascii="宋体" w:hAnsi="宋体" w:cs="宋体" w:eastAsia="宋体" w:hint="default"/>
                <w:sz w:val="18"/>
                <w:szCs w:val="18"/>
              </w:rPr>
            </w:pPr>
            <w:r>
              <w:rPr>
                <w:rFonts w:ascii="宋体" w:hAnsi="宋体" w:cs="宋体" w:eastAsia="宋体" w:hint="default"/>
                <w:sz w:val="18"/>
                <w:szCs w:val="18"/>
              </w:rPr>
              <w:t>华鑫国际信托有限公司－华鑫信 托</w:t>
            </w:r>
            <w:r>
              <w:rPr>
                <w:rFonts w:ascii="Times New Roman" w:hAnsi="Times New Roman" w:cs="Times New Roman" w:eastAsia="Times New Roman" w:hint="default"/>
                <w:sz w:val="18"/>
                <w:szCs w:val="18"/>
              </w:rPr>
              <w:t>·</w:t>
            </w:r>
            <w:r>
              <w:rPr>
                <w:rFonts w:ascii="宋体" w:hAnsi="宋体" w:cs="宋体" w:eastAsia="宋体" w:hint="default"/>
                <w:sz w:val="18"/>
                <w:szCs w:val="18"/>
              </w:rPr>
              <w:t>价值回报</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75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号证券投资集合资金</w:t>
            </w:r>
          </w:p>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信托计划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10,753,000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10,753,000</w:t>
            </w:r>
          </w:p>
        </w:tc>
      </w:tr>
      <w:tr>
        <w:trPr>
          <w:trHeight w:val="14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光大兴陇信托有限责任公司－光大</w:t>
            </w: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451" w:lineRule="auto"/>
              <w:ind w:left="22" w:right="56"/>
              <w:jc w:val="left"/>
              <w:rPr>
                <w:rFonts w:ascii="宋体" w:hAnsi="宋体" w:cs="宋体" w:eastAsia="宋体" w:hint="default"/>
                <w:sz w:val="18"/>
                <w:szCs w:val="18"/>
              </w:rPr>
            </w:pPr>
            <w:r>
              <w:rPr>
                <w:rFonts w:ascii="宋体" w:hAnsi="宋体" w:cs="宋体" w:eastAsia="宋体" w:hint="default"/>
                <w:sz w:val="18"/>
                <w:szCs w:val="18"/>
              </w:rPr>
              <w:t>信托－臻享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 </w:t>
            </w:r>
            <w:r>
              <w:rPr>
                <w:rFonts w:ascii="宋体" w:hAnsi="宋体" w:cs="宋体" w:eastAsia="宋体" w:hint="default"/>
                <w:sz w:val="18"/>
                <w:szCs w:val="18"/>
              </w:rPr>
              <w:t>号证券投资集合资金 信托计划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10,293,652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10,293,652</w:t>
            </w:r>
          </w:p>
        </w:tc>
      </w:tr>
      <w:tr>
        <w:trPr>
          <w:trHeight w:val="479"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华泰证券股份有限公司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6,393,711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6,393,711</w:t>
            </w:r>
          </w:p>
        </w:tc>
      </w:tr>
      <w:tr>
        <w:trPr>
          <w:trHeight w:val="478"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林镇奎</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5,747,400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5,747,400</w:t>
            </w:r>
          </w:p>
        </w:tc>
      </w:tr>
      <w:tr>
        <w:trPr>
          <w:trHeight w:val="478"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中国国际金融股份有限公司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4,954,192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4,954,192</w:t>
            </w:r>
          </w:p>
        </w:tc>
      </w:tr>
      <w:tr>
        <w:trPr>
          <w:trHeight w:val="947"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吉林紫鑫药业股份有限公司－第一</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期员工持股计划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z w:val="18"/>
              </w:rPr>
              <w:t>4,545,692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4,545,692</w:t>
            </w:r>
          </w:p>
        </w:tc>
      </w:tr>
      <w:tr>
        <w:trPr>
          <w:trHeight w:val="1882"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468" w:lineRule="exact" w:before="54"/>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451" w:lineRule="auto" w:before="88"/>
              <w:ind w:left="22" w:right="20"/>
              <w:jc w:val="left"/>
              <w:rPr>
                <w:rFonts w:ascii="宋体" w:hAnsi="宋体" w:cs="宋体" w:eastAsia="宋体" w:hint="default"/>
                <w:sz w:val="18"/>
                <w:szCs w:val="18"/>
              </w:rPr>
            </w:pPr>
            <w:r>
              <w:rPr>
                <w:rFonts w:ascii="宋体" w:hAnsi="宋体" w:cs="宋体" w:eastAsia="宋体" w:hint="default"/>
                <w:sz w:val="18"/>
                <w:szCs w:val="18"/>
              </w:rPr>
              <w:t>郭春生先生通过其亲属持有康平公司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77.26%</w:t>
            </w:r>
            <w:r>
              <w:rPr>
                <w:rFonts w:ascii="宋体" w:hAnsi="宋体" w:cs="宋体" w:eastAsia="宋体" w:hint="default"/>
                <w:sz w:val="18"/>
                <w:szCs w:val="18"/>
              </w:rPr>
              <w:t>的股份，康平公司持有本公司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39.27%</w:t>
            </w:r>
            <w:r>
              <w:rPr>
                <w:rFonts w:ascii="宋体" w:hAnsi="宋体" w:cs="宋体" w:eastAsia="宋体" w:hint="default"/>
                <w:sz w:val="18"/>
                <w:szCs w:val="18"/>
              </w:rPr>
              <w:t>的 </w:t>
            </w:r>
            <w:r>
              <w:rPr>
                <w:rFonts w:ascii="宋体" w:hAnsi="宋体" w:cs="宋体" w:eastAsia="宋体" w:hint="default"/>
                <w:spacing w:val="-5"/>
                <w:sz w:val="18"/>
                <w:szCs w:val="18"/>
              </w:rPr>
              <w:t>股份，而持有本公司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4.83%</w:t>
            </w:r>
            <w:r>
              <w:rPr>
                <w:rFonts w:ascii="宋体" w:hAnsi="宋体" w:cs="宋体" w:eastAsia="宋体" w:hint="default"/>
                <w:sz w:val="18"/>
                <w:szCs w:val="18"/>
              </w:rPr>
              <w:t>股份的自然人股东仲维光为郭春生先生的亲属</w:t>
            </w:r>
            <w:r>
              <w:rPr>
                <w:rFonts w:ascii="Times New Roman" w:hAnsi="Times New Roman" w:cs="Times New Roman" w:eastAsia="Times New Roman" w:hint="default"/>
                <w:sz w:val="18"/>
                <w:szCs w:val="18"/>
              </w:rPr>
              <w:t>,</w:t>
            </w:r>
            <w:r>
              <w:rPr>
                <w:rFonts w:ascii="宋体" w:hAnsi="宋体" w:cs="宋体" w:eastAsia="宋体" w:hint="default"/>
                <w:sz w:val="18"/>
                <w:szCs w:val="18"/>
              </w:rPr>
              <w:t>所以康平公 司与仲维光先生存在关联关系。除上述情况外，其他前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 未知是否存在关联关系，也未知是否属于一致行动人。</w:t>
            </w:r>
          </w:p>
        </w:tc>
      </w:tr>
      <w:tr>
        <w:trPr>
          <w:trHeight w:val="1415"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51" w:lineRule="auto" w:before="116"/>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477" w:lineRule="auto" w:before="89"/>
              <w:ind w:left="22" w:right="82"/>
              <w:jc w:val="left"/>
              <w:rPr>
                <w:rFonts w:ascii="宋体" w:hAnsi="宋体" w:cs="宋体" w:eastAsia="宋体" w:hint="default"/>
                <w:sz w:val="18"/>
                <w:szCs w:val="18"/>
              </w:rPr>
            </w:pPr>
            <w:r>
              <w:rPr>
                <w:rFonts w:ascii="宋体" w:hAnsi="宋体" w:cs="宋体" w:eastAsia="宋体" w:hint="default"/>
                <w:sz w:val="18"/>
                <w:szCs w:val="18"/>
              </w:rPr>
              <w:t>林镇奎通过广发证券股份有限公司客户信用交易担保证券账户持有本公司无限售流 通股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5,747,400 </w:t>
            </w:r>
            <w:r>
              <w:rPr>
                <w:rFonts w:ascii="宋体" w:hAnsi="宋体" w:cs="宋体" w:eastAsia="宋体" w:hint="default"/>
                <w:sz w:val="18"/>
                <w:szCs w:val="18"/>
              </w:rPr>
              <w:t>股，普通证券账户持有本公司无限售流通股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股，合计持有公司无限</w:t>
            </w:r>
          </w:p>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售流通股份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5,747,400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line="240" w:lineRule="auto" w:before="9"/>
        <w:rPr>
          <w:rFonts w:ascii="宋体" w:hAnsi="宋体" w:cs="宋体" w:eastAsia="宋体" w:hint="default"/>
          <w:sz w:val="16"/>
          <w:szCs w:val="1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bookmarkStart w:name="2、公司控股股东情况" w:id="120"/>
      <w:bookmarkEnd w:id="120"/>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宋体" w:hAnsi="宋体" w:cs="宋体" w:eastAsia="宋体" w:hint="default"/>
          <w:b/>
          <w:bCs/>
          <w:sz w:val="15"/>
          <w:szCs w:val="15"/>
        </w:rPr>
      </w:pPr>
    </w:p>
    <w:p>
      <w:pPr>
        <w:spacing w:line="477" w:lineRule="auto" w:before="0"/>
        <w:ind w:left="153" w:right="8593" w:firstLine="0"/>
        <w:jc w:val="left"/>
        <w:rPr>
          <w:rFonts w:ascii="宋体" w:hAnsi="宋体" w:cs="宋体" w:eastAsia="宋体" w:hint="default"/>
          <w:sz w:val="18"/>
          <w:szCs w:val="18"/>
        </w:rPr>
      </w:pPr>
      <w:r>
        <w:rPr/>
        <w:pict>
          <v:shape style="position:absolute;margin-left:56.459999pt;margin-top:42.371704pt;width:479.2pt;height:165.8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7"/>
                    <w:gridCol w:w="1829"/>
                    <w:gridCol w:w="1894"/>
                    <w:gridCol w:w="1935"/>
                    <w:gridCol w:w="1914"/>
                  </w:tblGrid>
                  <w:tr>
                    <w:trPr>
                      <w:trHeight w:val="946"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818" w:right="75"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58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947"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敦化市康平投资有限责</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郭春辉</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91222403244835987T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对外投资</w:t>
                        </w:r>
                      </w:p>
                    </w:tc>
                  </w:tr>
                  <w:tr>
                    <w:trPr>
                      <w:trHeight w:val="14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控股股东报告期内控股</w:t>
                        </w:r>
                      </w:p>
                      <w:p>
                        <w:pPr>
                          <w:pStyle w:val="TableParagraph"/>
                          <w:spacing w:line="460" w:lineRule="atLeast" w:before="8"/>
                          <w:ind w:left="22" w:right="162"/>
                          <w:jc w:val="left"/>
                          <w:rPr>
                            <w:rFonts w:ascii="宋体" w:hAnsi="宋体" w:cs="宋体" w:eastAsia="宋体" w:hint="default"/>
                            <w:sz w:val="18"/>
                            <w:szCs w:val="18"/>
                          </w:rPr>
                        </w:pPr>
                        <w:r>
                          <w:rPr>
                            <w:rFonts w:ascii="宋体" w:hAnsi="宋体" w:cs="宋体" w:eastAsia="宋体" w:hint="default"/>
                            <w:sz w:val="18"/>
                            <w:szCs w:val="18"/>
                          </w:rPr>
                          <w:t>和参股的其他境内外上 市公司的股权情况</w:t>
                        </w:r>
                      </w:p>
                    </w:tc>
                    <w:tc>
                      <w:tcPr>
                        <w:tcW w:w="7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控股股东报告期内无控股和参股其他境内外上市公司的股权情况。</w:t>
                        </w:r>
                      </w:p>
                    </w:tc>
                  </w:tr>
                </w:tbl>
                <w:p>
                  <w:pPr/>
                </w:p>
              </w:txbxContent>
            </v:textbox>
            <w10:wrap type="none"/>
          </v:shape>
        </w:pict>
      </w:r>
      <w:r>
        <w:rPr>
          <w:rFonts w:ascii="宋体" w:hAnsi="宋体" w:cs="宋体" w:eastAsia="宋体" w:hint="default"/>
          <w:sz w:val="18"/>
          <w:szCs w:val="18"/>
        </w:rPr>
        <w:t>控股股东性质：自然人控股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240" w:lineRule="auto" w:before="10"/>
        <w:rPr>
          <w:rFonts w:ascii="宋体" w:hAnsi="宋体" w:cs="宋体" w:eastAsia="宋体" w:hint="default"/>
          <w:sz w:val="17"/>
          <w:szCs w:val="17"/>
        </w:rPr>
      </w:pPr>
    </w:p>
    <w:p>
      <w:pPr>
        <w:spacing w:line="451" w:lineRule="auto" w:before="0"/>
        <w:ind w:left="153" w:right="8053"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 </w:t>
      </w:r>
      <w:bookmarkStart w:name="3、公司实际控制人情况" w:id="121"/>
      <w:bookmarkEnd w:id="121"/>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sz w:val="21"/>
          <w:szCs w:val="21"/>
        </w:rPr>
      </w:r>
    </w:p>
    <w:p>
      <w:pPr>
        <w:spacing w:line="477" w:lineRule="auto" w:before="0"/>
        <w:ind w:left="153" w:right="8413" w:firstLine="0"/>
        <w:jc w:val="left"/>
        <w:rPr>
          <w:rFonts w:ascii="宋体" w:hAnsi="宋体" w:cs="宋体" w:eastAsia="宋体" w:hint="default"/>
          <w:sz w:val="18"/>
          <w:szCs w:val="18"/>
        </w:rPr>
      </w:pPr>
      <w:r>
        <w:rPr/>
        <w:pict>
          <v:shape style="position:absolute;margin-left:56.459999pt;margin-top:42.401722pt;width:479.2pt;height:142.9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8"/>
                    <w:gridCol w:w="2303"/>
                    <w:gridCol w:w="3848"/>
                  </w:tblGrid>
                  <w:tr>
                    <w:trPr>
                      <w:trHeight w:val="478"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78"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郭春生</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4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月起任通化紫金药业有限责任公司（本公司前身）董事长兼总经理，</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8"/>
                            <w:sz w:val="18"/>
                            <w:szCs w:val="18"/>
                          </w:rPr>
                          <w:t> </w:t>
                        </w:r>
                        <w:r>
                          <w:rPr>
                            <w:rFonts w:ascii="宋体" w:hAnsi="宋体" w:cs="宋体" w:eastAsia="宋体" w:hint="default"/>
                            <w:spacing w:val="-3"/>
                            <w:sz w:val="18"/>
                            <w:szCs w:val="18"/>
                          </w:rPr>
                          <w:t>月辞去吉林紫鑫药业股份有限公司董事长及总经理职务，继续担任董</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事，</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日董事任期届满后，不再公司担任任何职务。</w:t>
                        </w:r>
                      </w:p>
                    </w:tc>
                  </w:tr>
                  <w:tr>
                    <w:trPr>
                      <w:trHeight w:val="479"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240" w:lineRule="auto" w:before="10"/>
        <w:rPr>
          <w:rFonts w:ascii="宋体" w:hAnsi="宋体" w:cs="宋体" w:eastAsia="宋体" w:hint="default"/>
          <w:sz w:val="17"/>
          <w:szCs w:val="17"/>
        </w:rPr>
      </w:pPr>
    </w:p>
    <w:p>
      <w:pPr>
        <w:spacing w:line="463"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after="0" w:line="463"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3900" w:lineRule="exact"/>
        <w:ind w:left="1356"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4591235" cy="247650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4591235" cy="2476500"/>
                    </a:xfrm>
                    <a:prstGeom prst="rect">
                      <a:avLst/>
                    </a:prstGeom>
                  </pic:spPr>
                </pic:pic>
              </a:graphicData>
            </a:graphic>
          </wp:inline>
        </w:drawing>
      </w:r>
      <w:r>
        <w:rPr>
          <w:rFonts w:ascii="宋体" w:hAnsi="宋体" w:cs="宋体" w:eastAsia="宋体" w:hint="default"/>
          <w:position w:val="-77"/>
          <w:sz w:val="20"/>
          <w:szCs w:val="20"/>
        </w:rPr>
      </w:r>
    </w:p>
    <w:p>
      <w:pPr>
        <w:spacing w:line="240" w:lineRule="auto" w:before="2"/>
        <w:rPr>
          <w:rFonts w:ascii="宋体" w:hAnsi="宋体" w:cs="宋体" w:eastAsia="宋体" w:hint="default"/>
          <w:sz w:val="7"/>
          <w:szCs w:val="7"/>
        </w:rPr>
      </w:pPr>
    </w:p>
    <w:p>
      <w:pPr>
        <w:spacing w:before="26"/>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before="2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4、其他持股在10%以上的法人股东" w:id="122"/>
      <w:bookmarkEnd w:id="122"/>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6"/>
        <w:rPr>
          <w:rFonts w:ascii="宋体" w:hAnsi="宋体" w:cs="宋体" w:eastAsia="宋体" w:hint="default"/>
          <w:b/>
          <w:bCs/>
          <w:sz w:val="15"/>
          <w:szCs w:val="1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5、控股股东、实际控制人、重组方及其他承诺主体股份限制减持情况" w:id="123"/>
      <w:bookmarkEnd w:id="123"/>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6"/>
        <w:rPr>
          <w:rFonts w:ascii="宋体" w:hAnsi="宋体" w:cs="宋体" w:eastAsia="宋体" w:hint="default"/>
          <w:b/>
          <w:bCs/>
          <w:sz w:val="15"/>
          <w:szCs w:val="1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24"/>
      <w:bookmarkEnd w:id="124"/>
      <w:r>
        <w:rPr>
          <w:b w:val="0"/>
          <w:bCs w:val="0"/>
        </w:rPr>
      </w:r>
      <w:bookmarkStart w:name="_bookmark6" w:id="125"/>
      <w:bookmarkEnd w:id="125"/>
      <w:r>
        <w:rPr>
          <w:b w:val="0"/>
          <w:bCs w:val="0"/>
        </w:rPr>
      </w:r>
      <w:r>
        <w:rPr/>
        <w:t>第七节</w:t>
      </w:r>
      <w:r>
        <w:rPr>
          <w:spacing w:val="-8"/>
        </w:rPr>
        <w:t> </w:t>
      </w:r>
      <w:r>
        <w:rPr/>
        <w:t>优先股相关情况</w:t>
      </w:r>
      <w:r>
        <w:rPr>
          <w:b w:val="0"/>
          <w:bCs w:val="0"/>
        </w:rPr>
      </w:r>
    </w:p>
    <w:p>
      <w:pPr>
        <w:spacing w:line="240" w:lineRule="auto" w:before="1"/>
        <w:rPr>
          <w:rFonts w:ascii="宋体" w:hAnsi="宋体" w:cs="宋体" w:eastAsia="宋体" w:hint="default"/>
          <w:b/>
          <w:bCs/>
          <w:sz w:val="15"/>
          <w:szCs w:val="15"/>
        </w:rPr>
      </w:pPr>
    </w:p>
    <w:p>
      <w:pPr>
        <w:spacing w:line="451" w:lineRule="auto" w:before="44"/>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451"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26"/>
      <w:bookmarkEnd w:id="126"/>
      <w:r>
        <w:rPr>
          <w:b w:val="0"/>
          <w:bCs w:val="0"/>
        </w:rPr>
      </w:r>
      <w:bookmarkStart w:name="_bookmark7" w:id="127"/>
      <w:bookmarkEnd w:id="127"/>
      <w:r>
        <w:rPr>
          <w:b w:val="0"/>
          <w:bCs w:val="0"/>
        </w:rPr>
      </w:r>
      <w:r>
        <w:rPr/>
        <w:t>第八节</w:t>
      </w:r>
      <w:r>
        <w:rPr>
          <w:spacing w:val="-16"/>
        </w:rPr>
        <w:t> </w:t>
      </w:r>
      <w:r>
        <w:rPr/>
        <w:t>董事、监事、高级管理人员和员工情况</w:t>
      </w:r>
      <w:r>
        <w:rPr>
          <w:b w:val="0"/>
          <w:bCs w:val="0"/>
        </w:rPr>
      </w:r>
    </w:p>
    <w:p>
      <w:pPr>
        <w:pStyle w:val="Heading2"/>
        <w:spacing w:line="240" w:lineRule="auto" w:before="193"/>
        <w:ind w:right="0"/>
        <w:jc w:val="left"/>
        <w:rPr>
          <w:b w:val="0"/>
          <w:bCs w:val="0"/>
        </w:rPr>
      </w:pPr>
      <w:bookmarkStart w:name="一、董事、监事和高级管理人员持股变动" w:id="128"/>
      <w:bookmarkEnd w:id="128"/>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4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477"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477"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477"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89"/>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54"/>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8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54"/>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477"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477"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415"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李宝芝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z w:val="18"/>
              </w:rPr>
              <w:t>138,200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z w:val="18"/>
              </w:rPr>
              <w:t>138,200</w:t>
            </w:r>
          </w:p>
        </w:tc>
      </w:tr>
      <w:tr>
        <w:trPr>
          <w:trHeight w:val="14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钟云香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339,400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339,400</w:t>
            </w:r>
          </w:p>
        </w:tc>
      </w:tr>
      <w:tr>
        <w:trPr>
          <w:trHeight w:val="14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孙莉莉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121,000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121,000</w:t>
            </w:r>
          </w:p>
        </w:tc>
      </w:tr>
      <w:tr>
        <w:trPr>
          <w:trHeight w:val="1415"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徐大庆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136,000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136,000</w:t>
            </w:r>
          </w:p>
        </w:tc>
      </w:tr>
      <w:tr>
        <w:trPr>
          <w:trHeight w:val="478"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734,600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734,600</w:t>
            </w:r>
          </w:p>
        </w:tc>
      </w:tr>
    </w:tbl>
    <w:p>
      <w:pPr>
        <w:pStyle w:val="Heading2"/>
        <w:spacing w:line="240" w:lineRule="auto" w:before="40"/>
        <w:ind w:left="154" w:right="0"/>
        <w:jc w:val="left"/>
        <w:rPr>
          <w:b w:val="0"/>
          <w:bCs w:val="0"/>
        </w:rPr>
      </w:pPr>
      <w:bookmarkStart w:name="二、公司董事、监事、高级管理人员变动情况" w:id="129"/>
      <w:bookmarkEnd w:id="129"/>
      <w:r>
        <w:rPr>
          <w:b w:val="0"/>
          <w:bCs w:val="0"/>
        </w:rPr>
      </w:r>
      <w:r>
        <w:rPr/>
        <w:t>二、公司董事、监事、高级管理人员变动情况</w:t>
      </w:r>
      <w:r>
        <w:rPr>
          <w:b w:val="0"/>
          <w:bCs w:val="0"/>
        </w:rPr>
      </w:r>
    </w:p>
    <w:p>
      <w:pPr>
        <w:spacing w:before="2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3"/>
          <w:szCs w:val="13"/>
        </w:rPr>
      </w:pPr>
    </w:p>
    <w:p>
      <w:pPr>
        <w:pStyle w:val="Heading2"/>
        <w:spacing w:line="240" w:lineRule="auto"/>
        <w:ind w:right="0"/>
        <w:jc w:val="left"/>
        <w:rPr>
          <w:b w:val="0"/>
          <w:bCs w:val="0"/>
        </w:rPr>
      </w:pPr>
      <w:bookmarkStart w:name="三、任职情况" w:id="130"/>
      <w:bookmarkEnd w:id="130"/>
      <w:r>
        <w:rPr>
          <w:b w:val="0"/>
          <w:bCs w:val="0"/>
        </w:rPr>
      </w:r>
      <w:r>
        <w:rPr/>
        <w:t>三、任职情况</w:t>
      </w:r>
      <w:r>
        <w:rPr>
          <w:b w:val="0"/>
          <w:bCs w:val="0"/>
        </w:rPr>
      </w:r>
    </w:p>
    <w:p>
      <w:pPr>
        <w:spacing w:before="202"/>
        <w:ind w:left="153"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11"/>
        <w:rPr>
          <w:rFonts w:ascii="宋体" w:hAnsi="宋体" w:cs="宋体" w:eastAsia="宋体" w:hint="default"/>
          <w:sz w:val="15"/>
          <w:szCs w:val="15"/>
        </w:rPr>
      </w:pPr>
    </w:p>
    <w:p>
      <w:pPr>
        <w:pStyle w:val="BodyText"/>
        <w:spacing w:line="386" w:lineRule="auto" w:before="0"/>
        <w:ind w:left="617" w:right="1180" w:firstLine="41"/>
        <w:jc w:val="left"/>
      </w:pPr>
      <w:r>
        <w:rPr>
          <w:rFonts w:ascii="Times New Roman" w:hAnsi="Times New Roman" w:cs="Times New Roman" w:eastAsia="Times New Roman" w:hint="default"/>
        </w:rPr>
        <w:t>1</w:t>
      </w:r>
      <w:r>
        <w:rPr/>
        <w:t>、现任董事主要工作经历 郭春林先生，中国国籍，无境外永久居留权，汉族，</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10</w:t>
      </w:r>
      <w:r>
        <w:rPr/>
        <w:t>月出生，中共党员，硕士学位。</w:t>
      </w:r>
      <w:r>
        <w:rPr>
          <w:spacing w:val="-26"/>
        </w:rPr>
        <w:t> </w:t>
      </w:r>
      <w:r>
        <w:rPr/>
        <w:t>曾任</w:t>
      </w:r>
    </w:p>
    <w:p>
      <w:pPr>
        <w:pStyle w:val="BodyText"/>
        <w:spacing w:line="408" w:lineRule="auto" w:before="35"/>
        <w:ind w:right="0"/>
        <w:jc w:val="left"/>
      </w:pPr>
      <w:r>
        <w:rPr>
          <w:spacing w:val="-1"/>
        </w:rPr>
        <w:t>进步网（北京）信息服务有限公司副总经理，吉林紫鑫药业股份有限公司总经理助理，公司总经理，公司</w:t>
      </w:r>
      <w:r>
        <w:rPr>
          <w:spacing w:val="-83"/>
        </w:rPr>
        <w:t> </w:t>
      </w:r>
      <w:r>
        <w:rPr>
          <w:spacing w:val="-83"/>
        </w:rPr>
      </w:r>
      <w:r>
        <w:rPr/>
        <w:t>第五届董事会董事长。现任公司第六届董事会董事长兼总经理。</w:t>
      </w:r>
    </w:p>
    <w:p>
      <w:pPr>
        <w:pStyle w:val="BodyText"/>
        <w:spacing w:line="398" w:lineRule="auto"/>
        <w:ind w:right="1132" w:firstLine="463"/>
        <w:jc w:val="both"/>
      </w:pPr>
      <w:r>
        <w:rPr>
          <w:spacing w:val="-4"/>
        </w:rPr>
        <w:t>钟云香女士，中国国籍，无境外永久居留权，</w:t>
      </w:r>
      <w:r>
        <w:rPr>
          <w:rFonts w:ascii="Times New Roman" w:hAnsi="Times New Roman" w:cs="Times New Roman" w:eastAsia="Times New Roman" w:hint="default"/>
          <w:spacing w:val="-4"/>
        </w:rPr>
        <w:t>1977</w:t>
      </w:r>
      <w:r>
        <w:rPr>
          <w:spacing w:val="-4"/>
        </w:rPr>
        <w:t>年</w:t>
      </w:r>
      <w:r>
        <w:rPr>
          <w:rFonts w:ascii="Times New Roman" w:hAnsi="Times New Roman" w:cs="Times New Roman" w:eastAsia="Times New Roman" w:hint="default"/>
          <w:spacing w:val="-4"/>
        </w:rPr>
        <w:t>1</w:t>
      </w:r>
      <w:r>
        <w:rPr>
          <w:spacing w:val="-4"/>
        </w:rPr>
        <w:t>月出生，中国注册会计师。曾任农标普瑞纳（抚</w:t>
      </w:r>
      <w:r>
        <w:rPr/>
        <w:t> </w:t>
      </w:r>
      <w:r>
        <w:rPr>
          <w:spacing w:val="-1"/>
        </w:rPr>
        <w:t>顺）饲料有限公司会计，中磊会计师事务所吉林分所审计助理、项目经理，公司证券部长，公司第四届董</w:t>
      </w:r>
      <w:r>
        <w:rPr>
          <w:spacing w:val="-83"/>
        </w:rPr>
        <w:t> </w:t>
      </w:r>
      <w:r>
        <w:rPr>
          <w:spacing w:val="-83"/>
        </w:rPr>
      </w:r>
      <w:r>
        <w:rPr/>
        <w:t>事会秘书，第五届董事会董事、董事会秘书兼副总经理。现任公司第六届董事会董事。</w:t>
      </w:r>
    </w:p>
    <w:p>
      <w:pPr>
        <w:spacing w:after="0" w:line="39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0" w:lineRule="auto" w:before="174"/>
        <w:ind w:right="1130" w:firstLine="463"/>
        <w:jc w:val="both"/>
      </w:pPr>
      <w:r>
        <w:rPr>
          <w:spacing w:val="-2"/>
        </w:rPr>
        <w:t>李宝芝女士，中国国籍，无境外永久居留权，汉族，</w:t>
      </w:r>
      <w:r>
        <w:rPr>
          <w:rFonts w:ascii="Times New Roman" w:hAnsi="Times New Roman" w:cs="Times New Roman" w:eastAsia="Times New Roman" w:hint="default"/>
          <w:spacing w:val="-2"/>
        </w:rPr>
        <w:t>1966</w:t>
      </w:r>
      <w:r>
        <w:rPr>
          <w:spacing w:val="-2"/>
        </w:rPr>
        <w:t>年</w:t>
      </w:r>
      <w:r>
        <w:rPr>
          <w:rFonts w:ascii="Times New Roman" w:hAnsi="Times New Roman" w:cs="Times New Roman" w:eastAsia="Times New Roman" w:hint="default"/>
          <w:spacing w:val="-2"/>
        </w:rPr>
        <w:t>11</w:t>
      </w:r>
      <w:r>
        <w:rPr>
          <w:spacing w:val="-2"/>
        </w:rPr>
        <w:t>月出生，高级经济师，曾任柳河制药厂</w:t>
      </w:r>
      <w:r>
        <w:rPr/>
        <w:t> </w:t>
      </w:r>
      <w:r>
        <w:rPr>
          <w:spacing w:val="-1"/>
        </w:rPr>
        <w:t>技术员，吉林友康药业有限责任公司车间主任、质量厂长，公司生产经理、副总经理，吉林紫鑫禺拙药业</w:t>
      </w:r>
      <w:r>
        <w:rPr>
          <w:spacing w:val="-83"/>
        </w:rPr>
        <w:t> </w:t>
      </w:r>
      <w:r>
        <w:rPr>
          <w:spacing w:val="-83"/>
        </w:rPr>
      </w:r>
      <w:r>
        <w:rPr>
          <w:spacing w:val="-1"/>
        </w:rPr>
        <w:t>有限公司总经理，公司第五届董事会董事。现任公司第六届董事会董事，吉林紫鑫禺拙药业有限公司总经</w:t>
      </w:r>
      <w:r>
        <w:rPr>
          <w:spacing w:val="-82"/>
        </w:rPr>
        <w:t> </w:t>
      </w:r>
      <w:r>
        <w:rPr>
          <w:spacing w:val="-82"/>
        </w:rPr>
      </w:r>
      <w:r>
        <w:rPr/>
        <w:t>理，吉林紫鑫金桂药业有限公司总经理。</w:t>
      </w:r>
    </w:p>
    <w:p>
      <w:pPr>
        <w:pStyle w:val="BodyText"/>
        <w:spacing w:line="398" w:lineRule="auto" w:before="52"/>
        <w:ind w:right="1017" w:firstLine="463"/>
        <w:jc w:val="left"/>
      </w:pPr>
      <w:r>
        <w:rPr>
          <w:spacing w:val="-2"/>
        </w:rPr>
        <w:t>贺玉先生，中国国籍，无境外永久居留权，汉族，</w:t>
      </w:r>
      <w:r>
        <w:rPr>
          <w:rFonts w:ascii="Times New Roman" w:hAnsi="Times New Roman" w:cs="Times New Roman" w:eastAsia="Times New Roman" w:hint="default"/>
          <w:spacing w:val="-2"/>
        </w:rPr>
        <w:t>1980</w:t>
      </w:r>
      <w:r>
        <w:rPr>
          <w:spacing w:val="-2"/>
        </w:rPr>
        <w:t>年</w:t>
      </w:r>
      <w:r>
        <w:rPr>
          <w:rFonts w:ascii="Times New Roman" w:hAnsi="Times New Roman" w:cs="Times New Roman" w:eastAsia="Times New Roman" w:hint="default"/>
          <w:spacing w:val="-2"/>
        </w:rPr>
        <w:t>5</w:t>
      </w:r>
      <w:r>
        <w:rPr>
          <w:spacing w:val="-2"/>
        </w:rPr>
        <w:t>月出生，会计学专业。曾任公司财务会计、</w:t>
      </w:r>
      <w:r>
        <w:rPr/>
        <w:t> 审计专员、财务副部长，吉林紫鑫初元药业有限公司总经理。现任公司第六届董事会董事、财务总监兼副 总经理。</w:t>
      </w:r>
    </w:p>
    <w:p>
      <w:pPr>
        <w:pStyle w:val="BodyText"/>
        <w:spacing w:line="403" w:lineRule="auto" w:before="54"/>
        <w:ind w:right="1024" w:firstLine="463"/>
        <w:jc w:val="left"/>
      </w:pPr>
      <w:r>
        <w:rPr/>
        <w:t>傅穹先生，中国国籍，</w:t>
      </w:r>
      <w:r>
        <w:rPr>
          <w:rFonts w:ascii="Times New Roman" w:hAnsi="Times New Roman" w:cs="Times New Roman" w:eastAsia="Times New Roman" w:hint="default"/>
        </w:rPr>
        <w:t>1970</w:t>
      </w:r>
      <w:r>
        <w:rPr/>
        <w:t>年出生，曾在西南政法大学获得法学学士学位，在吉林大学法学院获得民 商法硕士学位，在中国政法大学获得民商法博士学位，曾任吉林大学法学院教授，美国哥伦比亚大学法学 院访问学者，吉林大学法学院民商法博士生导师，中国法学会证券法学会常务理事，中国法学会商法学会 </w:t>
      </w:r>
      <w:r>
        <w:rPr>
          <w:spacing w:val="-3"/>
        </w:rPr>
        <w:t>理事，教育部中外合作办学评估专家，长春市市管专家，吉林省政府立法咨询专家，长春市法学会副会长，</w:t>
      </w:r>
      <w:r>
        <w:rPr>
          <w:spacing w:val="-95"/>
        </w:rPr>
        <w:t> </w:t>
      </w:r>
      <w:r>
        <w:rPr>
          <w:spacing w:val="-95"/>
        </w:rPr>
      </w:r>
      <w:r>
        <w:rPr/>
        <w:t>辽源市法学会副会长，吉林省西南政法大学校友会会长，长春市检察院人民检察员，吉林省法学会专家委</w:t>
      </w:r>
      <w:r>
        <w:rPr/>
        <w:t> 员，长春中级人民法院专家咨询委员等，公司第五届董事会独立董事。现任公司第六届董事会独立董事。</w:t>
      </w:r>
    </w:p>
    <w:p>
      <w:pPr>
        <w:pStyle w:val="BodyText"/>
        <w:spacing w:line="400" w:lineRule="auto" w:before="50"/>
        <w:ind w:left="154" w:right="1109" w:firstLine="462"/>
        <w:jc w:val="both"/>
      </w:pPr>
      <w:r>
        <w:rPr>
          <w:spacing w:val="-2"/>
        </w:rPr>
        <w:t>王旭女士，中国国籍，</w:t>
      </w:r>
      <w:r>
        <w:rPr>
          <w:rFonts w:ascii="Times New Roman" w:hAnsi="Times New Roman" w:cs="Times New Roman" w:eastAsia="Times New Roman" w:hint="default"/>
          <w:spacing w:val="-2"/>
        </w:rPr>
        <w:t>1968</w:t>
      </w:r>
      <w:r>
        <w:rPr>
          <w:spacing w:val="-2"/>
        </w:rPr>
        <w:t>年</w:t>
      </w:r>
      <w:r>
        <w:rPr>
          <w:rFonts w:ascii="Times New Roman" w:hAnsi="Times New Roman" w:cs="Times New Roman" w:eastAsia="Times New Roman" w:hint="default"/>
          <w:spacing w:val="-2"/>
        </w:rPr>
        <w:t>11</w:t>
      </w:r>
      <w:r>
        <w:rPr>
          <w:spacing w:val="-2"/>
        </w:rPr>
        <w:t>月出生，博士后，吉林大学管理学院会计学教授、硕士生导师、会计</w:t>
      </w:r>
      <w:r>
        <w:rPr/>
        <w:t> 系学术带头人、吉林省会计领军人才（企业类）指导老师，中国会计学会高级会员。主持和参加国家级、 省部级科研项目及企业咨询类项目三十余项，公开发表学术论文、学术专著，主要研究领域为公司治理、 企业财务决策与控制等；公司第五届董事会独立董事。现任公司第六届董事会独立董事。</w:t>
      </w:r>
    </w:p>
    <w:p>
      <w:pPr>
        <w:pStyle w:val="BodyText"/>
        <w:spacing w:line="398" w:lineRule="auto" w:before="52"/>
        <w:ind w:right="1110" w:firstLine="463"/>
        <w:jc w:val="both"/>
      </w:pPr>
      <w:r>
        <w:rPr>
          <w:spacing w:val="-2"/>
        </w:rPr>
        <w:t>张连学先生，中国国籍，汉族，</w:t>
      </w:r>
      <w:r>
        <w:rPr>
          <w:rFonts w:ascii="Times New Roman" w:hAnsi="Times New Roman" w:cs="Times New Roman" w:eastAsia="Times New Roman" w:hint="default"/>
          <w:spacing w:val="-2"/>
        </w:rPr>
        <w:t>1955</w:t>
      </w:r>
      <w:r>
        <w:rPr>
          <w:spacing w:val="-2"/>
        </w:rPr>
        <w:t>年</w:t>
      </w:r>
      <w:r>
        <w:rPr>
          <w:rFonts w:ascii="Times New Roman" w:hAnsi="Times New Roman" w:cs="Times New Roman" w:eastAsia="Times New Roman" w:hint="default"/>
          <w:spacing w:val="-2"/>
        </w:rPr>
        <w:t>11</w:t>
      </w:r>
      <w:r>
        <w:rPr>
          <w:spacing w:val="-2"/>
        </w:rPr>
        <w:t>月出生，中共党员，是中药材栽培、加工领域的专家。曾任</w:t>
      </w:r>
      <w:r>
        <w:rPr/>
        <w:t> 中国农业科学院特产研究所助研，中国农业科学院特产研究所副研，中国农业科学院特产研究所研究员， 吉林农业大学教授，吉林农业大学院长，公司第五届董事会独立董事。现任公司第六届董事会独立董事。</w:t>
      </w:r>
    </w:p>
    <w:p>
      <w:pPr>
        <w:pStyle w:val="BodyText"/>
        <w:spacing w:line="386" w:lineRule="auto" w:before="54"/>
        <w:ind w:left="617" w:right="0" w:firstLine="41"/>
        <w:jc w:val="left"/>
      </w:pPr>
      <w:r>
        <w:rPr>
          <w:rFonts w:ascii="Times New Roman" w:hAnsi="Times New Roman" w:cs="Times New Roman" w:eastAsia="Times New Roman" w:hint="default"/>
        </w:rPr>
        <w:t>2</w:t>
      </w:r>
      <w:r>
        <w:rPr/>
        <w:t>、现任监事主要工作经历 </w:t>
      </w:r>
      <w:r>
        <w:rPr>
          <w:spacing w:val="-2"/>
        </w:rPr>
        <w:t>孙莉莉女士，中国国籍，无境外永久居留权，汉族，</w:t>
      </w:r>
      <w:r>
        <w:rPr>
          <w:rFonts w:ascii="Times New Roman" w:hAnsi="Times New Roman" w:cs="Times New Roman" w:eastAsia="Times New Roman" w:hint="default"/>
          <w:spacing w:val="-2"/>
        </w:rPr>
        <w:t>1975</w:t>
      </w:r>
      <w:r>
        <w:rPr>
          <w:spacing w:val="-2"/>
        </w:rPr>
        <w:t>年</w:t>
      </w:r>
      <w:r>
        <w:rPr>
          <w:rFonts w:ascii="Times New Roman" w:hAnsi="Times New Roman" w:cs="Times New Roman" w:eastAsia="Times New Roman" w:hint="default"/>
          <w:spacing w:val="-2"/>
        </w:rPr>
        <w:t>8</w:t>
      </w:r>
      <w:r>
        <w:rPr>
          <w:spacing w:val="-2"/>
        </w:rPr>
        <w:t>月出生，高级经济师，曾任公司出纳员，</w:t>
      </w:r>
    </w:p>
    <w:p>
      <w:pPr>
        <w:pStyle w:val="BodyText"/>
        <w:spacing w:line="408" w:lineRule="auto" w:before="35"/>
        <w:ind w:right="1024"/>
        <w:jc w:val="left"/>
      </w:pPr>
      <w:r>
        <w:rPr>
          <w:spacing w:val="-3"/>
        </w:rPr>
        <w:t>公司销售主管会计，公司财务部长、财务经理，公司财务负责人，公司财务总监，公司第五届董事会董事。</w:t>
      </w:r>
      <w:r>
        <w:rPr>
          <w:spacing w:val="-94"/>
        </w:rPr>
        <w:t> </w:t>
      </w:r>
      <w:r>
        <w:rPr>
          <w:spacing w:val="-94"/>
        </w:rPr>
      </w:r>
      <w:r>
        <w:rPr/>
        <w:t>现任公司第六届监事会监事。</w:t>
      </w:r>
    </w:p>
    <w:p>
      <w:pPr>
        <w:pStyle w:val="BodyText"/>
        <w:spacing w:line="386" w:lineRule="auto"/>
        <w:ind w:right="1173" w:firstLine="463"/>
        <w:jc w:val="both"/>
      </w:pPr>
      <w:r>
        <w:rPr/>
        <w:t>白玉彪先生，中国国籍，无境外永久居留权，汉族，</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2</w:t>
      </w:r>
      <w:r>
        <w:rPr/>
        <w:t>月出生，中国注册会计师。曾任国富浩 华会计师事务所项目经理，公司财务部助理，公司资金管理部部长</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公司第五届监事会监事。现任公司第 六届监事会监事。</w:t>
      </w:r>
    </w:p>
    <w:p>
      <w:pPr>
        <w:pStyle w:val="BodyText"/>
        <w:spacing w:line="398" w:lineRule="auto" w:before="65"/>
        <w:ind w:right="1133" w:firstLine="463"/>
        <w:jc w:val="both"/>
      </w:pPr>
      <w:r>
        <w:rPr/>
        <w:t>张洪发先生，中国国籍，无境外永久居留权，</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2</w:t>
      </w:r>
      <w:r>
        <w:rPr/>
        <w:t>月出生，经济学学士、会计师。曾任吉林紫鑫 </w:t>
      </w:r>
      <w:r>
        <w:rPr>
          <w:spacing w:val="-1"/>
        </w:rPr>
        <w:t>药业股份有限公司会计、主管会计、审计部副部长、财务部长、第五届监事会职工监事。现任公司第六届</w:t>
      </w:r>
      <w:r>
        <w:rPr>
          <w:spacing w:val="-83"/>
        </w:rPr>
        <w:t> </w:t>
      </w:r>
      <w:r>
        <w:rPr>
          <w:spacing w:val="-83"/>
        </w:rPr>
      </w:r>
      <w:r>
        <w:rPr/>
        <w:t>监事会监事。</w:t>
      </w:r>
    </w:p>
    <w:p>
      <w:pPr>
        <w:spacing w:after="0" w:line="39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98" w:lineRule="auto" w:before="174"/>
        <w:ind w:left="617" w:right="3569" w:hanging="44"/>
        <w:jc w:val="left"/>
      </w:pPr>
      <w:r>
        <w:rPr>
          <w:rFonts w:ascii="Times New Roman" w:hAnsi="Times New Roman" w:cs="Times New Roman" w:eastAsia="Times New Roman" w:hint="default"/>
        </w:rPr>
        <w:t>3</w:t>
      </w:r>
      <w:r>
        <w:rPr/>
        <w:t>、现任高级管理人员主要工作经历 郭春林先生，现任公司总经理，详见现任董事主要工作经历。 贺玉先生，现任公司财务总监兼副总经理，详见现任董事主要工作经历。</w:t>
      </w:r>
    </w:p>
    <w:p>
      <w:pPr>
        <w:pStyle w:val="BodyText"/>
        <w:spacing w:line="400" w:lineRule="auto" w:before="55"/>
        <w:ind w:right="1131" w:firstLine="463"/>
        <w:jc w:val="both"/>
      </w:pPr>
      <w:r>
        <w:rPr/>
        <w:t>张万恒先生，中国国籍，无境外永久居留权，汉族，</w:t>
      </w:r>
      <w:r>
        <w:rPr>
          <w:rFonts w:ascii="Times New Roman" w:hAnsi="Times New Roman" w:cs="Times New Roman" w:eastAsia="Times New Roman" w:hint="default"/>
        </w:rPr>
        <w:t>1984</w:t>
      </w:r>
      <w:r>
        <w:rPr/>
        <w:t>年</w:t>
      </w:r>
      <w:r>
        <w:rPr>
          <w:rFonts w:ascii="Times New Roman" w:hAnsi="Times New Roman" w:cs="Times New Roman" w:eastAsia="Times New Roman" w:hint="default"/>
        </w:rPr>
        <w:t>8</w:t>
      </w:r>
      <w:r>
        <w:rPr/>
        <w:t>月出生，本科学历，会计专业。曾任长 </w:t>
      </w:r>
      <w:r>
        <w:rPr>
          <w:spacing w:val="-1"/>
        </w:rPr>
        <w:t>春市汉唐高鑫科技开发有限公司财务部长，长春市顺康科技开发有限公司主管会计，吉林紫鑫药物研究有</w:t>
      </w:r>
      <w:r>
        <w:rPr>
          <w:spacing w:val="-81"/>
        </w:rPr>
        <w:t> </w:t>
      </w:r>
      <w:r>
        <w:rPr>
          <w:spacing w:val="-81"/>
        </w:rPr>
      </w:r>
      <w:r>
        <w:rPr>
          <w:spacing w:val="-1"/>
        </w:rPr>
        <w:t>限公司主管会计，吉林紫鑫人参研发有限公司主管会计，公司董事会秘书助理，公司证券事务专员，公司</w:t>
      </w:r>
      <w:r>
        <w:rPr>
          <w:spacing w:val="-86"/>
        </w:rPr>
        <w:t> </w:t>
      </w:r>
      <w:r>
        <w:rPr>
          <w:spacing w:val="-86"/>
        </w:rPr>
      </w:r>
      <w:r>
        <w:rPr/>
        <w:t>证券事务代表。现任公司董事会秘书兼副总经理。</w:t>
      </w:r>
    </w:p>
    <w:p>
      <w:pPr>
        <w:pStyle w:val="BodyText"/>
        <w:spacing w:line="398" w:lineRule="auto" w:before="52"/>
        <w:ind w:right="1131" w:firstLine="463"/>
        <w:jc w:val="both"/>
      </w:pPr>
      <w:r>
        <w:rPr/>
        <w:t>徐大庆先生，中国国籍，无境外永久居留权，朝鲜族，</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5</w:t>
      </w:r>
      <w:r>
        <w:rPr/>
        <w:t>月出生，本科学历，会计专业，曾任 </w:t>
      </w:r>
      <w:r>
        <w:rPr>
          <w:spacing w:val="-1"/>
        </w:rPr>
        <w:t>吉林省敦化市长白山生物制品有限公司会计，吉林天三奇药业股份有限公司区域经理，公司销售总监。现</w:t>
      </w:r>
      <w:r>
        <w:rPr>
          <w:spacing w:val="-83"/>
        </w:rPr>
        <w:t> </w:t>
      </w:r>
      <w:r>
        <w:rPr>
          <w:spacing w:val="-83"/>
        </w:rPr>
      </w:r>
      <w:r>
        <w:rPr/>
        <w:t>任公司销售总监兼副总经理。</w:t>
      </w:r>
    </w:p>
    <w:p>
      <w:pPr>
        <w:spacing w:before="80"/>
        <w:ind w:left="153"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240" w:lineRule="auto" w:before="10"/>
        <w:rPr>
          <w:rFonts w:ascii="宋体" w:hAnsi="宋体" w:cs="宋体" w:eastAsia="宋体" w:hint="default"/>
          <w:sz w:val="17"/>
          <w:szCs w:val="17"/>
        </w:rPr>
      </w:pPr>
    </w:p>
    <w:p>
      <w:pPr>
        <w:spacing w:line="451" w:lineRule="auto" w:before="0"/>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7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946"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91" w:right="0"/>
              <w:jc w:val="left"/>
              <w:rPr>
                <w:rFonts w:ascii="宋体" w:hAnsi="宋体" w:cs="宋体" w:eastAsia="宋体" w:hint="default"/>
                <w:sz w:val="18"/>
                <w:szCs w:val="18"/>
              </w:rPr>
            </w:pPr>
            <w:r>
              <w:rPr>
                <w:rFonts w:ascii="宋体" w:hAnsi="宋体" w:cs="宋体" w:eastAsia="宋体" w:hint="default"/>
                <w:sz w:val="18"/>
                <w:szCs w:val="18"/>
              </w:rPr>
              <w:t>在其他单位</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42" w:right="0" w:hanging="90"/>
              <w:jc w:val="left"/>
              <w:rPr>
                <w:rFonts w:ascii="宋体" w:hAnsi="宋体" w:cs="宋体" w:eastAsia="宋体" w:hint="default"/>
                <w:sz w:val="18"/>
                <w:szCs w:val="18"/>
              </w:rPr>
            </w:pPr>
            <w:r>
              <w:rPr>
                <w:rFonts w:ascii="宋体" w:hAnsi="宋体" w:cs="宋体" w:eastAsia="宋体" w:hint="default"/>
                <w:sz w:val="18"/>
                <w:szCs w:val="18"/>
              </w:rPr>
              <w:t>在其他单位是否</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领取报酬津贴</w:t>
            </w:r>
          </w:p>
        </w:tc>
      </w:tr>
      <w:tr>
        <w:trPr>
          <w:trHeight w:val="479"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傅穹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中国全聚德（集团）股份有限公司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傅穹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江苏奥赛康药业股份有限公司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王旭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吉林大学管理学院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会计学教授</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9"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王旭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吉林吉恩镍业股份有限公司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46"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在其他单位任</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line="240" w:lineRule="auto" w:before="10"/>
        <w:rPr>
          <w:rFonts w:ascii="宋体" w:hAnsi="宋体" w:cs="宋体" w:eastAsia="宋体" w:hint="default"/>
          <w:sz w:val="17"/>
          <w:szCs w:val="1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3"/>
          <w:szCs w:val="13"/>
        </w:rPr>
      </w:pPr>
    </w:p>
    <w:p>
      <w:pPr>
        <w:pStyle w:val="Heading2"/>
        <w:spacing w:line="240" w:lineRule="auto"/>
        <w:ind w:right="0"/>
        <w:jc w:val="left"/>
        <w:rPr>
          <w:b w:val="0"/>
          <w:bCs w:val="0"/>
        </w:rPr>
      </w:pPr>
      <w:bookmarkStart w:name="四、董事、监事、高级管理人员报酬情况" w:id="131"/>
      <w:bookmarkEnd w:id="131"/>
      <w:r>
        <w:rPr>
          <w:b w:val="0"/>
          <w:bCs w:val="0"/>
        </w:rPr>
      </w:r>
      <w:r>
        <w:rPr/>
        <w:t>四、董事、监事、高级管理人员报酬情况</w:t>
      </w:r>
      <w:r>
        <w:rPr>
          <w:b w:val="0"/>
          <w:bCs w:val="0"/>
        </w:rPr>
      </w:r>
    </w:p>
    <w:p>
      <w:pPr>
        <w:spacing w:before="202"/>
        <w:ind w:left="153"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11"/>
        <w:rPr>
          <w:rFonts w:ascii="宋体" w:hAnsi="宋体" w:cs="宋体" w:eastAsia="宋体" w:hint="default"/>
          <w:sz w:val="15"/>
          <w:szCs w:val="15"/>
        </w:rPr>
      </w:pPr>
    </w:p>
    <w:p>
      <w:pPr>
        <w:pStyle w:val="BodyText"/>
        <w:spacing w:line="408" w:lineRule="auto" w:before="0"/>
        <w:ind w:right="1093" w:firstLine="420"/>
        <w:jc w:val="left"/>
      </w:pPr>
      <w:r>
        <w:rPr/>
        <w:t>由公司董事会按年度对公司高级管理人员的业绩和履职情况进行考评，并根据工作业绩决定年度薪 酬，以考核结果作为下一年度的岗位安排、年薪档次、是否续聘及职位升降和下一届任免的依据。年初， </w:t>
      </w:r>
      <w:r>
        <w:rPr>
          <w:spacing w:val="-1"/>
        </w:rPr>
        <w:t>董事会根据公司的经营计划和个人的岗位职责，确定年度工资额；年终董事会根据高级管理人员本年度的</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193.759995pt;margin-top:428.019989pt;width:67.9pt;height:35.7pt;mso-position-horizontal-relative:page;mso-position-vertical-relative:page;z-index:-904336" coordorigin="3875,8560" coordsize="1358,714">
            <v:group style="position:absolute;left:3875;top:8560;width:1358;height:234" coordorigin="3875,8560" coordsize="1358,234">
              <v:shape style="position:absolute;left:3875;top:8560;width:1358;height:234" coordorigin="3875,8560" coordsize="1358,234" path="m3875,8794l5233,8794,5233,8560,3875,8560,3875,8794xe" filled="true" fillcolor="#ffffff" stroked="false">
                <v:path arrowok="t"/>
                <v:fill type="solid"/>
              </v:shape>
            </v:group>
            <v:group style="position:absolute;left:3887;top:8794;width:2;height:468" coordorigin="3887,8794" coordsize="2,468">
              <v:shape style="position:absolute;left:3887;top:8794;width:2;height:468" coordorigin="3887,8794" coordsize="0,468" path="m3887,8794l3887,9262e" filled="false" stroked="true" strokeweight="1.140pt" strokecolor="#ffffff">
                <v:path arrowok="t"/>
              </v:shape>
            </v:group>
            <v:group style="position:absolute;left:3898;top:8794;width:1312;height:468" coordorigin="3898,8794" coordsize="1312,468">
              <v:shape style="position:absolute;left:3898;top:8794;width:1312;height:468" coordorigin="3898,8794" coordsize="1312,468" path="m3898,9262l5210,9262,5210,8794,3898,8794,3898,9262xe" filled="true" fillcolor="#ffffff" stroked="false">
                <v:path arrowok="t"/>
                <v:fill type="solid"/>
              </v:shape>
            </v:group>
            <w10:wrap type="none"/>
          </v:group>
        </w:pict>
      </w:r>
    </w:p>
    <w:p>
      <w:pPr>
        <w:pStyle w:val="BodyText"/>
        <w:spacing w:line="398" w:lineRule="auto" w:before="174"/>
        <w:ind w:left="154" w:right="1118"/>
        <w:jc w:val="left"/>
      </w:pPr>
      <w:r>
        <w:rPr/>
        <w:t>工作业绩进行考评后确定对高管人员的奖金总额。</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日公司召开的</w:t>
      </w:r>
      <w:r>
        <w:rPr>
          <w:rFonts w:ascii="Times New Roman" w:hAnsi="Times New Roman" w:cs="Times New Roman" w:eastAsia="Times New Roman" w:hint="default"/>
        </w:rPr>
        <w:t>2010</w:t>
      </w:r>
      <w:r>
        <w:rPr/>
        <w:t>年年度股东大会审议通 </w:t>
      </w:r>
      <w:r>
        <w:rPr>
          <w:spacing w:val="-1"/>
        </w:rPr>
        <w:t>过了《关于调整董事、监事、高级管理人员薪酬的议案》，为现任董事、监事、高级管理人员报酬确定依</w:t>
      </w:r>
      <w:r>
        <w:rPr>
          <w:spacing w:val="-85"/>
        </w:rPr>
        <w:t> </w:t>
      </w:r>
      <w:r>
        <w:rPr>
          <w:spacing w:val="-85"/>
        </w:rPr>
      </w:r>
      <w:r>
        <w:rPr/>
        <w:t>据。</w:t>
      </w:r>
    </w:p>
    <w:p>
      <w:pPr>
        <w:spacing w:before="8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line="240" w:lineRule="auto" w:before="10"/>
        <w:rPr>
          <w:rFonts w:ascii="宋体" w:hAnsi="宋体" w:cs="宋体" w:eastAsia="宋体" w:hint="default"/>
          <w:sz w:val="17"/>
          <w:szCs w:val="1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946"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从公司获得的税</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是否在公司关联</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方获取报酬</w:t>
            </w:r>
          </w:p>
        </w:tc>
      </w:tr>
      <w:tr>
        <w:trPr>
          <w:trHeight w:val="47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郭春林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21.5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孙莉莉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15.39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钟云香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14.79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李宝芝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15.37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张连学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傅穹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王旭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张洪发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13.22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贺玉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pacing w:val="-6"/>
                <w:sz w:val="18"/>
                <w:szCs w:val="18"/>
              </w:rPr>
              <w:t>董事、财务总监</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8"/>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15.3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徐大庆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销售总监、副总</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白玉彪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13.55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张万恒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董事会秘书、副</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14.98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154.17</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line="240" w:lineRule="auto" w:before="10"/>
        <w:rPr>
          <w:rFonts w:ascii="宋体" w:hAnsi="宋体" w:cs="宋体" w:eastAsia="宋体" w:hint="default"/>
          <w:sz w:val="17"/>
          <w:szCs w:val="17"/>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3"/>
          <w:szCs w:val="13"/>
        </w:rPr>
      </w:pPr>
    </w:p>
    <w:p>
      <w:pPr>
        <w:pStyle w:val="Heading2"/>
        <w:spacing w:line="240" w:lineRule="auto"/>
        <w:ind w:right="0"/>
        <w:jc w:val="left"/>
        <w:rPr>
          <w:b w:val="0"/>
          <w:bCs w:val="0"/>
        </w:rPr>
      </w:pPr>
      <w:bookmarkStart w:name="五、公司员工情况" w:id="132"/>
      <w:bookmarkEnd w:id="132"/>
      <w:r>
        <w:rPr>
          <w:b w:val="0"/>
          <w:bCs w:val="0"/>
        </w:rPr>
      </w:r>
      <w:r>
        <w:rPr/>
        <w:t>五、公司员工情况</w:t>
      </w:r>
      <w:r>
        <w:rPr>
          <w:b w:val="0"/>
          <w:bCs w:val="0"/>
        </w:rPr>
      </w:r>
    </w:p>
    <w:p>
      <w:pPr>
        <w:pStyle w:val="Heading3"/>
        <w:spacing w:line="240" w:lineRule="auto" w:before="177"/>
        <w:ind w:right="0"/>
        <w:jc w:val="left"/>
        <w:rPr>
          <w:b w:val="0"/>
          <w:bCs w:val="0"/>
        </w:rPr>
      </w:pPr>
      <w:bookmarkStart w:name="1、员工数量、专业构成及教育程度" w:id="133"/>
      <w:bookmarkEnd w:id="133"/>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7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666</w:t>
            </w:r>
          </w:p>
        </w:tc>
      </w:tr>
      <w:tr>
        <w:trPr>
          <w:trHeight w:val="479"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1,341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78"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2,007</w:t>
            </w:r>
          </w:p>
        </w:tc>
      </w:tr>
      <w:tr>
        <w:trPr>
          <w:trHeight w:val="478"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2,040</w:t>
            </w:r>
          </w:p>
        </w:tc>
      </w:tr>
      <w:tr>
        <w:trPr>
          <w:trHeight w:val="48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44</w:t>
            </w:r>
          </w:p>
        </w:tc>
      </w:tr>
      <w:tr>
        <w:trPr>
          <w:trHeight w:val="468"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84"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78"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1,070</w:t>
            </w:r>
          </w:p>
        </w:tc>
      </w:tr>
      <w:tr>
        <w:trPr>
          <w:trHeight w:val="478"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178</w:t>
            </w:r>
          </w:p>
        </w:tc>
      </w:tr>
      <w:tr>
        <w:trPr>
          <w:trHeight w:val="478"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277</w:t>
            </w:r>
          </w:p>
        </w:tc>
      </w:tr>
      <w:tr>
        <w:trPr>
          <w:trHeight w:val="478"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90</w:t>
            </w:r>
          </w:p>
        </w:tc>
      </w:tr>
      <w:tr>
        <w:trPr>
          <w:trHeight w:val="478"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392</w:t>
            </w:r>
          </w:p>
        </w:tc>
      </w:tr>
      <w:tr>
        <w:trPr>
          <w:trHeight w:val="48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2,007</w:t>
            </w:r>
          </w:p>
        </w:tc>
      </w:tr>
      <w:tr>
        <w:trPr>
          <w:trHeight w:val="468"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8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79"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本科以上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48</w:t>
            </w:r>
          </w:p>
        </w:tc>
      </w:tr>
      <w:tr>
        <w:trPr>
          <w:trHeight w:val="478"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381</w:t>
            </w:r>
          </w:p>
        </w:tc>
      </w:tr>
      <w:tr>
        <w:trPr>
          <w:trHeight w:val="478"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大中专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425</w:t>
            </w:r>
          </w:p>
        </w:tc>
      </w:tr>
      <w:tr>
        <w:trPr>
          <w:trHeight w:val="479"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中专以下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1,153</w:t>
            </w:r>
          </w:p>
        </w:tc>
      </w:tr>
      <w:tr>
        <w:trPr>
          <w:trHeight w:val="478"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2,007</w:t>
            </w:r>
          </w:p>
        </w:tc>
      </w:tr>
    </w:tbl>
    <w:p>
      <w:pPr>
        <w:pStyle w:val="Heading3"/>
        <w:spacing w:line="240" w:lineRule="auto" w:before="63"/>
        <w:ind w:left="154" w:right="0"/>
        <w:jc w:val="left"/>
        <w:rPr>
          <w:b w:val="0"/>
          <w:bCs w:val="0"/>
        </w:rPr>
      </w:pPr>
      <w:bookmarkStart w:name="2、薪酬政策" w:id="134"/>
      <w:bookmarkEnd w:id="134"/>
      <w:r>
        <w:rPr>
          <w:b w:val="0"/>
          <w:bCs w:val="0"/>
        </w:rPr>
      </w:r>
      <w:r>
        <w:rPr>
          <w:rFonts w:ascii="Times New Roman" w:hAnsi="Times New Roman" w:cs="Times New Roman" w:eastAsia="Times New Roman" w:hint="default"/>
        </w:rPr>
        <w:t>2</w:t>
      </w:r>
      <w:r>
        <w:rPr/>
        <w:t>、薪酬政策</w:t>
      </w:r>
      <w:r>
        <w:rPr>
          <w:b w:val="0"/>
          <w:bCs w:val="0"/>
        </w:rPr>
      </w:r>
    </w:p>
    <w:p>
      <w:pPr>
        <w:pStyle w:val="BodyText"/>
        <w:spacing w:line="408" w:lineRule="auto" w:before="177"/>
        <w:ind w:left="154" w:right="1023" w:firstLine="420"/>
        <w:jc w:val="left"/>
      </w:pPr>
      <w:r>
        <w:rPr/>
        <w:t>公司建立了完善的绩效考评体系和薪酬管理办法。根据公司年度经营计划和目标，对其工作绩效和管 理指标进行考评，与当期收入挂钩。公司董事、监事薪酬方案由薪酬与考核委员会提出，报经董事会批准 后，提交股东大会审议通过后实施；公司高级管理人员的薪酬方案报董事会批准后根据公司薪酬管理制度 </w:t>
      </w:r>
      <w:r>
        <w:rPr>
          <w:spacing w:val="-3"/>
        </w:rPr>
        <w:t>及考核指标按期支付。本公司实行劳动合同制，员工按照《劳动法》的有关规定与公司签订《劳动合同》，</w:t>
      </w:r>
      <w:r>
        <w:rPr>
          <w:spacing w:val="-95"/>
        </w:rPr>
        <w:t> </w:t>
      </w:r>
      <w:r>
        <w:rPr>
          <w:spacing w:val="-95"/>
        </w:rPr>
      </w:r>
      <w:r>
        <w:rPr/>
        <w:t>享受权利并承担义务。</w:t>
      </w:r>
    </w:p>
    <w:p>
      <w:pPr>
        <w:pStyle w:val="Heading3"/>
        <w:spacing w:line="240" w:lineRule="auto" w:before="46"/>
        <w:ind w:left="154" w:right="0"/>
        <w:jc w:val="left"/>
        <w:rPr>
          <w:b w:val="0"/>
          <w:bCs w:val="0"/>
        </w:rPr>
      </w:pPr>
      <w:bookmarkStart w:name="3、培训计划" w:id="135"/>
      <w:bookmarkEnd w:id="135"/>
      <w:r>
        <w:rPr>
          <w:b w:val="0"/>
          <w:bCs w:val="0"/>
        </w:rPr>
      </w:r>
      <w:r>
        <w:rPr>
          <w:rFonts w:ascii="Times New Roman" w:hAnsi="Times New Roman" w:cs="Times New Roman" w:eastAsia="Times New Roman" w:hint="default"/>
        </w:rPr>
        <w:t>3</w:t>
      </w:r>
      <w:r>
        <w:rPr/>
        <w:t>、培训计划</w:t>
      </w:r>
      <w:r>
        <w:rPr>
          <w:b w:val="0"/>
          <w:bCs w:val="0"/>
        </w:rPr>
      </w:r>
    </w:p>
    <w:p>
      <w:pPr>
        <w:pStyle w:val="BodyText"/>
        <w:spacing w:line="408" w:lineRule="auto" w:before="177"/>
        <w:ind w:left="154" w:right="1110" w:firstLine="420"/>
        <w:jc w:val="both"/>
      </w:pPr>
      <w:r>
        <w:rPr>
          <w:spacing w:val="-1"/>
        </w:rPr>
        <w:t>公司重视对员工业务技能的培训，并为之搭建了一个健全的职业发展平台，让每一位员工明确自身发</w:t>
      </w:r>
      <w:r>
        <w:rPr/>
        <w:t> 展的方向，实现自我价值。针对各管理人员及员工进行分岗、分级培训，实现岗位责任制，培训的重点： </w:t>
      </w:r>
      <w:r>
        <w:rPr>
          <w:rFonts w:ascii="Times New Roman" w:hAnsi="Times New Roman" w:cs="Times New Roman" w:eastAsia="Times New Roman" w:hint="default"/>
        </w:rPr>
        <w:t>1</w:t>
      </w:r>
      <w:r>
        <w:rPr/>
        <w:t>、经营层培训：公司章程、内控管理制度培训等；</w:t>
      </w:r>
    </w:p>
    <w:p>
      <w:pPr>
        <w:pStyle w:val="BodyText"/>
        <w:spacing w:line="240" w:lineRule="auto" w:before="14"/>
        <w:ind w:left="154" w:right="0"/>
        <w:jc w:val="left"/>
      </w:pPr>
      <w:r>
        <w:rPr>
          <w:rFonts w:ascii="Times New Roman" w:hAnsi="Times New Roman" w:cs="Times New Roman" w:eastAsia="Times New Roman" w:hint="default"/>
        </w:rPr>
        <w:t>2</w:t>
      </w:r>
      <w:r>
        <w:rPr/>
        <w:t>、董监高培训：证券法、上市公司相关法律法规、内控管理制度培训等。</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4、劳务外包情况" w:id="136"/>
      <w:bookmarkEnd w:id="136"/>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6"/>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1"/>
        <w:spacing w:line="240" w:lineRule="auto"/>
        <w:ind w:right="1113"/>
        <w:jc w:val="center"/>
        <w:rPr>
          <w:b w:val="0"/>
          <w:bCs w:val="0"/>
        </w:rPr>
      </w:pPr>
      <w:bookmarkStart w:name="第九节 公司治理" w:id="137"/>
      <w:bookmarkEnd w:id="137"/>
      <w:r>
        <w:rPr>
          <w:b w:val="0"/>
          <w:bCs w:val="0"/>
        </w:rPr>
      </w:r>
      <w:bookmarkStart w:name="_bookmark8" w:id="138"/>
      <w:bookmarkEnd w:id="138"/>
      <w:r>
        <w:rPr>
          <w:b w:val="0"/>
          <w:bCs w:val="0"/>
        </w:rPr>
      </w:r>
      <w:r>
        <w:rPr/>
        <w:t>第九节</w:t>
      </w:r>
      <w:r>
        <w:rPr>
          <w:spacing w:val="-5"/>
        </w:rPr>
        <w:t> </w:t>
      </w:r>
      <w:r>
        <w:rPr/>
        <w:t>公司治理</w:t>
      </w:r>
      <w:r>
        <w:rPr>
          <w:b w:val="0"/>
          <w:bCs w:val="0"/>
        </w:rPr>
      </w:r>
    </w:p>
    <w:p>
      <w:pPr>
        <w:spacing w:line="240" w:lineRule="auto" w:before="10"/>
        <w:rPr>
          <w:rFonts w:ascii="宋体" w:hAnsi="宋体" w:cs="宋体" w:eastAsia="宋体" w:hint="default"/>
          <w:b/>
          <w:bCs/>
          <w:sz w:val="12"/>
          <w:szCs w:val="12"/>
        </w:rPr>
      </w:pPr>
    </w:p>
    <w:p>
      <w:pPr>
        <w:pStyle w:val="Heading2"/>
        <w:spacing w:line="240" w:lineRule="auto" w:before="26"/>
        <w:ind w:right="0"/>
        <w:jc w:val="left"/>
        <w:rPr>
          <w:b w:val="0"/>
          <w:bCs w:val="0"/>
        </w:rPr>
      </w:pPr>
      <w:bookmarkStart w:name="一、公司治理的基本状况" w:id="139"/>
      <w:bookmarkEnd w:id="139"/>
      <w:r>
        <w:rPr>
          <w:b w:val="0"/>
          <w:bCs w:val="0"/>
        </w:rPr>
      </w:r>
      <w:r>
        <w:rPr/>
        <w:t>一、公司治理的基本状况</w:t>
      </w:r>
      <w:r>
        <w:rPr>
          <w:b w:val="0"/>
          <w:bCs w:val="0"/>
        </w:rPr>
      </w:r>
    </w:p>
    <w:p>
      <w:pPr>
        <w:pStyle w:val="BodyText"/>
        <w:spacing w:line="408" w:lineRule="auto" w:before="177"/>
        <w:ind w:right="1132" w:firstLine="464"/>
        <w:jc w:val="both"/>
      </w:pPr>
      <w:r>
        <w:rPr>
          <w:spacing w:val="-2"/>
        </w:rPr>
        <w:t>报告期内，公司严格按照《公司法》、《证券法》、《上市公司治理准则》、《深圳证券交易所股票</w:t>
      </w:r>
      <w:r>
        <w:rPr/>
        <w:t> </w:t>
      </w:r>
      <w:r>
        <w:rPr>
          <w:spacing w:val="-1"/>
        </w:rPr>
        <w:t>上市规则》、《深圳证券交易所中小企业板上市公司规范运作指引》和中国证券监督管理委员会有关法律</w:t>
      </w:r>
      <w:r>
        <w:rPr>
          <w:spacing w:val="-84"/>
        </w:rPr>
        <w:t> </w:t>
      </w:r>
      <w:r>
        <w:rPr>
          <w:spacing w:val="-84"/>
        </w:rPr>
      </w:r>
      <w:r>
        <w:rPr>
          <w:spacing w:val="-1"/>
        </w:rPr>
        <w:t>法规、规范性文件及公司章程的要求，不断完善公司治理结构，建立健全内部管理和控制制度，进一步规</w:t>
      </w:r>
      <w:r>
        <w:rPr>
          <w:spacing w:val="-85"/>
        </w:rPr>
        <w:t> </w:t>
      </w:r>
      <w:r>
        <w:rPr>
          <w:spacing w:val="-85"/>
        </w:rPr>
      </w:r>
      <w:r>
        <w:rPr>
          <w:spacing w:val="-1"/>
        </w:rPr>
        <w:t>范公司运作，提高公司治理水平。报告期末，公司治理实际情况与《公司法》和中国证监会相关规定的要</w:t>
      </w:r>
      <w:r>
        <w:rPr>
          <w:spacing w:val="-83"/>
        </w:rPr>
        <w:t> </w:t>
      </w:r>
      <w:r>
        <w:rPr>
          <w:spacing w:val="-83"/>
        </w:rPr>
      </w:r>
      <w:r>
        <w:rPr/>
        <w:t>求不存在差异。</w:t>
      </w:r>
    </w:p>
    <w:p>
      <w:pPr>
        <w:pStyle w:val="BodyText"/>
        <w:spacing w:line="398" w:lineRule="auto"/>
        <w:ind w:left="154" w:right="0" w:firstLine="420"/>
        <w:jc w:val="left"/>
      </w:pPr>
      <w:r>
        <w:rPr>
          <w:rFonts w:ascii="Times New Roman" w:hAnsi="Times New Roman" w:cs="Times New Roman" w:eastAsia="Times New Roman" w:hint="default"/>
        </w:rPr>
        <w:t>1</w:t>
      </w:r>
      <w:r>
        <w:rPr/>
        <w:t>、股东大会与实际控制人：股东大会是公司的最高权力机构，按照《股东大会议事规则》的规定召 </w:t>
      </w:r>
      <w:r>
        <w:rPr>
          <w:spacing w:val="-1"/>
        </w:rPr>
        <w:t>集、召开公司股东大会，能够确保所有股东，特别是中小股东享有平等地位，确保所有股东能够充分行使</w:t>
      </w:r>
      <w:r>
        <w:rPr>
          <w:spacing w:val="-86"/>
        </w:rPr>
        <w:t> </w:t>
      </w:r>
      <w:r>
        <w:rPr>
          <w:spacing w:val="-86"/>
        </w:rPr>
      </w:r>
      <w:r>
        <w:rPr/>
        <w:t>自己的权利。</w:t>
      </w:r>
    </w:p>
    <w:p>
      <w:pPr>
        <w:pStyle w:val="BodyText"/>
        <w:spacing w:line="398" w:lineRule="auto" w:before="54"/>
        <w:ind w:left="154" w:right="1023" w:firstLine="420"/>
        <w:jc w:val="left"/>
      </w:pPr>
      <w:r>
        <w:rPr>
          <w:rFonts w:ascii="Times New Roman" w:hAnsi="Times New Roman" w:cs="Times New Roman" w:eastAsia="Times New Roman" w:hint="default"/>
        </w:rPr>
        <w:t>2</w:t>
      </w:r>
      <w:r>
        <w:rPr/>
        <w:t>、董事会和董事：董事会是公司的决策机构，公司目前有董事七名，其中独立董事三名，占全体董 事的三分之一以上；全体董事能够按照《董事会议事规则》、《独立董事工作细则》等规定开展工作，按 </w:t>
      </w:r>
      <w:r>
        <w:rPr>
          <w:spacing w:val="-3"/>
        </w:rPr>
        <w:t>时出席董事会和股东大会，积极参加相关知识的培训，熟悉有关法律法规，监督内部控制制度的执行情况。</w:t>
      </w:r>
    </w:p>
    <w:p>
      <w:pPr>
        <w:pStyle w:val="BodyText"/>
        <w:spacing w:line="398" w:lineRule="auto" w:before="54"/>
        <w:ind w:left="154" w:right="0" w:firstLine="420"/>
        <w:jc w:val="left"/>
      </w:pPr>
      <w:r>
        <w:rPr>
          <w:rFonts w:ascii="Times New Roman" w:hAnsi="Times New Roman" w:cs="Times New Roman" w:eastAsia="Times New Roman" w:hint="default"/>
        </w:rPr>
        <w:t>3</w:t>
      </w:r>
      <w:r>
        <w:rPr/>
        <w:t>、监事会和监事：监事会是公司的监督机构，严格按照《公司法》、公司章程等的有关规定产生监 </w:t>
      </w:r>
      <w:r>
        <w:rPr>
          <w:spacing w:val="-1"/>
        </w:rPr>
        <w:t>事，公司监事会现有监事三名，监事会的人数及构成符合法律、法规的要求，对董事、全体高级管理人员</w:t>
      </w:r>
      <w:r>
        <w:rPr>
          <w:spacing w:val="-83"/>
        </w:rPr>
        <w:t> </w:t>
      </w:r>
      <w:r>
        <w:rPr>
          <w:spacing w:val="-83"/>
        </w:rPr>
      </w:r>
      <w:r>
        <w:rPr/>
        <w:t>的行为及公司的财务状况进行监督检查并发表意见。</w:t>
      </w:r>
    </w:p>
    <w:p>
      <w:pPr>
        <w:pStyle w:val="BodyText"/>
        <w:spacing w:line="398" w:lineRule="auto" w:before="54"/>
        <w:ind w:left="154" w:right="1117" w:firstLine="420"/>
        <w:jc w:val="left"/>
      </w:pPr>
      <w:r>
        <w:rPr>
          <w:rFonts w:ascii="Times New Roman" w:hAnsi="Times New Roman" w:cs="Times New Roman" w:eastAsia="Times New Roman" w:hint="default"/>
        </w:rPr>
        <w:t>4</w:t>
      </w:r>
      <w:r>
        <w:rPr/>
        <w:t>、董事会专门委员会：董事会下设战略与投资委员会、提名委员会、薪酬与考核委员会、审计委员 </w:t>
      </w:r>
      <w:r>
        <w:rPr>
          <w:spacing w:val="-5"/>
        </w:rPr>
        <w:t>会四个专业委员会，并制定了《董事会战略决策委员会工作细则》、《董事会提名委员会工作细则》、《董</w:t>
      </w:r>
      <w:r>
        <w:rPr/>
        <w:t> 事会薪酬与考核委员会工作细则》及《董事会审计委员会工作细则》，所有委员全部到位并开展工作。</w:t>
      </w:r>
    </w:p>
    <w:p>
      <w:pPr>
        <w:pStyle w:val="BodyText"/>
        <w:spacing w:line="386" w:lineRule="auto" w:before="54"/>
        <w:ind w:left="154" w:right="1197" w:firstLine="420"/>
        <w:jc w:val="left"/>
      </w:pPr>
      <w:r>
        <w:rPr>
          <w:rFonts w:ascii="Times New Roman" w:hAnsi="Times New Roman" w:cs="Times New Roman" w:eastAsia="Times New Roman" w:hint="default"/>
        </w:rPr>
        <w:t>5</w:t>
      </w:r>
      <w:r>
        <w:rPr/>
        <w:t>、关于经理层：公司经理及其他高级管理人员职责清晰，能够严格按照《公司章程》、《总经理工 作细则》等各项管理制度履行职责，勤勉尽责，切实贯彻、执行董事会的决议。</w:t>
      </w:r>
    </w:p>
    <w:p>
      <w:pPr>
        <w:pStyle w:val="BodyText"/>
        <w:spacing w:line="386" w:lineRule="auto" w:before="65"/>
        <w:ind w:left="154" w:right="1197" w:firstLine="420"/>
        <w:jc w:val="left"/>
      </w:pPr>
      <w:r>
        <w:rPr>
          <w:rFonts w:ascii="Times New Roman" w:hAnsi="Times New Roman" w:cs="Times New Roman" w:eastAsia="Times New Roman" w:hint="default"/>
        </w:rPr>
        <w:t>6</w:t>
      </w:r>
      <w:r>
        <w:rPr/>
        <w:t>、关于相关利益者：公司能够充分尊重和维护相关利益者的合法权益，实现股东、员工、社会等各 方利益的协调平衡，共同推动公司持续、稳定、健康的发展。</w:t>
      </w:r>
    </w:p>
    <w:p>
      <w:pPr>
        <w:pStyle w:val="BodyText"/>
        <w:spacing w:line="403" w:lineRule="auto" w:before="65"/>
        <w:ind w:left="154" w:right="0" w:firstLine="420"/>
        <w:jc w:val="left"/>
      </w:pPr>
      <w:r>
        <w:rPr>
          <w:rFonts w:ascii="Times New Roman" w:hAnsi="Times New Roman" w:cs="Times New Roman" w:eastAsia="Times New Roman" w:hint="default"/>
        </w:rPr>
        <w:t>7</w:t>
      </w:r>
      <w:r>
        <w:rPr/>
        <w:t>、关于信息披露和投资者关系管理：公司严格按照有关法律法规以及《信息披露管理办法》等公司 </w:t>
      </w:r>
      <w:r>
        <w:rPr>
          <w:spacing w:val="-1"/>
        </w:rPr>
        <w:t>制度进行信息披露和投资者关系管理，并指定了《证券时报》、《中国证券报》、《上海证券报》、《证</w:t>
      </w:r>
      <w:r>
        <w:rPr>
          <w:spacing w:val="-86"/>
        </w:rPr>
        <w:t> </w:t>
      </w:r>
      <w:r>
        <w:rPr>
          <w:spacing w:val="-86"/>
        </w:rPr>
      </w:r>
      <w:r>
        <w:rPr>
          <w:spacing w:val="-1"/>
        </w:rPr>
        <w:t>券日报》和巨潮资讯网为公司指定的信息披露报纸和网站，真实、及时、准确、完整地披露各项信息，确</w:t>
      </w:r>
      <w:r>
        <w:rPr>
          <w:spacing w:val="-83"/>
        </w:rPr>
        <w:t> </w:t>
      </w:r>
      <w:r>
        <w:rPr>
          <w:spacing w:val="-83"/>
        </w:rPr>
      </w:r>
      <w:r>
        <w:rPr>
          <w:spacing w:val="-1"/>
        </w:rPr>
        <w:t>保所有投资者公平获取公司信息。同时，公司建立了畅通的沟通渠道，通过投资者电话、投资者关系网络</w:t>
      </w:r>
      <w:r>
        <w:rPr>
          <w:spacing w:val="-86"/>
        </w:rPr>
        <w:t> </w:t>
      </w:r>
      <w:r>
        <w:rPr>
          <w:spacing w:val="-86"/>
        </w:rPr>
      </w:r>
      <w:r>
        <w:rPr/>
        <w:t>互动平台以及现场交流等方式与投资者进行充分的沟通交流。</w:t>
      </w:r>
    </w:p>
    <w:p>
      <w:pPr>
        <w:pStyle w:val="BodyText"/>
        <w:spacing w:line="240" w:lineRule="auto" w:before="50"/>
        <w:ind w:left="574" w:right="0"/>
        <w:jc w:val="left"/>
      </w:pPr>
      <w:r>
        <w:rPr/>
        <w:t>综上公司定期进行检查、评估和及时的修订完善各项规章制度，使各项制度得到有效的贯彻执行，对</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3"/>
          <w:szCs w:val="13"/>
        </w:rPr>
      </w:pPr>
    </w:p>
    <w:p>
      <w:pPr>
        <w:spacing w:line="420" w:lineRule="auto" w:before="0"/>
        <w:ind w:left="153" w:right="0" w:firstLine="0"/>
        <w:jc w:val="left"/>
        <w:rPr>
          <w:rFonts w:ascii="宋体" w:hAnsi="宋体" w:cs="宋体" w:eastAsia="宋体" w:hint="default"/>
          <w:sz w:val="18"/>
          <w:szCs w:val="18"/>
        </w:rPr>
      </w:pPr>
      <w:r>
        <w:rPr>
          <w:rFonts w:ascii="宋体" w:hAnsi="宋体" w:cs="宋体" w:eastAsia="宋体" w:hint="default"/>
          <w:spacing w:val="-1"/>
          <w:sz w:val="21"/>
          <w:szCs w:val="21"/>
        </w:rPr>
        <w:t>公司的生产经营起到了重要的指导、规范、控制和监督作用，公司严格按照该制度的规定，对公司定期报</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告披露以及其他重大事项过程中涉及的内幕知情人员情况进行了登记备案。 </w:t>
      </w:r>
      <w:r>
        <w:rPr>
          <w:rFonts w:ascii="宋体" w:hAnsi="宋体" w:cs="宋体" w:eastAsia="宋体" w:hint="default"/>
          <w:sz w:val="18"/>
          <w:szCs w:val="18"/>
        </w:rPr>
        <w:t>公司治理的实际状况与中国证监会发布的有关上市公司治理的规范性文件是否存在重大差异</w:t>
      </w:r>
    </w:p>
    <w:p>
      <w:pPr>
        <w:spacing w:line="451" w:lineRule="auto" w:before="98"/>
        <w:ind w:left="15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pStyle w:val="Heading2"/>
        <w:spacing w:line="240" w:lineRule="auto" w:before="25"/>
        <w:ind w:right="0"/>
        <w:jc w:val="left"/>
        <w:rPr>
          <w:b w:val="0"/>
          <w:bCs w:val="0"/>
        </w:rPr>
      </w:pPr>
      <w:bookmarkStart w:name="二、公司相对于控股股东在业务、人员、资产、机构、财务等方面的独立情况" w:id="140"/>
      <w:bookmarkEnd w:id="140"/>
      <w:r>
        <w:rPr>
          <w:b w:val="0"/>
          <w:bCs w:val="0"/>
        </w:rPr>
      </w:r>
      <w:r>
        <w:rPr/>
        <w:t>二、公司相对于控股股东在业务、人员、资产、机构、财务等方面的独立情况</w:t>
      </w:r>
      <w:r>
        <w:rPr>
          <w:b w:val="0"/>
          <w:bCs w:val="0"/>
        </w:rPr>
      </w:r>
    </w:p>
    <w:p>
      <w:pPr>
        <w:pStyle w:val="BodyText"/>
        <w:spacing w:line="398" w:lineRule="auto" w:before="177"/>
        <w:ind w:right="1024" w:firstLine="420"/>
        <w:jc w:val="left"/>
      </w:pPr>
      <w:r>
        <w:rPr/>
        <w:t>公司具备完整、规范的产、供、销生产经营管理体制和运行机制，在业务、人员、资产、机构、财务 等方面与股东单位完全分开，独立运作。</w:t>
      </w:r>
      <w:r>
        <w:rPr>
          <w:rFonts w:ascii="Times New Roman" w:hAnsi="Times New Roman" w:cs="Times New Roman" w:eastAsia="Times New Roman" w:hint="default"/>
        </w:rPr>
        <w:t>1</w:t>
      </w:r>
      <w:r>
        <w:rPr/>
        <w:t>、业务独立：公司具有完整的采购供应体系、完整的生产管理 体系和独立的销售运作体系，独立开展业务，不依赖于任何股东及关联方。</w:t>
      </w:r>
      <w:r>
        <w:rPr>
          <w:rFonts w:ascii="Times New Roman" w:hAnsi="Times New Roman" w:cs="Times New Roman" w:eastAsia="Times New Roman" w:hint="default"/>
        </w:rPr>
        <w:t>2</w:t>
      </w:r>
      <w:r>
        <w:rPr/>
        <w:t>、人员独立：本公司董事、 监事及高级管理人员严格按照《公司法》和《公司章程》的有关规定产生；公司建有独立的人事及工资管 理系统；公司还制订了严格的《人事管理制度》，对人员管理做到了制度化。</w:t>
      </w:r>
      <w:r>
        <w:rPr>
          <w:rFonts w:ascii="Times New Roman" w:hAnsi="Times New Roman" w:cs="Times New Roman" w:eastAsia="Times New Roman" w:hint="default"/>
        </w:rPr>
        <w:t>3</w:t>
      </w:r>
      <w:r>
        <w:rPr/>
        <w:t>、资产独立本：公司的主 要资产包括主营业务所需的完整的生产设备、土地、厂房、办公用房、仓储用房、交通工具和知识产权， 具有完整的配套设施。上述资产产权清晰，完全独立于股东单位。</w:t>
      </w:r>
      <w:r>
        <w:rPr>
          <w:rFonts w:ascii="Times New Roman" w:hAnsi="Times New Roman" w:cs="Times New Roman" w:eastAsia="Times New Roman" w:hint="default"/>
        </w:rPr>
        <w:t>4</w:t>
      </w:r>
      <w:r>
        <w:rPr/>
        <w:t>、机构独立：本公司设股东大会、董 事会、监事会，按照《公司章程》的规定履行相关权利和义务。公司拥有独立的组织机构，拥有独立的运 </w:t>
      </w:r>
      <w:r>
        <w:rPr>
          <w:spacing w:val="-1"/>
        </w:rPr>
        <w:t>作、管理和考核机制。公司总经理、副总经理、董事会秘书、财务总监均在公司领取报酬。</w:t>
      </w:r>
      <w:r>
        <w:rPr>
          <w:rFonts w:ascii="Times New Roman" w:hAnsi="Times New Roman" w:cs="Times New Roman" w:eastAsia="Times New Roman" w:hint="default"/>
          <w:spacing w:val="-1"/>
        </w:rPr>
        <w:t>5</w:t>
      </w:r>
      <w:r>
        <w:rPr>
          <w:spacing w:val="-1"/>
        </w:rPr>
        <w:t>、财务独立：</w:t>
      </w:r>
      <w:r>
        <w:rPr>
          <w:spacing w:val="-84"/>
        </w:rPr>
        <w:t> </w:t>
      </w:r>
      <w:r>
        <w:rPr>
          <w:spacing w:val="-84"/>
        </w:rPr>
      </w:r>
      <w:r>
        <w:rPr>
          <w:spacing w:val="-3"/>
        </w:rPr>
        <w:t>公司设有独立的财务部门，建立独立的财务会计核算体系和财务管理制度，财务人员与股东单位完全独立，</w:t>
      </w:r>
      <w:r>
        <w:rPr>
          <w:spacing w:val="-92"/>
        </w:rPr>
        <w:t> </w:t>
      </w:r>
      <w:r>
        <w:rPr>
          <w:spacing w:val="-92"/>
        </w:rPr>
      </w:r>
      <w:r>
        <w:rPr/>
        <w:t>不存在交叉任职情况。公司独立开设银行帐户，作为独立的纳税人依法独立纳税。</w:t>
      </w:r>
    </w:p>
    <w:p>
      <w:pPr>
        <w:pStyle w:val="Heading2"/>
        <w:spacing w:line="240" w:lineRule="auto" w:before="31"/>
        <w:ind w:left="154" w:right="0"/>
        <w:jc w:val="left"/>
        <w:rPr>
          <w:b w:val="0"/>
          <w:bCs w:val="0"/>
        </w:rPr>
      </w:pPr>
      <w:bookmarkStart w:name="三、同业竞争情况" w:id="141"/>
      <w:bookmarkEnd w:id="141"/>
      <w:r>
        <w:rPr>
          <w:b w:val="0"/>
          <w:bCs w:val="0"/>
        </w:rPr>
      </w:r>
      <w:r>
        <w:rPr/>
        <w:t>三、同业竞争情况</w:t>
      </w:r>
      <w:r>
        <w:rPr>
          <w:b w:val="0"/>
          <w:bCs w:val="0"/>
        </w:rPr>
      </w:r>
    </w:p>
    <w:p>
      <w:pPr>
        <w:spacing w:before="2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3"/>
          <w:szCs w:val="13"/>
        </w:rPr>
      </w:pPr>
    </w:p>
    <w:p>
      <w:pPr>
        <w:pStyle w:val="Heading2"/>
        <w:spacing w:line="240" w:lineRule="auto"/>
        <w:ind w:right="0"/>
        <w:jc w:val="left"/>
        <w:rPr>
          <w:b w:val="0"/>
          <w:bCs w:val="0"/>
        </w:rPr>
      </w:pPr>
      <w:bookmarkStart w:name="四、报告期内召开的年度股东大会和临时股东大会的有关情况" w:id="142"/>
      <w:bookmarkEnd w:id="142"/>
      <w:r>
        <w:rPr>
          <w:b w:val="0"/>
          <w:bCs w:val="0"/>
        </w:rPr>
      </w:r>
      <w:r>
        <w:rPr/>
        <w:t>四、报告期内召开的年度股东大会和临时股东大会的有关情况</w:t>
      </w:r>
      <w:r>
        <w:rPr>
          <w:b w:val="0"/>
          <w:bCs w:val="0"/>
        </w:rPr>
      </w:r>
    </w:p>
    <w:p>
      <w:pPr>
        <w:pStyle w:val="Heading3"/>
        <w:spacing w:line="240" w:lineRule="auto" w:before="177"/>
        <w:ind w:right="0"/>
        <w:jc w:val="left"/>
        <w:rPr>
          <w:b w:val="0"/>
          <w:bCs w:val="0"/>
        </w:rPr>
      </w:pPr>
      <w:bookmarkStart w:name="1、本报告期股东大会情况" w:id="143"/>
      <w:bookmarkEnd w:id="143"/>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7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88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4"/>
                <w:szCs w:val="24"/>
              </w:rPr>
            </w:pPr>
          </w:p>
          <w:p>
            <w:pPr>
              <w:pStyle w:val="TableParagraph"/>
              <w:spacing w:line="451"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08" w:right="0"/>
              <w:jc w:val="left"/>
              <w:rPr>
                <w:rFonts w:ascii="Times New Roman" w:hAnsi="Times New Roman" w:cs="Times New Roman" w:eastAsia="Times New Roman" w:hint="default"/>
                <w:sz w:val="18"/>
                <w:szCs w:val="18"/>
              </w:rPr>
            </w:pPr>
            <w:r>
              <w:rPr>
                <w:rFonts w:ascii="Times New Roman"/>
                <w:sz w:val="18"/>
              </w:rPr>
              <w:t>49.14%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2017-034</w:t>
            </w:r>
            <w:r>
              <w:rPr>
                <w:rFonts w:ascii="宋体" w:hAnsi="宋体" w:cs="宋体" w:eastAsia="宋体" w:hint="default"/>
                <w:sz w:val="18"/>
                <w:szCs w:val="18"/>
              </w:rPr>
              <w:t>）</w:t>
            </w:r>
          </w:p>
        </w:tc>
      </w:tr>
    </w:tbl>
    <w:p>
      <w:pPr>
        <w:pStyle w:val="Heading3"/>
        <w:spacing w:line="240" w:lineRule="auto" w:before="63"/>
        <w:ind w:left="154" w:right="0"/>
        <w:jc w:val="left"/>
        <w:rPr>
          <w:b w:val="0"/>
          <w:bCs w:val="0"/>
        </w:rPr>
      </w:pPr>
      <w:bookmarkStart w:name="2、表决权恢复的优先股股东请求召开临时股东大会" w:id="144"/>
      <w:bookmarkEnd w:id="144"/>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7"/>
        <w:rPr>
          <w:rFonts w:ascii="宋体" w:hAnsi="宋体" w:cs="宋体" w:eastAsia="宋体" w:hint="default"/>
          <w:b/>
          <w:bCs/>
          <w:sz w:val="15"/>
          <w:szCs w:val="1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Heading2"/>
        <w:spacing w:line="240" w:lineRule="auto" w:before="26"/>
        <w:ind w:right="0"/>
        <w:jc w:val="left"/>
        <w:rPr>
          <w:b w:val="0"/>
          <w:bCs w:val="0"/>
        </w:rPr>
      </w:pPr>
      <w:bookmarkStart w:name="五、报告期内独立董事履行职责的情况" w:id="145"/>
      <w:bookmarkEnd w:id="145"/>
      <w:r>
        <w:rPr>
          <w:b w:val="0"/>
          <w:bCs w:val="0"/>
        </w:rPr>
      </w:r>
      <w:r>
        <w:rPr/>
        <w:t>五、报告期内独立董事履行职责的情况</w:t>
      </w:r>
      <w:r>
        <w:rPr>
          <w:b w:val="0"/>
          <w:bCs w:val="0"/>
        </w:rPr>
      </w:r>
    </w:p>
    <w:p>
      <w:pPr>
        <w:pStyle w:val="Heading3"/>
        <w:spacing w:line="240" w:lineRule="auto" w:before="177"/>
        <w:ind w:right="0"/>
        <w:jc w:val="left"/>
        <w:rPr>
          <w:b w:val="0"/>
          <w:bCs w:val="0"/>
        </w:rPr>
      </w:pPr>
      <w:bookmarkStart w:name="1、独立董事出席董事会及股东大会的情况" w:id="146"/>
      <w:bookmarkEnd w:id="146"/>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79"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4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477"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477"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477"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477"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477"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89"/>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w:t>
            </w:r>
          </w:p>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477"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78"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傅穹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16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w:t>
            </w:r>
          </w:p>
        </w:tc>
      </w:tr>
      <w:tr>
        <w:trPr>
          <w:trHeight w:val="478"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王旭</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16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w:t>
            </w:r>
          </w:p>
        </w:tc>
      </w:tr>
      <w:tr>
        <w:trPr>
          <w:trHeight w:val="479"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张连学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z w:val="18"/>
              </w:rPr>
              <w:t>16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w:t>
            </w:r>
          </w:p>
        </w:tc>
      </w:tr>
    </w:tbl>
    <w:p>
      <w:pPr>
        <w:spacing w:line="477" w:lineRule="auto" w:before="88"/>
        <w:ind w:left="154" w:right="8052"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无</w:t>
      </w:r>
    </w:p>
    <w:p>
      <w:pPr>
        <w:pStyle w:val="Heading3"/>
        <w:spacing w:line="240" w:lineRule="auto" w:before="29"/>
        <w:ind w:left="154" w:right="0"/>
        <w:jc w:val="left"/>
        <w:rPr>
          <w:b w:val="0"/>
          <w:bCs w:val="0"/>
        </w:rPr>
      </w:pPr>
      <w:bookmarkStart w:name="2、独立董事对公司有关事项提出异议的情况" w:id="147"/>
      <w:bookmarkEnd w:id="147"/>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6"/>
        <w:rPr>
          <w:rFonts w:ascii="宋体" w:hAnsi="宋体" w:cs="宋体" w:eastAsia="宋体" w:hint="default"/>
          <w:b/>
          <w:bCs/>
          <w:sz w:val="15"/>
          <w:szCs w:val="15"/>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240" w:lineRule="auto" w:before="10"/>
        <w:rPr>
          <w:rFonts w:ascii="宋体" w:hAnsi="宋体" w:cs="宋体" w:eastAsia="宋体" w:hint="default"/>
          <w:sz w:val="17"/>
          <w:szCs w:val="17"/>
        </w:rPr>
      </w:pPr>
    </w:p>
    <w:p>
      <w:pPr>
        <w:spacing w:line="451" w:lineRule="auto" w:before="0"/>
        <w:ind w:left="153" w:right="6973"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 </w:t>
      </w:r>
      <w:bookmarkStart w:name="3、独立董事履行职责的其他说明" w:id="148"/>
      <w:bookmarkEnd w:id="148"/>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34"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240" w:lineRule="auto" w:before="10"/>
        <w:rPr>
          <w:rFonts w:ascii="宋体" w:hAnsi="宋体" w:cs="宋体" w:eastAsia="宋体" w:hint="default"/>
          <w:sz w:val="17"/>
          <w:szCs w:val="17"/>
        </w:rPr>
      </w:pPr>
    </w:p>
    <w:p>
      <w:pPr>
        <w:spacing w:line="451"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408" w:lineRule="auto" w:before="48"/>
        <w:ind w:right="1024" w:firstLine="420"/>
        <w:jc w:val="left"/>
      </w:pPr>
      <w:r>
        <w:rPr/>
        <w:t>报告期内，独立董事积极有效地履行独立董事的职责，利用参加相关会议的时间，对公司进行了多次 </w:t>
      </w:r>
      <w:r>
        <w:rPr>
          <w:spacing w:val="-3"/>
        </w:rPr>
        <w:t>现场考察，对公司的生产经营、财务状况、内部控制建立健全、管理层对股东大会和董事会决议执行情况、</w:t>
      </w:r>
      <w:r>
        <w:rPr>
          <w:spacing w:val="-96"/>
        </w:rPr>
        <w:t> </w:t>
      </w:r>
      <w:r>
        <w:rPr>
          <w:spacing w:val="-96"/>
        </w:rPr>
      </w:r>
      <w:r>
        <w:rPr/>
        <w:t>募集资金使用、关联交易、业务发展和投资项目的进展等情况进行调查，在董事会决策过程中发表专业意</w:t>
      </w:r>
      <w:r>
        <w:rPr/>
        <w:t> 见。</w:t>
      </w:r>
    </w:p>
    <w:p>
      <w:pPr>
        <w:pStyle w:val="Heading2"/>
        <w:spacing w:line="240" w:lineRule="auto" w:before="23"/>
        <w:ind w:left="154" w:right="0"/>
        <w:jc w:val="left"/>
        <w:rPr>
          <w:b w:val="0"/>
          <w:bCs w:val="0"/>
        </w:rPr>
      </w:pPr>
      <w:bookmarkStart w:name="六、董事会下设专门委员会在报告期内履行职责情况" w:id="149"/>
      <w:bookmarkEnd w:id="149"/>
      <w:r>
        <w:rPr>
          <w:b w:val="0"/>
          <w:bCs w:val="0"/>
        </w:rPr>
      </w:r>
      <w:r>
        <w:rPr/>
        <w:t>六、董事会下设专门委员会在报告期内履行职责情况</w:t>
      </w:r>
      <w:r>
        <w:rPr>
          <w:b w:val="0"/>
          <w:bCs w:val="0"/>
        </w:rPr>
      </w:r>
    </w:p>
    <w:p>
      <w:pPr>
        <w:pStyle w:val="BodyText"/>
        <w:spacing w:line="386" w:lineRule="auto" w:before="177"/>
        <w:ind w:left="574" w:right="0" w:hanging="420"/>
        <w:jc w:val="left"/>
      </w:pPr>
      <w:r>
        <w:rPr>
          <w:rFonts w:ascii="Times New Roman" w:hAnsi="Times New Roman" w:cs="Times New Roman" w:eastAsia="Times New Roman" w:hint="default"/>
        </w:rPr>
        <w:t>1</w:t>
      </w:r>
      <w:r>
        <w:rPr/>
        <w:t>、审计委员会履行职责情况 </w:t>
      </w:r>
      <w:r>
        <w:rPr>
          <w:spacing w:val="-1"/>
        </w:rPr>
        <w:t>报告期内，审计委员会每季度审议内部审计部门提交的审计工作报告和工作计划；对公司内部控制情</w:t>
      </w:r>
    </w:p>
    <w:p>
      <w:pPr>
        <w:pStyle w:val="BodyText"/>
        <w:spacing w:line="398" w:lineRule="auto" w:before="65"/>
        <w:ind w:right="1024"/>
        <w:jc w:val="left"/>
      </w:pPr>
      <w:r>
        <w:rPr/>
        <w:t>况进行审核，出具</w:t>
      </w:r>
      <w:r>
        <w:rPr>
          <w:rFonts w:ascii="Times New Roman" w:hAnsi="Times New Roman" w:cs="Times New Roman" w:eastAsia="Times New Roman" w:hint="default"/>
        </w:rPr>
        <w:t>2017</w:t>
      </w:r>
      <w:r>
        <w:rPr/>
        <w:t>年度内部控制自我评价报告；审计委员会与会计师事务所协商确定了公司</w:t>
      </w:r>
      <w:r>
        <w:rPr>
          <w:rFonts w:ascii="Times New Roman" w:hAnsi="Times New Roman" w:cs="Times New Roman" w:eastAsia="Times New Roman" w:hint="default"/>
        </w:rPr>
        <w:t>2017</w:t>
      </w:r>
      <w:r>
        <w:rPr/>
        <w:t>年度</w:t>
      </w:r>
      <w:r>
        <w:rPr>
          <w:spacing w:val="-2"/>
        </w:rPr>
        <w:t> </w:t>
      </w:r>
      <w:r>
        <w:rPr>
          <w:spacing w:val="-3"/>
        </w:rPr>
        <w:t>财务报告审计工作的时间安排，并不断加强与年审注册会计师的沟通，督促其在约定时限内提交审计报告。</w:t>
      </w:r>
      <w:r>
        <w:rPr>
          <w:spacing w:val="-91"/>
        </w:rPr>
        <w:t> </w:t>
      </w:r>
      <w:r>
        <w:rPr>
          <w:spacing w:val="-91"/>
        </w:rPr>
      </w:r>
      <w:r>
        <w:rPr/>
        <w:t>在审阅审计报告后，向董事会提交审阅意见以及续聘会计师事务所的建议书。</w:t>
      </w:r>
    </w:p>
    <w:p>
      <w:pPr>
        <w:spacing w:after="0" w:line="39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left="573" w:right="0" w:hanging="420"/>
        <w:jc w:val="left"/>
      </w:pPr>
      <w:r>
        <w:rPr>
          <w:rFonts w:ascii="Times New Roman" w:hAnsi="Times New Roman" w:cs="Times New Roman" w:eastAsia="Times New Roman" w:hint="default"/>
        </w:rPr>
        <w:t>2</w:t>
      </w:r>
      <w:r>
        <w:rPr/>
        <w:t>、薪酬与考核委员会履行职责情况 </w:t>
      </w:r>
      <w:r>
        <w:rPr>
          <w:spacing w:val="-1"/>
        </w:rPr>
        <w:t>报告期内，薪酬与考核委员会认真了解公司薪酬现状及社会整体薪酬水平，听取公司薪酬支付情况的</w:t>
      </w:r>
    </w:p>
    <w:p>
      <w:pPr>
        <w:pStyle w:val="BodyText"/>
        <w:spacing w:line="408" w:lineRule="auto" w:before="65"/>
        <w:ind w:right="0"/>
        <w:jc w:val="left"/>
      </w:pPr>
      <w:r>
        <w:rPr>
          <w:spacing w:val="-1"/>
        </w:rPr>
        <w:t>汇报。对公司董事、高级管理人员薪酬进行了审阅，认为其薪酬标准和发放符合公司的薪酬管理制度，年</w:t>
      </w:r>
      <w:r>
        <w:rPr>
          <w:spacing w:val="-85"/>
        </w:rPr>
        <w:t> </w:t>
      </w:r>
      <w:r>
        <w:rPr>
          <w:spacing w:val="-85"/>
        </w:rPr>
      </w:r>
      <w:r>
        <w:rPr/>
        <w:t>度报告中所披露的董事、高级管理人员薪酬是合理和真实的。</w:t>
      </w:r>
    </w:p>
    <w:p>
      <w:pPr>
        <w:pStyle w:val="BodyText"/>
        <w:spacing w:line="386" w:lineRule="auto"/>
        <w:ind w:left="573" w:right="0" w:hanging="420"/>
        <w:jc w:val="left"/>
      </w:pPr>
      <w:r>
        <w:rPr>
          <w:rFonts w:ascii="Times New Roman" w:hAnsi="Times New Roman" w:cs="Times New Roman" w:eastAsia="Times New Roman" w:hint="default"/>
        </w:rPr>
        <w:t>3</w:t>
      </w:r>
      <w:r>
        <w:rPr/>
        <w:t>、战略与投资委员会履行职责情况 </w:t>
      </w:r>
      <w:r>
        <w:rPr>
          <w:spacing w:val="-1"/>
        </w:rPr>
        <w:t>报告期内，战略委员会认真履行职责，对公司未来发展规划、项目投资、融资等进行了充分讨论和论</w:t>
      </w:r>
    </w:p>
    <w:p>
      <w:pPr>
        <w:pStyle w:val="BodyText"/>
        <w:spacing w:line="240" w:lineRule="auto" w:before="65"/>
        <w:ind w:right="0"/>
        <w:jc w:val="left"/>
      </w:pPr>
      <w:r>
        <w:rPr/>
        <w:t>证。</w:t>
      </w:r>
    </w:p>
    <w:p>
      <w:pPr>
        <w:pStyle w:val="Heading2"/>
        <w:spacing w:line="240" w:lineRule="auto" w:before="170"/>
        <w:ind w:left="154" w:right="0"/>
        <w:jc w:val="left"/>
        <w:rPr>
          <w:b w:val="0"/>
          <w:bCs w:val="0"/>
        </w:rPr>
      </w:pPr>
      <w:bookmarkStart w:name="七、监事会工作情况" w:id="150"/>
      <w:bookmarkEnd w:id="150"/>
      <w:r>
        <w:rPr>
          <w:b w:val="0"/>
          <w:bCs w:val="0"/>
        </w:rPr>
      </w:r>
      <w:r>
        <w:rPr/>
        <w:t>七、监事会工作情况</w:t>
      </w:r>
      <w:r>
        <w:rPr>
          <w:b w:val="0"/>
          <w:bCs w:val="0"/>
        </w:rPr>
      </w:r>
    </w:p>
    <w:p>
      <w:pPr>
        <w:spacing w:before="202"/>
        <w:ind w:left="153"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240" w:lineRule="auto" w:before="10"/>
        <w:rPr>
          <w:rFonts w:ascii="宋体" w:hAnsi="宋体" w:cs="宋体" w:eastAsia="宋体" w:hint="default"/>
          <w:sz w:val="17"/>
          <w:szCs w:val="17"/>
        </w:rPr>
      </w:pPr>
    </w:p>
    <w:p>
      <w:pPr>
        <w:spacing w:line="451"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pStyle w:val="Heading2"/>
        <w:spacing w:line="240" w:lineRule="auto" w:before="25"/>
        <w:ind w:right="0"/>
        <w:jc w:val="left"/>
        <w:rPr>
          <w:b w:val="0"/>
          <w:bCs w:val="0"/>
        </w:rPr>
      </w:pPr>
      <w:bookmarkStart w:name="八、高级管理人员的考评及激励情况" w:id="151"/>
      <w:bookmarkEnd w:id="151"/>
      <w:r>
        <w:rPr>
          <w:b w:val="0"/>
          <w:bCs w:val="0"/>
        </w:rPr>
      </w:r>
      <w:r>
        <w:rPr/>
        <w:t>八、高级管理人员的考评及激励情况</w:t>
      </w:r>
      <w:r>
        <w:rPr>
          <w:b w:val="0"/>
          <w:bCs w:val="0"/>
        </w:rPr>
      </w:r>
    </w:p>
    <w:p>
      <w:pPr>
        <w:pStyle w:val="BodyText"/>
        <w:spacing w:line="400" w:lineRule="auto" w:before="177"/>
        <w:ind w:right="0" w:firstLine="420"/>
        <w:jc w:val="left"/>
      </w:pPr>
      <w:r>
        <w:rPr>
          <w:spacing w:val="-1"/>
        </w:rPr>
        <w:t>公司已经逐步完善和建立公正、透明的高级管理人员的绩效评价标准和激励约束机制，公司高级管理</w:t>
      </w:r>
      <w:r>
        <w:rPr/>
        <w:t> 人员的聘任公开、透明，符合法律法规的规定。</w:t>
      </w:r>
      <w:r>
        <w:rPr>
          <w:rFonts w:ascii="Times New Roman" w:hAnsi="Times New Roman" w:cs="Times New Roman" w:eastAsia="Times New Roman" w:hint="default"/>
        </w:rPr>
        <w:t>1</w:t>
      </w:r>
      <w:r>
        <w:rPr/>
        <w:t>、考评机制：由公司董事会按年度对公司高级管理人员 </w:t>
      </w:r>
      <w:r>
        <w:rPr>
          <w:spacing w:val="-1"/>
        </w:rPr>
        <w:t>的业绩和履职情况进行考评，并根据工作业绩决定年度薪酬，以考核结果作为下一年度的岗位安排、年薪</w:t>
      </w:r>
      <w:r>
        <w:rPr>
          <w:spacing w:val="-83"/>
        </w:rPr>
        <w:t> </w:t>
      </w:r>
      <w:r>
        <w:rPr>
          <w:spacing w:val="-83"/>
        </w:rPr>
      </w:r>
      <w:r>
        <w:rPr/>
        <w:t>档次、是否续聘及职位升降和下一届任免的依据。</w:t>
      </w:r>
      <w:r>
        <w:rPr>
          <w:rFonts w:ascii="Times New Roman" w:hAnsi="Times New Roman" w:cs="Times New Roman" w:eastAsia="Times New Roman" w:hint="default"/>
        </w:rPr>
        <w:t>2</w:t>
      </w:r>
      <w:r>
        <w:rPr/>
        <w:t>、激励机制：年初，董事会根据公司的经营计划和个 </w:t>
      </w:r>
      <w:r>
        <w:rPr>
          <w:spacing w:val="-1"/>
        </w:rPr>
        <w:t>人的岗位职责，确定年度工资额；年终董事会根据高级管理人员本年度的工作业绩进行考评后确定对高管</w:t>
      </w:r>
      <w:r>
        <w:rPr>
          <w:spacing w:val="-81"/>
        </w:rPr>
        <w:t> </w:t>
      </w:r>
      <w:r>
        <w:rPr>
          <w:spacing w:val="-81"/>
        </w:rPr>
      </w:r>
      <w:r>
        <w:rPr/>
        <w:t>人员的奖金总额。</w:t>
      </w:r>
    </w:p>
    <w:p>
      <w:pPr>
        <w:pStyle w:val="Heading2"/>
        <w:spacing w:line="240" w:lineRule="auto" w:before="29"/>
        <w:ind w:right="0"/>
        <w:jc w:val="left"/>
        <w:rPr>
          <w:b w:val="0"/>
          <w:bCs w:val="0"/>
        </w:rPr>
      </w:pPr>
      <w:bookmarkStart w:name="九、内部控制评价报告" w:id="152"/>
      <w:bookmarkEnd w:id="152"/>
      <w:r>
        <w:rPr>
          <w:b w:val="0"/>
          <w:bCs w:val="0"/>
        </w:rPr>
      </w:r>
      <w:r>
        <w:rPr/>
        <w:t>九、内部控制评价报告</w:t>
      </w:r>
      <w:r>
        <w:rPr>
          <w:b w:val="0"/>
          <w:bCs w:val="0"/>
        </w:rPr>
      </w:r>
    </w:p>
    <w:p>
      <w:pPr>
        <w:pStyle w:val="Heading3"/>
        <w:spacing w:line="240" w:lineRule="auto" w:before="177"/>
        <w:ind w:right="0"/>
        <w:jc w:val="left"/>
        <w:rPr>
          <w:b w:val="0"/>
          <w:bCs w:val="0"/>
        </w:rPr>
      </w:pPr>
      <w:bookmarkStart w:name="1、报告期内发现的内部控制重大缺陷的具体情况" w:id="153"/>
      <w:bookmarkEnd w:id="153"/>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6"/>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2、内控自我评价报告" w:id="154"/>
      <w:bookmarkEnd w:id="154"/>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8"/>
          <w:szCs w:val="8"/>
        </w:rPr>
      </w:pPr>
    </w:p>
    <w:tbl>
      <w:tblPr>
        <w:tblW w:w="0" w:type="auto"/>
        <w:jc w:val="left"/>
        <w:tblInd w:w="160" w:type="dxa"/>
        <w:tblLayout w:type="fixed"/>
        <w:tblCellMar>
          <w:top w:w="0" w:type="dxa"/>
          <w:left w:w="0" w:type="dxa"/>
          <w:bottom w:w="0" w:type="dxa"/>
          <w:right w:w="0" w:type="dxa"/>
        </w:tblCellMar>
        <w:tblLook w:val="01E0"/>
      </w:tblPr>
      <w:tblGrid>
        <w:gridCol w:w="3171"/>
        <w:gridCol w:w="6386"/>
      </w:tblGrid>
      <w:tr>
        <w:trPr>
          <w:trHeight w:val="478"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79"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巨潮资讯网 </w:t>
            </w:r>
            <w:hyperlink r:id="rId11">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年度内部控制的自我评价报告》</w:t>
            </w:r>
          </w:p>
        </w:tc>
      </w:tr>
      <w:tr>
        <w:trPr>
          <w:trHeight w:val="946"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财务报表资产总额的比例</w:t>
            </w:r>
          </w:p>
        </w:tc>
        <w:tc>
          <w:tcPr>
            <w:tcW w:w="6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100.00%</w:t>
            </w:r>
          </w:p>
        </w:tc>
      </w:tr>
      <w:tr>
        <w:trPr>
          <w:trHeight w:val="947"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财务报表营业收入的比例</w:t>
            </w:r>
          </w:p>
        </w:tc>
        <w:tc>
          <w:tcPr>
            <w:tcW w:w="6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78"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3171"/>
        <w:gridCol w:w="3335"/>
        <w:gridCol w:w="3051"/>
      </w:tblGrid>
      <w:tr>
        <w:trPr>
          <w:trHeight w:val="478"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79"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78"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78"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w:t>
            </w:r>
          </w:p>
        </w:tc>
      </w:tr>
      <w:tr>
        <w:trPr>
          <w:trHeight w:val="479"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w:t>
            </w:r>
          </w:p>
        </w:tc>
      </w:tr>
      <w:tr>
        <w:trPr>
          <w:trHeight w:val="478"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w:t>
            </w:r>
          </w:p>
        </w:tc>
      </w:tr>
      <w:tr>
        <w:trPr>
          <w:trHeight w:val="479"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w:t>
            </w:r>
          </w:p>
        </w:tc>
      </w:tr>
    </w:tbl>
    <w:p>
      <w:pPr>
        <w:pStyle w:val="Heading2"/>
        <w:spacing w:line="240" w:lineRule="auto" w:before="40"/>
        <w:ind w:left="154" w:right="0"/>
        <w:jc w:val="left"/>
        <w:rPr>
          <w:b w:val="0"/>
          <w:bCs w:val="0"/>
        </w:rPr>
      </w:pPr>
      <w:bookmarkStart w:name="十、内部控制审计报告或鉴证报告" w:id="155"/>
      <w:bookmarkEnd w:id="155"/>
      <w:r>
        <w:rPr>
          <w:b w:val="0"/>
          <w:bCs w:val="0"/>
        </w:rPr>
      </w:r>
      <w:r>
        <w:rPr/>
        <w:t>十、内部控制审计报告或鉴证报告</w:t>
      </w:r>
      <w:r>
        <w:rPr>
          <w:b w:val="0"/>
          <w:bCs w:val="0"/>
        </w:rPr>
      </w:r>
    </w:p>
    <w:p>
      <w:pPr>
        <w:spacing w:before="202"/>
        <w:ind w:left="15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1"/>
        <w:spacing w:line="240" w:lineRule="auto"/>
        <w:ind w:left="3126" w:right="0"/>
        <w:jc w:val="left"/>
        <w:rPr>
          <w:b w:val="0"/>
          <w:bCs w:val="0"/>
        </w:rPr>
      </w:pPr>
      <w:bookmarkStart w:name="第十节 公司债券相关情况" w:id="156"/>
      <w:bookmarkEnd w:id="156"/>
      <w:r>
        <w:rPr>
          <w:b w:val="0"/>
          <w:bCs w:val="0"/>
        </w:rPr>
      </w:r>
      <w:bookmarkStart w:name="_bookmark9" w:id="157"/>
      <w:bookmarkEnd w:id="157"/>
      <w:r>
        <w:rPr>
          <w:b w:val="0"/>
          <w:bCs w:val="0"/>
        </w:rPr>
      </w:r>
      <w:r>
        <w:rPr/>
        <w:t>第十节</w:t>
      </w:r>
      <w:r>
        <w:rPr>
          <w:spacing w:val="-9"/>
        </w:rPr>
        <w:t> </w:t>
      </w:r>
      <w:r>
        <w:rPr/>
        <w:t>公司债券相关情况</w:t>
      </w:r>
      <w:r>
        <w:rPr>
          <w:b w:val="0"/>
          <w:bCs w:val="0"/>
        </w:rPr>
      </w:r>
    </w:p>
    <w:p>
      <w:pPr>
        <w:spacing w:line="477" w:lineRule="auto" w:before="241"/>
        <w:ind w:left="15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47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1"/>
        <w:spacing w:line="240" w:lineRule="auto"/>
        <w:ind w:left="3607" w:right="0"/>
        <w:jc w:val="left"/>
        <w:rPr>
          <w:b w:val="0"/>
          <w:bCs w:val="0"/>
        </w:rPr>
      </w:pPr>
      <w:bookmarkStart w:name="第十一节 财务报告" w:id="158"/>
      <w:bookmarkEnd w:id="158"/>
      <w:r>
        <w:rPr>
          <w:b w:val="0"/>
          <w:bCs w:val="0"/>
        </w:rPr>
      </w:r>
      <w:bookmarkStart w:name="_bookmark10" w:id="159"/>
      <w:bookmarkEnd w:id="159"/>
      <w:r>
        <w:rPr>
          <w:b w:val="0"/>
          <w:bCs w:val="0"/>
        </w:rPr>
      </w:r>
      <w:r>
        <w:rPr/>
        <w:t>第十一节</w:t>
      </w:r>
      <w:r>
        <w:rPr>
          <w:spacing w:val="-6"/>
        </w:rPr>
        <w:t> </w:t>
      </w:r>
      <w:r>
        <w:rPr/>
        <w:t>财务报告</w:t>
      </w:r>
      <w:r>
        <w:rPr>
          <w:b w:val="0"/>
          <w:bCs w:val="0"/>
        </w:rPr>
      </w:r>
    </w:p>
    <w:p>
      <w:pPr>
        <w:spacing w:line="240" w:lineRule="auto" w:before="10"/>
        <w:rPr>
          <w:rFonts w:ascii="宋体" w:hAnsi="宋体" w:cs="宋体" w:eastAsia="宋体" w:hint="default"/>
          <w:b/>
          <w:bCs/>
          <w:sz w:val="12"/>
          <w:szCs w:val="12"/>
        </w:rPr>
      </w:pPr>
    </w:p>
    <w:p>
      <w:pPr>
        <w:pStyle w:val="Heading2"/>
        <w:spacing w:line="240" w:lineRule="auto" w:before="26"/>
        <w:ind w:right="0"/>
        <w:jc w:val="left"/>
        <w:rPr>
          <w:b w:val="0"/>
          <w:bCs w:val="0"/>
        </w:rPr>
      </w:pPr>
      <w:bookmarkStart w:name="一、审计报告" w:id="160"/>
      <w:bookmarkEnd w:id="160"/>
      <w:r>
        <w:rPr>
          <w:b w:val="0"/>
          <w:bCs w:val="0"/>
        </w:rPr>
      </w:r>
      <w:r>
        <w:rPr/>
        <w:t>一、审计报告</w:t>
      </w:r>
      <w:r>
        <w:rPr>
          <w:b w:val="0"/>
          <w:bCs w:val="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7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7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7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中准会计师事务所（特殊普通合伙）</w:t>
            </w:r>
          </w:p>
        </w:tc>
      </w:tr>
      <w:tr>
        <w:trPr>
          <w:trHeight w:val="47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中准审字</w:t>
            </w:r>
            <w:r>
              <w:rPr>
                <w:rFonts w:ascii="Times New Roman" w:hAnsi="Times New Roman" w:cs="Times New Roman" w:eastAsia="Times New Roman" w:hint="default"/>
                <w:sz w:val="18"/>
                <w:szCs w:val="18"/>
              </w:rPr>
              <w:t>[2018]2058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7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韩波、刘昆</w:t>
            </w:r>
          </w:p>
        </w:tc>
      </w:tr>
    </w:tbl>
    <w:p>
      <w:pPr>
        <w:spacing w:before="88"/>
        <w:ind w:left="135" w:right="1111"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2"/>
        <w:rPr>
          <w:rFonts w:ascii="宋体" w:hAnsi="宋体" w:cs="宋体" w:eastAsia="宋体" w:hint="default"/>
          <w:sz w:val="13"/>
          <w:szCs w:val="13"/>
        </w:rPr>
      </w:pPr>
    </w:p>
    <w:p>
      <w:pPr>
        <w:spacing w:line="408" w:lineRule="auto" w:before="35"/>
        <w:ind w:left="153" w:right="7183" w:firstLine="0"/>
        <w:jc w:val="left"/>
        <w:rPr>
          <w:rFonts w:ascii="宋体" w:hAnsi="宋体" w:cs="宋体" w:eastAsia="宋体" w:hint="default"/>
          <w:sz w:val="21"/>
          <w:szCs w:val="21"/>
        </w:rPr>
      </w:pPr>
      <w:r>
        <w:rPr>
          <w:rFonts w:ascii="宋体" w:hAnsi="宋体" w:cs="宋体" w:eastAsia="宋体" w:hint="default"/>
          <w:sz w:val="21"/>
          <w:szCs w:val="21"/>
        </w:rPr>
        <w:t>吉林紫鑫药业股份有限公司全体股东： </w:t>
      </w:r>
      <w:r>
        <w:rPr>
          <w:rFonts w:ascii="宋体" w:hAnsi="宋体" w:cs="宋体" w:eastAsia="宋体" w:hint="default"/>
          <w:b/>
          <w:bCs/>
          <w:sz w:val="21"/>
          <w:szCs w:val="21"/>
        </w:rPr>
        <w:t>一、审计意见</w:t>
      </w:r>
      <w:r>
        <w:rPr>
          <w:rFonts w:ascii="宋体" w:hAnsi="宋体" w:cs="宋体" w:eastAsia="宋体" w:hint="default"/>
          <w:sz w:val="21"/>
          <w:szCs w:val="21"/>
        </w:rPr>
      </w:r>
    </w:p>
    <w:p>
      <w:pPr>
        <w:pStyle w:val="BodyText"/>
        <w:spacing w:line="386" w:lineRule="auto"/>
        <w:ind w:right="1129" w:firstLine="568"/>
        <w:jc w:val="both"/>
      </w:pPr>
      <w:r>
        <w:rPr/>
        <w:t>我们审计了吉林紫鑫药业股份有限公司（以下简称</w:t>
      </w:r>
      <w:r>
        <w:rPr>
          <w:rFonts w:ascii="Times New Roman" w:hAnsi="Times New Roman" w:cs="Times New Roman" w:eastAsia="Times New Roman" w:hint="default"/>
        </w:rPr>
        <w:t>“</w:t>
      </w:r>
      <w:r>
        <w:rPr/>
        <w:t>紫鑫药业</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1"/>
        </w:rPr>
        <w:t>月</w:t>
      </w:r>
      <w:r>
        <w:rPr>
          <w:rFonts w:ascii="Times New Roman" w:hAnsi="Times New Roman" w:cs="Times New Roman" w:eastAsia="Times New Roman" w:hint="default"/>
          <w:spacing w:val="-1"/>
        </w:rPr>
        <w:t>31</w:t>
      </w:r>
      <w:r>
        <w:rPr>
          <w:spacing w:val="-1"/>
        </w:rPr>
        <w:t>日的合并及母公司资产负债表，</w:t>
      </w:r>
      <w:r>
        <w:rPr>
          <w:rFonts w:ascii="Times New Roman" w:hAnsi="Times New Roman" w:cs="Times New Roman" w:eastAsia="Times New Roman" w:hint="default"/>
          <w:spacing w:val="-1"/>
        </w:rPr>
        <w:t>2017</w:t>
      </w:r>
      <w:r>
        <w:rPr>
          <w:spacing w:val="-1"/>
        </w:rPr>
        <w:t>年度的合并及母公司利润表、合并及母公司现金流量表、合并及</w:t>
      </w:r>
      <w:r>
        <w:rPr>
          <w:spacing w:val="-82"/>
        </w:rPr>
        <w:t> </w:t>
      </w:r>
      <w:r>
        <w:rPr>
          <w:spacing w:val="-82"/>
        </w:rPr>
      </w:r>
      <w:r>
        <w:rPr/>
        <w:t>母公司股东权益变动表以及相关财务报表附注。</w:t>
      </w:r>
    </w:p>
    <w:p>
      <w:pPr>
        <w:pStyle w:val="BodyText"/>
        <w:spacing w:line="386" w:lineRule="auto" w:before="65"/>
        <w:ind w:right="1118" w:firstLine="568"/>
        <w:jc w:val="left"/>
        <w:rPr>
          <w:rFonts w:ascii="宋体" w:hAnsi="宋体" w:cs="宋体" w:eastAsia="宋体" w:hint="default"/>
        </w:rPr>
      </w:pPr>
      <w:r>
        <w:rPr>
          <w:spacing w:val="-4"/>
        </w:rPr>
        <w:t>我们认为，后附的财务报表在所有重大方面按照企业会计准则的规定编制，公允反映了紫鑫药业</w:t>
      </w:r>
      <w:r>
        <w:rPr>
          <w:rFonts w:ascii="Times New Roman" w:hAnsi="Times New Roman" w:cs="Times New Roman" w:eastAsia="Times New Roman" w:hint="default"/>
          <w:spacing w:val="-4"/>
        </w:rPr>
        <w:t>2017</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2017</w:t>
      </w:r>
      <w:r>
        <w:rPr/>
        <w:t>年度的合并及母公司经营成果和现金流量。 </w:t>
      </w:r>
      <w:r>
        <w:rPr>
          <w:rFonts w:ascii="宋体" w:hAnsi="宋体" w:cs="宋体" w:eastAsia="宋体" w:hint="default"/>
          <w:b/>
          <w:bCs/>
        </w:rPr>
        <w:t>二、形成审计意见的基础</w:t>
      </w:r>
      <w:r>
        <w:rPr>
          <w:rFonts w:ascii="宋体" w:hAnsi="宋体" w:cs="宋体" w:eastAsia="宋体" w:hint="default"/>
        </w:rPr>
      </w:r>
    </w:p>
    <w:p>
      <w:pPr>
        <w:pStyle w:val="BodyText"/>
        <w:spacing w:line="393" w:lineRule="auto" w:before="65"/>
        <w:ind w:right="1132" w:firstLine="480"/>
        <w:jc w:val="both"/>
      </w:pP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 的责任</w:t>
      </w:r>
      <w:r>
        <w:rPr>
          <w:rFonts w:ascii="Times New Roman" w:hAnsi="Times New Roman" w:cs="Times New Roman" w:eastAsia="Times New Roman" w:hint="default"/>
        </w:rPr>
        <w:t>”</w:t>
      </w:r>
      <w:r>
        <w:rPr/>
        <w:t>部分进一步阐述了我们在这些准则下的责任。按照中国注册会计师职业道德守则，我们独立于紫</w:t>
      </w:r>
      <w:r>
        <w:rPr>
          <w:spacing w:val="-17"/>
        </w:rPr>
        <w:t> </w:t>
      </w:r>
      <w:r>
        <w:rPr>
          <w:spacing w:val="-17"/>
        </w:rPr>
      </w:r>
      <w:r>
        <w:rPr>
          <w:spacing w:val="-1"/>
        </w:rPr>
        <w:t>鑫药业，并履行了职业道德方面的其他责任。我们相信，我们获取的审计证据是充分、适当的，为发表审</w:t>
      </w:r>
      <w:r>
        <w:rPr>
          <w:spacing w:val="-83"/>
        </w:rPr>
        <w:t> </w:t>
      </w:r>
      <w:r>
        <w:rPr>
          <w:spacing w:val="-83"/>
        </w:rPr>
      </w:r>
      <w:r>
        <w:rPr/>
        <w:t>计意见提供了基础。</w:t>
      </w:r>
    </w:p>
    <w:p>
      <w:pPr>
        <w:pStyle w:val="Heading3"/>
        <w:spacing w:line="240" w:lineRule="auto" w:before="58"/>
        <w:ind w:right="0"/>
        <w:jc w:val="left"/>
        <w:rPr>
          <w:b w:val="0"/>
          <w:bCs w:val="0"/>
        </w:rPr>
      </w:pPr>
      <w:r>
        <w:rPr/>
        <w:t>三、关键审计事项</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1131" w:firstLine="568"/>
        <w:jc w:val="both"/>
      </w:pPr>
      <w:r>
        <w:rPr/>
        <w:t>关键审计事项是我们根据职业判断，认为对本期财务报表审计最为重要的事项。这些事项的应对以 </w:t>
      </w:r>
      <w:r>
        <w:rPr>
          <w:spacing w:val="-1"/>
        </w:rPr>
        <w:t>对财务报表整体进行审计并形成审计意见为背景，我们不对这些事项单独发表意见。我们确定下列事项是</w:t>
      </w:r>
      <w:r>
        <w:rPr>
          <w:spacing w:val="-81"/>
        </w:rPr>
        <w:t> </w:t>
      </w:r>
      <w:r>
        <w:rPr>
          <w:spacing w:val="-81"/>
        </w:rPr>
      </w:r>
      <w:r>
        <w:rPr/>
        <w:t>需要在审计报告中沟通的关键审计事项。</w:t>
      </w:r>
    </w:p>
    <w:p>
      <w:pPr>
        <w:pStyle w:val="BodyText"/>
        <w:spacing w:line="240" w:lineRule="auto"/>
        <w:ind w:left="633" w:right="0"/>
        <w:jc w:val="left"/>
      </w:pPr>
      <w:r>
        <w:rPr/>
        <w:t>（一）收入确认</w:t>
      </w:r>
    </w:p>
    <w:p>
      <w:pPr>
        <w:spacing w:line="240" w:lineRule="auto" w:before="10"/>
        <w:rPr>
          <w:rFonts w:ascii="宋体" w:hAnsi="宋体" w:cs="宋体" w:eastAsia="宋体" w:hint="default"/>
          <w:sz w:val="14"/>
          <w:szCs w:val="14"/>
        </w:rPr>
      </w:pPr>
    </w:p>
    <w:p>
      <w:pPr>
        <w:pStyle w:val="BodyText"/>
        <w:spacing w:line="386" w:lineRule="auto" w:before="0"/>
        <w:ind w:left="633" w:right="1118"/>
        <w:jc w:val="left"/>
      </w:pPr>
      <w:r>
        <w:rPr>
          <w:rFonts w:ascii="Times New Roman" w:hAnsi="Times New Roman" w:cs="Times New Roman" w:eastAsia="Times New Roman" w:hint="default"/>
        </w:rPr>
        <w:t>1</w:t>
      </w:r>
      <w:r>
        <w:rPr/>
        <w:t>、事项描述 </w:t>
      </w:r>
      <w:r>
        <w:rPr>
          <w:spacing w:val="-3"/>
        </w:rPr>
        <w:t>请参阅财务报表附注</w:t>
      </w:r>
      <w:r>
        <w:rPr>
          <w:rFonts w:ascii="Times New Roman" w:hAnsi="Times New Roman" w:cs="Times New Roman" w:eastAsia="Times New Roman" w:hint="default"/>
          <w:spacing w:val="-3"/>
        </w:rPr>
        <w:t>“</w:t>
      </w:r>
      <w:r>
        <w:rPr>
          <w:spacing w:val="-3"/>
        </w:rPr>
        <w:t>二</w:t>
      </w:r>
      <w:r>
        <w:rPr>
          <w:rFonts w:ascii="Times New Roman" w:hAnsi="Times New Roman" w:cs="Times New Roman" w:eastAsia="Times New Roman" w:hint="default"/>
          <w:spacing w:val="-3"/>
        </w:rPr>
        <w:t>”</w:t>
      </w:r>
      <w:r>
        <w:rPr>
          <w:spacing w:val="-3"/>
        </w:rPr>
        <w:t>、财务报表编制基础（二十五）</w:t>
      </w:r>
      <w:r>
        <w:rPr>
          <w:rFonts w:ascii="Times New Roman" w:hAnsi="Times New Roman" w:cs="Times New Roman" w:eastAsia="Times New Roman" w:hint="default"/>
          <w:spacing w:val="-3"/>
        </w:rPr>
        <w:t>/</w:t>
      </w:r>
      <w:r>
        <w:rPr>
          <w:spacing w:val="-3"/>
        </w:rPr>
        <w:t>财务报表附注</w:t>
      </w:r>
      <w:r>
        <w:rPr>
          <w:rFonts w:ascii="Times New Roman" w:hAnsi="Times New Roman" w:cs="Times New Roman" w:eastAsia="Times New Roman" w:hint="default"/>
          <w:spacing w:val="-3"/>
        </w:rPr>
        <w:t>“</w:t>
      </w:r>
      <w:r>
        <w:rPr>
          <w:spacing w:val="-3"/>
        </w:rPr>
        <w:t>五</w:t>
      </w:r>
      <w:r>
        <w:rPr>
          <w:rFonts w:ascii="Times New Roman" w:hAnsi="Times New Roman" w:cs="Times New Roman" w:eastAsia="Times New Roman" w:hint="default"/>
          <w:spacing w:val="-3"/>
        </w:rPr>
        <w:t>”</w:t>
      </w:r>
      <w:r>
        <w:rPr>
          <w:spacing w:val="-3"/>
        </w:rPr>
        <w:t>、合并财务报表项目附注</w:t>
      </w:r>
    </w:p>
    <w:p>
      <w:pPr>
        <w:pStyle w:val="BodyText"/>
        <w:spacing w:line="386" w:lineRule="auto" w:before="35"/>
        <w:ind w:right="0"/>
        <w:jc w:val="left"/>
      </w:pPr>
      <w:r>
        <w:rPr>
          <w:spacing w:val="-1"/>
        </w:rPr>
        <w:t>注释</w:t>
      </w:r>
      <w:r>
        <w:rPr>
          <w:rFonts w:ascii="Times New Roman" w:hAnsi="Times New Roman" w:cs="Times New Roman" w:eastAsia="Times New Roman" w:hint="default"/>
          <w:spacing w:val="-1"/>
        </w:rPr>
        <w:t>“34”</w:t>
      </w:r>
      <w:r>
        <w:rPr>
          <w:spacing w:val="-1"/>
        </w:rPr>
        <w:t>。</w:t>
      </w:r>
      <w:r>
        <w:rPr>
          <w:rFonts w:ascii="Times New Roman" w:hAnsi="Times New Roman" w:cs="Times New Roman" w:eastAsia="Times New Roman" w:hint="default"/>
          <w:spacing w:val="-1"/>
        </w:rPr>
        <w:t>2017</w:t>
      </w:r>
      <w:r>
        <w:rPr>
          <w:spacing w:val="-1"/>
        </w:rPr>
        <w:t>年度，紫鑫药业营业收入为</w:t>
      </w:r>
      <w:r>
        <w:rPr>
          <w:rFonts w:ascii="Times New Roman" w:hAnsi="Times New Roman" w:cs="Times New Roman" w:eastAsia="Times New Roman" w:hint="default"/>
          <w:spacing w:val="-1"/>
        </w:rPr>
        <w:t>1,327,230,839.27</w:t>
      </w:r>
      <w:r>
        <w:rPr>
          <w:spacing w:val="-1"/>
        </w:rPr>
        <w:t>元，较</w:t>
      </w:r>
      <w:r>
        <w:rPr>
          <w:rFonts w:ascii="Times New Roman" w:hAnsi="Times New Roman" w:cs="Times New Roman" w:eastAsia="Times New Roman" w:hint="default"/>
          <w:spacing w:val="-1"/>
        </w:rPr>
        <w:t>2016</w:t>
      </w:r>
      <w:r>
        <w:rPr>
          <w:spacing w:val="-1"/>
        </w:rPr>
        <w:t>年度营业收入同比增长</w:t>
      </w:r>
      <w:r>
        <w:rPr>
          <w:rFonts w:ascii="Times New Roman" w:hAnsi="Times New Roman" w:cs="Times New Roman" w:eastAsia="Times New Roman" w:hint="default"/>
          <w:spacing w:val="-1"/>
        </w:rPr>
        <w:t>61.95%</w:t>
      </w:r>
      <w:r>
        <w:rPr>
          <w:spacing w:val="-1"/>
        </w:rPr>
        <w:t>，由</w:t>
      </w:r>
      <w:r>
        <w:rPr>
          <w:spacing w:val="-68"/>
        </w:rPr>
        <w:t> </w:t>
      </w:r>
      <w:r>
        <w:rPr>
          <w:spacing w:val="-1"/>
        </w:rPr>
        <w:t>于销售收入是紫鑫药业的关键业绩指标，从而存在管理层为了达到特定目标或期望而操纵收入确认时点的</w:t>
      </w:r>
    </w:p>
    <w:p>
      <w:pPr>
        <w:spacing w:after="0" w:line="38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135" w:right="5081"/>
        <w:jc w:val="center"/>
      </w:pPr>
      <w:r>
        <w:rPr/>
        <w:t>固有风险。因此，我们将销售收入的确认作为关键审计事项。</w:t>
      </w:r>
    </w:p>
    <w:p>
      <w:pPr>
        <w:spacing w:line="240" w:lineRule="auto" w:before="10"/>
        <w:rPr>
          <w:rFonts w:ascii="宋体" w:hAnsi="宋体" w:cs="宋体" w:eastAsia="宋体" w:hint="default"/>
          <w:sz w:val="14"/>
          <w:szCs w:val="14"/>
        </w:rPr>
      </w:pPr>
    </w:p>
    <w:p>
      <w:pPr>
        <w:pStyle w:val="BodyText"/>
        <w:spacing w:line="240" w:lineRule="auto" w:before="0"/>
        <w:ind w:left="633" w:right="0"/>
        <w:jc w:val="left"/>
      </w:pPr>
      <w:r>
        <w:rPr>
          <w:rFonts w:ascii="Times New Roman" w:hAnsi="Times New Roman" w:cs="Times New Roman" w:eastAsia="Times New Roman" w:hint="default"/>
        </w:rPr>
        <w:t>2</w:t>
      </w:r>
      <w:r>
        <w:rPr/>
        <w:t>、审计应对，我们在审计过程中进行了如下应对：</w:t>
      </w:r>
    </w:p>
    <w:p>
      <w:pPr>
        <w:pStyle w:val="BodyText"/>
        <w:spacing w:line="240" w:lineRule="auto" w:before="177"/>
        <w:ind w:left="633" w:right="0"/>
        <w:jc w:val="left"/>
      </w:pPr>
      <w:r>
        <w:rPr/>
        <w:t>（</w:t>
      </w:r>
      <w:r>
        <w:rPr>
          <w:rFonts w:ascii="Times New Roman" w:hAnsi="Times New Roman" w:cs="Times New Roman" w:eastAsia="Times New Roman" w:hint="default"/>
        </w:rPr>
        <w:t>1</w:t>
      </w:r>
      <w:r>
        <w:rPr/>
        <w:t>）了解和评价管理层与收入确认相关的内部控制的设计和运行有效性；</w:t>
      </w:r>
    </w:p>
    <w:p>
      <w:pPr>
        <w:pStyle w:val="BodyText"/>
        <w:spacing w:line="398" w:lineRule="auto" w:before="177"/>
        <w:ind w:right="1018" w:firstLine="480"/>
        <w:jc w:val="left"/>
      </w:pPr>
      <w:r>
        <w:rPr>
          <w:spacing w:val="-2"/>
        </w:rPr>
        <w:t>（</w:t>
      </w:r>
      <w:r>
        <w:rPr>
          <w:rFonts w:ascii="Times New Roman" w:hAnsi="Times New Roman" w:cs="Times New Roman" w:eastAsia="Times New Roman" w:hint="default"/>
          <w:spacing w:val="-2"/>
        </w:rPr>
        <w:t>2</w:t>
      </w:r>
      <w:r>
        <w:rPr>
          <w:spacing w:val="-2"/>
        </w:rPr>
        <w:t>）分产品分类别的将本年销售数量、主营业务收入、主营业务成本、毛利率与上年进行对比分析，</w:t>
      </w:r>
      <w:r>
        <w:rPr/>
        <w:t> 对公司部分客户的资质进行调查，将其本期的销售数量、主营业务收入与上期可比期间的销售数量、主营 业务收入进行比较分析；</w:t>
      </w:r>
    </w:p>
    <w:p>
      <w:pPr>
        <w:pStyle w:val="BodyText"/>
        <w:spacing w:line="240" w:lineRule="auto" w:before="54"/>
        <w:ind w:left="633" w:right="0"/>
        <w:jc w:val="left"/>
      </w:pPr>
      <w:r>
        <w:rPr/>
        <w:t>（</w:t>
      </w:r>
      <w:r>
        <w:rPr>
          <w:rFonts w:ascii="Times New Roman" w:hAnsi="Times New Roman" w:cs="Times New Roman" w:eastAsia="Times New Roman" w:hint="default"/>
        </w:rPr>
        <w:t>3</w:t>
      </w:r>
      <w:r>
        <w:rPr/>
        <w:t>）分产品分类别的将公司收入数量与成本结转数量进行对比分析；</w:t>
      </w:r>
    </w:p>
    <w:p>
      <w:pPr>
        <w:pStyle w:val="BodyText"/>
        <w:spacing w:line="386" w:lineRule="auto" w:before="177"/>
        <w:ind w:right="0" w:firstLine="480"/>
        <w:jc w:val="left"/>
      </w:pPr>
      <w:r>
        <w:rPr/>
        <w:t>（</w:t>
      </w:r>
      <w:r>
        <w:rPr>
          <w:rFonts w:ascii="Times New Roman" w:hAnsi="Times New Roman" w:cs="Times New Roman" w:eastAsia="Times New Roman" w:hint="default"/>
        </w:rPr>
        <w:t>4</w:t>
      </w:r>
      <w:r>
        <w:rPr/>
        <w:t>）查验公司与部分客户签订的购销合同，对于出口销售，将销售记录与出口报关单、货运提单、 销售发票等出口销售单据进行核对，同时进行函证和电话访谈；</w:t>
      </w:r>
    </w:p>
    <w:p>
      <w:pPr>
        <w:pStyle w:val="BodyText"/>
        <w:spacing w:line="386" w:lineRule="auto" w:before="65"/>
        <w:ind w:right="0" w:firstLine="480"/>
        <w:jc w:val="left"/>
      </w:pPr>
      <w:r>
        <w:rPr/>
        <w:t>（</w:t>
      </w:r>
      <w:r>
        <w:rPr>
          <w:rFonts w:ascii="Times New Roman" w:hAnsi="Times New Roman" w:cs="Times New Roman" w:eastAsia="Times New Roman" w:hint="default"/>
        </w:rPr>
        <w:t>5</w:t>
      </w:r>
      <w:r>
        <w:rPr/>
        <w:t>）选取部分客户实施积极式函证程序，询证本期发生的销售金额及往来款项余额，对未回函的客 户执行替代性审计程序，查验客户期后回款情况；</w:t>
      </w:r>
    </w:p>
    <w:p>
      <w:pPr>
        <w:pStyle w:val="BodyText"/>
        <w:spacing w:line="240" w:lineRule="auto" w:before="65"/>
        <w:ind w:left="633" w:right="0"/>
        <w:jc w:val="left"/>
      </w:pPr>
      <w:r>
        <w:rPr/>
        <w:t>（</w:t>
      </w:r>
      <w:r>
        <w:rPr>
          <w:rFonts w:ascii="Times New Roman" w:hAnsi="Times New Roman" w:cs="Times New Roman" w:eastAsia="Times New Roman" w:hint="default"/>
        </w:rPr>
        <w:t>6</w:t>
      </w:r>
      <w:r>
        <w:rPr/>
        <w:t>）检查业务凭证，确定公司是否按照收入确认政策真实、准确、完整的确认、记录；</w:t>
      </w:r>
    </w:p>
    <w:p>
      <w:pPr>
        <w:pStyle w:val="BodyText"/>
        <w:spacing w:line="240" w:lineRule="auto" w:before="177"/>
        <w:ind w:left="633" w:right="0"/>
        <w:jc w:val="left"/>
      </w:pPr>
      <w:r>
        <w:rPr/>
        <w:t>（</w:t>
      </w:r>
      <w:r>
        <w:rPr>
          <w:rFonts w:ascii="Times New Roman" w:hAnsi="Times New Roman" w:cs="Times New Roman" w:eastAsia="Times New Roman" w:hint="default"/>
        </w:rPr>
        <w:t>7</w:t>
      </w:r>
      <w:r>
        <w:rPr/>
        <w:t>）测试审计截止日前后的营业收入会计记录，确定是否存在提前或延后确认营业收入的情况；</w:t>
      </w:r>
    </w:p>
    <w:p>
      <w:pPr>
        <w:pStyle w:val="BodyText"/>
        <w:spacing w:line="240" w:lineRule="auto" w:before="177"/>
        <w:ind w:left="633" w:right="0"/>
        <w:jc w:val="left"/>
      </w:pPr>
      <w:r>
        <w:rPr/>
        <w:t>（</w:t>
      </w:r>
      <w:r>
        <w:rPr>
          <w:rFonts w:ascii="Times New Roman" w:hAnsi="Times New Roman" w:cs="Times New Roman" w:eastAsia="Times New Roman" w:hint="default"/>
        </w:rPr>
        <w:t>8</w:t>
      </w:r>
      <w:r>
        <w:rPr/>
        <w:t>）检查营业收入是否已按照《企业会计准则》的规定在财务报表中作出恰当的列报和披露。</w:t>
      </w:r>
    </w:p>
    <w:p>
      <w:pPr>
        <w:pStyle w:val="BodyText"/>
        <w:spacing w:line="240" w:lineRule="auto" w:before="177"/>
        <w:ind w:left="633" w:right="0"/>
        <w:jc w:val="left"/>
      </w:pPr>
      <w:r>
        <w:rPr/>
        <w:t>（二）存货认定</w:t>
      </w:r>
    </w:p>
    <w:p>
      <w:pPr>
        <w:spacing w:line="240" w:lineRule="auto" w:before="10"/>
        <w:rPr>
          <w:rFonts w:ascii="宋体" w:hAnsi="宋体" w:cs="宋体" w:eastAsia="宋体" w:hint="default"/>
          <w:sz w:val="14"/>
          <w:szCs w:val="14"/>
        </w:rPr>
      </w:pPr>
    </w:p>
    <w:p>
      <w:pPr>
        <w:pStyle w:val="BodyText"/>
        <w:spacing w:line="386" w:lineRule="auto" w:before="0"/>
        <w:ind w:left="633" w:right="1118"/>
        <w:jc w:val="left"/>
      </w:pPr>
      <w:r>
        <w:rPr>
          <w:rFonts w:ascii="Times New Roman" w:hAnsi="Times New Roman" w:cs="Times New Roman" w:eastAsia="Times New Roman" w:hint="default"/>
        </w:rPr>
        <w:t>1</w:t>
      </w:r>
      <w:r>
        <w:rPr/>
        <w:t>、事项描述 </w:t>
      </w:r>
      <w:r>
        <w:rPr>
          <w:spacing w:val="-3"/>
        </w:rPr>
        <w:t>请参阅财务报表附注</w:t>
      </w:r>
      <w:r>
        <w:rPr>
          <w:rFonts w:ascii="Times New Roman" w:hAnsi="Times New Roman" w:cs="Times New Roman" w:eastAsia="Times New Roman" w:hint="default"/>
          <w:spacing w:val="-3"/>
        </w:rPr>
        <w:t>“</w:t>
      </w:r>
      <w:r>
        <w:rPr>
          <w:spacing w:val="-3"/>
        </w:rPr>
        <w:t>二</w:t>
      </w:r>
      <w:r>
        <w:rPr>
          <w:rFonts w:ascii="Times New Roman" w:hAnsi="Times New Roman" w:cs="Times New Roman" w:eastAsia="Times New Roman" w:hint="default"/>
          <w:spacing w:val="-3"/>
        </w:rPr>
        <w:t>”</w:t>
      </w:r>
      <w:r>
        <w:rPr>
          <w:spacing w:val="-3"/>
        </w:rPr>
        <w:t>、财务报表编制基础（十八）</w:t>
      </w:r>
      <w:r>
        <w:rPr>
          <w:rFonts w:ascii="Times New Roman" w:hAnsi="Times New Roman" w:cs="Times New Roman" w:eastAsia="Times New Roman" w:hint="default"/>
          <w:spacing w:val="-3"/>
        </w:rPr>
        <w:t>/</w:t>
      </w:r>
      <w:r>
        <w:rPr>
          <w:spacing w:val="-3"/>
        </w:rPr>
        <w:t>财务报表附注</w:t>
      </w:r>
      <w:r>
        <w:rPr>
          <w:rFonts w:ascii="Times New Roman" w:hAnsi="Times New Roman" w:cs="Times New Roman" w:eastAsia="Times New Roman" w:hint="default"/>
          <w:spacing w:val="-3"/>
        </w:rPr>
        <w:t>“</w:t>
      </w:r>
      <w:r>
        <w:rPr>
          <w:spacing w:val="-3"/>
        </w:rPr>
        <w:t>五</w:t>
      </w:r>
      <w:r>
        <w:rPr>
          <w:rFonts w:ascii="Times New Roman" w:hAnsi="Times New Roman" w:cs="Times New Roman" w:eastAsia="Times New Roman" w:hint="default"/>
          <w:spacing w:val="-3"/>
        </w:rPr>
        <w:t>”</w:t>
      </w:r>
      <w:r>
        <w:rPr>
          <w:spacing w:val="-3"/>
        </w:rPr>
        <w:t>、合并财务报表项目附注注</w:t>
      </w:r>
    </w:p>
    <w:p>
      <w:pPr>
        <w:pStyle w:val="BodyText"/>
        <w:spacing w:line="386" w:lineRule="auto" w:before="35"/>
        <w:ind w:left="154" w:right="0"/>
        <w:jc w:val="left"/>
      </w:pPr>
      <w:r>
        <w:rPr>
          <w:spacing w:val="-5"/>
        </w:rPr>
        <w:t>释</w:t>
      </w:r>
      <w:r>
        <w:rPr>
          <w:rFonts w:ascii="Times New Roman" w:hAnsi="Times New Roman" w:cs="Times New Roman" w:eastAsia="Times New Roman" w:hint="default"/>
          <w:spacing w:val="-5"/>
        </w:rPr>
        <w:t>“6”</w:t>
      </w:r>
      <w:r>
        <w:rPr>
          <w:spacing w:val="-5"/>
        </w:rPr>
        <w:t>。截止</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日，紫鑫药业存货余额为人民币</w:t>
      </w:r>
      <w:r>
        <w:rPr>
          <w:rFonts w:ascii="Times New Roman" w:hAnsi="Times New Roman" w:cs="Times New Roman" w:eastAsia="Times New Roman" w:hint="default"/>
          <w:spacing w:val="-5"/>
        </w:rPr>
        <w:t>4,833,163,885.38</w:t>
      </w:r>
      <w:r>
        <w:rPr>
          <w:spacing w:val="-5"/>
        </w:rPr>
        <w:t>元，占公司总资产</w:t>
      </w:r>
      <w:r>
        <w:rPr>
          <w:rFonts w:ascii="Times New Roman" w:hAnsi="Times New Roman" w:cs="Times New Roman" w:eastAsia="Times New Roman" w:hint="default"/>
          <w:spacing w:val="-5"/>
        </w:rPr>
        <w:t>8,878,190,969.11</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t>的</w:t>
      </w:r>
      <w:r>
        <w:rPr>
          <w:rFonts w:ascii="Times New Roman" w:hAnsi="Times New Roman" w:cs="Times New Roman" w:eastAsia="Times New Roman" w:hint="default"/>
        </w:rPr>
        <w:t>54.44%</w:t>
      </w:r>
      <w:r>
        <w:rPr/>
        <w:t>，因此我们将存货认定确定为关键审计事项。</w:t>
      </w:r>
    </w:p>
    <w:p>
      <w:pPr>
        <w:pStyle w:val="BodyText"/>
        <w:spacing w:line="240" w:lineRule="auto" w:before="35"/>
        <w:ind w:left="634" w:right="0"/>
        <w:jc w:val="left"/>
      </w:pPr>
      <w:r>
        <w:rPr>
          <w:rFonts w:ascii="Times New Roman" w:hAnsi="Times New Roman" w:cs="Times New Roman" w:eastAsia="Times New Roman" w:hint="default"/>
        </w:rPr>
        <w:t>2</w:t>
      </w:r>
      <w:r>
        <w:rPr/>
        <w:t>、审计应对：我们在审计过程中进行了如下应对：</w:t>
      </w:r>
    </w:p>
    <w:p>
      <w:pPr>
        <w:pStyle w:val="BodyText"/>
        <w:spacing w:line="240" w:lineRule="auto" w:before="177"/>
        <w:ind w:left="634" w:right="0"/>
        <w:jc w:val="left"/>
      </w:pPr>
      <w:r>
        <w:rPr/>
        <w:t>（</w:t>
      </w:r>
      <w:r>
        <w:rPr>
          <w:rFonts w:ascii="Times New Roman" w:hAnsi="Times New Roman" w:cs="Times New Roman" w:eastAsia="Times New Roman" w:hint="default"/>
        </w:rPr>
        <w:t>1</w:t>
      </w:r>
      <w:r>
        <w:rPr/>
        <w:t>）了解和评价公司与存货相关的的内部控制设计和执行；</w:t>
      </w:r>
    </w:p>
    <w:p>
      <w:pPr>
        <w:pStyle w:val="BodyText"/>
        <w:spacing w:line="240" w:lineRule="auto" w:before="177"/>
        <w:ind w:left="634" w:right="0"/>
        <w:jc w:val="left"/>
      </w:pPr>
      <w:r>
        <w:rPr/>
        <w:t>（</w:t>
      </w:r>
      <w:r>
        <w:rPr>
          <w:rFonts w:ascii="Times New Roman" w:hAnsi="Times New Roman" w:cs="Times New Roman" w:eastAsia="Times New Roman" w:hint="default"/>
        </w:rPr>
        <w:t>2</w:t>
      </w:r>
      <w:r>
        <w:rPr/>
        <w:t>）实地监盘公司期末存货；</w:t>
      </w:r>
    </w:p>
    <w:p>
      <w:pPr>
        <w:pStyle w:val="BodyText"/>
        <w:spacing w:line="240" w:lineRule="auto" w:before="177"/>
        <w:ind w:left="634" w:right="0"/>
        <w:jc w:val="left"/>
      </w:pPr>
      <w:r>
        <w:rPr/>
        <w:t>（</w:t>
      </w:r>
      <w:r>
        <w:rPr>
          <w:rFonts w:ascii="Times New Roman" w:hAnsi="Times New Roman" w:cs="Times New Roman" w:eastAsia="Times New Roman" w:hint="default"/>
        </w:rPr>
        <w:t>3</w:t>
      </w:r>
      <w:r>
        <w:rPr/>
        <w:t>）查验公司《人参产业发展战略规划》，分析公司增加消耗性生物资产的动因及合理性；</w:t>
      </w:r>
    </w:p>
    <w:p>
      <w:pPr>
        <w:pStyle w:val="BodyText"/>
        <w:spacing w:line="240" w:lineRule="auto" w:before="177"/>
        <w:ind w:left="634" w:right="0"/>
        <w:jc w:val="left"/>
      </w:pPr>
      <w:r>
        <w:rPr/>
        <w:t>（</w:t>
      </w:r>
      <w:r>
        <w:rPr>
          <w:rFonts w:ascii="Times New Roman" w:hAnsi="Times New Roman" w:cs="Times New Roman" w:eastAsia="Times New Roman" w:hint="default"/>
        </w:rPr>
        <w:t>4</w:t>
      </w:r>
      <w:r>
        <w:rPr/>
        <w:t>）对存货入库、发出计价进行测试；</w:t>
      </w:r>
    </w:p>
    <w:p>
      <w:pPr>
        <w:pStyle w:val="BodyText"/>
        <w:spacing w:line="240" w:lineRule="auto" w:before="177"/>
        <w:ind w:left="634" w:right="0"/>
        <w:jc w:val="left"/>
      </w:pPr>
      <w:r>
        <w:rPr/>
        <w:t>（</w:t>
      </w:r>
      <w:r>
        <w:rPr>
          <w:rFonts w:ascii="Times New Roman" w:hAnsi="Times New Roman" w:cs="Times New Roman" w:eastAsia="Times New Roman" w:hint="default"/>
        </w:rPr>
        <w:t>5</w:t>
      </w:r>
      <w:r>
        <w:rPr/>
        <w:t>）查验公司与部分供应商签订的采购合同，对原材料部分供应商的工商资料进行查验；</w:t>
      </w:r>
    </w:p>
    <w:p>
      <w:pPr>
        <w:pStyle w:val="BodyText"/>
        <w:spacing w:line="240" w:lineRule="auto" w:before="177"/>
        <w:ind w:left="634" w:right="0"/>
        <w:jc w:val="left"/>
      </w:pPr>
      <w:r>
        <w:rPr/>
        <w:t>（</w:t>
      </w:r>
      <w:r>
        <w:rPr>
          <w:rFonts w:ascii="Times New Roman" w:hAnsi="Times New Roman" w:cs="Times New Roman" w:eastAsia="Times New Roman" w:hint="default"/>
        </w:rPr>
        <w:t>6</w:t>
      </w:r>
      <w:r>
        <w:rPr/>
        <w:t>）对本期外购的消耗性生物资产实施如下应对：</w:t>
      </w:r>
    </w:p>
    <w:p>
      <w:pPr>
        <w:pStyle w:val="BodyText"/>
        <w:spacing w:line="386" w:lineRule="auto" w:before="177"/>
        <w:ind w:left="154" w:right="0" w:firstLine="720"/>
        <w:jc w:val="left"/>
      </w:pPr>
      <w:r>
        <w:rPr>
          <w:rFonts w:ascii="Times New Roman" w:hAnsi="Times New Roman" w:cs="Times New Roman" w:eastAsia="Times New Roman" w:hint="default"/>
          <w:spacing w:val="-1"/>
        </w:rPr>
        <w:t>1</w:t>
      </w:r>
      <w:r>
        <w:rPr>
          <w:spacing w:val="-1"/>
        </w:rPr>
        <w:t>）检查森林资源资产价格评估报告，对评估专业技术人员的估值方法进行了解和评价，并就评估</w:t>
      </w:r>
      <w:r>
        <w:rPr/>
        <w:t> 价值与消耗性生物资产入账价值进行核对；</w:t>
      </w:r>
    </w:p>
    <w:p>
      <w:pPr>
        <w:pStyle w:val="BodyText"/>
        <w:spacing w:line="240" w:lineRule="auto" w:before="65"/>
        <w:ind w:left="874" w:right="0"/>
        <w:jc w:val="left"/>
      </w:pPr>
      <w:r>
        <w:rPr>
          <w:rFonts w:ascii="Times New Roman" w:hAnsi="Times New Roman" w:cs="Times New Roman" w:eastAsia="Times New Roman" w:hint="default"/>
        </w:rPr>
        <w:t>2</w:t>
      </w:r>
      <w:r>
        <w:rPr/>
        <w:t>）检查消耗性生物资产买卖合同、委托付款协议、结算合同等资料；</w:t>
      </w:r>
    </w:p>
    <w:p>
      <w:pPr>
        <w:pStyle w:val="BodyText"/>
        <w:spacing w:line="240" w:lineRule="auto" w:before="177"/>
        <w:ind w:left="135" w:right="5006"/>
        <w:jc w:val="center"/>
      </w:pPr>
      <w:r>
        <w:rPr>
          <w:rFonts w:ascii="Times New Roman" w:hAnsi="Times New Roman" w:cs="Times New Roman" w:eastAsia="Times New Roman" w:hint="default"/>
        </w:rPr>
        <w:t>3</w:t>
      </w:r>
      <w:r>
        <w:rPr/>
        <w:t>）检查销售客户承包经营使用权等权属资料；</w:t>
      </w:r>
    </w:p>
    <w:p>
      <w:pPr>
        <w:spacing w:after="0" w:line="240" w:lineRule="auto"/>
        <w:jc w:val="cente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874" w:right="0"/>
        <w:jc w:val="left"/>
      </w:pPr>
      <w:r>
        <w:rPr>
          <w:rFonts w:ascii="Times New Roman" w:hAnsi="Times New Roman" w:cs="Times New Roman" w:eastAsia="Times New Roman" w:hint="default"/>
        </w:rPr>
        <w:t>4</w:t>
      </w:r>
      <w:r>
        <w:rPr/>
        <w:t>）向全部供应商函证或电话访谈；</w:t>
      </w:r>
    </w:p>
    <w:p>
      <w:pPr>
        <w:pStyle w:val="BodyText"/>
        <w:spacing w:line="240" w:lineRule="auto" w:before="177"/>
        <w:ind w:left="633" w:right="0"/>
        <w:jc w:val="left"/>
      </w:pPr>
      <w:r>
        <w:rPr/>
        <w:t>（</w:t>
      </w:r>
      <w:r>
        <w:rPr>
          <w:rFonts w:ascii="Times New Roman" w:hAnsi="Times New Roman" w:cs="Times New Roman" w:eastAsia="Times New Roman" w:hint="default"/>
        </w:rPr>
        <w:t>7</w:t>
      </w:r>
      <w:r>
        <w:rPr/>
        <w:t>）存货减值测试的应对</w:t>
      </w:r>
    </w:p>
    <w:p>
      <w:pPr>
        <w:pStyle w:val="BodyText"/>
        <w:spacing w:line="240" w:lineRule="auto" w:before="177"/>
        <w:ind w:left="874" w:right="0"/>
        <w:jc w:val="left"/>
      </w:pPr>
      <w:r>
        <w:rPr>
          <w:rFonts w:ascii="Times New Roman" w:hAnsi="Times New Roman" w:cs="Times New Roman" w:eastAsia="Times New Roman" w:hint="default"/>
        </w:rPr>
        <w:t>1</w:t>
      </w:r>
      <w:r>
        <w:rPr/>
        <w:t>）结合存货监盘，对存货存储的条件进行检查，对存货状况进行了解；</w:t>
      </w:r>
    </w:p>
    <w:p>
      <w:pPr>
        <w:pStyle w:val="BodyText"/>
        <w:spacing w:line="386" w:lineRule="auto" w:before="177"/>
        <w:ind w:left="154" w:right="0" w:firstLine="720"/>
        <w:jc w:val="left"/>
      </w:pPr>
      <w:r>
        <w:rPr>
          <w:rFonts w:ascii="Times New Roman" w:hAnsi="Times New Roman" w:cs="Times New Roman" w:eastAsia="Times New Roman" w:hint="default"/>
          <w:spacing w:val="-1"/>
        </w:rPr>
        <w:t>2</w:t>
      </w:r>
      <w:r>
        <w:rPr>
          <w:spacing w:val="-1"/>
        </w:rPr>
        <w:t>）针对人参产品检查第三方检测报告及评估报告，查询人参电子交易平台上交易的价格并与公司</w:t>
      </w:r>
      <w:r>
        <w:rPr/>
        <w:t> 人参干品库存账面价格进行比对；</w:t>
      </w:r>
    </w:p>
    <w:p>
      <w:pPr>
        <w:pStyle w:val="BodyText"/>
        <w:spacing w:line="240" w:lineRule="auto" w:before="65"/>
        <w:ind w:left="874" w:right="0"/>
        <w:jc w:val="left"/>
      </w:pPr>
      <w:r>
        <w:rPr>
          <w:rFonts w:ascii="Times New Roman" w:hAnsi="Times New Roman" w:cs="Times New Roman" w:eastAsia="Times New Roman" w:hint="default"/>
        </w:rPr>
        <w:t>3</w:t>
      </w:r>
      <w:r>
        <w:rPr/>
        <w:t>）查验其他存货可变现净值的确定依据</w:t>
      </w:r>
    </w:p>
    <w:p>
      <w:pPr>
        <w:pStyle w:val="BodyText"/>
        <w:spacing w:line="398" w:lineRule="auto" w:before="177"/>
        <w:ind w:left="634" w:right="1120"/>
        <w:jc w:val="left"/>
      </w:pPr>
      <w:r>
        <w:rPr/>
        <w:t>（</w:t>
      </w:r>
      <w:r>
        <w:rPr>
          <w:rFonts w:ascii="Times New Roman" w:hAnsi="Times New Roman" w:cs="Times New Roman" w:eastAsia="Times New Roman" w:hint="default"/>
        </w:rPr>
        <w:t>8</w:t>
      </w:r>
      <w:r>
        <w:rPr/>
        <w:t>）检查存货是否已按照《企业会计准则》的规定在财务报表中作出恰当的列报和披露。 </w:t>
      </w:r>
      <w:r>
        <w:rPr>
          <w:rFonts w:ascii="宋体" w:hAnsi="宋体" w:cs="宋体" w:eastAsia="宋体" w:hint="default"/>
          <w:b/>
          <w:bCs/>
        </w:rPr>
        <w:t>四、其他信息</w:t>
      </w:r>
      <w:r>
        <w:rPr>
          <w:rFonts w:ascii="宋体" w:hAnsi="宋体" w:cs="宋体" w:eastAsia="宋体" w:hint="default"/>
          <w:b/>
          <w:bCs/>
          <w:w w:val="99"/>
        </w:rPr>
        <w:t> </w:t>
      </w:r>
      <w:r>
        <w:rPr>
          <w:spacing w:val="-2"/>
        </w:rPr>
        <w:t>紫鑫药业管理层（以下简称管理层）对其他信息负责。其他信息包括年度报告中除财务报表和本审计</w:t>
      </w:r>
    </w:p>
    <w:p>
      <w:pPr>
        <w:pStyle w:val="BodyText"/>
        <w:spacing w:line="408" w:lineRule="auto" w:before="54"/>
        <w:ind w:left="634" w:right="1120" w:hanging="480"/>
        <w:jc w:val="left"/>
      </w:pPr>
      <w:r>
        <w:rPr/>
        <w:t>报告以外的信息。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w:t>
      </w:r>
    </w:p>
    <w:p>
      <w:pPr>
        <w:pStyle w:val="BodyText"/>
        <w:spacing w:line="408" w:lineRule="auto"/>
        <w:ind w:left="634" w:right="1120" w:hanging="480"/>
        <w:jc w:val="left"/>
      </w:pPr>
      <w:r>
        <w:rPr/>
        <w:t>表或我们在审计过程中了解到的情况存在重大不一致或者似乎存在重大错报。 </w:t>
      </w:r>
      <w:r>
        <w:rPr>
          <w:spacing w:val="-2"/>
        </w:rPr>
        <w:t>基于我们已执行的工作，如果我们确定其他信息存在重大错报，我们应当报告该事实。在这方面，我</w:t>
      </w:r>
    </w:p>
    <w:p>
      <w:pPr>
        <w:spacing w:line="408" w:lineRule="auto" w:before="46"/>
        <w:ind w:left="154" w:right="7168" w:firstLine="0"/>
        <w:jc w:val="left"/>
        <w:rPr>
          <w:rFonts w:ascii="宋体" w:hAnsi="宋体" w:cs="宋体" w:eastAsia="宋体" w:hint="default"/>
          <w:sz w:val="21"/>
          <w:szCs w:val="21"/>
        </w:rPr>
      </w:pPr>
      <w:r>
        <w:rPr>
          <w:rFonts w:ascii="宋体" w:hAnsi="宋体" w:cs="宋体" w:eastAsia="宋体" w:hint="default"/>
          <w:sz w:val="21"/>
          <w:szCs w:val="21"/>
        </w:rPr>
        <w:t>们无任何事项需要报告。 </w:t>
      </w:r>
      <w:r>
        <w:rPr>
          <w:rFonts w:ascii="宋体" w:hAnsi="宋体" w:cs="宋体" w:eastAsia="宋体" w:hint="default"/>
          <w:b/>
          <w:bCs/>
          <w:sz w:val="21"/>
          <w:szCs w:val="21"/>
        </w:rPr>
        <w:t>五、管理层和治理层对财务报表的责任</w:t>
      </w:r>
      <w:r>
        <w:rPr>
          <w:rFonts w:ascii="宋体" w:hAnsi="宋体" w:cs="宋体" w:eastAsia="宋体" w:hint="default"/>
          <w:sz w:val="21"/>
          <w:szCs w:val="21"/>
        </w:rPr>
      </w:r>
    </w:p>
    <w:p>
      <w:pPr>
        <w:pStyle w:val="BodyText"/>
        <w:spacing w:line="408" w:lineRule="auto"/>
        <w:ind w:left="154" w:right="1120" w:firstLine="480"/>
        <w:jc w:val="left"/>
      </w:pPr>
      <w:r>
        <w:rPr>
          <w:spacing w:val="-2"/>
        </w:rPr>
        <w:t>紫鑫药业管理层负责按照企业会计准则的规定编制财务报表，使其实现公允反映，并设计、执行和维</w:t>
      </w:r>
      <w:r>
        <w:rPr/>
        <w:t> 护必要的内部控制，以使财务报表不存在由于舞弊或错误导致的重大错报。</w:t>
      </w:r>
    </w:p>
    <w:p>
      <w:pPr>
        <w:pStyle w:val="BodyText"/>
        <w:spacing w:line="408" w:lineRule="auto"/>
        <w:ind w:left="154" w:right="1120" w:firstLine="480"/>
        <w:jc w:val="left"/>
      </w:pPr>
      <w:r>
        <w:rPr>
          <w:spacing w:val="-2"/>
        </w:rPr>
        <w:t>在编制财务报表时，管理层负责评估紫鑫药业的持续经营能力，披露与持续经营相关的事项，并运用</w:t>
      </w:r>
      <w:r>
        <w:rPr/>
        <w:t> 持续经营假设，除非计划进行清算、终止运营或别无其他现实的选择。</w:t>
      </w:r>
    </w:p>
    <w:p>
      <w:pPr>
        <w:spacing w:line="408" w:lineRule="auto" w:before="46"/>
        <w:ind w:left="154" w:right="5442" w:firstLine="480"/>
        <w:jc w:val="left"/>
        <w:rPr>
          <w:rFonts w:ascii="宋体" w:hAnsi="宋体" w:cs="宋体" w:eastAsia="宋体" w:hint="default"/>
          <w:sz w:val="21"/>
          <w:szCs w:val="21"/>
        </w:rPr>
      </w:pPr>
      <w:r>
        <w:rPr>
          <w:rFonts w:ascii="宋体" w:hAnsi="宋体" w:cs="宋体" w:eastAsia="宋体" w:hint="default"/>
          <w:sz w:val="21"/>
          <w:szCs w:val="21"/>
        </w:rPr>
        <w:t>紫鑫药业治理层负责监督紫鑫药业的财务报告过程。 </w:t>
      </w:r>
      <w:r>
        <w:rPr>
          <w:rFonts w:ascii="宋体" w:hAnsi="宋体" w:cs="宋体" w:eastAsia="宋体" w:hint="default"/>
          <w:b/>
          <w:bCs/>
          <w:sz w:val="21"/>
          <w:szCs w:val="21"/>
        </w:rPr>
        <w:t>六、注册会计师对财务报表审计的责任</w:t>
      </w:r>
      <w:r>
        <w:rPr>
          <w:rFonts w:ascii="宋体" w:hAnsi="宋体" w:cs="宋体" w:eastAsia="宋体" w:hint="default"/>
          <w:sz w:val="21"/>
          <w:szCs w:val="21"/>
        </w:rPr>
      </w:r>
    </w:p>
    <w:p>
      <w:pPr>
        <w:pStyle w:val="BodyText"/>
        <w:spacing w:line="408" w:lineRule="auto"/>
        <w:ind w:left="154" w:right="1131" w:firstLine="480"/>
        <w:jc w:val="both"/>
      </w:pPr>
      <w:r>
        <w:rPr>
          <w:spacing w:val="-2"/>
        </w:rPr>
        <w:t>我们的目标是对财务报表整体是否不存在由于舞弊或错误导致的重大错报获取合理保证，并出具包含</w:t>
      </w:r>
      <w:r>
        <w:rPr/>
        <w:t> </w:t>
      </w:r>
      <w:r>
        <w:rPr>
          <w:spacing w:val="-1"/>
        </w:rPr>
        <w:t>审计意见的审计报告。合理保证是高水平的保证，但并不能保证按照审计准则执行的审计在某一重大错报</w:t>
      </w:r>
      <w:r>
        <w:rPr>
          <w:spacing w:val="-81"/>
        </w:rPr>
        <w:t> </w:t>
      </w:r>
      <w:r>
        <w:rPr>
          <w:spacing w:val="-81"/>
        </w:rPr>
      </w:r>
      <w:r>
        <w:rPr>
          <w:spacing w:val="-1"/>
        </w:rPr>
        <w:t>存在时总能发现错报可能由于舞弊或错误导致，如果合理预期错报单独或汇总起来可能影响财务报表使用</w:t>
      </w:r>
      <w:r>
        <w:rPr>
          <w:spacing w:val="-81"/>
        </w:rPr>
        <w:t> </w:t>
      </w:r>
      <w:r>
        <w:rPr>
          <w:spacing w:val="-81"/>
        </w:rPr>
      </w:r>
      <w:r>
        <w:rPr/>
        <w:t>者依据财务报表作出的经济决策，则通常认为错报是重大的。</w:t>
      </w:r>
    </w:p>
    <w:p>
      <w:pPr>
        <w:pStyle w:val="BodyText"/>
        <w:spacing w:line="408" w:lineRule="auto"/>
        <w:ind w:right="1121" w:firstLine="480"/>
        <w:jc w:val="left"/>
      </w:pPr>
      <w:r>
        <w:rPr>
          <w:spacing w:val="-2"/>
        </w:rPr>
        <w:t>在按照审计准则执行审计工作的过程中，我们运用职业判断，并保持职业怀疑。同时，我们也执行以</w:t>
      </w:r>
      <w:r>
        <w:rPr/>
        <w:t> 下工作：</w:t>
      </w:r>
    </w:p>
    <w:p>
      <w:pPr>
        <w:pStyle w:val="BodyText"/>
        <w:spacing w:line="386" w:lineRule="auto"/>
        <w:ind w:left="154" w:right="1023" w:firstLine="48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 </w:t>
      </w:r>
      <w:r>
        <w:rPr>
          <w:spacing w:val="-3"/>
        </w:rPr>
        <w:t>险，并获取充分、适当的审计证据，作为发表审计意见的基础。由于舞弊可能涉及串通、伪造、故意遗漏、</w:t>
      </w:r>
    </w:p>
    <w:p>
      <w:pPr>
        <w:spacing w:after="0" w:line="38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1"/>
        </w:rPr>
        <w:t>虚假陈述或凌驾于内部控制之上，未能发现由于舞弊导致的重大错报的风险高于未能发现由于错误导致的</w:t>
      </w:r>
      <w:r>
        <w:rPr>
          <w:spacing w:val="-80"/>
        </w:rPr>
        <w:t> </w:t>
      </w:r>
      <w:r>
        <w:rPr>
          <w:spacing w:val="-80"/>
        </w:rPr>
      </w:r>
      <w:r>
        <w:rPr/>
        <w:t>重大错报的风险。</w:t>
      </w:r>
    </w:p>
    <w:p>
      <w:pPr>
        <w:pStyle w:val="BodyText"/>
        <w:spacing w:line="386" w:lineRule="auto"/>
        <w:ind w:right="1118" w:firstLine="48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）了解与审计相关的内部控制，以设计恰当的审计程序，但目的并非对内部控制的有效性发表审 计意见。</w:t>
      </w:r>
    </w:p>
    <w:p>
      <w:pPr>
        <w:pStyle w:val="BodyText"/>
        <w:spacing w:line="240" w:lineRule="auto" w:before="65"/>
        <w:ind w:left="633"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403" w:lineRule="auto" w:before="177"/>
        <w:ind w:right="1131" w:firstLine="48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）对管理层使用持续经营假设的恰当性得出结论。同时，根据获取的审计证据，就可能导致对紫 </w:t>
      </w:r>
      <w:r>
        <w:rPr>
          <w:spacing w:val="-1"/>
        </w:rPr>
        <w:t>鑫药业持续经营能力产生重大疑虑的事项或情况是否存在重大不确定性得出结论。如果我们得出结论认为</w:t>
      </w:r>
      <w:r>
        <w:rPr>
          <w:spacing w:val="-81"/>
        </w:rPr>
        <w:t> </w:t>
      </w:r>
      <w:r>
        <w:rPr>
          <w:spacing w:val="-81"/>
        </w:rPr>
      </w:r>
      <w:r>
        <w:rPr>
          <w:spacing w:val="-1"/>
        </w:rPr>
        <w:t>存在重大不确定性，审计准则要求我们在审计报告中提请报表使用者注意财务报表中的相关披露；如果披</w:t>
      </w:r>
      <w:r>
        <w:rPr>
          <w:spacing w:val="-81"/>
        </w:rPr>
        <w:t> </w:t>
      </w:r>
      <w:r>
        <w:rPr>
          <w:spacing w:val="-81"/>
        </w:rPr>
      </w:r>
      <w:r>
        <w:rPr>
          <w:spacing w:val="-1"/>
        </w:rPr>
        <w:t>露不充分，我们应当发表非无保留意见。我们的结论基于截至审计报告日可获得的信息。然而，未来的事</w:t>
      </w:r>
      <w:r>
        <w:rPr>
          <w:spacing w:val="-85"/>
        </w:rPr>
        <w:t> </w:t>
      </w:r>
      <w:r>
        <w:rPr>
          <w:spacing w:val="-85"/>
        </w:rPr>
      </w:r>
      <w:r>
        <w:rPr/>
        <w:t>项或情况可能导致紫鑫药业公司不能持续经营。</w:t>
      </w:r>
    </w:p>
    <w:p>
      <w:pPr>
        <w:pStyle w:val="BodyText"/>
        <w:spacing w:line="386" w:lineRule="auto" w:before="50"/>
        <w:ind w:right="1118" w:firstLine="480"/>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 和事项。</w:t>
      </w:r>
    </w:p>
    <w:p>
      <w:pPr>
        <w:pStyle w:val="BodyText"/>
        <w:spacing w:line="386" w:lineRule="auto" w:before="65"/>
        <w:ind w:right="1118" w:firstLine="480"/>
        <w:jc w:val="left"/>
      </w:pPr>
      <w:r>
        <w:rPr/>
        <w:t>（</w:t>
      </w:r>
      <w:r>
        <w:rPr>
          <w:rFonts w:ascii="Times New Roman" w:hAnsi="Times New Roman" w:cs="Times New Roman" w:eastAsia="Times New Roman" w:hint="default"/>
        </w:rPr>
        <w:t>6</w:t>
      </w:r>
      <w:r>
        <w:rPr/>
        <w:t>）就紫鑫药业中实体或业务活动的财务信息获取充分、适当的审计证据，以对合并财务报表发布 审计意见。</w:t>
      </w:r>
      <w:r>
        <w:rPr>
          <w:spacing w:val="-21"/>
        </w:rPr>
        <w:t> </w:t>
      </w:r>
      <w:r>
        <w:rPr/>
        <w:t>我们负责指导、监督和执行紫鑫药业审计，并对审计意见承担全部责任。</w:t>
      </w:r>
    </w:p>
    <w:p>
      <w:pPr>
        <w:pStyle w:val="BodyText"/>
        <w:spacing w:line="408" w:lineRule="auto" w:before="65"/>
        <w:ind w:right="1093" w:firstLine="480"/>
        <w:jc w:val="left"/>
      </w:pPr>
      <w:r>
        <w:rPr>
          <w:spacing w:val="-2"/>
        </w:rPr>
        <w:t>我们与治理层就计划的审计范围、时间安排和重大审计发现等事项进行沟通，包括沟通我们在审计中</w:t>
      </w:r>
      <w:r>
        <w:rPr/>
        <w:t> </w:t>
      </w:r>
      <w:r>
        <w:rPr>
          <w:spacing w:val="-1"/>
        </w:rPr>
        <w:t>识别出的值得关注的内部控制缺陷。我们还就已遵守与独立性相关的职业道德要求向治理层提供声明，并</w:t>
      </w:r>
      <w:r>
        <w:rPr>
          <w:spacing w:val="-80"/>
        </w:rPr>
        <w:t> </w:t>
      </w:r>
      <w:r>
        <w:rPr>
          <w:spacing w:val="-80"/>
        </w:rPr>
      </w:r>
      <w:r>
        <w:rPr/>
        <w:t>与治理层沟通可能被合理认为影响我们独立性的所有关系和其他事项，以及相关的防范措施。 从与治理层沟通过的事项中，我们确定哪些事项对本期财务报表审计最为重要，因而构成关键审计事项。 </w:t>
      </w:r>
      <w:r>
        <w:rPr>
          <w:spacing w:val="-1"/>
        </w:rPr>
        <w:t>我们在审计报告中描述这些事项，除非法律法规禁止公开披露这些事项，或在极少数情形下，如果合理预</w:t>
      </w:r>
      <w:r>
        <w:rPr>
          <w:spacing w:val="-83"/>
        </w:rPr>
        <w:t> </w:t>
      </w:r>
      <w:r>
        <w:rPr>
          <w:spacing w:val="-83"/>
        </w:rPr>
      </w:r>
      <w:r>
        <w:rPr>
          <w:spacing w:val="-1"/>
        </w:rPr>
        <w:t>期在审计报告中沟通某事项造成的负面后果超过在公众利益方面产生的益处，我们确定不应在审计报告中</w:t>
      </w:r>
      <w:r>
        <w:rPr>
          <w:spacing w:val="-81"/>
        </w:rPr>
        <w:t> </w:t>
      </w:r>
      <w:r>
        <w:rPr>
          <w:spacing w:val="-81"/>
        </w:rPr>
      </w:r>
      <w:r>
        <w:rPr/>
        <w:t>沟通该事项。</w:t>
      </w:r>
    </w:p>
    <w:p>
      <w:pPr>
        <w:pStyle w:val="Heading2"/>
        <w:spacing w:line="240" w:lineRule="auto" w:before="23"/>
        <w:ind w:right="0"/>
        <w:jc w:val="left"/>
        <w:rPr>
          <w:b w:val="0"/>
          <w:bCs w:val="0"/>
        </w:rPr>
      </w:pPr>
      <w:bookmarkStart w:name="二、财务报表" w:id="161"/>
      <w:bookmarkEnd w:id="161"/>
      <w:r>
        <w:rPr>
          <w:b w:val="0"/>
          <w:bCs w:val="0"/>
        </w:rPr>
      </w:r>
      <w:r>
        <w:rPr/>
        <w:t>二、财务报表</w:t>
      </w:r>
      <w:r>
        <w:rPr>
          <w:b w:val="0"/>
          <w:bCs w:val="0"/>
        </w:rPr>
      </w:r>
    </w:p>
    <w:p>
      <w:pPr>
        <w:spacing w:line="429" w:lineRule="auto" w:before="202"/>
        <w:ind w:left="153" w:right="7693"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 </w:t>
      </w:r>
      <w:bookmarkStart w:name="1、合并资产负债表" w:id="162"/>
      <w:bookmarkEnd w:id="162"/>
      <w:r>
        <w:rPr>
          <w:rFonts w:ascii="宋体" w:hAnsi="宋体" w:cs="宋体" w:eastAsia="宋体" w:hint="default"/>
          <w:sz w:val="18"/>
          <w:szCs w:val="18"/>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18"/>
          <w:szCs w:val="18"/>
        </w:rPr>
        <w:t>编制单位：吉林紫鑫药业股份有限公司</w:t>
      </w:r>
    </w:p>
    <w:p>
      <w:pPr>
        <w:spacing w:before="90"/>
        <w:ind w:left="135" w:right="1112"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9"/>
        <w:rPr>
          <w:rFonts w:ascii="宋体" w:hAnsi="宋体" w:cs="宋体" w:eastAsia="宋体" w:hint="default"/>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7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866,777,409.30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1,042,084,236.00</w:t>
            </w: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3,113,250.30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9,632,223.94</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743,993,650.68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617,268,520.98</w:t>
            </w: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65,132,829.83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51,707,326.33</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pacing w:val="-1"/>
                <w:sz w:val="18"/>
              </w:rPr>
              <w:t>122,656,677.09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pacing w:val="-1"/>
                <w:sz w:val="18"/>
              </w:rPr>
              <w:t>108,216,970.42</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4,833,163,885.38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2,673,244,932.69</w:t>
            </w: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31,611,456.44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97,795,713.87</w:t>
            </w: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6,666,449,159.02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4,599,949,924.23</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48,000,000.00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1,143,891,929.25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862,678,359.68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568,983,804.06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755,189,871.45</w:t>
            </w: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5,132,591.75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5,774,165.72</w:t>
            </w: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401,005,254.67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314,214,449.33</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4,622,039.46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44,967,256.61</w:t>
            </w: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3,823,945.58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3,823,945.58</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757,136.25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242,991.25</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16,062,634.30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7,988,778.68</w:t>
            </w: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20,769,314.77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11,004,851.55</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2,213,048,650.09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2,033,884,669.85</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8,879,497,809.11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6,633,834,594.08</w:t>
            </w: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2,991,000,000.00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1,977,000,000.00</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258,463,496.86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114,065,586.86</w:t>
            </w: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60,288,031.43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9,769,194.58</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pacing w:val="-1"/>
                <w:sz w:val="18"/>
              </w:rPr>
              <w:t>1,486,484.06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z w:val="18"/>
              </w:rPr>
              <w:t>528,346.09</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53,282,209.95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32,175,601.77</w:t>
            </w: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27,173,330.14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13,052,039.45</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78,631,336.21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3,480,324,888.65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2,147,090,768.75</w:t>
            </w: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958,500,000.00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396,000,000.00</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113,791,303.75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141,968,933.36</w:t>
            </w: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340,000.00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480,000.00</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193,752,759.58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203,119,471.57</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489,133.33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522,866.67</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1,266,873,196.66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742,091,271.60</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4,747,198,085.31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2,889,182,040.35</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1,280,759,826.00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1,280,759,826.00</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7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1,533,658,810.16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1,518,466,401.74</w:t>
            </w:r>
          </w:p>
        </w:tc>
      </w:tr>
      <w:tr>
        <w:trPr>
          <w:trHeight w:val="47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5,329,163.10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4,546,565.83</w:t>
            </w:r>
          </w:p>
        </w:tc>
      </w:tr>
      <w:tr>
        <w:trPr>
          <w:trHeight w:val="47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81,407,311.00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79,720,106.94</w:t>
            </w:r>
          </w:p>
        </w:tc>
      </w:tr>
      <w:tr>
        <w:trPr>
          <w:trHeight w:val="47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1,229,665,769.31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859,775,586.94</w:t>
            </w:r>
          </w:p>
        </w:tc>
      </w:tr>
      <w:tr>
        <w:trPr>
          <w:trHeight w:val="47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4,130,820,879.57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3,743,268,487.45</w:t>
            </w:r>
          </w:p>
        </w:tc>
      </w:tr>
      <w:tr>
        <w:trPr>
          <w:trHeight w:val="47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1,478,844.23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1,384,066.28</w:t>
            </w:r>
          </w:p>
        </w:tc>
      </w:tr>
      <w:tr>
        <w:trPr>
          <w:trHeight w:val="47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4,132,299,723.80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3,744,652,553.73</w:t>
            </w:r>
          </w:p>
        </w:tc>
      </w:tr>
      <w:tr>
        <w:trPr>
          <w:trHeight w:val="47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8,879,497,809.11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6,633,834,594.08</w:t>
            </w:r>
          </w:p>
        </w:tc>
      </w:tr>
    </w:tbl>
    <w:p>
      <w:pPr>
        <w:tabs>
          <w:tab w:pos="3510" w:val="left" w:leader="none"/>
          <w:tab w:pos="7561" w:val="left" w:leader="none"/>
        </w:tabs>
        <w:spacing w:before="88"/>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法定代表人：郭春林</w:t>
        <w:tab/>
        <w:t>主管会计工作负责人：贺玉</w:t>
        <w:tab/>
        <w:t>会计机构负责人：彭瑞佳</w:t>
      </w:r>
    </w:p>
    <w:p>
      <w:pPr>
        <w:spacing w:line="240" w:lineRule="auto" w:before="11"/>
        <w:rPr>
          <w:rFonts w:ascii="宋体" w:hAnsi="宋体" w:cs="宋体" w:eastAsia="宋体" w:hint="default"/>
          <w:sz w:val="15"/>
          <w:szCs w:val="15"/>
        </w:rPr>
      </w:pPr>
    </w:p>
    <w:p>
      <w:pPr>
        <w:pStyle w:val="Heading3"/>
        <w:spacing w:line="240" w:lineRule="auto"/>
        <w:ind w:right="0"/>
        <w:jc w:val="left"/>
        <w:rPr>
          <w:b w:val="0"/>
          <w:bCs w:val="0"/>
        </w:rPr>
      </w:pPr>
      <w:bookmarkStart w:name="2、母公司资产负债表" w:id="163"/>
      <w:bookmarkEnd w:id="163"/>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宋体" w:hAnsi="宋体" w:cs="宋体" w:eastAsia="宋体" w:hint="default"/>
          <w:b/>
          <w:bCs/>
          <w:sz w:val="15"/>
          <w:szCs w:val="15"/>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720,537,999.08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447,396,931.19</w:t>
            </w:r>
          </w:p>
        </w:tc>
      </w:tr>
      <w:tr>
        <w:trPr>
          <w:trHeight w:val="94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2,598,887.32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8,567,302.99</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414,393,583.07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576,279,722.06</w:t>
            </w: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8,944,627.87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38,441,330.40</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3,491,302,044.44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1,954,839,523.60</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611,409,665.16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613,687,309.63</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6,385.84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33,240,470.61</w:t>
            </w: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5,249,193,192.78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3,672,452,590.48</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1,419,953,569.14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1,283,333,649.14</w:t>
            </w: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119,820,157.87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147,472,595.03</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461,513,528.91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289,470,094.15</w:t>
            </w: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106,212,570.75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97,616,061.87</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843,689.32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13,443,689.32</w:t>
            </w: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6,622,388.03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5,001,452.74</w:t>
            </w: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2,261,739.50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1,985,867.80</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2,165,227,643.52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1,866,323,410.05</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7,414,420,836.30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5,538,776,000.53</w:t>
            </w: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2,270,000,000.00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1,525,000,000.00</w:t>
            </w:r>
          </w:p>
        </w:tc>
      </w:tr>
      <w:tr>
        <w:trPr>
          <w:trHeight w:val="94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59,232,816.93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49,775,726.40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404,806.89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280,248.20</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20,969,978.50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13,930,915.08</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1,097,432,099.50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220,862,973.84</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3,448,039,701.82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1,809,849,863.52</w:t>
            </w: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430,000,000.00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197,000,000.00</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43,333,333.33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340,000.00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480,000.00</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96,925,245.33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104,396,671.41</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570,598,578.66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366,876,671.41</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4,018,638,280.48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2,176,726,534.93</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1,280,759,826.00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1,280,759,826.00</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7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1,535,327,451.39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1,518,466,401.74</w:t>
            </w:r>
          </w:p>
        </w:tc>
      </w:tr>
      <w:tr>
        <w:trPr>
          <w:trHeight w:val="47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80,245,560.29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78,558,356.23</w:t>
            </w:r>
          </w:p>
        </w:tc>
      </w:tr>
      <w:tr>
        <w:trPr>
          <w:trHeight w:val="47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499,449,718.14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484,264,881.63</w:t>
            </w:r>
          </w:p>
        </w:tc>
      </w:tr>
      <w:tr>
        <w:trPr>
          <w:trHeight w:val="47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3,395,782,555.82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3,362,049,465.60</w:t>
            </w:r>
          </w:p>
        </w:tc>
      </w:tr>
      <w:tr>
        <w:trPr>
          <w:trHeight w:val="47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7,414,420,836.30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5,538,776,000.53</w:t>
            </w:r>
          </w:p>
        </w:tc>
      </w:tr>
    </w:tbl>
    <w:p>
      <w:pPr>
        <w:pStyle w:val="Heading3"/>
        <w:spacing w:line="240" w:lineRule="auto" w:before="63"/>
        <w:ind w:left="154" w:right="0"/>
        <w:jc w:val="left"/>
        <w:rPr>
          <w:b w:val="0"/>
          <w:bCs w:val="0"/>
        </w:rPr>
      </w:pPr>
      <w:bookmarkStart w:name="3、合并利润表" w:id="164"/>
      <w:bookmarkEnd w:id="164"/>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78"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9"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1,327,230,839.27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819,515,547.34</w:t>
            </w:r>
          </w:p>
        </w:tc>
      </w:tr>
      <w:tr>
        <w:trPr>
          <w:trHeight w:val="478"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1,327,230,839.27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819,515,547.34</w:t>
            </w:r>
          </w:p>
        </w:tc>
      </w:tr>
      <w:tr>
        <w:trPr>
          <w:trHeight w:val="478"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909,363,058.08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668,717,521.50</w:t>
            </w:r>
          </w:p>
        </w:tc>
      </w:tr>
      <w:tr>
        <w:trPr>
          <w:trHeight w:val="479"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269,576,697.03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213,897,167.37</w:t>
            </w:r>
          </w:p>
        </w:tc>
      </w:tr>
      <w:tr>
        <w:trPr>
          <w:trHeight w:val="478"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21,424,202.74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13,915,240.77</w:t>
            </w:r>
          </w:p>
        </w:tc>
      </w:tr>
      <w:tr>
        <w:trPr>
          <w:trHeight w:val="479"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pacing w:val="-1"/>
                <w:sz w:val="18"/>
              </w:rPr>
              <w:t>158,259,318.57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pacing w:val="-1"/>
                <w:sz w:val="18"/>
              </w:rPr>
              <w:t>91,982,291.97</w:t>
            </w:r>
          </w:p>
        </w:tc>
      </w:tr>
      <w:tr>
        <w:trPr>
          <w:trHeight w:val="478"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245,625,898.77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182,042,131.35</w:t>
            </w:r>
          </w:p>
        </w:tc>
      </w:tr>
      <w:tr>
        <w:trPr>
          <w:trHeight w:val="479"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196,203,807.79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155,396,682.08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238.339981pt;width:157.7pt;height:23.4pt;mso-position-horizontal-relative:page;mso-position-vertical-relative:page;z-index:-904312" coordorigin="4242,4767" coordsize="3154,468">
            <v:shape style="position:absolute;left:4242;top:4767;width:3154;height:468" coordorigin="4242,4767" coordsize="3154,468" path="m4242,5235l7396,5235,7396,4767,4242,4767,4242,5235xe" filled="true" fillcolor="#ffffff" stroked="false">
              <v:path arrowok="t"/>
              <v:fill type="solid"/>
            </v:shape>
            <w10:wrap type="none"/>
          </v:group>
        </w:pict>
      </w:r>
      <w:r>
        <w:rPr/>
        <w:pict>
          <v:group style="position:absolute;margin-left:212.119995pt;margin-top:405.139984pt;width:157.7pt;height:23.45pt;mso-position-horizontal-relative:page;mso-position-vertical-relative:page;z-index:-904288" coordorigin="4242,8103" coordsize="3154,469">
            <v:shape style="position:absolute;left:4242;top:8103;width:3154;height:469" coordorigin="4242,8103" coordsize="3154,469" path="m4242,8571l7396,8571,7396,8103,4242,8103,4242,857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060"/>
        <w:gridCol w:w="2151"/>
        <w:gridCol w:w="3278"/>
      </w:tblGrid>
      <w:tr>
        <w:trPr>
          <w:trHeight w:val="47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18,273,133.18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11,484,007.96</w:t>
            </w:r>
          </w:p>
        </w:tc>
      </w:tr>
      <w:tr>
        <w:trPr>
          <w:trHeight w:val="94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9,800,000.00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9,800,000.00</w:t>
            </w:r>
          </w:p>
        </w:tc>
      </w:tr>
      <w:tr>
        <w:trPr>
          <w:trHeight w:val="94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743" w:right="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89"/>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89"/>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36,896,291.54</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053" w:right="0"/>
              <w:jc w:val="left"/>
              <w:rPr>
                <w:rFonts w:ascii="Times New Roman" w:hAnsi="Times New Roman" w:cs="Times New Roman" w:eastAsia="Times New Roman" w:hint="default"/>
                <w:sz w:val="18"/>
                <w:szCs w:val="18"/>
              </w:rPr>
            </w:pPr>
            <w:r>
              <w:rPr>
                <w:rFonts w:ascii="Times New Roman"/>
                <w:sz w:val="18"/>
              </w:rPr>
              <w:t>464,564,072.73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160,598,025.84</w:t>
            </w:r>
          </w:p>
        </w:tc>
      </w:tr>
      <w:tr>
        <w:trPr>
          <w:trHeight w:val="47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81,052.99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39,396,081.37</w:t>
            </w:r>
          </w:p>
        </w:tc>
      </w:tr>
      <w:tr>
        <w:trPr>
          <w:trHeight w:val="47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26,328,636.05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69,781.37</w:t>
            </w:r>
          </w:p>
        </w:tc>
      </w:tr>
      <w:tr>
        <w:trPr>
          <w:trHeight w:val="479"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89"/>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997" w:right="0"/>
              <w:jc w:val="left"/>
              <w:rPr>
                <w:rFonts w:ascii="Times New Roman" w:hAnsi="Times New Roman" w:cs="Times New Roman" w:eastAsia="Times New Roman" w:hint="default"/>
                <w:sz w:val="18"/>
                <w:szCs w:val="18"/>
              </w:rPr>
            </w:pPr>
            <w:r>
              <w:rPr>
                <w:rFonts w:ascii="Times New Roman"/>
                <w:sz w:val="18"/>
              </w:rPr>
              <w:t>438,316,489.67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199,924,325.84</w:t>
            </w:r>
          </w:p>
        </w:tc>
      </w:tr>
      <w:tr>
        <w:trPr>
          <w:trHeight w:val="47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66,902,966.52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37,250,547.58</w:t>
            </w:r>
          </w:p>
        </w:tc>
      </w:tr>
      <w:tr>
        <w:trPr>
          <w:trHeight w:val="47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053" w:right="0"/>
              <w:jc w:val="left"/>
              <w:rPr>
                <w:rFonts w:ascii="Times New Roman" w:hAnsi="Times New Roman" w:cs="Times New Roman" w:eastAsia="Times New Roman" w:hint="default"/>
                <w:sz w:val="18"/>
                <w:szCs w:val="18"/>
              </w:rPr>
            </w:pPr>
            <w:r>
              <w:rPr>
                <w:rFonts w:ascii="Times New Roman"/>
                <w:sz w:val="18"/>
              </w:rPr>
              <w:t>371,413,523.15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162,673,778.26</w:t>
            </w:r>
          </w:p>
        </w:tc>
      </w:tr>
      <w:tr>
        <w:trPr>
          <w:trHeight w:val="94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53" w:right="0"/>
              <w:jc w:val="left"/>
              <w:rPr>
                <w:rFonts w:ascii="Times New Roman" w:hAnsi="Times New Roman" w:cs="Times New Roman" w:eastAsia="Times New Roman" w:hint="default"/>
                <w:sz w:val="18"/>
                <w:szCs w:val="18"/>
              </w:rPr>
            </w:pPr>
            <w:r>
              <w:rPr>
                <w:rFonts w:ascii="Times New Roman"/>
                <w:sz w:val="18"/>
              </w:rPr>
              <w:t>371,577,386.43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pacing w:val="-1"/>
                <w:sz w:val="18"/>
              </w:rPr>
              <w:t>163,166,427.53</w:t>
            </w:r>
          </w:p>
        </w:tc>
      </w:tr>
      <w:tr>
        <w:trPr>
          <w:trHeight w:val="94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053" w:right="0"/>
              <w:jc w:val="left"/>
              <w:rPr>
                <w:rFonts w:ascii="Times New Roman" w:hAnsi="Times New Roman" w:cs="Times New Roman" w:eastAsia="Times New Roman" w:hint="default"/>
                <w:sz w:val="18"/>
                <w:szCs w:val="18"/>
              </w:rPr>
            </w:pPr>
            <w:r>
              <w:rPr>
                <w:rFonts w:ascii="Times New Roman"/>
                <w:sz w:val="18"/>
              </w:rPr>
              <w:t>371,577,386.43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163,166,427.53</w:t>
            </w:r>
          </w:p>
        </w:tc>
      </w:tr>
      <w:tr>
        <w:trPr>
          <w:trHeight w:val="479"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w w:val="95"/>
                <w:sz w:val="18"/>
              </w:rPr>
              <w:t>-163,863.28</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w w:val="95"/>
                <w:sz w:val="18"/>
              </w:rPr>
              <w:t>-492,649.27</w:t>
            </w:r>
            <w:r>
              <w:rPr>
                <w:rFonts w:ascii="Times New Roman"/>
                <w:sz w:val="18"/>
              </w:rPr>
            </w:r>
          </w:p>
        </w:tc>
      </w:tr>
      <w:tr>
        <w:trPr>
          <w:trHeight w:val="47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782,597.27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43,165.85</w:t>
            </w:r>
          </w:p>
        </w:tc>
      </w:tr>
      <w:tr>
        <w:trPr>
          <w:trHeight w:val="94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0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782,597.27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43,165.85</w:t>
            </w:r>
          </w:p>
        </w:tc>
      </w:tr>
      <w:tr>
        <w:trPr>
          <w:trHeight w:val="94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364"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3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重新计量设定受益计划净</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78"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4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9"/>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53" w:right="0"/>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782,597.27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43,165.85</w:t>
            </w:r>
          </w:p>
        </w:tc>
      </w:tr>
      <w:tr>
        <w:trPr>
          <w:trHeight w:val="14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w:t>
            </w:r>
          </w:p>
          <w:p>
            <w:pPr>
              <w:pStyle w:val="TableParagraph"/>
              <w:spacing w:line="468" w:lineRule="exact" w:before="54"/>
              <w:ind w:left="11" w:right="154"/>
              <w:jc w:val="left"/>
              <w:rPr>
                <w:rFonts w:ascii="宋体" w:hAnsi="宋体" w:cs="宋体" w:eastAsia="宋体" w:hint="default"/>
                <w:sz w:val="18"/>
                <w:szCs w:val="18"/>
              </w:rPr>
            </w:pPr>
            <w:r>
              <w:rPr>
                <w:rFonts w:ascii="宋体" w:hAnsi="宋体" w:cs="宋体" w:eastAsia="宋体" w:hint="default"/>
                <w:sz w:val="18"/>
                <w:szCs w:val="18"/>
              </w:rPr>
              <w:t>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748,863.93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9,432.51</w:t>
            </w:r>
          </w:p>
        </w:tc>
      </w:tr>
      <w:tr>
        <w:trPr>
          <w:trHeight w:val="478"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33,733.34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33,733.34</w:t>
            </w:r>
          </w:p>
        </w:tc>
      </w:tr>
      <w:tr>
        <w:trPr>
          <w:trHeight w:val="94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91"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372,196,120.42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162,716,944.11</w:t>
            </w:r>
          </w:p>
        </w:tc>
      </w:tr>
      <w:tr>
        <w:trPr>
          <w:trHeight w:val="94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372,359,983.70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163,209,593.38</w:t>
            </w:r>
          </w:p>
        </w:tc>
      </w:tr>
      <w:tr>
        <w:trPr>
          <w:trHeight w:val="478"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5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w w:val="95"/>
                <w:sz w:val="18"/>
              </w:rPr>
              <w:t>-163,863.28</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w w:val="95"/>
                <w:sz w:val="18"/>
              </w:rPr>
              <w:t>-492,649.27</w:t>
            </w:r>
            <w:r>
              <w:rPr>
                <w:rFonts w:ascii="Times New Roman"/>
                <w:sz w:val="18"/>
              </w:rPr>
            </w:r>
          </w:p>
        </w:tc>
      </w:tr>
      <w:tr>
        <w:trPr>
          <w:trHeight w:val="479"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78"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0.29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0.13</w:t>
            </w:r>
          </w:p>
        </w:tc>
      </w:tr>
      <w:tr>
        <w:trPr>
          <w:trHeight w:val="479"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0.29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0.13</w:t>
            </w:r>
          </w:p>
        </w:tc>
      </w:tr>
    </w:tbl>
    <w:p>
      <w:pPr>
        <w:tabs>
          <w:tab w:pos="3664" w:val="left" w:leader="none"/>
          <w:tab w:pos="7715" w:val="left" w:leader="none"/>
        </w:tabs>
        <w:spacing w:line="477" w:lineRule="auto" w:before="89"/>
        <w:ind w:left="153" w:right="1229"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法定代表人：郭春林</w:t>
        <w:tab/>
        <w:t>主管会计工作负责人：贺玉</w:t>
        <w:tab/>
        <w:t>会计机构负责人：彭瑞佳</w:t>
      </w:r>
    </w:p>
    <w:p>
      <w:pPr>
        <w:spacing w:after="0" w:line="47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4、母公司利润表" w:id="165"/>
      <w:bookmarkEnd w:id="165"/>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540,319,022.36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401,637,201.55</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190,949,169.59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104,290,207.12</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9,871,405.94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7,799,528.61</w:t>
            </w: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62,639,715.28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65,068,477.62</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122,811,357.41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81,214,253.00</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129,835,332.90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114,630,928.49</w:t>
            </w: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10,806,235.30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4,696,813.00</w:t>
            </w:r>
          </w:p>
        </w:tc>
      </w:tr>
      <w:tr>
        <w:trPr>
          <w:trHeight w:val="94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9,800,000.00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9,800,000.00</w:t>
            </w:r>
          </w:p>
        </w:tc>
      </w:tr>
      <w:tr>
        <w:trPr>
          <w:trHeight w:val="94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27,528,130.81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50,733,936.75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33,736,993.71</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46,243.32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32,459,740.26</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20,321,760.68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9"/>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30,458,419.39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66,196,733.97</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13,586,378.82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8,852,547.66</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16,872,040.57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57,344,186.31</w:t>
            </w:r>
          </w:p>
        </w:tc>
      </w:tr>
      <w:tr>
        <w:trPr>
          <w:trHeight w:val="94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371" w:right="0"/>
              <w:jc w:val="left"/>
              <w:rPr>
                <w:rFonts w:ascii="宋体" w:hAnsi="宋体" w:cs="宋体" w:eastAsia="宋体" w:hint="default"/>
                <w:sz w:val="18"/>
                <w:szCs w:val="18"/>
              </w:rPr>
            </w:pPr>
            <w:r>
              <w:rPr>
                <w:rFonts w:ascii="宋体" w:hAnsi="宋体" w:cs="宋体" w:eastAsia="宋体" w:hint="default"/>
                <w:sz w:val="18"/>
                <w:szCs w:val="18"/>
              </w:rPr>
              <w:t>（一）持续经营净利润（净亏损</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16,872,040.57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57,344,186.31</w:t>
            </w: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（二）终止经营净利润（净亏损</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4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9"/>
              <w:ind w:left="11" w:right="4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4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11" w:right="4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9"/>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16,872,040.57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57,344,186.31</w:t>
            </w: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0.01</w:t>
            </w:r>
          </w:p>
        </w:tc>
      </w:tr>
      <w:tr>
        <w:trPr>
          <w:trHeight w:val="47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0.01</w:t>
            </w:r>
          </w:p>
        </w:tc>
      </w:tr>
    </w:tbl>
    <w:p>
      <w:pPr>
        <w:pStyle w:val="Heading3"/>
        <w:spacing w:line="240" w:lineRule="auto" w:before="63"/>
        <w:ind w:left="154" w:right="0"/>
        <w:jc w:val="left"/>
        <w:rPr>
          <w:b w:val="0"/>
          <w:bCs w:val="0"/>
        </w:rPr>
      </w:pPr>
      <w:bookmarkStart w:name="5、合并现金流量表" w:id="166"/>
      <w:bookmarkEnd w:id="166"/>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7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7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1,319,180,025.93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840,248,431.67</w:t>
            </w:r>
          </w:p>
        </w:tc>
      </w:tr>
      <w:tr>
        <w:trPr>
          <w:trHeight w:val="94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408,163.79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43,020,292.06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73,041,785.88</w:t>
            </w: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1,362,608,481.78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913,290,217.55</w:t>
            </w: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2,160,685,734.88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753,566,322.32</w:t>
            </w:r>
          </w:p>
        </w:tc>
      </w:tr>
      <w:tr>
        <w:trPr>
          <w:trHeight w:val="47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126,726,480.74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96,790,653.18</w:t>
            </w:r>
          </w:p>
        </w:tc>
      </w:tr>
      <w:tr>
        <w:trPr>
          <w:trHeight w:val="47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149,312,894.62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92,434,298.51</w:t>
            </w: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246,402,105.74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202,381,594.89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2,683,127,215.98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1,145,172,868.90</w:t>
            </w:r>
          </w:p>
        </w:tc>
      </w:tr>
      <w:tr>
        <w:trPr>
          <w:trHeight w:val="47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-1,320,518,734.20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-231,882,651.35</w:t>
            </w: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9,800,000.00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9,800,000.00</w:t>
            </w:r>
          </w:p>
        </w:tc>
      </w:tr>
      <w:tr>
        <w:trPr>
          <w:trHeight w:val="94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129,300.00</w:t>
            </w:r>
          </w:p>
        </w:tc>
      </w:tr>
      <w:tr>
        <w:trPr>
          <w:trHeight w:val="94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9,800,000.00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9,929,300.00</w:t>
            </w:r>
          </w:p>
        </w:tc>
      </w:tr>
      <w:tr>
        <w:trPr>
          <w:trHeight w:val="94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249,817,819.85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639,800,678.66</w:t>
            </w:r>
          </w:p>
        </w:tc>
      </w:tr>
      <w:tr>
        <w:trPr>
          <w:trHeight w:val="47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21,400,000.00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1,002,589.86</w:t>
            </w:r>
          </w:p>
        </w:tc>
      </w:tr>
      <w:tr>
        <w:trPr>
          <w:trHeight w:val="47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271,217,819.85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640,803,268.52</w:t>
            </w: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-261,417,819.85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-630,873,968.52</w:t>
            </w:r>
          </w:p>
        </w:tc>
      </w:tr>
      <w:tr>
        <w:trPr>
          <w:trHeight w:val="47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1,567,999,950.37</w:t>
            </w:r>
          </w:p>
        </w:tc>
      </w:tr>
      <w:tr>
        <w:trPr>
          <w:trHeight w:val="94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4,921,250,000.00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4,420,000,000.00</w:t>
            </w: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225,250,000.00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141,750,000.00</w:t>
            </w:r>
          </w:p>
        </w:tc>
      </w:tr>
      <w:tr>
        <w:trPr>
          <w:trHeight w:val="47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5,146,500,000.00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6,129,749,950.37</w:t>
            </w: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3,340,029,211.22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4,754,443,447.89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94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190,353,434.32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156,227,510.92</w:t>
            </w:r>
          </w:p>
        </w:tc>
      </w:tr>
      <w:tr>
        <w:trPr>
          <w:trHeight w:val="94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8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w:t>
            </w: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74,483,749.76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161,001,388.53</w:t>
            </w:r>
          </w:p>
        </w:tc>
      </w:tr>
      <w:tr>
        <w:trPr>
          <w:trHeight w:val="47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3,604,866,395.30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5,071,672,347.34</w:t>
            </w:r>
          </w:p>
        </w:tc>
      </w:tr>
      <w:tr>
        <w:trPr>
          <w:trHeight w:val="47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1,541,633,604.70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1,058,077,603.03</w:t>
            </w:r>
          </w:p>
        </w:tc>
      </w:tr>
      <w:tr>
        <w:trPr>
          <w:trHeight w:val="94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w w:val="95"/>
                <w:sz w:val="18"/>
              </w:rPr>
              <w:t>-17,664.95</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9,432.51</w:t>
            </w:r>
          </w:p>
        </w:tc>
      </w:tr>
      <w:tr>
        <w:trPr>
          <w:trHeight w:val="47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-40,320,614.30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195,330,415.67</w:t>
            </w:r>
          </w:p>
        </w:tc>
      </w:tr>
      <w:tr>
        <w:trPr>
          <w:trHeight w:val="47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902,084,236.00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706,753,820.33</w:t>
            </w:r>
          </w:p>
        </w:tc>
      </w:tr>
      <w:tr>
        <w:trPr>
          <w:trHeight w:val="47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861,763,621.70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902,084,236.00</w:t>
            </w:r>
          </w:p>
        </w:tc>
      </w:tr>
    </w:tbl>
    <w:p>
      <w:pPr>
        <w:pStyle w:val="Heading3"/>
        <w:spacing w:line="240" w:lineRule="auto" w:before="63"/>
        <w:ind w:left="154" w:right="0"/>
        <w:jc w:val="left"/>
        <w:rPr>
          <w:b w:val="0"/>
          <w:bCs w:val="0"/>
        </w:rPr>
      </w:pPr>
      <w:bookmarkStart w:name="6、母公司现金流量表" w:id="167"/>
      <w:bookmarkEnd w:id="167"/>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7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539,373,500.22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2"/>
                <w:sz w:val="18"/>
              </w:rPr>
              <w:t>441,117,311.87</w:t>
            </w:r>
          </w:p>
        </w:tc>
      </w:tr>
      <w:tr>
        <w:trPr>
          <w:trHeight w:val="47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1,739,705,690.34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765,794,226.52</w:t>
            </w: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2,279,079,190.56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1,206,911,538.39</w:t>
            </w:r>
          </w:p>
        </w:tc>
      </w:tr>
      <w:tr>
        <w:trPr>
          <w:trHeight w:val="47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99,603,755.37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725,275,156.10</w:t>
            </w:r>
          </w:p>
        </w:tc>
      </w:tr>
      <w:tr>
        <w:trPr>
          <w:trHeight w:val="94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46,621,978.23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35,607,849.13</w:t>
            </w: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78,512,135.10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70,050,759.03</w:t>
            </w:r>
          </w:p>
        </w:tc>
      </w:tr>
      <w:tr>
        <w:trPr>
          <w:trHeight w:val="47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2,287,013,350.38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992,032,011.78</w:t>
            </w: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2,511,751,219.08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1,822,965,776.04</w:t>
            </w: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-232,672,028.52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-616,054,237.65</w:t>
            </w:r>
          </w:p>
        </w:tc>
      </w:tr>
      <w:tr>
        <w:trPr>
          <w:trHeight w:val="47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9,800,000.00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9,800,000.00</w:t>
            </w:r>
          </w:p>
        </w:tc>
      </w:tr>
      <w:tr>
        <w:trPr>
          <w:trHeight w:val="94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127,800.00</w:t>
            </w:r>
          </w:p>
        </w:tc>
      </w:tr>
      <w:tr>
        <w:trPr>
          <w:trHeight w:val="94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9,800,000.00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9,927,800.00</w:t>
            </w:r>
          </w:p>
        </w:tc>
      </w:tr>
      <w:tr>
        <w:trPr>
          <w:trHeight w:val="94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168,032,193.90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244,323,857.04</w:t>
            </w: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156,609,920.00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94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9,646,007.73</w:t>
            </w: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324,642,113.90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353,969,864.77</w:t>
            </w:r>
          </w:p>
        </w:tc>
      </w:tr>
      <w:tr>
        <w:trPr>
          <w:trHeight w:val="47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-314,842,113.90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-344,042,064.77</w:t>
            </w: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1,567,999,950.37</w:t>
            </w:r>
          </w:p>
        </w:tc>
      </w:tr>
      <w:tr>
        <w:trPr>
          <w:trHeight w:val="47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3,825,000,000.00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3,732,000,000.00</w:t>
            </w: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47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3,925,000,000.00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5,364,999,950.37</w:t>
            </w: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2,848,000,000.00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4,247,000,000.00</w:t>
            </w:r>
          </w:p>
        </w:tc>
      </w:tr>
      <w:tr>
        <w:trPr>
          <w:trHeight w:val="94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130,706,417.82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2"/>
                <w:sz w:val="18"/>
              </w:rPr>
              <w:t>115,113,683.51</w:t>
            </w:r>
          </w:p>
        </w:tc>
      </w:tr>
      <w:tr>
        <w:trPr>
          <w:trHeight w:val="47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25,638,371.87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117,247,388.53</w:t>
            </w: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3,004,344,789.69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4,479,361,072.04</w:t>
            </w: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920,655,210.31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885,638,878.33</w:t>
            </w:r>
          </w:p>
        </w:tc>
      </w:tr>
      <w:tr>
        <w:trPr>
          <w:trHeight w:val="94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4"/>
          <w:pgSz w:w="11910" w:h="16840"/>
          <w:pgMar w:footer="979" w:header="74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7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373,141,067.89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-74,457,424.09</w:t>
            </w:r>
          </w:p>
        </w:tc>
      </w:tr>
      <w:tr>
        <w:trPr>
          <w:trHeight w:val="47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347,396,931.19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421,854,355.28</w:t>
            </w:r>
          </w:p>
        </w:tc>
      </w:tr>
      <w:tr>
        <w:trPr>
          <w:trHeight w:val="47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720,537,999.08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347,396,931.19</w:t>
            </w:r>
          </w:p>
        </w:tc>
      </w:tr>
    </w:tbl>
    <w:p>
      <w:pPr>
        <w:pStyle w:val="Heading3"/>
        <w:spacing w:line="240" w:lineRule="auto" w:before="63"/>
        <w:ind w:left="154" w:right="0"/>
        <w:jc w:val="left"/>
        <w:rPr>
          <w:b w:val="0"/>
          <w:bCs w:val="0"/>
        </w:rPr>
      </w:pPr>
      <w:bookmarkStart w:name="7、合并所有者权益变动表" w:id="168"/>
      <w:bookmarkEnd w:id="168"/>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6"/>
        <w:rPr>
          <w:rFonts w:ascii="宋体" w:hAnsi="宋体" w:cs="宋体" w:eastAsia="宋体" w:hint="default"/>
          <w:b/>
          <w:bCs/>
          <w:sz w:val="15"/>
          <w:szCs w:val="15"/>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line="240" w:lineRule="auto" w:before="5"/>
        <w:rPr>
          <w:rFonts w:ascii="宋体" w:hAnsi="宋体" w:cs="宋体" w:eastAsia="宋体" w:hint="default"/>
          <w:sz w:val="14"/>
          <w:szCs w:val="1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78"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48"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2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477" w:lineRule="auto" w:before="88"/>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w:t>
            </w:r>
          </w:p>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248"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3"/>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8"/>
              <w:ind w:left="56" w:right="0"/>
              <w:jc w:val="left"/>
              <w:rPr>
                <w:rFonts w:ascii="宋体" w:hAnsi="宋体" w:cs="宋体" w:eastAsia="宋体" w:hint="default"/>
                <w:sz w:val="18"/>
                <w:szCs w:val="18"/>
              </w:rPr>
            </w:pPr>
            <w:r>
              <w:rPr>
                <w:rFonts w:ascii="宋体" w:hAnsi="宋体" w:cs="宋体" w:eastAsia="宋体" w:hint="default"/>
                <w:sz w:val="18"/>
                <w:szCs w:val="18"/>
              </w:rPr>
              <w:t>少数股</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659" w:type="dxa"/>
            <w:vMerge/>
            <w:tcBorders>
              <w:left w:val="single" w:sz="4" w:space="0" w:color="000000"/>
              <w:right w:val="single" w:sz="4" w:space="0" w:color="000000"/>
            </w:tcBorders>
            <w:shd w:val="clear" w:color="auto" w:fill="D2D2D2"/>
          </w:tcPr>
          <w:p>
            <w:pPr/>
          </w:p>
        </w:tc>
      </w:tr>
      <w:tr>
        <w:trPr>
          <w:trHeight w:val="227"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资本公</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146" w:right="0" w:hanging="90"/>
              <w:jc w:val="left"/>
              <w:rPr>
                <w:rFonts w:ascii="宋体" w:hAnsi="宋体" w:cs="宋体" w:eastAsia="宋体" w:hint="default"/>
                <w:sz w:val="18"/>
                <w:szCs w:val="18"/>
              </w:rPr>
            </w:pPr>
            <w:r>
              <w:rPr>
                <w:rFonts w:ascii="宋体" w:hAnsi="宋体" w:cs="宋体" w:eastAsia="宋体" w:hint="default"/>
                <w:sz w:val="18"/>
                <w:szCs w:val="18"/>
              </w:rPr>
              <w:t>减：库</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56" w:right="0"/>
              <w:jc w:val="left"/>
              <w:rPr>
                <w:rFonts w:ascii="宋体" w:hAnsi="宋体" w:cs="宋体" w:eastAsia="宋体" w:hint="default"/>
                <w:sz w:val="18"/>
                <w:szCs w:val="18"/>
              </w:rPr>
            </w:pPr>
            <w:r>
              <w:rPr>
                <w:rFonts w:ascii="宋体" w:hAnsi="宋体" w:cs="宋体" w:eastAsia="宋体" w:hint="default"/>
                <w:sz w:val="18"/>
                <w:szCs w:val="18"/>
              </w:rPr>
              <w:t>其他综</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专项储</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盈余公</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57" w:right="0"/>
              <w:jc w:val="left"/>
              <w:rPr>
                <w:rFonts w:ascii="宋体" w:hAnsi="宋体" w:cs="宋体" w:eastAsia="宋体" w:hint="default"/>
                <w:sz w:val="18"/>
                <w:szCs w:val="18"/>
              </w:rPr>
            </w:pPr>
            <w:r>
              <w:rPr>
                <w:rFonts w:ascii="宋体" w:hAnsi="宋体" w:cs="宋体" w:eastAsia="宋体" w:hint="default"/>
                <w:sz w:val="18"/>
                <w:szCs w:val="18"/>
              </w:rPr>
              <w:t>一般风</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146" w:right="0" w:hanging="90"/>
              <w:jc w:val="left"/>
              <w:rPr>
                <w:rFonts w:ascii="宋体" w:hAnsi="宋体" w:cs="宋体" w:eastAsia="宋体" w:hint="default"/>
                <w:sz w:val="18"/>
                <w:szCs w:val="18"/>
              </w:rPr>
            </w:pPr>
            <w:r>
              <w:rPr>
                <w:rFonts w:ascii="宋体" w:hAnsi="宋体" w:cs="宋体" w:eastAsia="宋体" w:hint="default"/>
                <w:sz w:val="18"/>
                <w:szCs w:val="18"/>
              </w:rPr>
              <w:t>未分配</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247"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5"/>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7"/>
              <w:ind w:left="170" w:right="0" w:hanging="90"/>
              <w:jc w:val="left"/>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7"/>
              <w:ind w:left="170" w:right="0" w:hanging="90"/>
              <w:jc w:val="left"/>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226"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234"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47"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73"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128"/>
              <w:ind w:left="51" w:right="0"/>
              <w:jc w:val="center"/>
              <w:rPr>
                <w:rFonts w:ascii="Times New Roman" w:hAnsi="Times New Roman" w:cs="Times New Roman" w:eastAsia="Times New Roman" w:hint="default"/>
                <w:sz w:val="18"/>
                <w:szCs w:val="18"/>
              </w:rPr>
            </w:pPr>
            <w:r>
              <w:rPr>
                <w:rFonts w:ascii="Times New Roman"/>
                <w:sz w:val="18"/>
              </w:rPr>
              <w:t>1,280,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759,82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6.00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1,518,4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66,401.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67" w:right="0"/>
              <w:jc w:val="center"/>
              <w:rPr>
                <w:rFonts w:ascii="Times New Roman" w:hAnsi="Times New Roman" w:cs="Times New Roman" w:eastAsia="Times New Roman" w:hint="default"/>
                <w:sz w:val="18"/>
                <w:szCs w:val="18"/>
              </w:rPr>
            </w:pPr>
            <w:r>
              <w:rPr>
                <w:rFonts w:ascii="Times New Roman"/>
                <w:sz w:val="18"/>
              </w:rPr>
              <w:t>4,546,5</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65.83</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1" w:right="0"/>
              <w:jc w:val="left"/>
              <w:rPr>
                <w:rFonts w:ascii="Times New Roman" w:hAnsi="Times New Roman" w:cs="Times New Roman" w:eastAsia="Times New Roman" w:hint="default"/>
                <w:sz w:val="18"/>
                <w:szCs w:val="18"/>
              </w:rPr>
            </w:pPr>
            <w:r>
              <w:rPr>
                <w:rFonts w:ascii="Times New Roman"/>
                <w:sz w:val="18"/>
              </w:rPr>
              <w:t>79,720,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106.94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6" w:right="0"/>
              <w:jc w:val="left"/>
              <w:rPr>
                <w:rFonts w:ascii="Times New Roman" w:hAnsi="Times New Roman" w:cs="Times New Roman" w:eastAsia="Times New Roman" w:hint="default"/>
                <w:sz w:val="18"/>
                <w:szCs w:val="18"/>
              </w:rPr>
            </w:pPr>
            <w:r>
              <w:rPr>
                <w:rFonts w:ascii="Times New Roman"/>
                <w:sz w:val="18"/>
              </w:rPr>
              <w:t>859,775</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,586.94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67" w:right="0"/>
              <w:jc w:val="center"/>
              <w:rPr>
                <w:rFonts w:ascii="Times New Roman" w:hAnsi="Times New Roman" w:cs="Times New Roman" w:eastAsia="Times New Roman" w:hint="default"/>
                <w:sz w:val="18"/>
                <w:szCs w:val="18"/>
              </w:rPr>
            </w:pPr>
            <w:r>
              <w:rPr>
                <w:rFonts w:ascii="Times New Roman"/>
                <w:sz w:val="18"/>
              </w:rPr>
              <w:t>1,384,0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66.28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3,744,6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52,553.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73</w:t>
            </w:r>
          </w:p>
        </w:tc>
      </w:tr>
      <w:tr>
        <w:trPr>
          <w:trHeight w:val="468"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473"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94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731" w:right="0"/>
              <w:jc w:val="left"/>
              <w:rPr>
                <w:rFonts w:ascii="宋体" w:hAnsi="宋体" w:cs="宋体" w:eastAsia="宋体" w:hint="default"/>
                <w:sz w:val="18"/>
                <w:szCs w:val="18"/>
              </w:rPr>
            </w:pPr>
            <w:r>
              <w:rPr>
                <w:rFonts w:ascii="宋体" w:hAnsi="宋体" w:cs="宋体" w:eastAsia="宋体" w:hint="default"/>
                <w:sz w:val="18"/>
                <w:szCs w:val="18"/>
              </w:rPr>
              <w:t>同一控</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74"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129"/>
              <w:ind w:left="51" w:right="0"/>
              <w:jc w:val="center"/>
              <w:rPr>
                <w:rFonts w:ascii="Times New Roman" w:hAnsi="Times New Roman" w:cs="Times New Roman" w:eastAsia="Times New Roman" w:hint="default"/>
                <w:sz w:val="18"/>
                <w:szCs w:val="18"/>
              </w:rPr>
            </w:pPr>
            <w:r>
              <w:rPr>
                <w:rFonts w:ascii="Times New Roman"/>
                <w:sz w:val="18"/>
              </w:rPr>
              <w:t>1,280,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759,82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6.00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1,518,4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66,401.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7" w:right="0"/>
              <w:jc w:val="center"/>
              <w:rPr>
                <w:rFonts w:ascii="Times New Roman" w:hAnsi="Times New Roman" w:cs="Times New Roman" w:eastAsia="Times New Roman" w:hint="default"/>
                <w:sz w:val="18"/>
                <w:szCs w:val="18"/>
              </w:rPr>
            </w:pPr>
            <w:r>
              <w:rPr>
                <w:rFonts w:ascii="Times New Roman"/>
                <w:sz w:val="18"/>
              </w:rPr>
              <w:t>4,546,5</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65.83</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1" w:right="0"/>
              <w:jc w:val="left"/>
              <w:rPr>
                <w:rFonts w:ascii="Times New Roman" w:hAnsi="Times New Roman" w:cs="Times New Roman" w:eastAsia="Times New Roman" w:hint="default"/>
                <w:sz w:val="18"/>
                <w:szCs w:val="18"/>
              </w:rPr>
            </w:pPr>
            <w:r>
              <w:rPr>
                <w:rFonts w:ascii="Times New Roman"/>
                <w:sz w:val="18"/>
              </w:rPr>
              <w:t>79,720,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106.94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6" w:right="0"/>
              <w:jc w:val="left"/>
              <w:rPr>
                <w:rFonts w:ascii="Times New Roman" w:hAnsi="Times New Roman" w:cs="Times New Roman" w:eastAsia="Times New Roman" w:hint="default"/>
                <w:sz w:val="18"/>
                <w:szCs w:val="18"/>
              </w:rPr>
            </w:pPr>
            <w:r>
              <w:rPr>
                <w:rFonts w:ascii="Times New Roman"/>
                <w:sz w:val="18"/>
              </w:rPr>
              <w:t>859,775</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,586.94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7" w:right="0"/>
              <w:jc w:val="center"/>
              <w:rPr>
                <w:rFonts w:ascii="Times New Roman" w:hAnsi="Times New Roman" w:cs="Times New Roman" w:eastAsia="Times New Roman" w:hint="default"/>
                <w:sz w:val="18"/>
                <w:szCs w:val="18"/>
              </w:rPr>
            </w:pPr>
            <w:r>
              <w:rPr>
                <w:rFonts w:ascii="Times New Roman"/>
                <w:sz w:val="18"/>
              </w:rPr>
              <w:t>1,384,0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66.28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3,744,6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52,553.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73</w:t>
            </w:r>
          </w:p>
        </w:tc>
      </w:tr>
      <w:tr>
        <w:trPr>
          <w:trHeight w:val="468"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473"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4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88"/>
              <w:ind w:left="11" w:right="21"/>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p>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1" w:right="0"/>
              <w:jc w:val="left"/>
              <w:rPr>
                <w:rFonts w:ascii="Times New Roman" w:hAnsi="Times New Roman" w:cs="Times New Roman" w:eastAsia="Times New Roman" w:hint="default"/>
                <w:sz w:val="18"/>
                <w:szCs w:val="18"/>
              </w:rPr>
            </w:pPr>
            <w:r>
              <w:rPr>
                <w:rFonts w:ascii="Times New Roman"/>
                <w:sz w:val="18"/>
              </w:rPr>
              <w:t>15,192,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408.42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6" w:right="0"/>
              <w:jc w:val="left"/>
              <w:rPr>
                <w:rFonts w:ascii="Times New Roman" w:hAnsi="Times New Roman" w:cs="Times New Roman" w:eastAsia="Times New Roman" w:hint="default"/>
                <w:sz w:val="18"/>
                <w:szCs w:val="18"/>
              </w:rPr>
            </w:pPr>
            <w:r>
              <w:rPr>
                <w:rFonts w:ascii="Times New Roman"/>
                <w:sz w:val="18"/>
              </w:rPr>
              <w:t>782,597</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06" w:right="0"/>
              <w:jc w:val="left"/>
              <w:rPr>
                <w:rFonts w:ascii="Times New Roman" w:hAnsi="Times New Roman" w:cs="Times New Roman" w:eastAsia="Times New Roman" w:hint="default"/>
                <w:sz w:val="18"/>
                <w:szCs w:val="18"/>
              </w:rPr>
            </w:pPr>
            <w:r>
              <w:rPr>
                <w:rFonts w:ascii="Times New Roman"/>
                <w:sz w:val="18"/>
              </w:rPr>
              <w:t>.27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69" w:right="0"/>
              <w:jc w:val="center"/>
              <w:rPr>
                <w:rFonts w:ascii="Times New Roman" w:hAnsi="Times New Roman" w:cs="Times New Roman" w:eastAsia="Times New Roman" w:hint="default"/>
                <w:sz w:val="18"/>
                <w:szCs w:val="18"/>
              </w:rPr>
            </w:pPr>
            <w:r>
              <w:rPr>
                <w:rFonts w:ascii="Times New Roman"/>
                <w:sz w:val="18"/>
              </w:rPr>
              <w:t>1,687,2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04" w:right="0"/>
              <w:jc w:val="center"/>
              <w:rPr>
                <w:rFonts w:ascii="Times New Roman" w:hAnsi="Times New Roman" w:cs="Times New Roman" w:eastAsia="Times New Roman" w:hint="default"/>
                <w:sz w:val="18"/>
                <w:szCs w:val="18"/>
              </w:rPr>
            </w:pPr>
            <w:r>
              <w:rPr>
                <w:rFonts w:ascii="Times New Roman"/>
                <w:sz w:val="18"/>
              </w:rPr>
              <w:t>04.06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6" w:right="0"/>
              <w:jc w:val="left"/>
              <w:rPr>
                <w:rFonts w:ascii="Times New Roman" w:hAnsi="Times New Roman" w:cs="Times New Roman" w:eastAsia="Times New Roman" w:hint="default"/>
                <w:sz w:val="18"/>
                <w:szCs w:val="18"/>
              </w:rPr>
            </w:pPr>
            <w:r>
              <w:rPr>
                <w:rFonts w:ascii="Times New Roman"/>
                <w:sz w:val="18"/>
              </w:rPr>
              <w:t>369,890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,182.37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94,777.</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0" w:right="0"/>
              <w:jc w:val="left"/>
              <w:rPr>
                <w:rFonts w:ascii="Times New Roman" w:hAnsi="Times New Roman" w:cs="Times New Roman" w:eastAsia="Times New Roman" w:hint="default"/>
                <w:sz w:val="18"/>
                <w:szCs w:val="18"/>
              </w:rPr>
            </w:pPr>
            <w:r>
              <w:rPr>
                <w:rFonts w:ascii="Times New Roman"/>
                <w:sz w:val="18"/>
              </w:rPr>
              <w:t>387,647</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,170.07</w:t>
            </w:r>
          </w:p>
        </w:tc>
      </w:tr>
      <w:tr>
        <w:trPr>
          <w:trHeight w:val="947"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pacing w:val="-8"/>
                <w:sz w:val="18"/>
                <w:szCs w:val="18"/>
              </w:rPr>
              <w:t>（一）综合收益总</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6" w:right="0"/>
              <w:jc w:val="left"/>
              <w:rPr>
                <w:rFonts w:ascii="Times New Roman" w:hAnsi="Times New Roman" w:cs="Times New Roman" w:eastAsia="Times New Roman" w:hint="default"/>
                <w:sz w:val="18"/>
                <w:szCs w:val="18"/>
              </w:rPr>
            </w:pPr>
            <w:r>
              <w:rPr>
                <w:rFonts w:ascii="Times New Roman"/>
                <w:sz w:val="18"/>
              </w:rPr>
              <w:t>782,597</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06" w:right="0"/>
              <w:jc w:val="left"/>
              <w:rPr>
                <w:rFonts w:ascii="Times New Roman" w:hAnsi="Times New Roman" w:cs="Times New Roman" w:eastAsia="Times New Roman" w:hint="default"/>
                <w:sz w:val="18"/>
                <w:szCs w:val="18"/>
              </w:rPr>
            </w:pPr>
            <w:r>
              <w:rPr>
                <w:rFonts w:ascii="Times New Roman"/>
                <w:sz w:val="18"/>
              </w:rPr>
              <w:t>.27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6" w:right="0"/>
              <w:jc w:val="left"/>
              <w:rPr>
                <w:rFonts w:ascii="Times New Roman" w:hAnsi="Times New Roman" w:cs="Times New Roman" w:eastAsia="Times New Roman" w:hint="default"/>
                <w:sz w:val="18"/>
                <w:szCs w:val="18"/>
              </w:rPr>
            </w:pPr>
            <w:r>
              <w:rPr>
                <w:rFonts w:ascii="Times New Roman"/>
                <w:sz w:val="18"/>
              </w:rPr>
              <w:t>371,577</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,386.43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6" w:right="0"/>
              <w:jc w:val="left"/>
              <w:rPr>
                <w:rFonts w:ascii="Times New Roman" w:hAnsi="Times New Roman" w:cs="Times New Roman" w:eastAsia="Times New Roman" w:hint="default"/>
                <w:sz w:val="18"/>
                <w:szCs w:val="18"/>
              </w:rPr>
            </w:pPr>
            <w:r>
              <w:rPr>
                <w:rFonts w:ascii="Times New Roman"/>
                <w:sz w:val="18"/>
              </w:rPr>
              <w:t>-163,86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3.28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0" w:right="0"/>
              <w:jc w:val="left"/>
              <w:rPr>
                <w:rFonts w:ascii="Times New Roman" w:hAnsi="Times New Roman" w:cs="Times New Roman" w:eastAsia="Times New Roman" w:hint="default"/>
                <w:sz w:val="18"/>
                <w:szCs w:val="18"/>
              </w:rPr>
            </w:pPr>
            <w:r>
              <w:rPr>
                <w:rFonts w:ascii="Times New Roman"/>
                <w:sz w:val="18"/>
              </w:rPr>
              <w:t>372,196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,120.42</w:t>
            </w:r>
          </w:p>
        </w:tc>
      </w:tr>
    </w:tbl>
    <w:p>
      <w:pPr>
        <w:spacing w:after="0" w:line="240" w:lineRule="auto"/>
        <w:jc w:val="left"/>
        <w:rPr>
          <w:rFonts w:ascii="Times New Roman" w:hAnsi="Times New Roman" w:cs="Times New Roman" w:eastAsia="Times New Roman" w:hint="default"/>
          <w:sz w:val="18"/>
          <w:szCs w:val="18"/>
        </w:rPr>
        <w:sectPr>
          <w:footerReference w:type="default" r:id="rId15"/>
          <w:pgSz w:w="11910" w:h="16840"/>
          <w:pgMar w:footer="979" w:header="747"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94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pacing w:val="-8"/>
                <w:sz w:val="18"/>
                <w:szCs w:val="18"/>
              </w:rPr>
              <w:t>（二）所有者投入</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1" w:right="0"/>
              <w:jc w:val="left"/>
              <w:rPr>
                <w:rFonts w:ascii="Times New Roman" w:hAnsi="Times New Roman" w:cs="Times New Roman" w:eastAsia="Times New Roman" w:hint="default"/>
                <w:sz w:val="18"/>
                <w:szCs w:val="18"/>
              </w:rPr>
            </w:pPr>
            <w:r>
              <w:rPr>
                <w:rFonts w:ascii="Times New Roman"/>
                <w:sz w:val="18"/>
              </w:rPr>
              <w:t>15,192,</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408.42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6" w:right="0"/>
              <w:jc w:val="left"/>
              <w:rPr>
                <w:rFonts w:ascii="Times New Roman" w:hAnsi="Times New Roman" w:cs="Times New Roman" w:eastAsia="Times New Roman" w:hint="default"/>
                <w:sz w:val="18"/>
                <w:szCs w:val="18"/>
              </w:rPr>
            </w:pPr>
            <w:r>
              <w:rPr>
                <w:rFonts w:ascii="Times New Roman"/>
                <w:sz w:val="18"/>
              </w:rPr>
              <w:t>258,641</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06" w:right="0"/>
              <w:jc w:val="left"/>
              <w:rPr>
                <w:rFonts w:ascii="Times New Roman" w:hAnsi="Times New Roman" w:cs="Times New Roman" w:eastAsia="Times New Roman" w:hint="default"/>
                <w:sz w:val="18"/>
                <w:szCs w:val="18"/>
              </w:rPr>
            </w:pPr>
            <w:r>
              <w:rPr>
                <w:rFonts w:ascii="Times New Roman"/>
                <w:sz w:val="18"/>
              </w:rPr>
              <w:t>.23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5" w:right="0"/>
              <w:jc w:val="left"/>
              <w:rPr>
                <w:rFonts w:ascii="Times New Roman" w:hAnsi="Times New Roman" w:cs="Times New Roman" w:eastAsia="Times New Roman" w:hint="default"/>
                <w:sz w:val="18"/>
                <w:szCs w:val="18"/>
              </w:rPr>
            </w:pPr>
            <w:r>
              <w:rPr>
                <w:rFonts w:ascii="Times New Roman"/>
                <w:sz w:val="18"/>
              </w:rPr>
              <w:t>15,451,</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049.65</w:t>
            </w:r>
          </w:p>
        </w:tc>
      </w:tr>
      <w:tr>
        <w:trPr>
          <w:trHeight w:val="94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1" w:right="0"/>
              <w:jc w:val="left"/>
              <w:rPr>
                <w:rFonts w:ascii="Times New Roman" w:hAnsi="Times New Roman" w:cs="Times New Roman" w:eastAsia="Times New Roman" w:hint="default"/>
                <w:sz w:val="18"/>
                <w:szCs w:val="18"/>
              </w:rPr>
            </w:pPr>
            <w:r>
              <w:rPr>
                <w:rFonts w:ascii="Times New Roman"/>
                <w:sz w:val="18"/>
              </w:rPr>
              <w:t>16,861,</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049.65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 w:right="0"/>
              <w:jc w:val="center"/>
              <w:rPr>
                <w:rFonts w:ascii="Times New Roman" w:hAnsi="Times New Roman" w:cs="Times New Roman" w:eastAsia="Times New Roman" w:hint="default"/>
                <w:sz w:val="18"/>
                <w:szCs w:val="18"/>
              </w:rPr>
            </w:pPr>
            <w:r>
              <w:rPr>
                <w:rFonts w:ascii="Times New Roman"/>
                <w:sz w:val="18"/>
              </w:rPr>
              <w:t>-1,410,0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5" w:right="0"/>
              <w:jc w:val="left"/>
              <w:rPr>
                <w:rFonts w:ascii="Times New Roman" w:hAnsi="Times New Roman" w:cs="Times New Roman" w:eastAsia="Times New Roman" w:hint="default"/>
                <w:sz w:val="18"/>
                <w:szCs w:val="18"/>
              </w:rPr>
            </w:pPr>
            <w:r>
              <w:rPr>
                <w:rFonts w:ascii="Times New Roman"/>
                <w:sz w:val="18"/>
              </w:rPr>
              <w:t>15,451,</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049.65</w:t>
            </w:r>
          </w:p>
        </w:tc>
      </w:tr>
      <w:tr>
        <w:trPr>
          <w:trHeight w:val="94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4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w:t>
            </w:r>
          </w:p>
          <w:p>
            <w:pPr>
              <w:pStyle w:val="TableParagraph"/>
              <w:spacing w:line="468" w:lineRule="exact" w:before="54"/>
              <w:ind w:left="22" w:right="143"/>
              <w:jc w:val="left"/>
              <w:rPr>
                <w:rFonts w:ascii="宋体" w:hAnsi="宋体" w:cs="宋体" w:eastAsia="宋体" w:hint="default"/>
                <w:sz w:val="18"/>
                <w:szCs w:val="18"/>
              </w:rPr>
            </w:pPr>
            <w:r>
              <w:rPr>
                <w:rFonts w:ascii="宋体" w:hAnsi="宋体" w:cs="宋体" w:eastAsia="宋体" w:hint="default"/>
                <w:sz w:val="18"/>
                <w:szCs w:val="18"/>
              </w:rPr>
              <w:t>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 w:right="0"/>
              <w:jc w:val="center"/>
              <w:rPr>
                <w:rFonts w:ascii="Times New Roman" w:hAnsi="Times New Roman" w:cs="Times New Roman" w:eastAsia="Times New Roman" w:hint="default"/>
                <w:sz w:val="18"/>
                <w:szCs w:val="18"/>
              </w:rPr>
            </w:pPr>
            <w:r>
              <w:rPr>
                <w:rFonts w:ascii="Times New Roman"/>
                <w:sz w:val="18"/>
              </w:rPr>
              <w:t>-1,668,6</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04" w:right="0"/>
              <w:jc w:val="center"/>
              <w:rPr>
                <w:rFonts w:ascii="Times New Roman" w:hAnsi="Times New Roman" w:cs="Times New Roman" w:eastAsia="Times New Roman" w:hint="default"/>
                <w:sz w:val="18"/>
                <w:szCs w:val="18"/>
              </w:rPr>
            </w:pPr>
            <w:r>
              <w:rPr>
                <w:rFonts w:ascii="Times New Roman"/>
                <w:sz w:val="18"/>
              </w:rPr>
              <w:t>41.23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7" w:right="0"/>
              <w:jc w:val="center"/>
              <w:rPr>
                <w:rFonts w:ascii="Times New Roman" w:hAnsi="Times New Roman" w:cs="Times New Roman" w:eastAsia="Times New Roman" w:hint="default"/>
                <w:sz w:val="18"/>
                <w:szCs w:val="18"/>
              </w:rPr>
            </w:pPr>
            <w:r>
              <w:rPr>
                <w:rFonts w:ascii="Times New Roman"/>
                <w:sz w:val="18"/>
              </w:rPr>
              <w:t>1,668,6</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41.23</w:t>
            </w: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9" w:right="0"/>
              <w:jc w:val="center"/>
              <w:rPr>
                <w:rFonts w:ascii="Times New Roman" w:hAnsi="Times New Roman" w:cs="Times New Roman" w:eastAsia="Times New Roman" w:hint="default"/>
                <w:sz w:val="18"/>
                <w:szCs w:val="18"/>
              </w:rPr>
            </w:pPr>
            <w:r>
              <w:rPr>
                <w:rFonts w:ascii="Times New Roman"/>
                <w:sz w:val="18"/>
              </w:rPr>
              <w:t>1,687,2</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04" w:right="0"/>
              <w:jc w:val="center"/>
              <w:rPr>
                <w:rFonts w:ascii="Times New Roman" w:hAnsi="Times New Roman" w:cs="Times New Roman" w:eastAsia="Times New Roman" w:hint="default"/>
                <w:sz w:val="18"/>
                <w:szCs w:val="18"/>
              </w:rPr>
            </w:pPr>
            <w:r>
              <w:rPr>
                <w:rFonts w:ascii="Times New Roman"/>
                <w:sz w:val="18"/>
              </w:rPr>
              <w:t>04.06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 w:right="0"/>
              <w:jc w:val="center"/>
              <w:rPr>
                <w:rFonts w:ascii="Times New Roman" w:hAnsi="Times New Roman" w:cs="Times New Roman" w:eastAsia="Times New Roman" w:hint="default"/>
                <w:sz w:val="18"/>
                <w:szCs w:val="18"/>
              </w:rPr>
            </w:pPr>
            <w:r>
              <w:rPr>
                <w:rFonts w:ascii="Times New Roman"/>
                <w:sz w:val="18"/>
              </w:rPr>
              <w:t>-1,687,2</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04.06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9" w:right="0"/>
              <w:jc w:val="center"/>
              <w:rPr>
                <w:rFonts w:ascii="Times New Roman" w:hAnsi="Times New Roman" w:cs="Times New Roman" w:eastAsia="Times New Roman" w:hint="default"/>
                <w:sz w:val="18"/>
                <w:szCs w:val="18"/>
              </w:rPr>
            </w:pPr>
            <w:r>
              <w:rPr>
                <w:rFonts w:ascii="Times New Roman"/>
                <w:sz w:val="18"/>
              </w:rPr>
              <w:t>1,687,2</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04" w:right="0"/>
              <w:jc w:val="center"/>
              <w:rPr>
                <w:rFonts w:ascii="Times New Roman" w:hAnsi="Times New Roman" w:cs="Times New Roman" w:eastAsia="Times New Roman" w:hint="default"/>
                <w:sz w:val="18"/>
                <w:szCs w:val="18"/>
              </w:rPr>
            </w:pPr>
            <w:r>
              <w:rPr>
                <w:rFonts w:ascii="Times New Roman"/>
                <w:sz w:val="18"/>
              </w:rPr>
              <w:t>04.06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 w:right="0"/>
              <w:jc w:val="center"/>
              <w:rPr>
                <w:rFonts w:ascii="Times New Roman" w:hAnsi="Times New Roman" w:cs="Times New Roman" w:eastAsia="Times New Roman" w:hint="default"/>
                <w:sz w:val="18"/>
                <w:szCs w:val="18"/>
              </w:rPr>
            </w:pPr>
            <w:r>
              <w:rPr>
                <w:rFonts w:ascii="Times New Roman"/>
                <w:sz w:val="18"/>
              </w:rPr>
              <w:t>-1,687,2</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04.06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pacing w:val="-8"/>
                <w:sz w:val="18"/>
                <w:szCs w:val="18"/>
              </w:rPr>
              <w:t>（四）所有者权益</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90"/>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7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4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7" w:right="0"/>
              <w:jc w:val="center"/>
              <w:rPr>
                <w:rFonts w:ascii="Times New Roman" w:hAnsi="Times New Roman" w:cs="Times New Roman" w:eastAsia="Times New Roman" w:hint="default"/>
                <w:sz w:val="18"/>
                <w:szCs w:val="18"/>
              </w:rPr>
            </w:pPr>
            <w:r>
              <w:rPr>
                <w:rFonts w:ascii="Times New Roman"/>
                <w:sz w:val="18"/>
              </w:rPr>
              <w:t>1,280,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759,82</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94" w:right="0"/>
              <w:jc w:val="center"/>
              <w:rPr>
                <w:rFonts w:ascii="Times New Roman" w:hAnsi="Times New Roman" w:cs="Times New Roman" w:eastAsia="Times New Roman" w:hint="default"/>
                <w:sz w:val="18"/>
                <w:szCs w:val="18"/>
              </w:rPr>
            </w:pPr>
            <w:r>
              <w:rPr>
                <w:rFonts w:ascii="Times New Roman"/>
                <w:sz w:val="18"/>
              </w:rPr>
              <w:t>6.00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1,533,6</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58,810.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67" w:right="0"/>
              <w:jc w:val="center"/>
              <w:rPr>
                <w:rFonts w:ascii="Times New Roman" w:hAnsi="Times New Roman" w:cs="Times New Roman" w:eastAsia="Times New Roman" w:hint="default"/>
                <w:sz w:val="18"/>
                <w:szCs w:val="18"/>
              </w:rPr>
            </w:pPr>
            <w:r>
              <w:rPr>
                <w:rFonts w:ascii="Times New Roman"/>
                <w:sz w:val="18"/>
              </w:rPr>
              <w:t>5,329,1</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63.10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1" w:right="0"/>
              <w:jc w:val="left"/>
              <w:rPr>
                <w:rFonts w:ascii="Times New Roman" w:hAnsi="Times New Roman" w:cs="Times New Roman" w:eastAsia="Times New Roman" w:hint="default"/>
                <w:sz w:val="18"/>
                <w:szCs w:val="18"/>
              </w:rPr>
            </w:pPr>
            <w:r>
              <w:rPr>
                <w:rFonts w:ascii="Times New Roman"/>
                <w:sz w:val="18"/>
              </w:rPr>
              <w:t>81,407,</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311.00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1,229,6</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65,769.</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67" w:right="0"/>
              <w:jc w:val="center"/>
              <w:rPr>
                <w:rFonts w:ascii="Times New Roman" w:hAnsi="Times New Roman" w:cs="Times New Roman" w:eastAsia="Times New Roman" w:hint="default"/>
                <w:sz w:val="18"/>
                <w:szCs w:val="18"/>
              </w:rPr>
            </w:pPr>
            <w:r>
              <w:rPr>
                <w:rFonts w:ascii="Times New Roman"/>
                <w:sz w:val="18"/>
              </w:rPr>
              <w:t>1,478,8</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44.23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4,132,2</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99,723.</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line="240" w:lineRule="auto" w:before="5"/>
        <w:rPr>
          <w:rFonts w:ascii="宋体" w:hAnsi="宋体" w:cs="宋体" w:eastAsia="宋体" w:hint="default"/>
          <w:sz w:val="14"/>
          <w:szCs w:val="1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78"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49"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2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所有者</w:t>
            </w:r>
          </w:p>
          <w:p>
            <w:pPr>
              <w:pStyle w:val="TableParagraph"/>
              <w:spacing w:line="460" w:lineRule="atLeast" w:before="8"/>
              <w:ind w:left="54" w:right="53"/>
              <w:jc w:val="center"/>
              <w:rPr>
                <w:rFonts w:ascii="宋体" w:hAnsi="宋体" w:cs="宋体" w:eastAsia="宋体" w:hint="default"/>
                <w:sz w:val="18"/>
                <w:szCs w:val="18"/>
              </w:rPr>
            </w:pPr>
            <w:r>
              <w:rPr>
                <w:rFonts w:ascii="宋体" w:hAnsi="宋体" w:cs="宋体" w:eastAsia="宋体" w:hint="default"/>
                <w:sz w:val="18"/>
                <w:szCs w:val="18"/>
              </w:rPr>
              <w:t>权益合 计</w:t>
            </w:r>
          </w:p>
        </w:tc>
      </w:tr>
      <w:tr>
        <w:trPr>
          <w:trHeight w:val="248"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3"/>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8"/>
              <w:ind w:left="50" w:right="0"/>
              <w:jc w:val="left"/>
              <w:rPr>
                <w:rFonts w:ascii="宋体" w:hAnsi="宋体" w:cs="宋体" w:eastAsia="宋体" w:hint="default"/>
                <w:sz w:val="18"/>
                <w:szCs w:val="18"/>
              </w:rPr>
            </w:pPr>
            <w:r>
              <w:rPr>
                <w:rFonts w:ascii="宋体" w:hAnsi="宋体" w:cs="宋体" w:eastAsia="宋体" w:hint="default"/>
                <w:sz w:val="18"/>
                <w:szCs w:val="18"/>
              </w:rPr>
              <w:t>少数股</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659" w:type="dxa"/>
            <w:vMerge/>
            <w:tcBorders>
              <w:left w:val="single" w:sz="4" w:space="0" w:color="000000"/>
              <w:right w:val="single" w:sz="4" w:space="0" w:color="000000"/>
            </w:tcBorders>
            <w:shd w:val="clear" w:color="auto" w:fill="D2D2D2"/>
          </w:tcPr>
          <w:p>
            <w:pPr/>
          </w:p>
        </w:tc>
      </w:tr>
      <w:tr>
        <w:trPr>
          <w:trHeight w:val="232"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资本公</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146" w:right="0" w:hanging="90"/>
              <w:jc w:val="left"/>
              <w:rPr>
                <w:rFonts w:ascii="宋体" w:hAnsi="宋体" w:cs="宋体" w:eastAsia="宋体" w:hint="default"/>
                <w:sz w:val="18"/>
                <w:szCs w:val="18"/>
              </w:rPr>
            </w:pPr>
            <w:r>
              <w:rPr>
                <w:rFonts w:ascii="宋体" w:hAnsi="宋体" w:cs="宋体" w:eastAsia="宋体" w:hint="default"/>
                <w:sz w:val="18"/>
                <w:szCs w:val="18"/>
              </w:rPr>
              <w:t>减：库</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56" w:right="0"/>
              <w:jc w:val="left"/>
              <w:rPr>
                <w:rFonts w:ascii="宋体" w:hAnsi="宋体" w:cs="宋体" w:eastAsia="宋体" w:hint="default"/>
                <w:sz w:val="18"/>
                <w:szCs w:val="18"/>
              </w:rPr>
            </w:pPr>
            <w:r>
              <w:rPr>
                <w:rFonts w:ascii="宋体" w:hAnsi="宋体" w:cs="宋体" w:eastAsia="宋体" w:hint="default"/>
                <w:sz w:val="18"/>
                <w:szCs w:val="18"/>
              </w:rPr>
              <w:t>其他综</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专项储</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盈余公</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56" w:right="0"/>
              <w:jc w:val="left"/>
              <w:rPr>
                <w:rFonts w:ascii="宋体" w:hAnsi="宋体" w:cs="宋体" w:eastAsia="宋体" w:hint="default"/>
                <w:sz w:val="18"/>
                <w:szCs w:val="18"/>
              </w:rPr>
            </w:pPr>
            <w:r>
              <w:rPr>
                <w:rFonts w:ascii="宋体" w:hAnsi="宋体" w:cs="宋体" w:eastAsia="宋体" w:hint="default"/>
                <w:sz w:val="18"/>
                <w:szCs w:val="18"/>
              </w:rPr>
              <w:t>一般风</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153" w:right="0" w:hanging="90"/>
              <w:jc w:val="left"/>
              <w:rPr>
                <w:rFonts w:ascii="宋体" w:hAnsi="宋体" w:cs="宋体" w:eastAsia="宋体" w:hint="default"/>
                <w:sz w:val="18"/>
                <w:szCs w:val="18"/>
              </w:rPr>
            </w:pPr>
            <w:r>
              <w:rPr>
                <w:rFonts w:ascii="宋体" w:hAnsi="宋体" w:cs="宋体" w:eastAsia="宋体" w:hint="default"/>
                <w:sz w:val="18"/>
                <w:szCs w:val="18"/>
              </w:rPr>
              <w:t>未分配</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241"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1"/>
              <w:ind w:left="170" w:right="0" w:hanging="90"/>
              <w:jc w:val="left"/>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1"/>
              <w:ind w:left="171" w:right="0" w:hanging="90"/>
              <w:jc w:val="left"/>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227"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234"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46"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74"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129"/>
              <w:ind w:left="28" w:right="0"/>
              <w:jc w:val="left"/>
              <w:rPr>
                <w:rFonts w:ascii="Times New Roman" w:hAnsi="Times New Roman" w:cs="Times New Roman" w:eastAsia="Times New Roman" w:hint="default"/>
                <w:sz w:val="18"/>
                <w:szCs w:val="18"/>
              </w:rPr>
            </w:pPr>
            <w:r>
              <w:rPr>
                <w:rFonts w:ascii="Times New Roman"/>
                <w:sz w:val="18"/>
              </w:rPr>
              <w:t>512,99</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1,382.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7" w:right="0"/>
              <w:jc w:val="left"/>
              <w:rPr>
                <w:rFonts w:ascii="Times New Roman" w:hAnsi="Times New Roman" w:cs="Times New Roman" w:eastAsia="Times New Roman" w:hint="default"/>
                <w:sz w:val="18"/>
                <w:szCs w:val="18"/>
              </w:rPr>
            </w:pPr>
            <w:r>
              <w:rPr>
                <w:rFonts w:ascii="Times New Roman"/>
                <w:sz w:val="18"/>
              </w:rPr>
              <w:t>719,482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,283.90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7" w:right="0"/>
              <w:jc w:val="center"/>
              <w:rPr>
                <w:rFonts w:ascii="Times New Roman" w:hAnsi="Times New Roman" w:cs="Times New Roman" w:eastAsia="Times New Roman" w:hint="default"/>
                <w:sz w:val="18"/>
                <w:szCs w:val="18"/>
              </w:rPr>
            </w:pPr>
            <w:r>
              <w:rPr>
                <w:rFonts w:ascii="Times New Roman"/>
                <w:sz w:val="18"/>
              </w:rPr>
              <w:t>4,503,3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99.98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1" w:right="0"/>
              <w:jc w:val="left"/>
              <w:rPr>
                <w:rFonts w:ascii="Times New Roman" w:hAnsi="Times New Roman" w:cs="Times New Roman" w:eastAsia="Times New Roman" w:hint="default"/>
                <w:sz w:val="18"/>
                <w:szCs w:val="18"/>
              </w:rPr>
            </w:pPr>
            <w:r>
              <w:rPr>
                <w:rFonts w:ascii="Times New Roman"/>
                <w:sz w:val="18"/>
              </w:rPr>
              <w:t>73,985,</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688.31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9" w:right="0"/>
              <w:jc w:val="left"/>
              <w:rPr>
                <w:rFonts w:ascii="Times New Roman" w:hAnsi="Times New Roman" w:cs="Times New Roman" w:eastAsia="Times New Roman" w:hint="default"/>
                <w:sz w:val="18"/>
                <w:szCs w:val="18"/>
              </w:rPr>
            </w:pPr>
            <w:r>
              <w:rPr>
                <w:rFonts w:ascii="Times New Roman"/>
                <w:sz w:val="18"/>
              </w:rPr>
              <w:t>702,343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,578.04</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7" w:right="0"/>
              <w:jc w:val="center"/>
              <w:rPr>
                <w:rFonts w:ascii="Times New Roman" w:hAnsi="Times New Roman" w:cs="Times New Roman" w:eastAsia="Times New Roman" w:hint="default"/>
                <w:sz w:val="18"/>
                <w:szCs w:val="18"/>
              </w:rPr>
            </w:pPr>
            <w:r>
              <w:rPr>
                <w:rFonts w:ascii="Times New Roman"/>
                <w:sz w:val="18"/>
              </w:rPr>
              <w:t>1,876,7</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15.55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2,015,1</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83,047.</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78</w:t>
            </w:r>
          </w:p>
        </w:tc>
      </w:tr>
      <w:tr>
        <w:trPr>
          <w:trHeight w:val="468"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473"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94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731" w:right="0"/>
              <w:jc w:val="left"/>
              <w:rPr>
                <w:rFonts w:ascii="宋体" w:hAnsi="宋体" w:cs="宋体" w:eastAsia="宋体" w:hint="default"/>
                <w:sz w:val="18"/>
                <w:szCs w:val="18"/>
              </w:rPr>
            </w:pPr>
            <w:r>
              <w:rPr>
                <w:rFonts w:ascii="宋体" w:hAnsi="宋体" w:cs="宋体" w:eastAsia="宋体" w:hint="default"/>
                <w:sz w:val="18"/>
                <w:szCs w:val="18"/>
              </w:rPr>
              <w:t>同一控</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128"/>
              <w:ind w:left="28" w:right="0"/>
              <w:jc w:val="left"/>
              <w:rPr>
                <w:rFonts w:ascii="Times New Roman" w:hAnsi="Times New Roman" w:cs="Times New Roman" w:eastAsia="Times New Roman" w:hint="default"/>
                <w:sz w:val="18"/>
                <w:szCs w:val="18"/>
              </w:rPr>
            </w:pPr>
            <w:r>
              <w:rPr>
                <w:rFonts w:ascii="Times New Roman"/>
                <w:sz w:val="18"/>
              </w:rPr>
              <w:t>512,99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1,382.</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7" w:right="0"/>
              <w:jc w:val="left"/>
              <w:rPr>
                <w:rFonts w:ascii="Times New Roman" w:hAnsi="Times New Roman" w:cs="Times New Roman" w:eastAsia="Times New Roman" w:hint="default"/>
                <w:sz w:val="18"/>
                <w:szCs w:val="18"/>
              </w:rPr>
            </w:pPr>
            <w:r>
              <w:rPr>
                <w:rFonts w:ascii="Times New Roman"/>
                <w:sz w:val="18"/>
              </w:rPr>
              <w:t>719,482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,283.90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67" w:right="0"/>
              <w:jc w:val="center"/>
              <w:rPr>
                <w:rFonts w:ascii="Times New Roman" w:hAnsi="Times New Roman" w:cs="Times New Roman" w:eastAsia="Times New Roman" w:hint="default"/>
                <w:sz w:val="18"/>
                <w:szCs w:val="18"/>
              </w:rPr>
            </w:pPr>
            <w:r>
              <w:rPr>
                <w:rFonts w:ascii="Times New Roman"/>
                <w:sz w:val="18"/>
              </w:rPr>
              <w:t>4,503,3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99.98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1" w:right="0"/>
              <w:jc w:val="left"/>
              <w:rPr>
                <w:rFonts w:ascii="Times New Roman" w:hAnsi="Times New Roman" w:cs="Times New Roman" w:eastAsia="Times New Roman" w:hint="default"/>
                <w:sz w:val="18"/>
                <w:szCs w:val="18"/>
              </w:rPr>
            </w:pPr>
            <w:r>
              <w:rPr>
                <w:rFonts w:ascii="Times New Roman"/>
                <w:sz w:val="18"/>
              </w:rPr>
              <w:t>73,985,</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688.31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9" w:right="0"/>
              <w:jc w:val="left"/>
              <w:rPr>
                <w:rFonts w:ascii="Times New Roman" w:hAnsi="Times New Roman" w:cs="Times New Roman" w:eastAsia="Times New Roman" w:hint="default"/>
                <w:sz w:val="18"/>
                <w:szCs w:val="18"/>
              </w:rPr>
            </w:pPr>
            <w:r>
              <w:rPr>
                <w:rFonts w:ascii="Times New Roman"/>
                <w:sz w:val="18"/>
              </w:rPr>
              <w:t>702,343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,578.04</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7" w:right="0"/>
              <w:jc w:val="center"/>
              <w:rPr>
                <w:rFonts w:ascii="Times New Roman" w:hAnsi="Times New Roman" w:cs="Times New Roman" w:eastAsia="Times New Roman" w:hint="default"/>
                <w:sz w:val="18"/>
                <w:szCs w:val="18"/>
              </w:rPr>
            </w:pPr>
            <w:r>
              <w:rPr>
                <w:rFonts w:ascii="Times New Roman"/>
                <w:sz w:val="18"/>
              </w:rPr>
              <w:t>1,876,7</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15.55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2,015,1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83,047.</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78</w:t>
            </w:r>
          </w:p>
        </w:tc>
      </w:tr>
      <w:tr>
        <w:trPr>
          <w:trHeight w:val="468"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473"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947"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sz w:val="18"/>
              </w:rPr>
              <w:t>767,76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8,444.</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7" w:right="0"/>
              <w:jc w:val="left"/>
              <w:rPr>
                <w:rFonts w:ascii="Times New Roman" w:hAnsi="Times New Roman" w:cs="Times New Roman" w:eastAsia="Times New Roman" w:hint="default"/>
                <w:sz w:val="18"/>
                <w:szCs w:val="18"/>
              </w:rPr>
            </w:pPr>
            <w:r>
              <w:rPr>
                <w:rFonts w:ascii="Times New Roman"/>
                <w:sz w:val="18"/>
              </w:rPr>
              <w:t>798,984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,117.84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43,165.</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7" w:right="0"/>
              <w:jc w:val="center"/>
              <w:rPr>
                <w:rFonts w:ascii="Times New Roman" w:hAnsi="Times New Roman" w:cs="Times New Roman" w:eastAsia="Times New Roman" w:hint="default"/>
                <w:sz w:val="18"/>
                <w:szCs w:val="18"/>
              </w:rPr>
            </w:pPr>
            <w:r>
              <w:rPr>
                <w:rFonts w:ascii="Times New Roman"/>
                <w:sz w:val="18"/>
              </w:rPr>
              <w:t>5,734,4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18.63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9" w:right="0"/>
              <w:jc w:val="left"/>
              <w:rPr>
                <w:rFonts w:ascii="Times New Roman" w:hAnsi="Times New Roman" w:cs="Times New Roman" w:eastAsia="Times New Roman" w:hint="default"/>
                <w:sz w:val="18"/>
                <w:szCs w:val="18"/>
              </w:rPr>
            </w:pPr>
            <w:r>
              <w:rPr>
                <w:rFonts w:ascii="Times New Roman"/>
                <w:sz w:val="18"/>
              </w:rPr>
              <w:t>157,432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,008.90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4" w:right="0"/>
              <w:jc w:val="left"/>
              <w:rPr>
                <w:rFonts w:ascii="Times New Roman" w:hAnsi="Times New Roman" w:cs="Times New Roman" w:eastAsia="Times New Roman" w:hint="default"/>
                <w:sz w:val="18"/>
                <w:szCs w:val="18"/>
              </w:rPr>
            </w:pPr>
            <w:r>
              <w:rPr>
                <w:rFonts w:ascii="Times New Roman"/>
                <w:sz w:val="18"/>
              </w:rPr>
              <w:t>-492,64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9.27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5" w:right="0"/>
              <w:jc w:val="left"/>
              <w:rPr>
                <w:rFonts w:ascii="Times New Roman" w:hAnsi="Times New Roman" w:cs="Times New Roman" w:eastAsia="Times New Roman" w:hint="default"/>
                <w:sz w:val="18"/>
                <w:szCs w:val="18"/>
              </w:rPr>
            </w:pPr>
            <w:r>
              <w:rPr>
                <w:rFonts w:ascii="Times New Roman"/>
                <w:sz w:val="18"/>
              </w:rPr>
              <w:t>1,729,4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69,505.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7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z w:val="18"/>
              </w:rPr>
              <w:t>95</w:t>
            </w:r>
          </w:p>
        </w:tc>
      </w:tr>
      <w:tr>
        <w:trPr>
          <w:trHeight w:val="94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pacing w:val="-8"/>
                <w:sz w:val="18"/>
                <w:szCs w:val="18"/>
              </w:rPr>
              <w:t>（一）综合收益总</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43,165.</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9" w:right="0"/>
              <w:jc w:val="left"/>
              <w:rPr>
                <w:rFonts w:ascii="Times New Roman" w:hAnsi="Times New Roman" w:cs="Times New Roman" w:eastAsia="Times New Roman" w:hint="default"/>
                <w:sz w:val="18"/>
                <w:szCs w:val="18"/>
              </w:rPr>
            </w:pPr>
            <w:r>
              <w:rPr>
                <w:rFonts w:ascii="Times New Roman"/>
                <w:sz w:val="18"/>
              </w:rPr>
              <w:t>163,166</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,427.53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4" w:right="0"/>
              <w:jc w:val="left"/>
              <w:rPr>
                <w:rFonts w:ascii="Times New Roman" w:hAnsi="Times New Roman" w:cs="Times New Roman" w:eastAsia="Times New Roman" w:hint="default"/>
                <w:sz w:val="18"/>
                <w:szCs w:val="18"/>
              </w:rPr>
            </w:pPr>
            <w:r>
              <w:rPr>
                <w:rFonts w:ascii="Times New Roman"/>
                <w:sz w:val="18"/>
              </w:rPr>
              <w:t>-492,64</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9.27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0" w:right="0"/>
              <w:jc w:val="left"/>
              <w:rPr>
                <w:rFonts w:ascii="Times New Roman" w:hAnsi="Times New Roman" w:cs="Times New Roman" w:eastAsia="Times New Roman" w:hint="default"/>
                <w:sz w:val="18"/>
                <w:szCs w:val="18"/>
              </w:rPr>
            </w:pPr>
            <w:r>
              <w:rPr>
                <w:rFonts w:ascii="Times New Roman"/>
                <w:sz w:val="18"/>
              </w:rPr>
              <w:t>162,716</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,944.11</w:t>
            </w:r>
          </w:p>
        </w:tc>
      </w:tr>
      <w:tr>
        <w:trPr>
          <w:trHeight w:val="14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15"/>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5" w:right="0"/>
              <w:jc w:val="left"/>
              <w:rPr>
                <w:rFonts w:ascii="Times New Roman" w:hAnsi="Times New Roman" w:cs="Times New Roman" w:eastAsia="Times New Roman" w:hint="default"/>
                <w:sz w:val="18"/>
                <w:szCs w:val="18"/>
              </w:rPr>
            </w:pPr>
            <w:r>
              <w:rPr>
                <w:rFonts w:ascii="Times New Roman"/>
                <w:sz w:val="18"/>
              </w:rPr>
              <w:t>127,38</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8,531.</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1,439,3</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64,030.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1,566,7</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52,561.</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84</w:t>
            </w:r>
          </w:p>
        </w:tc>
      </w:tr>
      <w:tr>
        <w:trPr>
          <w:trHeight w:val="14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51" w:lineRule="auto" w:before="115"/>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5" w:right="0"/>
              <w:jc w:val="left"/>
              <w:rPr>
                <w:rFonts w:ascii="Times New Roman" w:hAnsi="Times New Roman" w:cs="Times New Roman" w:eastAsia="Times New Roman" w:hint="default"/>
                <w:sz w:val="18"/>
                <w:szCs w:val="18"/>
              </w:rPr>
            </w:pPr>
            <w:r>
              <w:rPr>
                <w:rFonts w:ascii="Times New Roman"/>
                <w:sz w:val="18"/>
              </w:rPr>
              <w:t>127,38</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8,531.</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1,439,3</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64,030.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1,566,7</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52,561.</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84</w:t>
            </w:r>
          </w:p>
        </w:tc>
      </w:tr>
      <w:tr>
        <w:trPr>
          <w:trHeight w:val="94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9"/>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4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7" w:right="0"/>
              <w:jc w:val="center"/>
              <w:rPr>
                <w:rFonts w:ascii="Times New Roman" w:hAnsi="Times New Roman" w:cs="Times New Roman" w:eastAsia="Times New Roman" w:hint="default"/>
                <w:sz w:val="18"/>
                <w:szCs w:val="18"/>
              </w:rPr>
            </w:pPr>
            <w:r>
              <w:rPr>
                <w:rFonts w:ascii="Times New Roman"/>
                <w:sz w:val="18"/>
              </w:rPr>
              <w:t>5,734,4</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18.63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1" w:right="0"/>
              <w:jc w:val="center"/>
              <w:rPr>
                <w:rFonts w:ascii="Times New Roman" w:hAnsi="Times New Roman" w:cs="Times New Roman" w:eastAsia="Times New Roman" w:hint="default"/>
                <w:sz w:val="18"/>
                <w:szCs w:val="18"/>
              </w:rPr>
            </w:pPr>
            <w:r>
              <w:rPr>
                <w:rFonts w:ascii="Times New Roman"/>
                <w:sz w:val="18"/>
              </w:rPr>
              <w:t>-5,734,4</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16" w:right="0"/>
              <w:jc w:val="center"/>
              <w:rPr>
                <w:rFonts w:ascii="Times New Roman" w:hAnsi="Times New Roman" w:cs="Times New Roman" w:eastAsia="Times New Roman" w:hint="default"/>
                <w:sz w:val="18"/>
                <w:szCs w:val="18"/>
              </w:rPr>
            </w:pPr>
            <w:r>
              <w:rPr>
                <w:rFonts w:ascii="Times New Roman"/>
                <w:sz w:val="18"/>
              </w:rPr>
              <w:t>18.63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7" w:right="0"/>
              <w:jc w:val="center"/>
              <w:rPr>
                <w:rFonts w:ascii="Times New Roman" w:hAnsi="Times New Roman" w:cs="Times New Roman" w:eastAsia="Times New Roman" w:hint="default"/>
                <w:sz w:val="18"/>
                <w:szCs w:val="18"/>
              </w:rPr>
            </w:pPr>
            <w:r>
              <w:rPr>
                <w:rFonts w:ascii="Times New Roman"/>
                <w:sz w:val="18"/>
              </w:rPr>
              <w:t>5,734,4</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18.63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center"/>
              <w:rPr>
                <w:rFonts w:ascii="Times New Roman" w:hAnsi="Times New Roman" w:cs="Times New Roman" w:eastAsia="Times New Roman" w:hint="default"/>
                <w:sz w:val="18"/>
                <w:szCs w:val="18"/>
              </w:rPr>
            </w:pPr>
            <w:r>
              <w:rPr>
                <w:rFonts w:ascii="Times New Roman"/>
                <w:sz w:val="18"/>
              </w:rPr>
              <w:t>-5,734,4</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16" w:right="0"/>
              <w:jc w:val="center"/>
              <w:rPr>
                <w:rFonts w:ascii="Times New Roman" w:hAnsi="Times New Roman" w:cs="Times New Roman" w:eastAsia="Times New Roman" w:hint="default"/>
                <w:sz w:val="18"/>
                <w:szCs w:val="18"/>
              </w:rPr>
            </w:pPr>
            <w:r>
              <w:rPr>
                <w:rFonts w:ascii="Times New Roman"/>
                <w:sz w:val="18"/>
              </w:rPr>
              <w:t>18.63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9"/>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4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15"/>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5" w:right="0"/>
              <w:jc w:val="left"/>
              <w:rPr>
                <w:rFonts w:ascii="Times New Roman" w:hAnsi="Times New Roman" w:cs="Times New Roman" w:eastAsia="Times New Roman" w:hint="default"/>
                <w:sz w:val="18"/>
                <w:szCs w:val="18"/>
              </w:rPr>
            </w:pPr>
            <w:r>
              <w:rPr>
                <w:rFonts w:ascii="Times New Roman"/>
                <w:sz w:val="18"/>
              </w:rPr>
              <w:t>640,37</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9,913.</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-640,37</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9,913.0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9"/>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5" w:right="0"/>
              <w:jc w:val="left"/>
              <w:rPr>
                <w:rFonts w:ascii="Times New Roman" w:hAnsi="Times New Roman" w:cs="Times New Roman" w:eastAsia="Times New Roman" w:hint="default"/>
                <w:sz w:val="18"/>
                <w:szCs w:val="18"/>
              </w:rPr>
            </w:pPr>
            <w:r>
              <w:rPr>
                <w:rFonts w:ascii="Times New Roman"/>
                <w:sz w:val="18"/>
              </w:rPr>
              <w:t>640,37</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9,913.</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7" w:right="0"/>
              <w:jc w:val="left"/>
              <w:rPr>
                <w:rFonts w:ascii="Times New Roman" w:hAnsi="Times New Roman" w:cs="Times New Roman" w:eastAsia="Times New Roman" w:hint="default"/>
                <w:sz w:val="18"/>
                <w:szCs w:val="18"/>
              </w:rPr>
            </w:pPr>
            <w:r>
              <w:rPr>
                <w:rFonts w:ascii="Times New Roman"/>
                <w:sz w:val="18"/>
              </w:rPr>
              <w:t>-640,37</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9,913.0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7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9"/>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4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7" w:right="0"/>
              <w:jc w:val="center"/>
              <w:rPr>
                <w:rFonts w:ascii="Times New Roman" w:hAnsi="Times New Roman" w:cs="Times New Roman" w:eastAsia="Times New Roman" w:hint="default"/>
                <w:sz w:val="18"/>
                <w:szCs w:val="18"/>
              </w:rPr>
            </w:pPr>
            <w:r>
              <w:rPr>
                <w:rFonts w:ascii="Times New Roman"/>
                <w:sz w:val="18"/>
              </w:rPr>
              <w:t>1,280,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759,82</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93" w:right="0"/>
              <w:jc w:val="center"/>
              <w:rPr>
                <w:rFonts w:ascii="Times New Roman" w:hAnsi="Times New Roman" w:cs="Times New Roman" w:eastAsia="Times New Roman" w:hint="default"/>
                <w:sz w:val="18"/>
                <w:szCs w:val="18"/>
              </w:rPr>
            </w:pPr>
            <w:r>
              <w:rPr>
                <w:rFonts w:ascii="Times New Roman"/>
                <w:sz w:val="18"/>
              </w:rPr>
              <w:t>6.00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1,518,4</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66,401.</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67" w:right="0"/>
              <w:jc w:val="center"/>
              <w:rPr>
                <w:rFonts w:ascii="Times New Roman" w:hAnsi="Times New Roman" w:cs="Times New Roman" w:eastAsia="Times New Roman" w:hint="default"/>
                <w:sz w:val="18"/>
                <w:szCs w:val="18"/>
              </w:rPr>
            </w:pPr>
            <w:r>
              <w:rPr>
                <w:rFonts w:ascii="Times New Roman"/>
                <w:sz w:val="18"/>
              </w:rPr>
              <w:t>4,546,5</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65.83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91" w:right="0"/>
              <w:jc w:val="left"/>
              <w:rPr>
                <w:rFonts w:ascii="Times New Roman" w:hAnsi="Times New Roman" w:cs="Times New Roman" w:eastAsia="Times New Roman" w:hint="default"/>
                <w:sz w:val="18"/>
                <w:szCs w:val="18"/>
              </w:rPr>
            </w:pPr>
            <w:r>
              <w:rPr>
                <w:rFonts w:ascii="Times New Roman"/>
                <w:sz w:val="18"/>
              </w:rPr>
              <w:t>79,720,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106.94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59" w:right="0"/>
              <w:jc w:val="left"/>
              <w:rPr>
                <w:rFonts w:ascii="Times New Roman" w:hAnsi="Times New Roman" w:cs="Times New Roman" w:eastAsia="Times New Roman" w:hint="default"/>
                <w:sz w:val="18"/>
                <w:szCs w:val="18"/>
              </w:rPr>
            </w:pPr>
            <w:r>
              <w:rPr>
                <w:rFonts w:ascii="Times New Roman"/>
                <w:sz w:val="18"/>
              </w:rPr>
              <w:t>859,775</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,586.94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57" w:right="0"/>
              <w:jc w:val="center"/>
              <w:rPr>
                <w:rFonts w:ascii="Times New Roman" w:hAnsi="Times New Roman" w:cs="Times New Roman" w:eastAsia="Times New Roman" w:hint="default"/>
                <w:sz w:val="18"/>
                <w:szCs w:val="18"/>
              </w:rPr>
            </w:pPr>
            <w:r>
              <w:rPr>
                <w:rFonts w:ascii="Times New Roman"/>
                <w:sz w:val="18"/>
              </w:rPr>
              <w:t>1,384,0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66.28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3,744,6</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52,553.</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73</w:t>
            </w:r>
          </w:p>
        </w:tc>
      </w:tr>
    </w:tbl>
    <w:p>
      <w:pPr>
        <w:pStyle w:val="Heading3"/>
        <w:spacing w:line="240" w:lineRule="auto" w:before="63"/>
        <w:ind w:left="154" w:right="0"/>
        <w:jc w:val="left"/>
        <w:rPr>
          <w:b w:val="0"/>
          <w:bCs w:val="0"/>
        </w:rPr>
      </w:pPr>
      <w:bookmarkStart w:name="8、母公司所有者权益变动表" w:id="169"/>
      <w:bookmarkEnd w:id="169"/>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6"/>
        <w:rPr>
          <w:rFonts w:ascii="宋体" w:hAnsi="宋体" w:cs="宋体" w:eastAsia="宋体" w:hint="default"/>
          <w:b/>
          <w:bCs/>
          <w:sz w:val="15"/>
          <w:szCs w:val="15"/>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line="240" w:lineRule="auto" w:before="5"/>
        <w:rPr>
          <w:rFonts w:ascii="宋体" w:hAnsi="宋体" w:cs="宋体" w:eastAsia="宋体" w:hint="default"/>
          <w:sz w:val="14"/>
          <w:szCs w:val="1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47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44"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3"/>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8"/>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1" w:right="0"/>
              <w:jc w:val="center"/>
              <w:rPr>
                <w:rFonts w:ascii="宋体" w:hAnsi="宋体" w:cs="宋体" w:eastAsia="宋体" w:hint="default"/>
                <w:sz w:val="18"/>
                <w:szCs w:val="18"/>
              </w:rPr>
            </w:pPr>
            <w:r>
              <w:rPr>
                <w:rFonts w:ascii="宋体" w:hAnsi="宋体" w:cs="宋体" w:eastAsia="宋体" w:hint="default"/>
                <w:sz w:val="18"/>
                <w:szCs w:val="18"/>
              </w:rPr>
              <w:t>减：库存</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1" w:right="0"/>
              <w:jc w:val="center"/>
              <w:rPr>
                <w:rFonts w:ascii="宋体" w:hAnsi="宋体" w:cs="宋体" w:eastAsia="宋体" w:hint="default"/>
                <w:sz w:val="18"/>
                <w:szCs w:val="18"/>
              </w:rPr>
            </w:pPr>
            <w:r>
              <w:rPr>
                <w:rFonts w:ascii="宋体" w:hAnsi="宋体" w:cs="宋体" w:eastAsia="宋体" w:hint="default"/>
                <w:sz w:val="18"/>
                <w:szCs w:val="18"/>
              </w:rPr>
              <w:t>其他综合</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152" w:right="0" w:hanging="90"/>
              <w:jc w:val="left"/>
              <w:rPr>
                <w:rFonts w:ascii="宋体" w:hAnsi="宋体" w:cs="宋体" w:eastAsia="宋体" w:hint="default"/>
                <w:sz w:val="18"/>
                <w:szCs w:val="18"/>
              </w:rPr>
            </w:pPr>
            <w:r>
              <w:rPr>
                <w:rFonts w:ascii="宋体" w:hAnsi="宋体" w:cs="宋体" w:eastAsia="宋体" w:hint="default"/>
                <w:sz w:val="18"/>
                <w:szCs w:val="18"/>
              </w:rPr>
              <w:t>未分配</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115" w:right="0" w:hanging="90"/>
              <w:jc w:val="left"/>
              <w:rPr>
                <w:rFonts w:ascii="宋体" w:hAnsi="宋体" w:cs="宋体" w:eastAsia="宋体" w:hint="default"/>
                <w:sz w:val="18"/>
                <w:szCs w:val="18"/>
              </w:rPr>
            </w:pPr>
            <w:r>
              <w:rPr>
                <w:rFonts w:ascii="宋体" w:hAnsi="宋体" w:cs="宋体" w:eastAsia="宋体" w:hint="default"/>
                <w:sz w:val="18"/>
                <w:szCs w:val="18"/>
              </w:rPr>
              <w:t>所有者权</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229"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3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44"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240"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29"/>
              <w:ind w:left="20" w:right="0"/>
              <w:jc w:val="left"/>
              <w:rPr>
                <w:rFonts w:ascii="Times New Roman" w:hAnsi="Times New Roman" w:cs="Times New Roman" w:eastAsia="Times New Roman" w:hint="default"/>
                <w:sz w:val="18"/>
                <w:szCs w:val="18"/>
              </w:rPr>
            </w:pPr>
            <w:r>
              <w:rPr>
                <w:rFonts w:ascii="Times New Roman"/>
                <w:sz w:val="18"/>
              </w:rPr>
              <w:t>1,280,75</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9,826.00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9"/>
              <w:ind w:left="22" w:right="0"/>
              <w:jc w:val="center"/>
              <w:rPr>
                <w:rFonts w:ascii="Times New Roman" w:hAnsi="Times New Roman" w:cs="Times New Roman" w:eastAsia="Times New Roman" w:hint="default"/>
                <w:sz w:val="18"/>
                <w:szCs w:val="18"/>
              </w:rPr>
            </w:pPr>
            <w:r>
              <w:rPr>
                <w:rFonts w:ascii="Times New Roman"/>
                <w:sz w:val="18"/>
              </w:rPr>
              <w:t>1,518,466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02" w:right="0"/>
              <w:jc w:val="center"/>
              <w:rPr>
                <w:rFonts w:ascii="Times New Roman" w:hAnsi="Times New Roman" w:cs="Times New Roman" w:eastAsia="Times New Roman" w:hint="default"/>
                <w:sz w:val="18"/>
                <w:szCs w:val="18"/>
              </w:rPr>
            </w:pPr>
            <w:r>
              <w:rPr>
                <w:rFonts w:ascii="Times New Roman"/>
                <w:sz w:val="18"/>
              </w:rPr>
              <w:t>,401.74</w:t>
            </w:r>
          </w:p>
        </w:tc>
        <w:tc>
          <w:tcPr>
            <w:tcW w:w="798" w:type="dxa"/>
            <w:vMerge w:val="restart"/>
            <w:tcBorders>
              <w:top w:val="single" w:sz="6" w:space="0" w:color="000000"/>
              <w:left w:val="single" w:sz="4" w:space="0" w:color="000000"/>
              <w:right w:val="single" w:sz="4" w:space="0" w:color="000000"/>
            </w:tcBorders>
          </w:tcPr>
          <w:p>
            <w:pPr/>
          </w:p>
        </w:tc>
        <w:tc>
          <w:tcPr>
            <w:tcW w:w="798" w:type="dxa"/>
            <w:vMerge w:val="restart"/>
            <w:tcBorders>
              <w:top w:val="single" w:sz="6"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9"/>
              <w:ind w:left="44" w:right="0"/>
              <w:jc w:val="left"/>
              <w:rPr>
                <w:rFonts w:ascii="Times New Roman" w:hAnsi="Times New Roman" w:cs="Times New Roman" w:eastAsia="Times New Roman" w:hint="default"/>
                <w:sz w:val="18"/>
                <w:szCs w:val="18"/>
              </w:rPr>
            </w:pPr>
            <w:r>
              <w:rPr>
                <w:rFonts w:ascii="Times New Roman"/>
                <w:sz w:val="18"/>
              </w:rPr>
              <w:t>78,558,35</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6.23</w:t>
            </w:r>
          </w:p>
        </w:tc>
        <w:tc>
          <w:tcPr>
            <w:tcW w:w="676" w:type="dxa"/>
            <w:vMerge w:val="restart"/>
            <w:tcBorders>
              <w:top w:val="single" w:sz="6" w:space="0" w:color="000000"/>
              <w:left w:val="single" w:sz="4" w:space="0" w:color="000000"/>
              <w:right w:val="single" w:sz="4" w:space="0" w:color="000000"/>
            </w:tcBorders>
          </w:tcPr>
          <w:p>
            <w:pPr>
              <w:pStyle w:val="TableParagraph"/>
              <w:spacing w:line="240" w:lineRule="auto" w:before="127"/>
              <w:ind w:left="58" w:right="0"/>
              <w:jc w:val="left"/>
              <w:rPr>
                <w:rFonts w:ascii="Times New Roman" w:hAnsi="Times New Roman" w:cs="Times New Roman" w:eastAsia="Times New Roman" w:hint="default"/>
                <w:sz w:val="18"/>
                <w:szCs w:val="18"/>
              </w:rPr>
            </w:pPr>
            <w:r>
              <w:rPr>
                <w:rFonts w:ascii="Times New Roman"/>
                <w:sz w:val="18"/>
              </w:rPr>
              <w:t>484,264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,881.63</w:t>
            </w:r>
          </w:p>
        </w:tc>
        <w:tc>
          <w:tcPr>
            <w:tcW w:w="781" w:type="dxa"/>
            <w:vMerge w:val="restart"/>
            <w:tcBorders>
              <w:top w:val="single" w:sz="6" w:space="0" w:color="000000"/>
              <w:left w:val="single" w:sz="4" w:space="0" w:color="000000"/>
              <w:right w:val="single" w:sz="4" w:space="0" w:color="000000"/>
            </w:tcBorders>
          </w:tcPr>
          <w:p>
            <w:pPr>
              <w:pStyle w:val="TableParagraph"/>
              <w:spacing w:line="240" w:lineRule="auto" w:before="127"/>
              <w:ind w:left="4" w:right="0"/>
              <w:jc w:val="center"/>
              <w:rPr>
                <w:rFonts w:ascii="Times New Roman" w:hAnsi="Times New Roman" w:cs="Times New Roman" w:eastAsia="Times New Roman" w:hint="default"/>
                <w:sz w:val="18"/>
                <w:szCs w:val="18"/>
              </w:rPr>
            </w:pPr>
            <w:r>
              <w:rPr>
                <w:rFonts w:ascii="Times New Roman"/>
                <w:sz w:val="18"/>
              </w:rPr>
              <w:t>3,362,049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,465.60</w:t>
            </w:r>
          </w:p>
        </w:tc>
      </w:tr>
      <w:tr>
        <w:trPr>
          <w:trHeight w:val="468"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239"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94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239"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28"/>
              <w:ind w:left="20" w:right="0"/>
              <w:jc w:val="left"/>
              <w:rPr>
                <w:rFonts w:ascii="Times New Roman" w:hAnsi="Times New Roman" w:cs="Times New Roman" w:eastAsia="Times New Roman" w:hint="default"/>
                <w:sz w:val="18"/>
                <w:szCs w:val="18"/>
              </w:rPr>
            </w:pPr>
            <w:r>
              <w:rPr>
                <w:rFonts w:ascii="Times New Roman"/>
                <w:sz w:val="18"/>
              </w:rPr>
              <w:t>1,280,75</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9,826.00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8"/>
              <w:ind w:left="22" w:right="0"/>
              <w:jc w:val="center"/>
              <w:rPr>
                <w:rFonts w:ascii="Times New Roman" w:hAnsi="Times New Roman" w:cs="Times New Roman" w:eastAsia="Times New Roman" w:hint="default"/>
                <w:sz w:val="18"/>
                <w:szCs w:val="18"/>
              </w:rPr>
            </w:pPr>
            <w:r>
              <w:rPr>
                <w:rFonts w:ascii="Times New Roman"/>
                <w:sz w:val="18"/>
              </w:rPr>
              <w:t>1,518,466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02" w:right="0"/>
              <w:jc w:val="center"/>
              <w:rPr>
                <w:rFonts w:ascii="Times New Roman" w:hAnsi="Times New Roman" w:cs="Times New Roman" w:eastAsia="Times New Roman" w:hint="default"/>
                <w:sz w:val="18"/>
                <w:szCs w:val="18"/>
              </w:rPr>
            </w:pPr>
            <w:r>
              <w:rPr>
                <w:rFonts w:ascii="Times New Roman"/>
                <w:sz w:val="18"/>
              </w:rPr>
              <w:t>,401.74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8"/>
              <w:ind w:left="44" w:right="0"/>
              <w:jc w:val="left"/>
              <w:rPr>
                <w:rFonts w:ascii="Times New Roman" w:hAnsi="Times New Roman" w:cs="Times New Roman" w:eastAsia="Times New Roman" w:hint="default"/>
                <w:sz w:val="18"/>
                <w:szCs w:val="18"/>
              </w:rPr>
            </w:pPr>
            <w:r>
              <w:rPr>
                <w:rFonts w:ascii="Times New Roman"/>
                <w:sz w:val="18"/>
              </w:rPr>
              <w:t>78,558,35</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6.23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128"/>
              <w:ind w:left="58" w:right="0"/>
              <w:jc w:val="left"/>
              <w:rPr>
                <w:rFonts w:ascii="Times New Roman" w:hAnsi="Times New Roman" w:cs="Times New Roman" w:eastAsia="Times New Roman" w:hint="default"/>
                <w:sz w:val="18"/>
                <w:szCs w:val="18"/>
              </w:rPr>
            </w:pPr>
            <w:r>
              <w:rPr>
                <w:rFonts w:ascii="Times New Roman"/>
                <w:sz w:val="18"/>
              </w:rPr>
              <w:t>484,264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,881.63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8"/>
              <w:ind w:left="4" w:right="0"/>
              <w:jc w:val="center"/>
              <w:rPr>
                <w:rFonts w:ascii="Times New Roman" w:hAnsi="Times New Roman" w:cs="Times New Roman" w:eastAsia="Times New Roman" w:hint="default"/>
                <w:sz w:val="18"/>
                <w:szCs w:val="18"/>
              </w:rPr>
            </w:pPr>
            <w:r>
              <w:rPr>
                <w:rFonts w:ascii="Times New Roman"/>
                <w:sz w:val="18"/>
              </w:rPr>
              <w:t>3,362,049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,465.60</w:t>
            </w:r>
          </w:p>
        </w:tc>
      </w:tr>
      <w:tr>
        <w:trPr>
          <w:trHeight w:val="468"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239"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79"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三、本期增减变动</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4" w:right="0"/>
              <w:jc w:val="left"/>
              <w:rPr>
                <w:rFonts w:ascii="Times New Roman" w:hAnsi="Times New Roman" w:cs="Times New Roman" w:eastAsia="Times New Roman" w:hint="default"/>
                <w:sz w:val="18"/>
                <w:szCs w:val="18"/>
              </w:rPr>
            </w:pPr>
            <w:r>
              <w:rPr>
                <w:rFonts w:ascii="Times New Roman"/>
                <w:sz w:val="18"/>
              </w:rPr>
              <w:t>16,861,04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4" w:right="0"/>
              <w:jc w:val="left"/>
              <w:rPr>
                <w:rFonts w:ascii="Times New Roman" w:hAnsi="Times New Roman" w:cs="Times New Roman" w:eastAsia="Times New Roman" w:hint="default"/>
                <w:sz w:val="18"/>
                <w:szCs w:val="18"/>
              </w:rPr>
            </w:pPr>
            <w:r>
              <w:rPr>
                <w:rFonts w:ascii="Times New Roman"/>
                <w:sz w:val="18"/>
              </w:rPr>
              <w:t>1,687,204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sz w:val="18"/>
              </w:rPr>
              <w:t>15,184,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7" w:right="0"/>
              <w:jc w:val="left"/>
              <w:rPr>
                <w:rFonts w:ascii="Times New Roman" w:hAnsi="Times New Roman" w:cs="Times New Roman" w:eastAsia="Times New Roman" w:hint="default"/>
                <w:sz w:val="18"/>
                <w:szCs w:val="18"/>
              </w:rPr>
            </w:pPr>
            <w:r>
              <w:rPr>
                <w:rFonts w:ascii="Times New Roman"/>
                <w:sz w:val="18"/>
              </w:rPr>
              <w:t>33,733,09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94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22" w:right="21"/>
              <w:jc w:val="left"/>
              <w:rPr>
                <w:rFonts w:ascii="宋体" w:hAnsi="宋体" w:cs="宋体" w:eastAsia="宋体" w:hint="default"/>
                <w:sz w:val="18"/>
                <w:szCs w:val="18"/>
              </w:rPr>
            </w:pP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50" w:right="0"/>
              <w:jc w:val="left"/>
              <w:rPr>
                <w:rFonts w:ascii="Times New Roman" w:hAnsi="Times New Roman" w:cs="Times New Roman" w:eastAsia="Times New Roman" w:hint="default"/>
                <w:sz w:val="18"/>
                <w:szCs w:val="18"/>
              </w:rPr>
            </w:pPr>
            <w:r>
              <w:rPr>
                <w:rFonts w:ascii="Times New Roman"/>
                <w:sz w:val="18"/>
              </w:rPr>
              <w:t>9.65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48" w:right="0"/>
              <w:jc w:val="left"/>
              <w:rPr>
                <w:rFonts w:ascii="Times New Roman" w:hAnsi="Times New Roman" w:cs="Times New Roman" w:eastAsia="Times New Roman" w:hint="default"/>
                <w:sz w:val="18"/>
                <w:szCs w:val="18"/>
              </w:rPr>
            </w:pPr>
            <w:r>
              <w:rPr>
                <w:rFonts w:ascii="Times New Roman"/>
                <w:sz w:val="18"/>
              </w:rPr>
              <w:t>836.51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33" w:right="0"/>
              <w:jc w:val="left"/>
              <w:rPr>
                <w:rFonts w:ascii="Times New Roman" w:hAnsi="Times New Roman" w:cs="Times New Roman" w:eastAsia="Times New Roman" w:hint="default"/>
                <w:sz w:val="18"/>
                <w:szCs w:val="18"/>
              </w:rPr>
            </w:pPr>
            <w:r>
              <w:rPr>
                <w:rFonts w:ascii="Times New Roman"/>
                <w:sz w:val="18"/>
              </w:rPr>
              <w:t>0.22</w:t>
            </w:r>
          </w:p>
        </w:tc>
      </w:tr>
      <w:tr>
        <w:trPr>
          <w:trHeight w:val="94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pacing w:val="-7"/>
                <w:sz w:val="18"/>
                <w:szCs w:val="18"/>
              </w:rPr>
              <w:t>（一）综合收益总</w:t>
            </w: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sz w:val="18"/>
              </w:rPr>
              <w:t>16,872,</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040.57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7" w:right="0"/>
              <w:jc w:val="left"/>
              <w:rPr>
                <w:rFonts w:ascii="Times New Roman" w:hAnsi="Times New Roman" w:cs="Times New Roman" w:eastAsia="Times New Roman" w:hint="default"/>
                <w:sz w:val="18"/>
                <w:szCs w:val="18"/>
              </w:rPr>
            </w:pPr>
            <w:r>
              <w:rPr>
                <w:rFonts w:ascii="Times New Roman"/>
                <w:sz w:val="18"/>
              </w:rPr>
              <w:t>16,872,04</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0.57</w:t>
            </w:r>
          </w:p>
        </w:tc>
      </w:tr>
      <w:tr>
        <w:trPr>
          <w:trHeight w:val="94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pacing w:val="-7"/>
                <w:sz w:val="18"/>
                <w:szCs w:val="18"/>
              </w:rPr>
              <w:t>（二）所有者投入</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4" w:right="0"/>
              <w:jc w:val="left"/>
              <w:rPr>
                <w:rFonts w:ascii="Times New Roman" w:hAnsi="Times New Roman" w:cs="Times New Roman" w:eastAsia="Times New Roman" w:hint="default"/>
                <w:sz w:val="18"/>
                <w:szCs w:val="18"/>
              </w:rPr>
            </w:pPr>
            <w:r>
              <w:rPr>
                <w:rFonts w:ascii="Times New Roman"/>
                <w:sz w:val="18"/>
              </w:rPr>
              <w:t>16,861,04</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9.65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7" w:right="0"/>
              <w:jc w:val="left"/>
              <w:rPr>
                <w:rFonts w:ascii="Times New Roman" w:hAnsi="Times New Roman" w:cs="Times New Roman" w:eastAsia="Times New Roman" w:hint="default"/>
                <w:sz w:val="18"/>
                <w:szCs w:val="18"/>
              </w:rPr>
            </w:pPr>
            <w:r>
              <w:rPr>
                <w:rFonts w:ascii="Times New Roman"/>
                <w:sz w:val="18"/>
              </w:rPr>
              <w:t>16,861,04</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9.65</w:t>
            </w:r>
          </w:p>
        </w:tc>
      </w:tr>
      <w:tr>
        <w:trPr>
          <w:trHeight w:val="94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4" w:right="0"/>
              <w:jc w:val="left"/>
              <w:rPr>
                <w:rFonts w:ascii="Times New Roman" w:hAnsi="Times New Roman" w:cs="Times New Roman" w:eastAsia="Times New Roman" w:hint="default"/>
                <w:sz w:val="18"/>
                <w:szCs w:val="18"/>
              </w:rPr>
            </w:pPr>
            <w:r>
              <w:rPr>
                <w:rFonts w:ascii="Times New Roman"/>
                <w:sz w:val="18"/>
              </w:rPr>
              <w:t>16,861,04</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9.65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7" w:right="0"/>
              <w:jc w:val="left"/>
              <w:rPr>
                <w:rFonts w:ascii="Times New Roman" w:hAnsi="Times New Roman" w:cs="Times New Roman" w:eastAsia="Times New Roman" w:hint="default"/>
                <w:sz w:val="18"/>
                <w:szCs w:val="18"/>
              </w:rPr>
            </w:pPr>
            <w:r>
              <w:rPr>
                <w:rFonts w:ascii="Times New Roman"/>
                <w:sz w:val="18"/>
              </w:rPr>
              <w:t>16,861,04</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9.65</w:t>
            </w:r>
          </w:p>
        </w:tc>
      </w:tr>
      <w:tr>
        <w:trPr>
          <w:trHeight w:val="94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4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w:t>
            </w:r>
          </w:p>
          <w:p>
            <w:pPr>
              <w:pStyle w:val="TableParagraph"/>
              <w:spacing w:line="468" w:lineRule="exact" w:before="54"/>
              <w:ind w:left="22" w:right="147"/>
              <w:jc w:val="left"/>
              <w:rPr>
                <w:rFonts w:ascii="宋体" w:hAnsi="宋体" w:cs="宋体" w:eastAsia="宋体" w:hint="default"/>
                <w:sz w:val="18"/>
                <w:szCs w:val="18"/>
              </w:rPr>
            </w:pPr>
            <w:r>
              <w:rPr>
                <w:rFonts w:ascii="宋体" w:hAnsi="宋体" w:cs="宋体" w:eastAsia="宋体" w:hint="default"/>
                <w:sz w:val="18"/>
                <w:szCs w:val="18"/>
              </w:rPr>
              <w:t>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1,687,204</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1" w:right="0"/>
              <w:jc w:val="center"/>
              <w:rPr>
                <w:rFonts w:ascii="Times New Roman" w:hAnsi="Times New Roman" w:cs="Times New Roman" w:eastAsia="Times New Roman" w:hint="default"/>
                <w:sz w:val="18"/>
                <w:szCs w:val="18"/>
              </w:rPr>
            </w:pPr>
            <w:r>
              <w:rPr>
                <w:rFonts w:ascii="Times New Roman"/>
                <w:sz w:val="18"/>
              </w:rPr>
              <w:t>-1,687,2</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16" w:right="0"/>
              <w:jc w:val="center"/>
              <w:rPr>
                <w:rFonts w:ascii="Times New Roman" w:hAnsi="Times New Roman" w:cs="Times New Roman" w:eastAsia="Times New Roman" w:hint="default"/>
                <w:sz w:val="18"/>
                <w:szCs w:val="18"/>
              </w:rPr>
            </w:pPr>
            <w:r>
              <w:rPr>
                <w:rFonts w:ascii="Times New Roman"/>
                <w:sz w:val="18"/>
              </w:rPr>
              <w:t>04.06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1,687,204</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center"/>
              <w:rPr>
                <w:rFonts w:ascii="Times New Roman" w:hAnsi="Times New Roman" w:cs="Times New Roman" w:eastAsia="Times New Roman" w:hint="default"/>
                <w:sz w:val="18"/>
                <w:szCs w:val="18"/>
              </w:rPr>
            </w:pPr>
            <w:r>
              <w:rPr>
                <w:rFonts w:ascii="Times New Roman"/>
                <w:sz w:val="18"/>
              </w:rPr>
              <w:t>-1,687,2</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16" w:right="0"/>
              <w:jc w:val="center"/>
              <w:rPr>
                <w:rFonts w:ascii="Times New Roman" w:hAnsi="Times New Roman" w:cs="Times New Roman" w:eastAsia="Times New Roman" w:hint="default"/>
                <w:sz w:val="18"/>
                <w:szCs w:val="18"/>
              </w:rPr>
            </w:pPr>
            <w:r>
              <w:rPr>
                <w:rFonts w:ascii="Times New Roman"/>
                <w:sz w:val="18"/>
              </w:rPr>
              <w:t>04.06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pacing w:val="-7"/>
                <w:sz w:val="18"/>
                <w:szCs w:val="18"/>
              </w:rPr>
              <w:t>（四）所有者权益</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7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7" w:right="0"/>
              <w:jc w:val="left"/>
              <w:rPr>
                <w:rFonts w:ascii="Times New Roman" w:hAnsi="Times New Roman" w:cs="Times New Roman" w:eastAsia="Times New Roman" w:hint="default"/>
                <w:sz w:val="18"/>
                <w:szCs w:val="18"/>
              </w:rPr>
            </w:pPr>
            <w:r>
              <w:rPr>
                <w:rFonts w:ascii="Times New Roman"/>
                <w:sz w:val="18"/>
              </w:rPr>
              <w:t>1,280,75</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9,826.00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center"/>
              <w:rPr>
                <w:rFonts w:ascii="Times New Roman" w:hAnsi="Times New Roman" w:cs="Times New Roman" w:eastAsia="Times New Roman" w:hint="default"/>
                <w:sz w:val="18"/>
                <w:szCs w:val="18"/>
              </w:rPr>
            </w:pPr>
            <w:r>
              <w:rPr>
                <w:rFonts w:ascii="Times New Roman"/>
                <w:sz w:val="18"/>
              </w:rPr>
              <w:t>1,535,327</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02" w:right="0"/>
              <w:jc w:val="center"/>
              <w:rPr>
                <w:rFonts w:ascii="Times New Roman" w:hAnsi="Times New Roman" w:cs="Times New Roman" w:eastAsia="Times New Roman" w:hint="default"/>
                <w:sz w:val="18"/>
                <w:szCs w:val="18"/>
              </w:rPr>
            </w:pPr>
            <w:r>
              <w:rPr>
                <w:rFonts w:ascii="Times New Roman"/>
                <w:sz w:val="18"/>
              </w:rPr>
              <w:t>,451.39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4" w:right="0"/>
              <w:jc w:val="left"/>
              <w:rPr>
                <w:rFonts w:ascii="Times New Roman" w:hAnsi="Times New Roman" w:cs="Times New Roman" w:eastAsia="Times New Roman" w:hint="default"/>
                <w:sz w:val="18"/>
                <w:szCs w:val="18"/>
              </w:rPr>
            </w:pPr>
            <w:r>
              <w:rPr>
                <w:rFonts w:ascii="Times New Roman"/>
                <w:sz w:val="18"/>
              </w:rPr>
              <w:t>80,245,56</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0.29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8" w:right="0"/>
              <w:jc w:val="left"/>
              <w:rPr>
                <w:rFonts w:ascii="Times New Roman" w:hAnsi="Times New Roman" w:cs="Times New Roman" w:eastAsia="Times New Roman" w:hint="default"/>
                <w:sz w:val="18"/>
                <w:szCs w:val="18"/>
              </w:rPr>
            </w:pPr>
            <w:r>
              <w:rPr>
                <w:rFonts w:ascii="Times New Roman"/>
                <w:sz w:val="18"/>
              </w:rPr>
              <w:t>499,449</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,718.14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 w:right="0"/>
              <w:jc w:val="center"/>
              <w:rPr>
                <w:rFonts w:ascii="Times New Roman" w:hAnsi="Times New Roman" w:cs="Times New Roman" w:eastAsia="Times New Roman" w:hint="default"/>
                <w:sz w:val="18"/>
                <w:szCs w:val="18"/>
              </w:rPr>
            </w:pPr>
            <w:r>
              <w:rPr>
                <w:rFonts w:ascii="Times New Roman"/>
                <w:sz w:val="18"/>
              </w:rPr>
              <w:t>3,395,782</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,555.82</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line="240" w:lineRule="auto" w:before="5"/>
        <w:rPr>
          <w:rFonts w:ascii="宋体" w:hAnsi="宋体" w:cs="宋体" w:eastAsia="宋体" w:hint="default"/>
          <w:sz w:val="14"/>
          <w:szCs w:val="1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47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44"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3"/>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8"/>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1" w:right="0"/>
              <w:jc w:val="center"/>
              <w:rPr>
                <w:rFonts w:ascii="宋体" w:hAnsi="宋体" w:cs="宋体" w:eastAsia="宋体" w:hint="default"/>
                <w:sz w:val="18"/>
                <w:szCs w:val="18"/>
              </w:rPr>
            </w:pPr>
            <w:r>
              <w:rPr>
                <w:rFonts w:ascii="宋体" w:hAnsi="宋体" w:cs="宋体" w:eastAsia="宋体" w:hint="default"/>
                <w:sz w:val="18"/>
                <w:szCs w:val="18"/>
              </w:rPr>
              <w:t>减：库存</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1" w:right="0"/>
              <w:jc w:val="center"/>
              <w:rPr>
                <w:rFonts w:ascii="宋体" w:hAnsi="宋体" w:cs="宋体" w:eastAsia="宋体" w:hint="default"/>
                <w:sz w:val="18"/>
                <w:szCs w:val="18"/>
              </w:rPr>
            </w:pPr>
            <w:r>
              <w:rPr>
                <w:rFonts w:ascii="宋体" w:hAnsi="宋体" w:cs="宋体" w:eastAsia="宋体" w:hint="default"/>
                <w:sz w:val="18"/>
                <w:szCs w:val="18"/>
              </w:rPr>
              <w:t>其他综合</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152" w:right="0" w:hanging="90"/>
              <w:jc w:val="left"/>
              <w:rPr>
                <w:rFonts w:ascii="宋体" w:hAnsi="宋体" w:cs="宋体" w:eastAsia="宋体" w:hint="default"/>
                <w:sz w:val="18"/>
                <w:szCs w:val="18"/>
              </w:rPr>
            </w:pPr>
            <w:r>
              <w:rPr>
                <w:rFonts w:ascii="宋体" w:hAnsi="宋体" w:cs="宋体" w:eastAsia="宋体" w:hint="default"/>
                <w:sz w:val="18"/>
                <w:szCs w:val="18"/>
              </w:rPr>
              <w:t>未分配</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115" w:right="0" w:hanging="90"/>
              <w:jc w:val="left"/>
              <w:rPr>
                <w:rFonts w:ascii="宋体" w:hAnsi="宋体" w:cs="宋体" w:eastAsia="宋体" w:hint="default"/>
                <w:sz w:val="18"/>
                <w:szCs w:val="18"/>
              </w:rPr>
            </w:pPr>
            <w:r>
              <w:rPr>
                <w:rFonts w:ascii="宋体" w:hAnsi="宋体" w:cs="宋体" w:eastAsia="宋体" w:hint="default"/>
                <w:sz w:val="18"/>
                <w:szCs w:val="18"/>
              </w:rPr>
              <w:t>所有者权</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229"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3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44"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240"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129"/>
              <w:ind w:left="8" w:right="0"/>
              <w:jc w:val="center"/>
              <w:rPr>
                <w:rFonts w:ascii="Times New Roman" w:hAnsi="Times New Roman" w:cs="Times New Roman" w:eastAsia="Times New Roman" w:hint="default"/>
                <w:sz w:val="18"/>
                <w:szCs w:val="18"/>
              </w:rPr>
            </w:pPr>
            <w:r>
              <w:rPr>
                <w:rFonts w:ascii="Times New Roman"/>
                <w:sz w:val="18"/>
              </w:rPr>
              <w:t>512,991,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382.00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9"/>
              <w:ind w:left="44" w:right="0"/>
              <w:jc w:val="left"/>
              <w:rPr>
                <w:rFonts w:ascii="Times New Roman" w:hAnsi="Times New Roman" w:cs="Times New Roman" w:eastAsia="Times New Roman" w:hint="default"/>
                <w:sz w:val="18"/>
                <w:szCs w:val="18"/>
              </w:rPr>
            </w:pPr>
            <w:r>
              <w:rPr>
                <w:rFonts w:ascii="Times New Roman"/>
                <w:sz w:val="18"/>
              </w:rPr>
              <w:t>719,482,2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83.90</w:t>
            </w:r>
          </w:p>
        </w:tc>
        <w:tc>
          <w:tcPr>
            <w:tcW w:w="798" w:type="dxa"/>
            <w:vMerge w:val="restart"/>
            <w:tcBorders>
              <w:top w:val="single" w:sz="6" w:space="0" w:color="000000"/>
              <w:left w:val="single" w:sz="4" w:space="0" w:color="000000"/>
              <w:right w:val="single" w:sz="4" w:space="0" w:color="000000"/>
            </w:tcBorders>
          </w:tcPr>
          <w:p>
            <w:pPr/>
          </w:p>
        </w:tc>
        <w:tc>
          <w:tcPr>
            <w:tcW w:w="798" w:type="dxa"/>
            <w:vMerge w:val="restart"/>
            <w:tcBorders>
              <w:top w:val="single" w:sz="6"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9"/>
              <w:ind w:left="44" w:right="0"/>
              <w:jc w:val="left"/>
              <w:rPr>
                <w:rFonts w:ascii="Times New Roman" w:hAnsi="Times New Roman" w:cs="Times New Roman" w:eastAsia="Times New Roman" w:hint="default"/>
                <w:sz w:val="18"/>
                <w:szCs w:val="18"/>
              </w:rPr>
            </w:pPr>
            <w:r>
              <w:rPr>
                <w:rFonts w:ascii="Times New Roman"/>
                <w:sz w:val="18"/>
              </w:rPr>
              <w:t>72,823,93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7.60</w:t>
            </w:r>
          </w:p>
        </w:tc>
        <w:tc>
          <w:tcPr>
            <w:tcW w:w="676" w:type="dxa"/>
            <w:vMerge w:val="restart"/>
            <w:tcBorders>
              <w:top w:val="single" w:sz="6" w:space="0" w:color="000000"/>
              <w:left w:val="single" w:sz="4" w:space="0" w:color="000000"/>
              <w:right w:val="single" w:sz="4" w:space="0" w:color="000000"/>
            </w:tcBorders>
          </w:tcPr>
          <w:p>
            <w:pPr>
              <w:pStyle w:val="TableParagraph"/>
              <w:spacing w:line="240" w:lineRule="auto" w:before="127"/>
              <w:ind w:left="58" w:right="0"/>
              <w:jc w:val="left"/>
              <w:rPr>
                <w:rFonts w:ascii="Times New Roman" w:hAnsi="Times New Roman" w:cs="Times New Roman" w:eastAsia="Times New Roman" w:hint="default"/>
                <w:sz w:val="18"/>
                <w:szCs w:val="18"/>
              </w:rPr>
            </w:pPr>
            <w:r>
              <w:rPr>
                <w:rFonts w:ascii="Times New Roman"/>
                <w:sz w:val="18"/>
              </w:rPr>
              <w:t>432,655</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,113.95</w:t>
            </w:r>
          </w:p>
        </w:tc>
        <w:tc>
          <w:tcPr>
            <w:tcW w:w="781" w:type="dxa"/>
            <w:vMerge w:val="restart"/>
            <w:tcBorders>
              <w:top w:val="single" w:sz="6" w:space="0" w:color="000000"/>
              <w:left w:val="single" w:sz="4" w:space="0" w:color="000000"/>
              <w:right w:val="single" w:sz="4" w:space="0" w:color="000000"/>
            </w:tcBorders>
          </w:tcPr>
          <w:p>
            <w:pPr>
              <w:pStyle w:val="TableParagraph"/>
              <w:spacing w:line="240" w:lineRule="auto" w:before="127"/>
              <w:ind w:left="4" w:right="0"/>
              <w:jc w:val="center"/>
              <w:rPr>
                <w:rFonts w:ascii="Times New Roman" w:hAnsi="Times New Roman" w:cs="Times New Roman" w:eastAsia="Times New Roman" w:hint="default"/>
                <w:sz w:val="18"/>
                <w:szCs w:val="18"/>
              </w:rPr>
            </w:pPr>
            <w:r>
              <w:rPr>
                <w:rFonts w:ascii="Times New Roman"/>
                <w:sz w:val="18"/>
              </w:rPr>
              <w:t>1,737,952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,717.45</w:t>
            </w:r>
          </w:p>
        </w:tc>
      </w:tr>
      <w:tr>
        <w:trPr>
          <w:trHeight w:val="468"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239"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94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8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239"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128"/>
              <w:ind w:left="8" w:right="0"/>
              <w:jc w:val="center"/>
              <w:rPr>
                <w:rFonts w:ascii="Times New Roman" w:hAnsi="Times New Roman" w:cs="Times New Roman" w:eastAsia="Times New Roman" w:hint="default"/>
                <w:sz w:val="18"/>
                <w:szCs w:val="18"/>
              </w:rPr>
            </w:pPr>
            <w:r>
              <w:rPr>
                <w:rFonts w:ascii="Times New Roman"/>
                <w:sz w:val="18"/>
              </w:rPr>
              <w:t>512,991,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382.00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8"/>
              <w:ind w:left="44" w:right="0"/>
              <w:jc w:val="left"/>
              <w:rPr>
                <w:rFonts w:ascii="Times New Roman" w:hAnsi="Times New Roman" w:cs="Times New Roman" w:eastAsia="Times New Roman" w:hint="default"/>
                <w:sz w:val="18"/>
                <w:szCs w:val="18"/>
              </w:rPr>
            </w:pPr>
            <w:r>
              <w:rPr>
                <w:rFonts w:ascii="Times New Roman"/>
                <w:sz w:val="18"/>
              </w:rPr>
              <w:t>719,482,2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83.90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8"/>
              <w:ind w:left="44" w:right="0"/>
              <w:jc w:val="left"/>
              <w:rPr>
                <w:rFonts w:ascii="Times New Roman" w:hAnsi="Times New Roman" w:cs="Times New Roman" w:eastAsia="Times New Roman" w:hint="default"/>
                <w:sz w:val="18"/>
                <w:szCs w:val="18"/>
              </w:rPr>
            </w:pPr>
            <w:r>
              <w:rPr>
                <w:rFonts w:ascii="Times New Roman"/>
                <w:sz w:val="18"/>
              </w:rPr>
              <w:t>72,823,93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7.60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128"/>
              <w:ind w:left="58" w:right="0"/>
              <w:jc w:val="left"/>
              <w:rPr>
                <w:rFonts w:ascii="Times New Roman" w:hAnsi="Times New Roman" w:cs="Times New Roman" w:eastAsia="Times New Roman" w:hint="default"/>
                <w:sz w:val="18"/>
                <w:szCs w:val="18"/>
              </w:rPr>
            </w:pPr>
            <w:r>
              <w:rPr>
                <w:rFonts w:ascii="Times New Roman"/>
                <w:sz w:val="18"/>
              </w:rPr>
              <w:t>432,655</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,113.95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8"/>
              <w:ind w:left="4" w:right="0"/>
              <w:jc w:val="center"/>
              <w:rPr>
                <w:rFonts w:ascii="Times New Roman" w:hAnsi="Times New Roman" w:cs="Times New Roman" w:eastAsia="Times New Roman" w:hint="default"/>
                <w:sz w:val="18"/>
                <w:szCs w:val="18"/>
              </w:rPr>
            </w:pPr>
            <w:r>
              <w:rPr>
                <w:rFonts w:ascii="Times New Roman"/>
                <w:sz w:val="18"/>
              </w:rPr>
              <w:t>1,737,952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,717.45</w:t>
            </w:r>
          </w:p>
        </w:tc>
      </w:tr>
      <w:tr>
        <w:trPr>
          <w:trHeight w:val="468"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239"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4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88"/>
              <w:ind w:left="22" w:right="9"/>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p>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8" w:right="0"/>
              <w:jc w:val="center"/>
              <w:rPr>
                <w:rFonts w:ascii="Times New Roman" w:hAnsi="Times New Roman" w:cs="Times New Roman" w:eastAsia="Times New Roman" w:hint="default"/>
                <w:sz w:val="18"/>
                <w:szCs w:val="18"/>
              </w:rPr>
            </w:pPr>
            <w:r>
              <w:rPr>
                <w:rFonts w:ascii="Times New Roman"/>
                <w:sz w:val="18"/>
              </w:rPr>
              <w:t>767,768,</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444.00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1" w:right="0"/>
              <w:jc w:val="left"/>
              <w:rPr>
                <w:rFonts w:ascii="Times New Roman" w:hAnsi="Times New Roman" w:cs="Times New Roman" w:eastAsia="Times New Roman" w:hint="default"/>
                <w:sz w:val="18"/>
                <w:szCs w:val="18"/>
              </w:rPr>
            </w:pPr>
            <w:r>
              <w:rPr>
                <w:rFonts w:ascii="Times New Roman"/>
                <w:sz w:val="18"/>
              </w:rPr>
              <w:t>798,984,1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17.84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5,734,418</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51,609,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767.68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 w:right="0"/>
              <w:jc w:val="center"/>
              <w:rPr>
                <w:rFonts w:ascii="Times New Roman" w:hAnsi="Times New Roman" w:cs="Times New Roman" w:eastAsia="Times New Roman" w:hint="default"/>
                <w:sz w:val="18"/>
                <w:szCs w:val="18"/>
              </w:rPr>
            </w:pPr>
            <w:r>
              <w:rPr>
                <w:rFonts w:ascii="Times New Roman"/>
                <w:sz w:val="18"/>
              </w:rPr>
              <w:t>1,624,096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,748.15</w:t>
            </w:r>
          </w:p>
        </w:tc>
      </w:tr>
      <w:tr>
        <w:trPr>
          <w:trHeight w:val="947"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pacing w:val="-7"/>
                <w:sz w:val="18"/>
                <w:szCs w:val="18"/>
              </w:rPr>
              <w:t>（一）综合收益总</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sz w:val="18"/>
              </w:rPr>
              <w:t>57,344,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186.31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7" w:right="0"/>
              <w:jc w:val="left"/>
              <w:rPr>
                <w:rFonts w:ascii="Times New Roman" w:hAnsi="Times New Roman" w:cs="Times New Roman" w:eastAsia="Times New Roman" w:hint="default"/>
                <w:sz w:val="18"/>
                <w:szCs w:val="18"/>
              </w:rPr>
            </w:pPr>
            <w:r>
              <w:rPr>
                <w:rFonts w:ascii="Times New Roman"/>
                <w:sz w:val="18"/>
              </w:rPr>
              <w:t>57,344,18</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6.31</w:t>
            </w:r>
          </w:p>
        </w:tc>
      </w:tr>
      <w:tr>
        <w:trPr>
          <w:trHeight w:val="94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pacing w:val="-7"/>
                <w:sz w:val="18"/>
                <w:szCs w:val="18"/>
              </w:rPr>
              <w:t>（二）所有者投入</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left="8" w:right="0"/>
              <w:jc w:val="center"/>
              <w:rPr>
                <w:rFonts w:ascii="Times New Roman" w:hAnsi="Times New Roman" w:cs="Times New Roman" w:eastAsia="Times New Roman" w:hint="default"/>
                <w:sz w:val="18"/>
                <w:szCs w:val="18"/>
              </w:rPr>
            </w:pPr>
            <w:r>
              <w:rPr>
                <w:rFonts w:ascii="Times New Roman"/>
                <w:sz w:val="18"/>
              </w:rPr>
              <w:t>127,388,</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531.00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center"/>
              <w:rPr>
                <w:rFonts w:ascii="Times New Roman" w:hAnsi="Times New Roman" w:cs="Times New Roman" w:eastAsia="Times New Roman" w:hint="default"/>
                <w:sz w:val="18"/>
                <w:szCs w:val="18"/>
              </w:rPr>
            </w:pPr>
            <w:r>
              <w:rPr>
                <w:rFonts w:ascii="Times New Roman"/>
                <w:sz w:val="18"/>
              </w:rPr>
              <w:t>1,439,364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02" w:right="0"/>
              <w:jc w:val="center"/>
              <w:rPr>
                <w:rFonts w:ascii="Times New Roman" w:hAnsi="Times New Roman" w:cs="Times New Roman" w:eastAsia="Times New Roman" w:hint="default"/>
                <w:sz w:val="18"/>
                <w:szCs w:val="18"/>
              </w:rPr>
            </w:pPr>
            <w:r>
              <w:rPr>
                <w:rFonts w:ascii="Times New Roman"/>
                <w:sz w:val="18"/>
              </w:rPr>
              <w:t>,030.84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 w:right="0"/>
              <w:jc w:val="center"/>
              <w:rPr>
                <w:rFonts w:ascii="Times New Roman" w:hAnsi="Times New Roman" w:cs="Times New Roman" w:eastAsia="Times New Roman" w:hint="default"/>
                <w:sz w:val="18"/>
                <w:szCs w:val="18"/>
              </w:rPr>
            </w:pPr>
            <w:r>
              <w:rPr>
                <w:rFonts w:ascii="Times New Roman"/>
                <w:sz w:val="18"/>
              </w:rPr>
              <w:t>1,566,752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,561.84</w:t>
            </w:r>
          </w:p>
        </w:tc>
      </w:tr>
      <w:tr>
        <w:trPr>
          <w:trHeight w:val="479"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left="32" w:right="0"/>
              <w:jc w:val="left"/>
              <w:rPr>
                <w:rFonts w:ascii="Times New Roman" w:hAnsi="Times New Roman" w:cs="Times New Roman" w:eastAsia="Times New Roman" w:hint="default"/>
                <w:sz w:val="18"/>
                <w:szCs w:val="18"/>
              </w:rPr>
            </w:pPr>
            <w:r>
              <w:rPr>
                <w:rFonts w:ascii="Times New Roman"/>
                <w:sz w:val="18"/>
              </w:rPr>
              <w:t>127,388,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4" w:right="0"/>
              <w:jc w:val="left"/>
              <w:rPr>
                <w:rFonts w:ascii="Times New Roman" w:hAnsi="Times New Roman" w:cs="Times New Roman" w:eastAsia="Times New Roman" w:hint="default"/>
                <w:sz w:val="18"/>
                <w:szCs w:val="18"/>
              </w:rPr>
            </w:pPr>
            <w:r>
              <w:rPr>
                <w:rFonts w:ascii="Times New Roman"/>
                <w:sz w:val="18"/>
              </w:rPr>
              <w:t>1,439,364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7" w:right="0"/>
              <w:jc w:val="left"/>
              <w:rPr>
                <w:rFonts w:ascii="Times New Roman" w:hAnsi="Times New Roman" w:cs="Times New Roman" w:eastAsia="Times New Roman" w:hint="default"/>
                <w:sz w:val="18"/>
                <w:szCs w:val="18"/>
              </w:rPr>
            </w:pPr>
            <w:r>
              <w:rPr>
                <w:rFonts w:ascii="Times New Roman"/>
                <w:sz w:val="18"/>
              </w:rPr>
              <w:t>1,566,752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7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63" w:right="0"/>
              <w:jc w:val="left"/>
              <w:rPr>
                <w:rFonts w:ascii="Times New Roman" w:hAnsi="Times New Roman" w:cs="Times New Roman" w:eastAsia="Times New Roman" w:hint="default"/>
                <w:sz w:val="18"/>
                <w:szCs w:val="18"/>
              </w:rPr>
            </w:pPr>
            <w:r>
              <w:rPr>
                <w:rFonts w:ascii="Times New Roman"/>
                <w:sz w:val="18"/>
              </w:rPr>
              <w:t>531.00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4" w:right="0"/>
              <w:jc w:val="left"/>
              <w:rPr>
                <w:rFonts w:ascii="Times New Roman" w:hAnsi="Times New Roman" w:cs="Times New Roman" w:eastAsia="Times New Roman" w:hint="default"/>
                <w:sz w:val="18"/>
                <w:szCs w:val="18"/>
              </w:rPr>
            </w:pPr>
            <w:r>
              <w:rPr>
                <w:rFonts w:ascii="Times New Roman"/>
                <w:sz w:val="18"/>
              </w:rPr>
              <w:t>,030.84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07" w:right="0"/>
              <w:jc w:val="left"/>
              <w:rPr>
                <w:rFonts w:ascii="Times New Roman" w:hAnsi="Times New Roman" w:cs="Times New Roman" w:eastAsia="Times New Roman" w:hint="default"/>
                <w:sz w:val="18"/>
                <w:szCs w:val="18"/>
              </w:rPr>
            </w:pPr>
            <w:r>
              <w:rPr>
                <w:rFonts w:ascii="Times New Roman"/>
                <w:sz w:val="18"/>
              </w:rPr>
              <w:t>,561.84</w:t>
            </w:r>
          </w:p>
        </w:tc>
      </w:tr>
      <w:tr>
        <w:trPr>
          <w:trHeight w:val="94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4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w:t>
            </w:r>
          </w:p>
          <w:p>
            <w:pPr>
              <w:pStyle w:val="TableParagraph"/>
              <w:spacing w:line="468" w:lineRule="exact" w:before="54"/>
              <w:ind w:left="22" w:right="147"/>
              <w:jc w:val="left"/>
              <w:rPr>
                <w:rFonts w:ascii="宋体" w:hAnsi="宋体" w:cs="宋体" w:eastAsia="宋体" w:hint="default"/>
                <w:sz w:val="18"/>
                <w:szCs w:val="18"/>
              </w:rPr>
            </w:pPr>
            <w:r>
              <w:rPr>
                <w:rFonts w:ascii="宋体" w:hAnsi="宋体" w:cs="宋体" w:eastAsia="宋体" w:hint="default"/>
                <w:sz w:val="18"/>
                <w:szCs w:val="18"/>
              </w:rPr>
              <w:t>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5,734,418</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1" w:right="0"/>
              <w:jc w:val="center"/>
              <w:rPr>
                <w:rFonts w:ascii="Times New Roman" w:hAnsi="Times New Roman" w:cs="Times New Roman" w:eastAsia="Times New Roman" w:hint="default"/>
                <w:sz w:val="18"/>
                <w:szCs w:val="18"/>
              </w:rPr>
            </w:pPr>
            <w:r>
              <w:rPr>
                <w:rFonts w:ascii="Times New Roman"/>
                <w:sz w:val="18"/>
              </w:rPr>
              <w:t>-5,734,4</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16" w:right="0"/>
              <w:jc w:val="center"/>
              <w:rPr>
                <w:rFonts w:ascii="Times New Roman" w:hAnsi="Times New Roman" w:cs="Times New Roman" w:eastAsia="Times New Roman" w:hint="default"/>
                <w:sz w:val="18"/>
                <w:szCs w:val="18"/>
              </w:rPr>
            </w:pPr>
            <w:r>
              <w:rPr>
                <w:rFonts w:ascii="Times New Roman"/>
                <w:sz w:val="18"/>
              </w:rPr>
              <w:t>18.63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5,734,418</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center"/>
              <w:rPr>
                <w:rFonts w:ascii="Times New Roman" w:hAnsi="Times New Roman" w:cs="Times New Roman" w:eastAsia="Times New Roman" w:hint="default"/>
                <w:sz w:val="18"/>
                <w:szCs w:val="18"/>
              </w:rPr>
            </w:pPr>
            <w:r>
              <w:rPr>
                <w:rFonts w:ascii="Times New Roman"/>
                <w:sz w:val="18"/>
              </w:rPr>
              <w:t>-5,734,4</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16" w:right="0"/>
              <w:jc w:val="center"/>
              <w:rPr>
                <w:rFonts w:ascii="Times New Roman" w:hAnsi="Times New Roman" w:cs="Times New Roman" w:eastAsia="Times New Roman" w:hint="default"/>
                <w:sz w:val="18"/>
                <w:szCs w:val="18"/>
              </w:rPr>
            </w:pPr>
            <w:r>
              <w:rPr>
                <w:rFonts w:ascii="Times New Roman"/>
                <w:sz w:val="18"/>
              </w:rPr>
              <w:t>18.63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pacing w:val="-7"/>
                <w:sz w:val="18"/>
                <w:szCs w:val="18"/>
              </w:rPr>
              <w:t>（四）所有者权益</w:t>
            </w: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Times New Roman" w:hAnsi="Times New Roman" w:cs="Times New Roman" w:eastAsia="Times New Roman" w:hint="default"/>
                <w:sz w:val="18"/>
                <w:szCs w:val="18"/>
              </w:rPr>
            </w:pPr>
            <w:r>
              <w:rPr>
                <w:rFonts w:ascii="Times New Roman"/>
                <w:sz w:val="18"/>
              </w:rPr>
              <w:t>640,379,</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913.00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1" w:right="0"/>
              <w:jc w:val="center"/>
              <w:rPr>
                <w:rFonts w:ascii="Times New Roman" w:hAnsi="Times New Roman" w:cs="Times New Roman" w:eastAsia="Times New Roman" w:hint="default"/>
                <w:sz w:val="18"/>
                <w:szCs w:val="18"/>
              </w:rPr>
            </w:pPr>
            <w:r>
              <w:rPr>
                <w:rFonts w:ascii="Times New Roman"/>
                <w:sz w:val="18"/>
              </w:rPr>
              <w:t>-640,379,</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8" w:right="0"/>
              <w:jc w:val="center"/>
              <w:rPr>
                <w:rFonts w:ascii="Times New Roman" w:hAnsi="Times New Roman" w:cs="Times New Roman" w:eastAsia="Times New Roman" w:hint="default"/>
                <w:sz w:val="18"/>
                <w:szCs w:val="18"/>
              </w:rPr>
            </w:pPr>
            <w:r>
              <w:rPr>
                <w:rFonts w:ascii="Times New Roman"/>
                <w:sz w:val="18"/>
              </w:rPr>
              <w:t>913.00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Times New Roman" w:hAnsi="Times New Roman" w:cs="Times New Roman" w:eastAsia="Times New Roman" w:hint="default"/>
                <w:sz w:val="18"/>
                <w:szCs w:val="18"/>
              </w:rPr>
            </w:pPr>
            <w:r>
              <w:rPr>
                <w:rFonts w:ascii="Times New Roman"/>
                <w:sz w:val="18"/>
              </w:rPr>
              <w:t>640,379,</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913.00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1" w:right="0"/>
              <w:jc w:val="center"/>
              <w:rPr>
                <w:rFonts w:ascii="Times New Roman" w:hAnsi="Times New Roman" w:cs="Times New Roman" w:eastAsia="Times New Roman" w:hint="default"/>
                <w:sz w:val="18"/>
                <w:szCs w:val="18"/>
              </w:rPr>
            </w:pPr>
            <w:r>
              <w:rPr>
                <w:rFonts w:ascii="Times New Roman"/>
                <w:sz w:val="18"/>
              </w:rPr>
              <w:t>-640,379,</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8" w:right="0"/>
              <w:jc w:val="center"/>
              <w:rPr>
                <w:rFonts w:ascii="Times New Roman" w:hAnsi="Times New Roman" w:cs="Times New Roman" w:eastAsia="Times New Roman" w:hint="default"/>
                <w:sz w:val="18"/>
                <w:szCs w:val="18"/>
              </w:rPr>
            </w:pPr>
            <w:r>
              <w:rPr>
                <w:rFonts w:ascii="Times New Roman"/>
                <w:sz w:val="18"/>
              </w:rPr>
              <w:t>913.00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7" w:right="0"/>
              <w:jc w:val="left"/>
              <w:rPr>
                <w:rFonts w:ascii="Times New Roman" w:hAnsi="Times New Roman" w:cs="Times New Roman" w:eastAsia="Times New Roman" w:hint="default"/>
                <w:sz w:val="18"/>
                <w:szCs w:val="18"/>
              </w:rPr>
            </w:pPr>
            <w:r>
              <w:rPr>
                <w:rFonts w:ascii="Times New Roman"/>
                <w:sz w:val="18"/>
              </w:rPr>
              <w:t>1,280,75</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9,826.00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center"/>
              <w:rPr>
                <w:rFonts w:ascii="Times New Roman" w:hAnsi="Times New Roman" w:cs="Times New Roman" w:eastAsia="Times New Roman" w:hint="default"/>
                <w:sz w:val="18"/>
                <w:szCs w:val="18"/>
              </w:rPr>
            </w:pPr>
            <w:r>
              <w:rPr>
                <w:rFonts w:ascii="Times New Roman"/>
                <w:sz w:val="18"/>
              </w:rPr>
              <w:t>1,518,466</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02" w:right="0"/>
              <w:jc w:val="center"/>
              <w:rPr>
                <w:rFonts w:ascii="Times New Roman" w:hAnsi="Times New Roman" w:cs="Times New Roman" w:eastAsia="Times New Roman" w:hint="default"/>
                <w:sz w:val="18"/>
                <w:szCs w:val="18"/>
              </w:rPr>
            </w:pPr>
            <w:r>
              <w:rPr>
                <w:rFonts w:ascii="Times New Roman"/>
                <w:sz w:val="18"/>
              </w:rPr>
              <w:t>,401.74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4" w:right="0"/>
              <w:jc w:val="left"/>
              <w:rPr>
                <w:rFonts w:ascii="Times New Roman" w:hAnsi="Times New Roman" w:cs="Times New Roman" w:eastAsia="Times New Roman" w:hint="default"/>
                <w:sz w:val="18"/>
                <w:szCs w:val="18"/>
              </w:rPr>
            </w:pPr>
            <w:r>
              <w:rPr>
                <w:rFonts w:ascii="Times New Roman"/>
                <w:sz w:val="18"/>
              </w:rPr>
              <w:t>78,558,35</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6.23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8" w:right="0"/>
              <w:jc w:val="left"/>
              <w:rPr>
                <w:rFonts w:ascii="Times New Roman" w:hAnsi="Times New Roman" w:cs="Times New Roman" w:eastAsia="Times New Roman" w:hint="default"/>
                <w:sz w:val="18"/>
                <w:szCs w:val="18"/>
              </w:rPr>
            </w:pPr>
            <w:r>
              <w:rPr>
                <w:rFonts w:ascii="Times New Roman"/>
                <w:sz w:val="18"/>
              </w:rPr>
              <w:t>484,264</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,881.63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 w:right="0"/>
              <w:jc w:val="center"/>
              <w:rPr>
                <w:rFonts w:ascii="Times New Roman" w:hAnsi="Times New Roman" w:cs="Times New Roman" w:eastAsia="Times New Roman" w:hint="default"/>
                <w:sz w:val="18"/>
                <w:szCs w:val="18"/>
              </w:rPr>
            </w:pPr>
            <w:r>
              <w:rPr>
                <w:rFonts w:ascii="Times New Roman"/>
                <w:sz w:val="18"/>
              </w:rPr>
              <w:t>3,362,049</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,465.60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83"/>
        <w:ind w:right="0"/>
        <w:jc w:val="left"/>
        <w:rPr>
          <w:b w:val="0"/>
          <w:bCs w:val="0"/>
        </w:rPr>
      </w:pPr>
      <w:bookmarkStart w:name="三、公司基本情况" w:id="170"/>
      <w:bookmarkEnd w:id="170"/>
      <w:r>
        <w:rPr>
          <w:b w:val="0"/>
          <w:bCs w:val="0"/>
        </w:rPr>
      </w:r>
      <w:r>
        <w:rPr/>
        <w:t>三、公司基本情况</w:t>
      </w:r>
      <w:r>
        <w:rPr>
          <w:b w:val="0"/>
          <w:bCs w:val="0"/>
        </w:rPr>
      </w:r>
    </w:p>
    <w:p>
      <w:pPr>
        <w:pStyle w:val="BodyText"/>
        <w:spacing w:line="408" w:lineRule="auto" w:before="177"/>
        <w:ind w:left="573" w:right="0" w:hanging="8"/>
        <w:jc w:val="left"/>
      </w:pPr>
      <w:r>
        <w:rPr>
          <w:rFonts w:ascii="宋体" w:hAnsi="宋体" w:cs="宋体" w:eastAsia="宋体" w:hint="default"/>
          <w:b/>
          <w:bCs/>
        </w:rPr>
        <w:t>（一）公司概况</w:t>
      </w:r>
      <w:r>
        <w:rPr>
          <w:rFonts w:ascii="宋体" w:hAnsi="宋体" w:cs="宋体" w:eastAsia="宋体" w:hint="default"/>
          <w:b/>
          <w:bCs/>
          <w:w w:val="99"/>
        </w:rPr>
        <w:t> </w:t>
      </w:r>
      <w:r>
        <w:rPr>
          <w:spacing w:val="-2"/>
        </w:rPr>
        <w:t>吉林紫鑫药业股份有限公司（以下简称</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或</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）系</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25</w:t>
      </w:r>
      <w:r>
        <w:rPr>
          <w:spacing w:val="-2"/>
        </w:rPr>
        <w:t>日由敦化市康平保健食品有</w:t>
      </w:r>
    </w:p>
    <w:p>
      <w:pPr>
        <w:pStyle w:val="BodyText"/>
        <w:spacing w:line="240" w:lineRule="auto" w:before="15"/>
        <w:ind w:right="0"/>
        <w:jc w:val="left"/>
      </w:pPr>
      <w:r>
        <w:rPr/>
        <w:t>限责任公司、敦化市吉泰经贸有限责任公司共同发起设立的有限责任公司。</w:t>
      </w:r>
    </w:p>
    <w:p>
      <w:pPr>
        <w:spacing w:line="240" w:lineRule="auto" w:before="10"/>
        <w:rPr>
          <w:rFonts w:ascii="宋体" w:hAnsi="宋体" w:cs="宋体" w:eastAsia="宋体" w:hint="default"/>
          <w:sz w:val="14"/>
          <w:szCs w:val="14"/>
        </w:rPr>
      </w:pPr>
    </w:p>
    <w:p>
      <w:pPr>
        <w:pStyle w:val="BodyText"/>
        <w:spacing w:line="386" w:lineRule="auto" w:before="0"/>
        <w:ind w:right="1132" w:firstLine="420"/>
        <w:jc w:val="both"/>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日，经吉林省人民政府</w:t>
      </w:r>
      <w:r>
        <w:rPr>
          <w:rFonts w:ascii="Times New Roman" w:hAnsi="Times New Roman" w:cs="Times New Roman" w:eastAsia="Times New Roman" w:hint="default"/>
        </w:rPr>
        <w:t>[2001]5</w:t>
      </w:r>
      <w:r>
        <w:rPr>
          <w:rFonts w:ascii="Times New Roman" w:hAnsi="Times New Roman" w:cs="Times New Roman" w:eastAsia="Times New Roman" w:hint="default"/>
          <w:spacing w:val="25"/>
        </w:rPr>
        <w:t> </w:t>
      </w:r>
      <w:r>
        <w:rPr/>
        <w:t>号文《关于通化紫金药业有限责任公司依法变更为通化紫 </w:t>
      </w:r>
      <w:r>
        <w:rPr>
          <w:spacing w:val="-1"/>
        </w:rPr>
        <w:t>金药业股份有限公司的批复》的批准，以通化紫金药业有限责任公司截至</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30</w:t>
      </w:r>
      <w:r>
        <w:rPr>
          <w:spacing w:val="-1"/>
        </w:rPr>
        <w:t>日的净资产等额折</w:t>
      </w:r>
      <w:r>
        <w:rPr>
          <w:spacing w:val="-82"/>
        </w:rPr>
        <w:t> </w:t>
      </w:r>
      <w:r>
        <w:rPr>
          <w:spacing w:val="-82"/>
        </w:rPr>
      </w:r>
      <w:r>
        <w:rPr>
          <w:spacing w:val="-2"/>
        </w:rPr>
        <w:t>成股份整体变更为股份有限公司，股本总额为人民币</w:t>
      </w:r>
      <w:r>
        <w:rPr>
          <w:rFonts w:ascii="Times New Roman" w:hAnsi="Times New Roman" w:cs="Times New Roman" w:eastAsia="Times New Roman" w:hint="default"/>
          <w:spacing w:val="-2"/>
        </w:rPr>
        <w:t>35,650,000.00</w:t>
      </w:r>
      <w:r>
        <w:rPr>
          <w:spacing w:val="-2"/>
        </w:rPr>
        <w:t>元。同年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日，本公司名称变更为吉</w:t>
      </w:r>
      <w:r>
        <w:rPr>
          <w:spacing w:val="-76"/>
        </w:rPr>
        <w:t> </w:t>
      </w:r>
      <w:r>
        <w:rPr>
          <w:spacing w:val="-76"/>
        </w:rPr>
      </w:r>
      <w:r>
        <w:rPr/>
        <w:t>林紫鑫药业股份有限公司。</w:t>
      </w:r>
    </w:p>
    <w:p>
      <w:pPr>
        <w:pStyle w:val="BodyText"/>
        <w:spacing w:line="386" w:lineRule="auto" w:before="65"/>
        <w:ind w:right="1132" w:firstLine="420"/>
        <w:jc w:val="both"/>
      </w:pPr>
      <w:r>
        <w:rPr/>
        <w:t>根据本公司</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日第二次临时股东大会决议和修改后的章程规定，申请向社会公开发行人民 </w:t>
      </w:r>
      <w:r>
        <w:rPr>
          <w:spacing w:val="-1"/>
        </w:rPr>
        <w:t>币普通股（</w:t>
      </w:r>
      <w:r>
        <w:rPr>
          <w:rFonts w:ascii="Times New Roman" w:hAnsi="Times New Roman" w:cs="Times New Roman" w:eastAsia="Times New Roman" w:hint="default"/>
          <w:spacing w:val="-1"/>
        </w:rPr>
        <w:t>A</w:t>
      </w:r>
      <w:r>
        <w:rPr>
          <w:spacing w:val="-1"/>
        </w:rPr>
        <w:t>股）增加注册资本人民币</w:t>
      </w:r>
      <w:r>
        <w:rPr>
          <w:rFonts w:ascii="Times New Roman" w:hAnsi="Times New Roman" w:cs="Times New Roman" w:eastAsia="Times New Roman" w:hint="default"/>
          <w:spacing w:val="-1"/>
        </w:rPr>
        <w:t>16,900,000.00</w:t>
      </w:r>
      <w:r>
        <w:rPr>
          <w:spacing w:val="-1"/>
        </w:rPr>
        <w:t>元。</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29</w:t>
      </w:r>
      <w:r>
        <w:rPr>
          <w:spacing w:val="-1"/>
        </w:rPr>
        <w:t>日经中国证券监督管理委员会证监发</w:t>
      </w:r>
      <w:r>
        <w:rPr>
          <w:spacing w:val="-71"/>
        </w:rPr>
        <w:t> </w:t>
      </w:r>
      <w:r>
        <w:rPr>
          <w:spacing w:val="-71"/>
        </w:rPr>
      </w:r>
      <w:r>
        <w:rPr>
          <w:spacing w:val="-4"/>
        </w:rPr>
        <w:t>行字（</w:t>
      </w:r>
      <w:r>
        <w:rPr>
          <w:rFonts w:ascii="Times New Roman" w:hAnsi="Times New Roman" w:cs="Times New Roman" w:eastAsia="Times New Roman" w:hint="default"/>
          <w:spacing w:val="-4"/>
        </w:rPr>
        <w:t>2007</w:t>
      </w:r>
      <w:r>
        <w:rPr>
          <w:spacing w:val="-4"/>
        </w:rPr>
        <w:t>）</w:t>
      </w:r>
      <w:r>
        <w:rPr>
          <w:rFonts w:ascii="Times New Roman" w:hAnsi="Times New Roman" w:cs="Times New Roman" w:eastAsia="Times New Roman" w:hint="default"/>
          <w:spacing w:val="-4"/>
        </w:rPr>
        <w:t>25</w:t>
      </w:r>
      <w:r>
        <w:rPr>
          <w:rFonts w:ascii="Times New Roman" w:hAnsi="Times New Roman" w:cs="Times New Roman" w:eastAsia="Times New Roman" w:hint="default"/>
          <w:spacing w:val="46"/>
        </w:rPr>
        <w:t> </w:t>
      </w:r>
      <w:r>
        <w:rPr>
          <w:spacing w:val="-2"/>
        </w:rPr>
        <w:t>号文核准，同意本公司向社会公开发行人民币普通股（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1,690</w:t>
      </w:r>
      <w:r>
        <w:rPr>
          <w:spacing w:val="-2"/>
        </w:rPr>
        <w:t>万股，每股面值人民币</w:t>
      </w:r>
      <w:r>
        <w:rPr>
          <w:spacing w:val="-103"/>
        </w:rPr>
        <w:t> </w:t>
      </w:r>
      <w:r>
        <w:rPr>
          <w:spacing w:val="-103"/>
        </w:rPr>
      </w:r>
      <w:r>
        <w:rPr>
          <w:rFonts w:ascii="Times New Roman" w:hAnsi="Times New Roman" w:cs="Times New Roman" w:eastAsia="Times New Roman" w:hint="default"/>
        </w:rPr>
        <w:t>1.00</w:t>
      </w:r>
      <w:r>
        <w:rPr/>
        <w:t>元，每股发行价格为人民币</w:t>
      </w:r>
      <w:r>
        <w:rPr>
          <w:rFonts w:ascii="Times New Roman" w:hAnsi="Times New Roman" w:cs="Times New Roman" w:eastAsia="Times New Roman" w:hint="default"/>
        </w:rPr>
        <w:t>9.56</w:t>
      </w:r>
      <w:r>
        <w:rPr/>
        <w:t>元。本公司采用网下向询价对象配售和网上向社会公众投资者定价发</w:t>
      </w:r>
      <w:r>
        <w:rPr>
          <w:spacing w:val="-29"/>
        </w:rPr>
        <w:t> </w:t>
      </w:r>
      <w:r>
        <w:rPr>
          <w:spacing w:val="-29"/>
        </w:rPr>
      </w:r>
      <w:r>
        <w:rPr>
          <w:spacing w:val="-2"/>
        </w:rPr>
        <w:t>行相结合的方式，向社会公开发行人民币普通股（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16,900,000</w:t>
      </w:r>
      <w:r>
        <w:rPr>
          <w:spacing w:val="-2"/>
        </w:rPr>
        <w:t>股，并于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w:t>
      </w:r>
      <w:r>
        <w:rPr>
          <w:spacing w:val="-2"/>
        </w:rPr>
        <w:t>日在深圳证券交易</w:t>
      </w:r>
      <w:r>
        <w:rPr>
          <w:spacing w:val="-72"/>
        </w:rPr>
        <w:t> </w:t>
      </w:r>
      <w:r>
        <w:rPr>
          <w:spacing w:val="-72"/>
        </w:rPr>
      </w:r>
      <w:r>
        <w:rPr/>
        <w:t>所上市，股票代码为</w:t>
      </w:r>
      <w:r>
        <w:rPr>
          <w:rFonts w:ascii="Times New Roman" w:hAnsi="Times New Roman" w:cs="Times New Roman" w:eastAsia="Times New Roman" w:hint="default"/>
        </w:rPr>
        <w:t>002118</w:t>
      </w:r>
      <w:r>
        <w:rPr/>
        <w:t>。</w:t>
      </w:r>
    </w:p>
    <w:p>
      <w:pPr>
        <w:pStyle w:val="BodyText"/>
        <w:spacing w:line="396" w:lineRule="auto" w:before="35"/>
        <w:ind w:right="1024" w:firstLine="42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日止，本公司累计发行股本总数</w:t>
      </w:r>
      <w:r>
        <w:rPr>
          <w:rFonts w:ascii="Times New Roman" w:hAnsi="Times New Roman" w:cs="Times New Roman" w:eastAsia="Times New Roman" w:hint="default"/>
        </w:rPr>
        <w:t>128,075.98</w:t>
      </w:r>
      <w:r>
        <w:rPr/>
        <w:t>万股，注册资本为</w:t>
      </w:r>
      <w:r>
        <w:rPr>
          <w:rFonts w:ascii="Times New Roman" w:hAnsi="Times New Roman" w:cs="Times New Roman" w:eastAsia="Times New Roman" w:hint="default"/>
        </w:rPr>
        <w:t>128,075.98</w:t>
      </w:r>
      <w:r>
        <w:rPr/>
        <w:t>万元，公司 的统一社会信用代码号为：</w:t>
      </w:r>
      <w:r>
        <w:rPr>
          <w:rFonts w:ascii="Times New Roman" w:hAnsi="Times New Roman" w:cs="Times New Roman" w:eastAsia="Times New Roman" w:hint="default"/>
        </w:rPr>
        <w:t>9122000070222720XH</w:t>
      </w:r>
      <w:r>
        <w:rPr/>
        <w:t>。所属行业为医药制造业。注册地：吉林省通化市柳河</w:t>
      </w:r>
      <w:r>
        <w:rPr>
          <w:spacing w:val="-24"/>
        </w:rPr>
        <w:t> </w:t>
      </w:r>
      <w:r>
        <w:rPr>
          <w:spacing w:val="-24"/>
        </w:rPr>
      </w:r>
      <w:r>
        <w:rPr/>
        <w:t>县英利路</w:t>
      </w:r>
      <w:r>
        <w:rPr>
          <w:rFonts w:ascii="Times New Roman" w:hAnsi="Times New Roman" w:cs="Times New Roman" w:eastAsia="Times New Roman" w:hint="default"/>
        </w:rPr>
        <w:t>88</w:t>
      </w:r>
      <w:r>
        <w:rPr/>
        <w:t>号，总部地址：吉林省通化市柳河县英利路</w:t>
      </w:r>
      <w:r>
        <w:rPr>
          <w:rFonts w:ascii="Times New Roman" w:hAnsi="Times New Roman" w:cs="Times New Roman" w:eastAsia="Times New Roman" w:hint="default"/>
        </w:rPr>
        <w:t>88</w:t>
      </w:r>
      <w:r>
        <w:rPr/>
        <w:t>号。本公司主要经营活动为：加工销售中成药， </w:t>
      </w:r>
      <w:r>
        <w:rPr>
          <w:spacing w:val="-3"/>
        </w:rPr>
        <w:t>化学药制剂（口服液，片剂，胶囊），药材原料，针织品加工，种养殖业；设计，制作，代理电视，报纸，</w:t>
      </w:r>
      <w:r>
        <w:rPr>
          <w:spacing w:val="-92"/>
        </w:rPr>
        <w:t> </w:t>
      </w:r>
      <w:r>
        <w:rPr>
          <w:spacing w:val="-92"/>
        </w:rPr>
      </w:r>
      <w:r>
        <w:rPr/>
        <w:t>灯箱，路牌广告业务；经营本企业自产产品及相关技术的出口业务（国家限定公司经营或禁止出口的商品</w:t>
      </w:r>
      <w:r>
        <w:rPr/>
        <w:t> </w:t>
      </w:r>
      <w:r>
        <w:rPr>
          <w:spacing w:val="-5"/>
        </w:rPr>
        <w:t>除外）；经营本企业生产科研所需的原辅材料、机械设备、仪器仪表、零配件及相关技术的进出口业务（国</w:t>
      </w:r>
      <w:r>
        <w:rPr/>
        <w:t> 家限定公司经营或禁止进口的商品除外）；经营本企业的进料加工和</w:t>
      </w:r>
      <w:r>
        <w:rPr>
          <w:rFonts w:ascii="Times New Roman" w:hAnsi="Times New Roman" w:cs="Times New Roman" w:eastAsia="Times New Roman" w:hint="default"/>
        </w:rPr>
        <w:t>“</w:t>
      </w:r>
      <w:r>
        <w:rPr/>
        <w:t>三来一补</w:t>
      </w:r>
      <w:r>
        <w:rPr>
          <w:rFonts w:ascii="Times New Roman" w:hAnsi="Times New Roman" w:cs="Times New Roman" w:eastAsia="Times New Roman" w:hint="default"/>
        </w:rPr>
        <w:t>”</w:t>
      </w:r>
      <w:r>
        <w:rPr/>
        <w:t>业务；生产脱脂棉球；土 特产品销售。</w:t>
      </w:r>
      <w:r>
        <w:rPr>
          <w:rFonts w:ascii="Times New Roman" w:hAnsi="Times New Roman" w:cs="Times New Roman" w:eastAsia="Times New Roman" w:hint="default"/>
        </w:rPr>
        <w:t>***</w:t>
      </w:r>
      <w:r>
        <w:rPr/>
        <w:t>（依法须经批准的项目，经相关部门批准后方可开展经营活动）。本公司的母公司为吉</w:t>
      </w:r>
      <w:r>
        <w:rPr>
          <w:spacing w:val="-34"/>
        </w:rPr>
        <w:t> </w:t>
      </w:r>
      <w:r>
        <w:rPr>
          <w:spacing w:val="-34"/>
        </w:rPr>
      </w:r>
      <w:r>
        <w:rPr/>
        <w:t>林紫鑫药业股份有限公司</w:t>
      </w:r>
      <w:r>
        <w:rPr>
          <w:rFonts w:ascii="Times New Roman" w:hAnsi="Times New Roman" w:cs="Times New Roman" w:eastAsia="Times New Roman" w:hint="default"/>
        </w:rPr>
        <w:t>,</w:t>
      </w:r>
      <w:r>
        <w:rPr/>
        <w:t>本公司的实际控制人为郭春生及其家族。</w:t>
      </w:r>
    </w:p>
    <w:p>
      <w:pPr>
        <w:pStyle w:val="BodyText"/>
        <w:spacing w:line="240" w:lineRule="auto" w:before="26"/>
        <w:ind w:left="565" w:right="0"/>
        <w:jc w:val="left"/>
      </w:pPr>
      <w:r>
        <w:rPr/>
        <w:t>本财务报表业经公司全体董事于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日批准报出。</w:t>
      </w:r>
    </w:p>
    <w:p>
      <w:pPr>
        <w:spacing w:line="408" w:lineRule="auto" w:before="177"/>
        <w:ind w:left="565" w:right="4461" w:firstLine="1"/>
        <w:jc w:val="left"/>
        <w:rPr>
          <w:rFonts w:ascii="宋体" w:hAnsi="宋体" w:cs="宋体" w:eastAsia="宋体" w:hint="default"/>
          <w:sz w:val="21"/>
          <w:szCs w:val="21"/>
        </w:rPr>
      </w:pPr>
      <w:r>
        <w:rPr/>
        <w:pict>
          <v:shape style="position:absolute;margin-left:56.700001pt;margin-top:52.493671pt;width:453.75pt;height:77.7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074"/>
                  </w:tblGrid>
                  <w:tr>
                    <w:trPr>
                      <w:trHeight w:val="513" w:hRule="exact"/>
                    </w:trPr>
                    <w:tc>
                      <w:tcPr>
                        <w:tcW w:w="9074" w:type="dxa"/>
                        <w:tcBorders>
                          <w:top w:val="single" w:sz="8" w:space="0" w:color="000000"/>
                          <w:left w:val="nil" w:sz="6" w:space="0" w:color="auto"/>
                          <w:bottom w:val="single" w:sz="12" w:space="0" w:color="000000"/>
                          <w:right w:val="nil" w:sz="6" w:space="0" w:color="auto"/>
                        </w:tcBorders>
                      </w:tcPr>
                      <w:p>
                        <w:pPr>
                          <w:pStyle w:val="TableParagraph"/>
                          <w:spacing w:line="240" w:lineRule="auto" w:before="74"/>
                          <w:ind w:left="-1" w:right="1"/>
                          <w:jc w:val="center"/>
                          <w:rPr>
                            <w:rFonts w:ascii="宋体" w:hAnsi="宋体" w:cs="宋体" w:eastAsia="宋体" w:hint="default"/>
                            <w:sz w:val="21"/>
                            <w:szCs w:val="21"/>
                          </w:rPr>
                        </w:pPr>
                        <w:r>
                          <w:rPr>
                            <w:rFonts w:ascii="宋体" w:hAnsi="宋体" w:cs="宋体" w:eastAsia="宋体" w:hint="default"/>
                            <w:sz w:val="21"/>
                            <w:szCs w:val="21"/>
                          </w:rPr>
                          <w:t>子公司名称</w:t>
                        </w:r>
                      </w:p>
                    </w:tc>
                  </w:tr>
                  <w:tr>
                    <w:trPr>
                      <w:trHeight w:val="509"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3"/>
                          <w:ind w:left="9" w:right="0"/>
                          <w:jc w:val="left"/>
                          <w:rPr>
                            <w:rFonts w:ascii="宋体" w:hAnsi="宋体" w:cs="宋体" w:eastAsia="宋体" w:hint="default"/>
                            <w:sz w:val="21"/>
                            <w:szCs w:val="21"/>
                          </w:rPr>
                        </w:pPr>
                        <w:r>
                          <w:rPr>
                            <w:rFonts w:ascii="宋体" w:hAnsi="宋体" w:cs="宋体" w:eastAsia="宋体" w:hint="default"/>
                            <w:sz w:val="21"/>
                            <w:szCs w:val="21"/>
                          </w:rPr>
                          <w:t>吉林草还丹药业有限公司</w:t>
                        </w:r>
                      </w:p>
                    </w:tc>
                  </w:tr>
                  <w:tr>
                    <w:trPr>
                      <w:trHeight w:val="508"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3"/>
                          <w:ind w:left="9" w:right="0"/>
                          <w:jc w:val="left"/>
                          <w:rPr>
                            <w:rFonts w:ascii="宋体" w:hAnsi="宋体" w:cs="宋体" w:eastAsia="宋体" w:hint="default"/>
                            <w:sz w:val="21"/>
                            <w:szCs w:val="21"/>
                          </w:rPr>
                        </w:pPr>
                        <w:r>
                          <w:rPr>
                            <w:rFonts w:ascii="宋体" w:hAnsi="宋体" w:cs="宋体" w:eastAsia="宋体" w:hint="default"/>
                            <w:sz w:val="21"/>
                            <w:szCs w:val="21"/>
                          </w:rPr>
                          <w:t>吉林紫鑫敦化医药药材有限公司</w:t>
                        </w:r>
                      </w:p>
                    </w:tc>
                  </w:tr>
                </w:tbl>
                <w:p>
                  <w:pPr/>
                </w:p>
              </w:txbxContent>
            </v:textbox>
            <w10:wrap type="none"/>
          </v:shape>
        </w:pict>
      </w:r>
      <w:r>
        <w:rPr>
          <w:rFonts w:ascii="宋体" w:hAnsi="宋体" w:cs="宋体" w:eastAsia="宋体" w:hint="default"/>
          <w:b/>
          <w:bCs/>
          <w:sz w:val="21"/>
          <w:szCs w:val="21"/>
        </w:rPr>
        <w:t>（二）合并财务报表范围</w:t>
      </w:r>
      <w:r>
        <w:rPr>
          <w:rFonts w:ascii="宋体" w:hAnsi="宋体" w:cs="宋体" w:eastAsia="宋体" w:hint="default"/>
          <w:b/>
          <w:bCs/>
          <w:w w:val="99"/>
          <w:sz w:val="21"/>
          <w:szCs w:val="21"/>
        </w:rPr>
        <w:t> </w:t>
      </w:r>
      <w:r>
        <w:rPr>
          <w:rFonts w:ascii="宋体" w:hAnsi="宋体" w:cs="宋体" w:eastAsia="宋体" w:hint="default"/>
          <w:sz w:val="21"/>
          <w:szCs w:val="21"/>
        </w:rPr>
        <w:t>截</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日止，本公司合并财务报表范围内子公司如下：</w:t>
      </w:r>
    </w:p>
    <w:p>
      <w:pPr>
        <w:spacing w:after="0" w:line="408"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53" w:type="dxa"/>
        <w:tblLayout w:type="fixed"/>
        <w:tblCellMar>
          <w:top w:w="0" w:type="dxa"/>
          <w:left w:w="0" w:type="dxa"/>
          <w:bottom w:w="0" w:type="dxa"/>
          <w:right w:w="0" w:type="dxa"/>
        </w:tblCellMar>
        <w:tblLook w:val="01E0"/>
      </w:tblPr>
      <w:tblGrid>
        <w:gridCol w:w="9074"/>
      </w:tblGrid>
      <w:tr>
        <w:trPr>
          <w:trHeight w:val="513" w:hRule="exact"/>
        </w:trPr>
        <w:tc>
          <w:tcPr>
            <w:tcW w:w="9074" w:type="dxa"/>
            <w:tcBorders>
              <w:top w:val="single" w:sz="8" w:space="0" w:color="000000"/>
              <w:left w:val="nil" w:sz="6" w:space="0" w:color="auto"/>
              <w:bottom w:val="single" w:sz="12" w:space="0" w:color="000000"/>
              <w:right w:val="nil" w:sz="6" w:space="0" w:color="auto"/>
            </w:tcBorders>
          </w:tcPr>
          <w:p>
            <w:pPr>
              <w:pStyle w:val="TableParagraph"/>
              <w:spacing w:line="240" w:lineRule="auto" w:before="74"/>
              <w:ind w:left="9" w:right="0"/>
              <w:jc w:val="left"/>
              <w:rPr>
                <w:rFonts w:ascii="宋体" w:hAnsi="宋体" w:cs="宋体" w:eastAsia="宋体" w:hint="default"/>
                <w:sz w:val="21"/>
                <w:szCs w:val="21"/>
              </w:rPr>
            </w:pPr>
            <w:r>
              <w:rPr>
                <w:rFonts w:ascii="宋体" w:hAnsi="宋体" w:cs="宋体" w:eastAsia="宋体" w:hint="default"/>
                <w:sz w:val="21"/>
                <w:szCs w:val="21"/>
              </w:rPr>
              <w:t>吉林紫鑫初元药业有限公司</w:t>
            </w:r>
          </w:p>
        </w:tc>
      </w:tr>
      <w:tr>
        <w:trPr>
          <w:trHeight w:val="509"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3"/>
              <w:ind w:left="9" w:right="0"/>
              <w:jc w:val="left"/>
              <w:rPr>
                <w:rFonts w:ascii="宋体" w:hAnsi="宋体" w:cs="宋体" w:eastAsia="宋体" w:hint="default"/>
                <w:sz w:val="21"/>
                <w:szCs w:val="21"/>
              </w:rPr>
            </w:pPr>
            <w:r>
              <w:rPr>
                <w:rFonts w:ascii="宋体" w:hAnsi="宋体" w:cs="宋体" w:eastAsia="宋体" w:hint="default"/>
                <w:sz w:val="21"/>
                <w:szCs w:val="21"/>
              </w:rPr>
              <w:t>吉林紫鑫般若药业有限公司</w:t>
            </w:r>
          </w:p>
        </w:tc>
      </w:tr>
      <w:tr>
        <w:trPr>
          <w:trHeight w:val="508"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3"/>
              <w:ind w:left="9" w:right="0"/>
              <w:jc w:val="left"/>
              <w:rPr>
                <w:rFonts w:ascii="宋体" w:hAnsi="宋体" w:cs="宋体" w:eastAsia="宋体" w:hint="default"/>
                <w:sz w:val="21"/>
                <w:szCs w:val="21"/>
              </w:rPr>
            </w:pPr>
            <w:r>
              <w:rPr>
                <w:rFonts w:ascii="宋体" w:hAnsi="宋体" w:cs="宋体" w:eastAsia="宋体" w:hint="default"/>
                <w:sz w:val="21"/>
                <w:szCs w:val="21"/>
              </w:rPr>
              <w:t>吉林紫鑫禺拙药业有限公司</w:t>
            </w:r>
          </w:p>
        </w:tc>
      </w:tr>
      <w:tr>
        <w:trPr>
          <w:trHeight w:val="508"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3"/>
              <w:ind w:left="9" w:right="0"/>
              <w:jc w:val="left"/>
              <w:rPr>
                <w:rFonts w:ascii="宋体" w:hAnsi="宋体" w:cs="宋体" w:eastAsia="宋体" w:hint="default"/>
                <w:sz w:val="21"/>
                <w:szCs w:val="21"/>
              </w:rPr>
            </w:pPr>
            <w:r>
              <w:rPr>
                <w:rFonts w:ascii="宋体" w:hAnsi="宋体" w:cs="宋体" w:eastAsia="宋体" w:hint="default"/>
                <w:sz w:val="21"/>
                <w:szCs w:val="21"/>
              </w:rPr>
              <w:t>吉林紫鑫红石种养殖有限公司</w:t>
            </w:r>
          </w:p>
        </w:tc>
      </w:tr>
      <w:tr>
        <w:trPr>
          <w:trHeight w:val="509"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3"/>
              <w:ind w:left="9" w:right="0"/>
              <w:jc w:val="left"/>
              <w:rPr>
                <w:rFonts w:ascii="宋体" w:hAnsi="宋体" w:cs="宋体" w:eastAsia="宋体" w:hint="default"/>
                <w:sz w:val="21"/>
                <w:szCs w:val="21"/>
              </w:rPr>
            </w:pPr>
            <w:r>
              <w:rPr>
                <w:rFonts w:ascii="宋体" w:hAnsi="宋体" w:cs="宋体" w:eastAsia="宋体" w:hint="default"/>
                <w:sz w:val="21"/>
                <w:szCs w:val="21"/>
              </w:rPr>
              <w:t>吉林紫鑫人参销售有限公司</w:t>
            </w:r>
          </w:p>
        </w:tc>
      </w:tr>
      <w:tr>
        <w:trPr>
          <w:trHeight w:val="508"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3"/>
              <w:ind w:left="9" w:right="0"/>
              <w:jc w:val="left"/>
              <w:rPr>
                <w:rFonts w:ascii="宋体" w:hAnsi="宋体" w:cs="宋体" w:eastAsia="宋体" w:hint="default"/>
                <w:sz w:val="21"/>
                <w:szCs w:val="21"/>
              </w:rPr>
            </w:pPr>
            <w:r>
              <w:rPr>
                <w:rFonts w:ascii="宋体" w:hAnsi="宋体" w:cs="宋体" w:eastAsia="宋体" w:hint="default"/>
                <w:sz w:val="21"/>
                <w:szCs w:val="21"/>
              </w:rPr>
              <w:t>吉林紫鑫人参研发有限公司</w:t>
            </w:r>
          </w:p>
        </w:tc>
      </w:tr>
      <w:tr>
        <w:trPr>
          <w:trHeight w:val="508"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3"/>
              <w:ind w:left="9" w:right="0"/>
              <w:jc w:val="left"/>
              <w:rPr>
                <w:rFonts w:ascii="宋体" w:hAnsi="宋体" w:cs="宋体" w:eastAsia="宋体" w:hint="default"/>
                <w:sz w:val="21"/>
                <w:szCs w:val="21"/>
              </w:rPr>
            </w:pPr>
            <w:r>
              <w:rPr>
                <w:rFonts w:ascii="宋体" w:hAnsi="宋体" w:cs="宋体" w:eastAsia="宋体" w:hint="default"/>
                <w:sz w:val="21"/>
                <w:szCs w:val="21"/>
              </w:rPr>
              <w:t>吉林紫鑫药物研究有限公司</w:t>
            </w:r>
          </w:p>
        </w:tc>
      </w:tr>
      <w:tr>
        <w:trPr>
          <w:trHeight w:val="509"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3"/>
              <w:ind w:left="9" w:right="0"/>
              <w:jc w:val="left"/>
              <w:rPr>
                <w:rFonts w:ascii="宋体" w:hAnsi="宋体" w:cs="宋体" w:eastAsia="宋体" w:hint="default"/>
                <w:sz w:val="21"/>
                <w:szCs w:val="21"/>
              </w:rPr>
            </w:pPr>
            <w:r>
              <w:rPr>
                <w:rFonts w:ascii="宋体" w:hAnsi="宋体" w:cs="宋体" w:eastAsia="宋体" w:hint="default"/>
                <w:sz w:val="21"/>
                <w:szCs w:val="21"/>
              </w:rPr>
              <w:t>吉林中科紫鑫科技有限公司</w:t>
            </w:r>
          </w:p>
        </w:tc>
      </w:tr>
      <w:tr>
        <w:trPr>
          <w:trHeight w:val="508"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3"/>
              <w:ind w:left="9" w:right="0"/>
              <w:jc w:val="left"/>
              <w:rPr>
                <w:rFonts w:ascii="宋体" w:hAnsi="宋体" w:cs="宋体" w:eastAsia="宋体" w:hint="default"/>
                <w:sz w:val="21"/>
                <w:szCs w:val="21"/>
              </w:rPr>
            </w:pPr>
            <w:r>
              <w:rPr>
                <w:rFonts w:ascii="宋体" w:hAnsi="宋体" w:cs="宋体" w:eastAsia="宋体" w:hint="default"/>
                <w:sz w:val="21"/>
                <w:szCs w:val="21"/>
              </w:rPr>
              <w:t>北方环境能源交易所有限公司</w:t>
            </w:r>
          </w:p>
        </w:tc>
      </w:tr>
      <w:tr>
        <w:trPr>
          <w:trHeight w:val="508"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3"/>
              <w:ind w:left="9" w:right="0"/>
              <w:jc w:val="left"/>
              <w:rPr>
                <w:rFonts w:ascii="宋体" w:hAnsi="宋体" w:cs="宋体" w:eastAsia="宋体" w:hint="default"/>
                <w:sz w:val="21"/>
                <w:szCs w:val="21"/>
              </w:rPr>
            </w:pPr>
            <w:r>
              <w:rPr>
                <w:rFonts w:ascii="宋体" w:hAnsi="宋体" w:cs="宋体" w:eastAsia="宋体" w:hint="default"/>
                <w:sz w:val="21"/>
                <w:szCs w:val="21"/>
              </w:rPr>
              <w:t>吉林紫鑫金桂药业有限公司</w:t>
            </w:r>
          </w:p>
        </w:tc>
      </w:tr>
      <w:tr>
        <w:trPr>
          <w:trHeight w:val="509"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3"/>
              <w:ind w:left="9" w:right="0"/>
              <w:jc w:val="left"/>
              <w:rPr>
                <w:rFonts w:ascii="宋体" w:hAnsi="宋体" w:cs="宋体" w:eastAsia="宋体" w:hint="default"/>
                <w:sz w:val="21"/>
                <w:szCs w:val="21"/>
              </w:rPr>
            </w:pPr>
            <w:r>
              <w:rPr>
                <w:rFonts w:ascii="宋体" w:hAnsi="宋体" w:cs="宋体" w:eastAsia="宋体" w:hint="default"/>
                <w:sz w:val="21"/>
                <w:szCs w:val="21"/>
              </w:rPr>
              <w:t>吉林紫鑫高科技功能食品有限公司</w:t>
            </w:r>
          </w:p>
        </w:tc>
      </w:tr>
      <w:tr>
        <w:trPr>
          <w:trHeight w:val="508"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2"/>
              <w:ind w:left="9" w:right="0"/>
              <w:jc w:val="left"/>
              <w:rPr>
                <w:rFonts w:ascii="Times New Roman" w:hAnsi="Times New Roman" w:cs="Times New Roman" w:eastAsia="Times New Roman" w:hint="default"/>
                <w:sz w:val="21"/>
                <w:szCs w:val="21"/>
              </w:rPr>
            </w:pPr>
            <w:r>
              <w:rPr>
                <w:rFonts w:ascii="Times New Roman"/>
                <w:sz w:val="21"/>
              </w:rPr>
              <w:t>Fytagoras</w:t>
            </w:r>
            <w:r>
              <w:rPr>
                <w:rFonts w:ascii="Times New Roman"/>
                <w:spacing w:val="-3"/>
                <w:sz w:val="21"/>
              </w:rPr>
              <w:t> </w:t>
            </w:r>
            <w:r>
              <w:rPr>
                <w:rFonts w:ascii="Times New Roman"/>
                <w:sz w:val="21"/>
              </w:rPr>
              <w:t>B.V.</w:t>
            </w:r>
          </w:p>
        </w:tc>
      </w:tr>
      <w:tr>
        <w:trPr>
          <w:trHeight w:val="508"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3"/>
              <w:ind w:left="9" w:right="0"/>
              <w:jc w:val="left"/>
              <w:rPr>
                <w:rFonts w:ascii="宋体" w:hAnsi="宋体" w:cs="宋体" w:eastAsia="宋体" w:hint="default"/>
                <w:sz w:val="21"/>
                <w:szCs w:val="21"/>
              </w:rPr>
            </w:pPr>
            <w:r>
              <w:rPr>
                <w:rFonts w:ascii="宋体" w:hAnsi="宋体" w:cs="宋体" w:eastAsia="宋体" w:hint="default"/>
                <w:sz w:val="21"/>
                <w:szCs w:val="21"/>
              </w:rPr>
              <w:t>北京中科紫鑫科技有限责任公司（吉林中科紫鑫科技有限公司全资子公司）</w:t>
            </w:r>
          </w:p>
        </w:tc>
      </w:tr>
      <w:tr>
        <w:trPr>
          <w:trHeight w:val="509"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3"/>
              <w:ind w:left="9" w:right="0"/>
              <w:jc w:val="left"/>
              <w:rPr>
                <w:rFonts w:ascii="宋体" w:hAnsi="宋体" w:cs="宋体" w:eastAsia="宋体" w:hint="default"/>
                <w:sz w:val="21"/>
                <w:szCs w:val="21"/>
              </w:rPr>
            </w:pPr>
            <w:r>
              <w:rPr>
                <w:rFonts w:ascii="宋体" w:hAnsi="宋体" w:cs="宋体" w:eastAsia="宋体" w:hint="default"/>
                <w:sz w:val="21"/>
                <w:szCs w:val="21"/>
              </w:rPr>
              <w:t>敦化市中科紫鑫科技有限公司（北京中科紫鑫科技有限责任公司全资子公司）</w:t>
            </w:r>
          </w:p>
        </w:tc>
      </w:tr>
      <w:tr>
        <w:trPr>
          <w:trHeight w:val="508"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3"/>
              <w:ind w:left="9" w:right="0"/>
              <w:jc w:val="left"/>
              <w:rPr>
                <w:rFonts w:ascii="宋体" w:hAnsi="宋体" w:cs="宋体" w:eastAsia="宋体" w:hint="default"/>
                <w:sz w:val="21"/>
                <w:szCs w:val="21"/>
              </w:rPr>
            </w:pPr>
            <w:r>
              <w:rPr>
                <w:rFonts w:ascii="宋体" w:hAnsi="宋体" w:cs="宋体" w:eastAsia="宋体" w:hint="default"/>
                <w:sz w:val="21"/>
                <w:szCs w:val="21"/>
              </w:rPr>
              <w:t>香港中科紫鑫科技有限公司（吉林中科紫鑫科技有限公司全资子公司）</w:t>
            </w:r>
          </w:p>
        </w:tc>
      </w:tr>
      <w:tr>
        <w:trPr>
          <w:trHeight w:val="508"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3"/>
              <w:ind w:left="9" w:right="0"/>
              <w:jc w:val="left"/>
              <w:rPr>
                <w:rFonts w:ascii="宋体" w:hAnsi="宋体" w:cs="宋体" w:eastAsia="宋体" w:hint="default"/>
                <w:sz w:val="21"/>
                <w:szCs w:val="21"/>
              </w:rPr>
            </w:pPr>
            <w:r>
              <w:rPr>
                <w:rFonts w:ascii="宋体" w:hAnsi="宋体" w:cs="宋体" w:eastAsia="宋体" w:hint="default"/>
                <w:sz w:val="21"/>
                <w:szCs w:val="21"/>
              </w:rPr>
              <w:t>吉林紫鑫黍生农业发展有限公司（吉林紫鑫般若药业有限公司控股子公司）</w:t>
            </w:r>
          </w:p>
        </w:tc>
      </w:tr>
      <w:tr>
        <w:trPr>
          <w:trHeight w:val="509"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3"/>
              <w:ind w:left="9" w:right="0"/>
              <w:jc w:val="left"/>
              <w:rPr>
                <w:rFonts w:ascii="宋体" w:hAnsi="宋体" w:cs="宋体" w:eastAsia="宋体" w:hint="default"/>
                <w:sz w:val="21"/>
                <w:szCs w:val="21"/>
              </w:rPr>
            </w:pPr>
            <w:r>
              <w:rPr>
                <w:rFonts w:ascii="宋体" w:hAnsi="宋体" w:cs="宋体" w:eastAsia="宋体" w:hint="default"/>
                <w:sz w:val="21"/>
                <w:szCs w:val="21"/>
              </w:rPr>
              <w:t>吉林省众创碳资产管理有限公司（北方环境能源交易所有限公司全资子公司）</w:t>
            </w:r>
          </w:p>
        </w:tc>
      </w:tr>
      <w:tr>
        <w:trPr>
          <w:trHeight w:val="508"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3"/>
              <w:ind w:left="9" w:right="0"/>
              <w:jc w:val="left"/>
              <w:rPr>
                <w:rFonts w:ascii="宋体" w:hAnsi="宋体" w:cs="宋体" w:eastAsia="宋体" w:hint="default"/>
                <w:sz w:val="21"/>
                <w:szCs w:val="21"/>
              </w:rPr>
            </w:pPr>
            <w:r>
              <w:rPr>
                <w:rFonts w:ascii="宋体" w:hAnsi="宋体" w:cs="宋体" w:eastAsia="宋体" w:hint="default"/>
                <w:sz w:val="21"/>
                <w:szCs w:val="21"/>
              </w:rPr>
              <w:t>吉林紫鑫参工堂生物科技有限公司</w:t>
            </w:r>
          </w:p>
        </w:tc>
      </w:tr>
      <w:tr>
        <w:trPr>
          <w:trHeight w:val="508"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3"/>
              <w:ind w:left="9" w:right="0"/>
              <w:jc w:val="left"/>
              <w:rPr>
                <w:rFonts w:ascii="宋体" w:hAnsi="宋体" w:cs="宋体" w:eastAsia="宋体" w:hint="default"/>
                <w:sz w:val="21"/>
                <w:szCs w:val="21"/>
              </w:rPr>
            </w:pPr>
            <w:r>
              <w:rPr>
                <w:rFonts w:ascii="宋体" w:hAnsi="宋体" w:cs="宋体" w:eastAsia="宋体" w:hint="default"/>
                <w:sz w:val="21"/>
                <w:szCs w:val="21"/>
              </w:rPr>
              <w:t>吉林紫鑫汪清药业有限公司</w:t>
            </w:r>
          </w:p>
        </w:tc>
      </w:tr>
      <w:tr>
        <w:trPr>
          <w:trHeight w:val="509"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2"/>
              <w:ind w:left="9" w:right="0"/>
              <w:jc w:val="left"/>
              <w:rPr>
                <w:rFonts w:ascii="Times New Roman" w:hAnsi="Times New Roman" w:cs="Times New Roman" w:eastAsia="Times New Roman" w:hint="default"/>
                <w:sz w:val="21"/>
                <w:szCs w:val="21"/>
              </w:rPr>
            </w:pPr>
            <w:r>
              <w:rPr>
                <w:rFonts w:ascii="Times New Roman"/>
                <w:sz w:val="21"/>
              </w:rPr>
              <w:t>Zixin Pharmaceuticals USA</w:t>
            </w:r>
            <w:r>
              <w:rPr>
                <w:rFonts w:ascii="Times New Roman"/>
                <w:spacing w:val="-7"/>
                <w:sz w:val="21"/>
              </w:rPr>
              <w:t> </w:t>
            </w:r>
            <w:r>
              <w:rPr>
                <w:rFonts w:ascii="Times New Roman"/>
                <w:sz w:val="21"/>
              </w:rPr>
              <w:t>CORP</w:t>
            </w:r>
          </w:p>
        </w:tc>
      </w:tr>
    </w:tbl>
    <w:p>
      <w:pPr>
        <w:pStyle w:val="BodyText"/>
        <w:spacing w:line="240" w:lineRule="auto" w:before="63"/>
        <w:ind w:left="574" w:right="0"/>
        <w:jc w:val="left"/>
      </w:pPr>
      <w:r>
        <w:rPr/>
        <w:t>本期合并财务报表范围及其变化情况详见本附注</w:t>
      </w:r>
      <w:r>
        <w:rPr>
          <w:rFonts w:ascii="Times New Roman" w:hAnsi="Times New Roman" w:cs="Times New Roman" w:eastAsia="Times New Roman" w:hint="default"/>
        </w:rPr>
        <w:t>“</w:t>
      </w:r>
      <w:r>
        <w:rPr/>
        <w:t>六、合并范围的变更</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七、在其他主体中的权益</w:t>
      </w:r>
      <w:r>
        <w:rPr>
          <w:rFonts w:ascii="Times New Roman" w:hAnsi="Times New Roman" w:cs="Times New Roman" w:eastAsia="Times New Roman" w:hint="default"/>
        </w:rPr>
        <w:t>”</w:t>
      </w:r>
      <w:r>
        <w:rPr/>
        <w:t>。</w:t>
      </w:r>
    </w:p>
    <w:p>
      <w:pPr>
        <w:pStyle w:val="Heading2"/>
        <w:spacing w:line="240" w:lineRule="auto" w:before="154"/>
        <w:ind w:right="0"/>
        <w:jc w:val="left"/>
        <w:rPr>
          <w:b w:val="0"/>
          <w:bCs w:val="0"/>
        </w:rPr>
      </w:pPr>
      <w:bookmarkStart w:name="四、财务报表的编制基础" w:id="171"/>
      <w:bookmarkEnd w:id="171"/>
      <w:r>
        <w:rPr>
          <w:b w:val="0"/>
          <w:bCs w:val="0"/>
        </w:rPr>
      </w:r>
      <w:r>
        <w:rPr/>
        <w:t>四、财务报表的编制基础</w:t>
      </w:r>
      <w:r>
        <w:rPr>
          <w:b w:val="0"/>
          <w:bCs w:val="0"/>
        </w:rPr>
      </w:r>
    </w:p>
    <w:p>
      <w:pPr>
        <w:pStyle w:val="Heading3"/>
        <w:spacing w:line="240" w:lineRule="auto" w:before="177"/>
        <w:ind w:right="0"/>
        <w:jc w:val="left"/>
        <w:rPr>
          <w:b w:val="0"/>
          <w:bCs w:val="0"/>
        </w:rPr>
      </w:pPr>
      <w:bookmarkStart w:name="1、编制基础" w:id="172"/>
      <w:bookmarkEnd w:id="172"/>
      <w:r>
        <w:rPr>
          <w:b w:val="0"/>
          <w:bCs w:val="0"/>
        </w:rPr>
      </w:r>
      <w:r>
        <w:rPr>
          <w:rFonts w:ascii="Times New Roman" w:hAnsi="Times New Roman" w:cs="Times New Roman" w:eastAsia="Times New Roman" w:hint="default"/>
        </w:rPr>
        <w:t>1</w:t>
      </w:r>
      <w:r>
        <w:rPr/>
        <w:t>、编制基础</w:t>
      </w:r>
      <w:r>
        <w:rPr>
          <w:b w:val="0"/>
          <w:bCs w:val="0"/>
        </w:rPr>
      </w:r>
    </w:p>
    <w:p>
      <w:pPr>
        <w:pStyle w:val="BodyText"/>
        <w:spacing w:line="386" w:lineRule="auto" w:before="177"/>
        <w:ind w:right="1128" w:firstLine="420"/>
        <w:jc w:val="both"/>
      </w:pPr>
      <w:r>
        <w:rPr>
          <w:spacing w:val="-1"/>
        </w:rPr>
        <w:t>本公司以持续经营为基础，根据实际发生的交易和事项，按照财政部颁布的《企业会计准则</w:t>
      </w:r>
      <w:r>
        <w:rPr>
          <w:rFonts w:ascii="Times New Roman" w:hAnsi="Times New Roman" w:cs="Times New Roman" w:eastAsia="Times New Roman" w:hint="default"/>
          <w:spacing w:val="-1"/>
        </w:rPr>
        <w:t>——</w:t>
      </w:r>
      <w:r>
        <w:rPr>
          <w:spacing w:val="-1"/>
        </w:rPr>
        <w:t>基本</w:t>
      </w:r>
      <w:r>
        <w:rPr/>
        <w:t> </w:t>
      </w:r>
      <w:r>
        <w:rPr>
          <w:spacing w:val="2"/>
        </w:rPr>
        <w:t>准则》和各项具体会计准则、企业会计准则应用指南、企业会计准则解释及其他相关规定（以下合称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w:t>
      </w:r>
      <w:r>
        <w:rPr/>
        <w:t> 业会计准则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38"/>
        </w:rPr>
        <w:t> </w:t>
      </w:r>
      <w:r>
        <w:rPr/>
        <w:t>号</w:t>
      </w:r>
      <w:r>
        <w:rPr>
          <w:rFonts w:ascii="Times New Roman" w:hAnsi="Times New Roman" w:cs="Times New Roman" w:eastAsia="Times New Roman" w:hint="default"/>
        </w:rPr>
        <w:t>——</w:t>
      </w:r>
      <w:r>
        <w:rPr/>
        <w:t>财务 报告的一般规定》的披露规定编制财务报表。</w:t>
      </w:r>
    </w:p>
    <w:p>
      <w:pPr>
        <w:spacing w:after="0" w:line="38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left="154" w:right="0"/>
        <w:jc w:val="both"/>
        <w:rPr>
          <w:b w:val="0"/>
          <w:bCs w:val="0"/>
        </w:rPr>
      </w:pPr>
      <w:bookmarkStart w:name="2、持续经营" w:id="173"/>
      <w:bookmarkEnd w:id="173"/>
      <w:r>
        <w:rPr>
          <w:b w:val="0"/>
          <w:bCs w:val="0"/>
        </w:rPr>
      </w:r>
      <w:r>
        <w:rPr>
          <w:rFonts w:ascii="Times New Roman" w:hAnsi="Times New Roman" w:cs="Times New Roman" w:eastAsia="Times New Roman" w:hint="default"/>
        </w:rPr>
        <w:t>2</w:t>
      </w:r>
      <w:r>
        <w:rPr/>
        <w:t>、持续经营</w:t>
      </w:r>
      <w:r>
        <w:rPr>
          <w:b w:val="0"/>
          <w:bCs w:val="0"/>
        </w:rPr>
      </w:r>
    </w:p>
    <w:p>
      <w:pPr>
        <w:pStyle w:val="BodyText"/>
        <w:spacing w:line="386" w:lineRule="auto" w:before="177"/>
        <w:ind w:right="1128" w:firstLine="420"/>
        <w:jc w:val="both"/>
      </w:pPr>
      <w:r>
        <w:rPr>
          <w:spacing w:val="-1"/>
        </w:rPr>
        <w:t>本公司以持续经营为基础，根据实际发生的交易和事项，按照财政部颁布的《企业会计准则</w:t>
      </w:r>
      <w:r>
        <w:rPr>
          <w:rFonts w:ascii="Times New Roman" w:hAnsi="Times New Roman" w:cs="Times New Roman" w:eastAsia="Times New Roman" w:hint="default"/>
          <w:spacing w:val="-1"/>
        </w:rPr>
        <w:t>——</w:t>
      </w:r>
      <w:r>
        <w:rPr>
          <w:spacing w:val="-1"/>
        </w:rPr>
        <w:t>基本</w:t>
      </w:r>
      <w:r>
        <w:rPr/>
        <w:t> </w:t>
      </w:r>
      <w:r>
        <w:rPr>
          <w:spacing w:val="2"/>
        </w:rPr>
        <w:t>准则》和各项具体会计准则、企业会计准则应用指南、企业会计准则解释及其他相关规定（以下合称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w:t>
      </w:r>
      <w:r>
        <w:rPr/>
        <w:t> 业会计准则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38"/>
        </w:rPr>
        <w:t> </w:t>
      </w:r>
      <w:r>
        <w:rPr/>
        <w:t>号</w:t>
      </w:r>
      <w:r>
        <w:rPr>
          <w:rFonts w:ascii="Times New Roman" w:hAnsi="Times New Roman" w:cs="Times New Roman" w:eastAsia="Times New Roman" w:hint="default"/>
        </w:rPr>
        <w:t>——</w:t>
      </w:r>
      <w:r>
        <w:rPr/>
        <w:t>财务 报告的一般规定》的披露规定编制财务报表。</w:t>
      </w:r>
    </w:p>
    <w:p>
      <w:pPr>
        <w:pStyle w:val="Heading2"/>
        <w:spacing w:line="240" w:lineRule="auto" w:before="42"/>
        <w:ind w:left="154" w:right="0"/>
        <w:jc w:val="both"/>
        <w:rPr>
          <w:b w:val="0"/>
          <w:bCs w:val="0"/>
        </w:rPr>
      </w:pPr>
      <w:bookmarkStart w:name="五、重要会计政策及会计估计" w:id="174"/>
      <w:bookmarkEnd w:id="174"/>
      <w:r>
        <w:rPr>
          <w:b w:val="0"/>
          <w:bCs w:val="0"/>
        </w:rPr>
      </w:r>
      <w:r>
        <w:rPr/>
        <w:t>五、重要会计政策及会计估计</w:t>
      </w:r>
      <w:r>
        <w:rPr>
          <w:b w:val="0"/>
          <w:bCs w:val="0"/>
        </w:rPr>
      </w:r>
    </w:p>
    <w:p>
      <w:pPr>
        <w:spacing w:line="477" w:lineRule="auto" w:before="202"/>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before="54"/>
        <w:ind w:left="154" w:right="0" w:firstLine="0"/>
        <w:jc w:val="both"/>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11"/>
        <w:rPr>
          <w:rFonts w:ascii="宋体" w:hAnsi="宋体" w:cs="宋体" w:eastAsia="宋体" w:hint="default"/>
          <w:sz w:val="15"/>
          <w:szCs w:val="15"/>
        </w:rPr>
      </w:pPr>
    </w:p>
    <w:p>
      <w:pPr>
        <w:pStyle w:val="BodyText"/>
        <w:spacing w:line="398" w:lineRule="auto" w:before="0"/>
        <w:ind w:right="1129" w:firstLine="420"/>
        <w:jc w:val="both"/>
      </w:pPr>
      <w:r>
        <w:rPr>
          <w:spacing w:val="3"/>
        </w:rPr>
        <w:t>以下披露内容已涵盖了本公司根据实际生产经营特点制定的具体会计政策和会计估计。详见本附注</w:t>
      </w:r>
      <w:r>
        <w:rPr/>
        <w:t> 三、</w:t>
      </w: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t>应收款项坏账准备</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十六</w:t>
      </w:r>
      <w:r>
        <w:rPr>
          <w:rFonts w:ascii="Times New Roman" w:hAnsi="Times New Roman" w:cs="Times New Roman" w:eastAsia="Times New Roman" w:hint="default"/>
        </w:rPr>
        <w:t>) </w:t>
      </w:r>
      <w:r>
        <w:rPr/>
        <w:t>固定资产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二十</w:t>
      </w:r>
      <w:r>
        <w:rPr>
          <w:rFonts w:ascii="Times New Roman" w:hAnsi="Times New Roman" w:cs="Times New Roman" w:eastAsia="Times New Roman" w:hint="default"/>
        </w:rPr>
        <w:t>)</w:t>
      </w:r>
      <w:r>
        <w:rPr/>
        <w:t>无形资产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二十二</w:t>
      </w:r>
      <w:r>
        <w:rPr>
          <w:rFonts w:ascii="Times New Roman" w:hAnsi="Times New Roman" w:cs="Times New Roman" w:eastAsia="Times New Roman" w:hint="default"/>
        </w:rPr>
        <w:t>)</w:t>
      </w:r>
      <w:r>
        <w:rPr>
          <w:rFonts w:ascii="Times New Roman" w:hAnsi="Times New Roman" w:cs="Times New Roman" w:eastAsia="Times New Roman" w:hint="default"/>
          <w:spacing w:val="19"/>
        </w:rPr>
        <w:t> </w:t>
      </w:r>
      <w:r>
        <w:rPr/>
        <w:t>长期待摊费用</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二 十五</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收入</w:t>
      </w:r>
      <w:r>
        <w:rPr>
          <w:rFonts w:ascii="Times New Roman" w:hAnsi="Times New Roman" w:cs="Times New Roman" w:eastAsia="Times New Roman" w:hint="default"/>
        </w:rPr>
        <w:t>”</w:t>
      </w:r>
      <w:r>
        <w:rPr/>
        <w:t>。</w:t>
      </w:r>
    </w:p>
    <w:p>
      <w:pPr>
        <w:spacing w:line="386" w:lineRule="auto" w:before="24"/>
        <w:ind w:left="574" w:right="1017" w:hanging="420"/>
        <w:jc w:val="left"/>
        <w:rPr>
          <w:rFonts w:ascii="宋体" w:hAnsi="宋体" w:cs="宋体" w:eastAsia="宋体" w:hint="default"/>
          <w:sz w:val="21"/>
          <w:szCs w:val="21"/>
        </w:rPr>
      </w:pPr>
      <w:bookmarkStart w:name="1、遵循企业会计准则的声明" w:id="175"/>
      <w:bookmarkEnd w:id="17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3"/>
          <w:sz w:val="21"/>
          <w:szCs w:val="21"/>
        </w:rPr>
        <w:t>本公司编制的财务报表符合企业会计准则的要求，真实、完整地反映了本公司的财务状况、经营成果、</w:t>
      </w:r>
    </w:p>
    <w:p>
      <w:pPr>
        <w:pStyle w:val="BodyText"/>
        <w:spacing w:line="240" w:lineRule="auto" w:before="65"/>
        <w:ind w:left="154" w:right="0"/>
        <w:jc w:val="both"/>
      </w:pPr>
      <w:r>
        <w:rPr/>
        <w:t>现金流量等有关信息。</w:t>
      </w:r>
    </w:p>
    <w:p>
      <w:pPr>
        <w:spacing w:line="240" w:lineRule="auto" w:before="10"/>
        <w:rPr>
          <w:rFonts w:ascii="宋体" w:hAnsi="宋体" w:cs="宋体" w:eastAsia="宋体" w:hint="default"/>
          <w:sz w:val="14"/>
          <w:szCs w:val="14"/>
        </w:rPr>
      </w:pPr>
    </w:p>
    <w:p>
      <w:pPr>
        <w:pStyle w:val="Heading3"/>
        <w:spacing w:line="240" w:lineRule="auto"/>
        <w:ind w:left="154" w:right="0"/>
        <w:jc w:val="both"/>
        <w:rPr>
          <w:b w:val="0"/>
          <w:bCs w:val="0"/>
        </w:rPr>
      </w:pPr>
      <w:bookmarkStart w:name="2、会计期间" w:id="176"/>
      <w:bookmarkEnd w:id="176"/>
      <w:r>
        <w:rPr>
          <w:b w:val="0"/>
          <w:bCs w:val="0"/>
        </w:rPr>
      </w:r>
      <w:r>
        <w:rPr>
          <w:rFonts w:ascii="Times New Roman" w:hAnsi="Times New Roman" w:cs="Times New Roman" w:eastAsia="Times New Roman" w:hint="default"/>
        </w:rPr>
        <w:t>2</w:t>
      </w:r>
      <w:r>
        <w:rPr/>
        <w:t>、会计期间</w:t>
      </w:r>
      <w:r>
        <w:rPr>
          <w:b w:val="0"/>
          <w:bCs w:val="0"/>
        </w:rPr>
      </w:r>
    </w:p>
    <w:p>
      <w:pPr>
        <w:pStyle w:val="BodyText"/>
        <w:spacing w:line="240" w:lineRule="auto" w:before="177"/>
        <w:ind w:left="574" w:right="0"/>
        <w:jc w:val="left"/>
      </w:pPr>
      <w:r>
        <w:rPr/>
        <w:t>本公司自公历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pStyle w:val="Heading3"/>
        <w:spacing w:line="240" w:lineRule="auto" w:before="177"/>
        <w:ind w:right="0"/>
        <w:jc w:val="both"/>
        <w:rPr>
          <w:b w:val="0"/>
          <w:bCs w:val="0"/>
        </w:rPr>
      </w:pPr>
      <w:bookmarkStart w:name="3、营业周期" w:id="177"/>
      <w:bookmarkEnd w:id="177"/>
      <w:r>
        <w:rPr>
          <w:b w:val="0"/>
          <w:bCs w:val="0"/>
        </w:rPr>
      </w:r>
      <w:r>
        <w:rPr>
          <w:rFonts w:ascii="Times New Roman" w:hAnsi="Times New Roman" w:cs="Times New Roman" w:eastAsia="Times New Roman" w:hint="default"/>
        </w:rPr>
        <w:t>3</w:t>
      </w:r>
      <w:r>
        <w:rPr/>
        <w:t>、营业周期</w:t>
      </w:r>
      <w:r>
        <w:rPr>
          <w:b w:val="0"/>
          <w:bCs w:val="0"/>
        </w:rPr>
      </w:r>
    </w:p>
    <w:p>
      <w:pPr>
        <w:pStyle w:val="BodyText"/>
        <w:spacing w:line="240" w:lineRule="auto" w:before="177"/>
        <w:ind w:left="573" w:right="0"/>
        <w:jc w:val="left"/>
      </w:pPr>
      <w:r>
        <w:rPr/>
        <w:t>本公司营业周期为</w:t>
      </w:r>
      <w:r>
        <w:rPr>
          <w:rFonts w:ascii="Times New Roman" w:hAnsi="Times New Roman" w:cs="Times New Roman" w:eastAsia="Times New Roman" w:hint="default"/>
        </w:rPr>
        <w:t>12</w:t>
      </w:r>
      <w:r>
        <w:rPr/>
        <w:t>个月。</w:t>
      </w:r>
    </w:p>
    <w:p>
      <w:pPr>
        <w:pStyle w:val="Heading3"/>
        <w:spacing w:line="240" w:lineRule="auto" w:before="177"/>
        <w:ind w:left="154" w:right="0"/>
        <w:jc w:val="both"/>
        <w:rPr>
          <w:b w:val="0"/>
          <w:bCs w:val="0"/>
        </w:rPr>
      </w:pPr>
      <w:bookmarkStart w:name="4、记账本位币" w:id="178"/>
      <w:bookmarkEnd w:id="178"/>
      <w:r>
        <w:rPr>
          <w:b w:val="0"/>
          <w:bCs w:val="0"/>
        </w:rPr>
      </w:r>
      <w:r>
        <w:rPr>
          <w:rFonts w:ascii="Times New Roman" w:hAnsi="Times New Roman" w:cs="Times New Roman" w:eastAsia="Times New Roman" w:hint="default"/>
        </w:rPr>
        <w:t>4</w:t>
      </w:r>
      <w:r>
        <w:rPr/>
        <w:t>、记账本位币</w:t>
      </w:r>
      <w:r>
        <w:rPr>
          <w:b w:val="0"/>
          <w:bCs w:val="0"/>
        </w:rPr>
      </w:r>
    </w:p>
    <w:p>
      <w:pPr>
        <w:pStyle w:val="BodyText"/>
        <w:spacing w:line="240" w:lineRule="auto" w:before="177"/>
        <w:ind w:left="574" w:right="0"/>
        <w:jc w:val="left"/>
      </w:pPr>
      <w:r>
        <w:rPr/>
        <w:t>本公司采用人民币为记账本位币。</w:t>
      </w:r>
    </w:p>
    <w:p>
      <w:pPr>
        <w:spacing w:line="240" w:lineRule="auto" w:before="10"/>
        <w:rPr>
          <w:rFonts w:ascii="宋体" w:hAnsi="宋体" w:cs="宋体" w:eastAsia="宋体" w:hint="default"/>
          <w:sz w:val="14"/>
          <w:szCs w:val="14"/>
        </w:rPr>
      </w:pPr>
    </w:p>
    <w:p>
      <w:pPr>
        <w:pStyle w:val="Heading3"/>
        <w:spacing w:line="240" w:lineRule="auto"/>
        <w:ind w:left="154" w:right="0"/>
        <w:jc w:val="both"/>
        <w:rPr>
          <w:b w:val="0"/>
          <w:bCs w:val="0"/>
        </w:rPr>
      </w:pPr>
      <w:bookmarkStart w:name="5、同一控制下和非同一控制下企业合并的会计处理方法" w:id="179"/>
      <w:bookmarkEnd w:id="179"/>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pStyle w:val="BodyText"/>
        <w:spacing w:line="386" w:lineRule="auto" w:before="177"/>
        <w:ind w:left="574" w:right="0" w:hanging="9"/>
        <w:jc w:val="left"/>
      </w:pPr>
      <w:r>
        <w:rPr>
          <w:rFonts w:ascii="Times New Roman" w:hAnsi="Times New Roman" w:cs="Times New Roman" w:eastAsia="Times New Roman" w:hint="default"/>
        </w:rPr>
        <w:t>1)</w:t>
      </w:r>
      <w:r>
        <w:rPr/>
        <w:t>、同一控制下的企业合并</w:t>
      </w:r>
      <w:r>
        <w:rPr>
          <w:w w:val="99"/>
        </w:rPr>
        <w:t> </w:t>
      </w:r>
      <w:r>
        <w:rPr>
          <w:spacing w:val="-1"/>
        </w:rPr>
        <w:t>本公司在企业合并中取得的资产和负债，按照合并日在被合并方资产、负债（包括最终控制方收购被</w:t>
      </w:r>
    </w:p>
    <w:p>
      <w:pPr>
        <w:pStyle w:val="BodyText"/>
        <w:spacing w:line="408" w:lineRule="auto" w:before="65"/>
        <w:ind w:left="154" w:right="1131"/>
        <w:jc w:val="both"/>
      </w:pPr>
      <w:r>
        <w:rPr>
          <w:spacing w:val="-1"/>
        </w:rPr>
        <w:t>合并方而形成的商誉）在最终控制方合并财务报表中的账面价值计量。在合并中取得的净资产账面价值与</w:t>
      </w:r>
      <w:r>
        <w:rPr>
          <w:spacing w:val="-81"/>
        </w:rPr>
        <w:t> </w:t>
      </w:r>
      <w:r>
        <w:rPr>
          <w:spacing w:val="-81"/>
        </w:rPr>
      </w:r>
      <w:r>
        <w:rPr>
          <w:spacing w:val="-1"/>
        </w:rPr>
        <w:t>支付的合并对价账面价值（或发行股份面值总额）的差额，调整资本公积中的股本溢价，资本公积中的股</w:t>
      </w:r>
      <w:r>
        <w:rPr>
          <w:spacing w:val="-86"/>
        </w:rPr>
        <w:t> </w:t>
      </w:r>
      <w:r>
        <w:rPr>
          <w:spacing w:val="-86"/>
        </w:rPr>
      </w:r>
      <w:r>
        <w:rPr/>
        <w:t>本溢价不足冲减的，调整留存收益。</w:t>
      </w:r>
    </w:p>
    <w:p>
      <w:pPr>
        <w:pStyle w:val="BodyText"/>
        <w:spacing w:line="386" w:lineRule="auto"/>
        <w:ind w:left="574" w:right="0" w:hanging="9"/>
        <w:jc w:val="left"/>
      </w:pPr>
      <w:r>
        <w:rPr>
          <w:rFonts w:ascii="Times New Roman" w:hAnsi="Times New Roman" w:cs="Times New Roman" w:eastAsia="Times New Roman" w:hint="default"/>
        </w:rPr>
        <w:t>2)</w:t>
      </w:r>
      <w:r>
        <w:rPr/>
        <w:t>、非同一控制下的合并</w:t>
      </w:r>
      <w:r>
        <w:rPr>
          <w:w w:val="99"/>
        </w:rPr>
        <w:t> </w:t>
      </w:r>
      <w:r>
        <w:rPr>
          <w:spacing w:val="-1"/>
        </w:rPr>
        <w:t>本公司在购买日对作为企业合并对价付出的资产、发生或承担的负债按照公允价值计量，公允价值与</w:t>
      </w:r>
    </w:p>
    <w:p>
      <w:pPr>
        <w:pStyle w:val="BodyText"/>
        <w:spacing w:line="240" w:lineRule="auto" w:before="65"/>
        <w:ind w:left="154" w:right="0"/>
        <w:jc w:val="both"/>
      </w:pPr>
      <w:r>
        <w:rPr/>
        <w:t>其账面价值的差额，计入当期损益。本公司对合并成本大于合并中取得的被购买方可辨认净资产公允价值</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份额的差额，确认为商誉；合并成本小于合并中取得的被购买方可辨认净资产公允价值份额的差额，计入</w:t>
      </w:r>
      <w:r>
        <w:rPr>
          <w:spacing w:val="-83"/>
        </w:rPr>
        <w:t> </w:t>
      </w:r>
      <w:r>
        <w:rPr>
          <w:spacing w:val="-83"/>
        </w:rPr>
      </w:r>
      <w:r>
        <w:rPr/>
        <w:t>当期损益。</w:t>
      </w:r>
    </w:p>
    <w:p>
      <w:pPr>
        <w:pStyle w:val="BodyText"/>
        <w:spacing w:line="408" w:lineRule="auto"/>
        <w:ind w:right="1131" w:firstLine="420"/>
        <w:jc w:val="both"/>
      </w:pPr>
      <w:r>
        <w:rPr>
          <w:spacing w:val="-1"/>
        </w:rPr>
        <w:t>为企业合并发生的审计、法律服务、评估咨询等中介费用以及其他直接相关费用，于发生时计入当期</w:t>
      </w:r>
      <w:r>
        <w:rPr/>
        <w:t> 损益；为企业合并而发行权益性证券的交易费用，冲减权益。</w:t>
      </w:r>
    </w:p>
    <w:p>
      <w:pPr>
        <w:pStyle w:val="Heading3"/>
        <w:spacing w:line="240" w:lineRule="auto" w:before="46"/>
        <w:ind w:right="0"/>
        <w:jc w:val="both"/>
        <w:rPr>
          <w:b w:val="0"/>
          <w:bCs w:val="0"/>
        </w:rPr>
      </w:pPr>
      <w:bookmarkStart w:name="6、合并财务报表的编制方法" w:id="180"/>
      <w:bookmarkEnd w:id="180"/>
      <w:r>
        <w:rPr>
          <w:b w:val="0"/>
          <w:bCs w:val="0"/>
        </w:rPr>
      </w:r>
      <w:r>
        <w:rPr>
          <w:rFonts w:ascii="Times New Roman" w:hAnsi="Times New Roman" w:cs="Times New Roman" w:eastAsia="Times New Roman" w:hint="default"/>
        </w:rPr>
        <w:t>6</w:t>
      </w:r>
      <w:r>
        <w:rPr/>
        <w:t>、合并财务报表的编制方法</w:t>
      </w:r>
      <w:r>
        <w:rPr>
          <w:b w:val="0"/>
          <w:bCs w:val="0"/>
        </w:rPr>
      </w:r>
    </w:p>
    <w:p>
      <w:pPr>
        <w:pStyle w:val="BodyText"/>
        <w:spacing w:line="386" w:lineRule="auto" w:before="177"/>
        <w:ind w:left="573" w:right="1118" w:firstLine="2"/>
        <w:jc w:val="left"/>
      </w:pPr>
      <w:r>
        <w:rPr>
          <w:rFonts w:ascii="Times New Roman" w:hAnsi="Times New Roman" w:cs="Times New Roman" w:eastAsia="Times New Roman" w:hint="default"/>
          <w:b/>
          <w:bCs/>
        </w:rPr>
        <w:t>1</w:t>
      </w:r>
      <w:r>
        <w:rPr>
          <w:rFonts w:ascii="宋体" w:hAnsi="宋体" w:cs="宋体" w:eastAsia="宋体" w:hint="default"/>
          <w:b/>
          <w:bCs/>
        </w:rPr>
        <w:t>、合并范围</w:t>
      </w:r>
      <w:r>
        <w:rPr>
          <w:rFonts w:ascii="宋体" w:hAnsi="宋体" w:cs="宋体" w:eastAsia="宋体" w:hint="default"/>
          <w:b/>
          <w:bCs/>
          <w:w w:val="99"/>
        </w:rPr>
        <w:t> </w:t>
      </w:r>
      <w:r>
        <w:rPr>
          <w:spacing w:val="-1"/>
        </w:rPr>
        <w:t>本公司合并财务报表的合并范围以控制为基础确定，所有子公司（包括本公司所控制的被投资方可分</w:t>
      </w:r>
    </w:p>
    <w:p>
      <w:pPr>
        <w:pStyle w:val="BodyText"/>
        <w:spacing w:line="240" w:lineRule="auto" w:before="65"/>
        <w:ind w:right="0"/>
        <w:jc w:val="both"/>
      </w:pPr>
      <w:r>
        <w:rPr/>
        <w:t>割的部分）均纳入合并财务报表。</w:t>
      </w:r>
    </w:p>
    <w:p>
      <w:pPr>
        <w:spacing w:line="240" w:lineRule="auto" w:before="10"/>
        <w:rPr>
          <w:rFonts w:ascii="宋体" w:hAnsi="宋体" w:cs="宋体" w:eastAsia="宋体" w:hint="default"/>
          <w:sz w:val="14"/>
          <w:szCs w:val="14"/>
        </w:rPr>
      </w:pPr>
    </w:p>
    <w:p>
      <w:pPr>
        <w:pStyle w:val="BodyText"/>
        <w:spacing w:line="386" w:lineRule="auto" w:before="0"/>
        <w:ind w:left="573" w:right="1118" w:firstLine="2"/>
        <w:jc w:val="left"/>
      </w:pPr>
      <w:r>
        <w:rPr>
          <w:rFonts w:ascii="Times New Roman" w:hAnsi="Times New Roman" w:cs="Times New Roman" w:eastAsia="Times New Roman" w:hint="default"/>
          <w:b/>
          <w:bCs/>
        </w:rPr>
        <w:t>2</w:t>
      </w:r>
      <w:r>
        <w:rPr>
          <w:rFonts w:ascii="宋体" w:hAnsi="宋体" w:cs="宋体" w:eastAsia="宋体" w:hint="default"/>
          <w:b/>
          <w:bCs/>
        </w:rPr>
        <w:t>、合并程序</w:t>
      </w:r>
      <w:r>
        <w:rPr>
          <w:rFonts w:ascii="宋体" w:hAnsi="宋体" w:cs="宋体" w:eastAsia="宋体" w:hint="default"/>
          <w:b/>
          <w:bCs/>
          <w:w w:val="99"/>
        </w:rPr>
        <w:t> </w:t>
      </w:r>
      <w:r>
        <w:rPr>
          <w:spacing w:val="-1"/>
        </w:rPr>
        <w:t>本公司以自身和各子公司的财务报表为基础，根据其他有关资料，编制合并财务报表。本公司编制合</w:t>
      </w:r>
    </w:p>
    <w:p>
      <w:pPr>
        <w:pStyle w:val="BodyText"/>
        <w:spacing w:line="408" w:lineRule="auto" w:before="65"/>
        <w:ind w:right="1133"/>
        <w:jc w:val="both"/>
      </w:pPr>
      <w:r>
        <w:rPr>
          <w:spacing w:val="-1"/>
        </w:rPr>
        <w:t>并财务报表，将整个企业集团视为一个会计主体，依据相关企业会计准则的确认、计量和列报要求，按照</w:t>
      </w:r>
      <w:r>
        <w:rPr>
          <w:spacing w:val="-86"/>
        </w:rPr>
        <w:t> </w:t>
      </w:r>
      <w:r>
        <w:rPr>
          <w:spacing w:val="-86"/>
        </w:rPr>
      </w:r>
      <w:r>
        <w:rPr/>
        <w:t>统一的会计政策，反映本企业集团整体财务状况、经营成果和现金流量。</w:t>
      </w:r>
    </w:p>
    <w:p>
      <w:pPr>
        <w:pStyle w:val="BodyText"/>
        <w:spacing w:line="408" w:lineRule="auto"/>
        <w:ind w:right="1131" w:firstLine="420"/>
        <w:jc w:val="both"/>
      </w:pPr>
      <w:r>
        <w:rPr>
          <w:spacing w:val="-1"/>
        </w:rPr>
        <w:t>所有纳入合并财务报表合并范围的子公司所采用的会计政策、会计期间与本公司一致，如子公司采用</w:t>
      </w:r>
      <w:r>
        <w:rPr/>
        <w:t> </w:t>
      </w:r>
      <w:r>
        <w:rPr>
          <w:spacing w:val="-1"/>
        </w:rPr>
        <w:t>的会计政策、会计期间与本公司不一致的，在编制合并财务报表时，按本公司的会计政策、会计期间进行</w:t>
      </w:r>
      <w:r>
        <w:rPr>
          <w:spacing w:val="-86"/>
        </w:rPr>
        <w:t> </w:t>
      </w:r>
      <w:r>
        <w:rPr>
          <w:spacing w:val="-86"/>
        </w:rPr>
      </w:r>
      <w:r>
        <w:rPr>
          <w:spacing w:val="-1"/>
        </w:rPr>
        <w:t>必要的调整。对于非同一控制下企业合并取得的子公司，以购买日可辨认净资产公允价值为基础对其财务</w:t>
      </w:r>
      <w:r>
        <w:rPr>
          <w:spacing w:val="-81"/>
        </w:rPr>
        <w:t> </w:t>
      </w:r>
      <w:r>
        <w:rPr>
          <w:spacing w:val="-81"/>
        </w:rPr>
      </w:r>
      <w:r>
        <w:rPr>
          <w:spacing w:val="-1"/>
        </w:rPr>
        <w:t>报表进行调整。对于同一控制下企业合并取得的子公司，以其资产、负债（包括最终控制方收购该子公司</w:t>
      </w:r>
      <w:r>
        <w:rPr>
          <w:spacing w:val="-85"/>
        </w:rPr>
        <w:t> </w:t>
      </w:r>
      <w:r>
        <w:rPr>
          <w:spacing w:val="-85"/>
        </w:rPr>
      </w:r>
      <w:r>
        <w:rPr/>
        <w:t>而形成的商誉）在最终控制方财务报表中的账面价值为基础对其财务报表进行调整。</w:t>
      </w:r>
    </w:p>
    <w:p>
      <w:pPr>
        <w:pStyle w:val="BodyText"/>
        <w:spacing w:line="408" w:lineRule="auto"/>
        <w:ind w:right="1131" w:firstLine="420"/>
        <w:jc w:val="both"/>
      </w:pPr>
      <w:r>
        <w:rPr>
          <w:spacing w:val="-1"/>
        </w:rPr>
        <w:t>子公司所有者权益、当期净损益和当期综合收益中属于少数股东的份额分别在合并资产负债表中所有</w:t>
      </w:r>
      <w:r>
        <w:rPr/>
        <w:t> </w:t>
      </w:r>
      <w:r>
        <w:rPr>
          <w:spacing w:val="-1"/>
        </w:rPr>
        <w:t>者权益项目下、合并利润表中净利润项目下和综合收益总额项目下单独列示。子公司少数股东分担的当期</w:t>
      </w:r>
      <w:r>
        <w:rPr>
          <w:spacing w:val="-81"/>
        </w:rPr>
        <w:t> </w:t>
      </w:r>
      <w:r>
        <w:rPr>
          <w:spacing w:val="-81"/>
        </w:rPr>
      </w:r>
      <w:r>
        <w:rPr/>
        <w:t>亏损超过了少数股东在该子公司期初所有者权益中所享有份额而形成的余额，冲减少数股东权益。</w:t>
      </w:r>
    </w:p>
    <w:p>
      <w:pPr>
        <w:pStyle w:val="BodyText"/>
        <w:spacing w:line="386" w:lineRule="auto"/>
        <w:ind w:left="573" w:right="0"/>
        <w:jc w:val="left"/>
      </w:pPr>
      <w:r>
        <w:rPr/>
        <w:t>（</w:t>
      </w:r>
      <w:r>
        <w:rPr>
          <w:rFonts w:ascii="Times New Roman" w:hAnsi="Times New Roman" w:cs="Times New Roman" w:eastAsia="Times New Roman" w:hint="default"/>
        </w:rPr>
        <w:t>1</w:t>
      </w:r>
      <w:r>
        <w:rPr/>
        <w:t>）增加子公司或业务 </w:t>
      </w:r>
      <w:r>
        <w:rPr>
          <w:spacing w:val="-1"/>
        </w:rPr>
        <w:t>在报告期内，若因同一控制下企业合并增加子公司或业务的，则调整合并资产负债表的期初数；将子</w:t>
      </w:r>
    </w:p>
    <w:p>
      <w:pPr>
        <w:pStyle w:val="BodyText"/>
        <w:spacing w:line="408" w:lineRule="auto" w:before="65"/>
        <w:ind w:right="1130"/>
        <w:jc w:val="both"/>
      </w:pPr>
      <w:r>
        <w:rPr>
          <w:spacing w:val="-1"/>
        </w:rPr>
        <w:t>公司或业务合并当期期初至报告期末的收入、费用、利润纳入合并利润表；将子公司或业务合并当期期初</w:t>
      </w:r>
      <w:r>
        <w:rPr>
          <w:spacing w:val="-83"/>
        </w:rPr>
        <w:t> </w:t>
      </w:r>
      <w:r>
        <w:rPr>
          <w:spacing w:val="-83"/>
        </w:rPr>
      </w:r>
      <w:r>
        <w:rPr>
          <w:spacing w:val="-1"/>
        </w:rPr>
        <w:t>至报告期末的现金流量纳入合并现金流量表，同时对比较报表的相关项目进行调整，视同合并后的报告主</w:t>
      </w:r>
      <w:r>
        <w:rPr>
          <w:spacing w:val="-81"/>
        </w:rPr>
        <w:t> </w:t>
      </w:r>
      <w:r>
        <w:rPr>
          <w:spacing w:val="-81"/>
        </w:rPr>
      </w:r>
      <w:r>
        <w:rPr/>
        <w:t>体自最终控制方开始控制时点起一直存在。</w:t>
      </w:r>
    </w:p>
    <w:p>
      <w:pPr>
        <w:pStyle w:val="BodyText"/>
        <w:spacing w:line="408" w:lineRule="auto"/>
        <w:ind w:right="1131" w:firstLine="420"/>
        <w:jc w:val="both"/>
      </w:pPr>
      <w:r>
        <w:rPr>
          <w:spacing w:val="-1"/>
        </w:rPr>
        <w:t>因追加投资等原因能够对同一控制下的被投资方实施控制的，视同参与合并的各方在最终控制方开始</w:t>
      </w:r>
      <w:r>
        <w:rPr/>
        <w:t> </w:t>
      </w:r>
      <w:r>
        <w:rPr>
          <w:spacing w:val="-1"/>
        </w:rPr>
        <w:t>控制时即以目前的状态存在进行调整。在取得被合并方控制权之前持有的股权投资，在取得原股权之日与</w:t>
      </w:r>
      <w:r>
        <w:rPr>
          <w:spacing w:val="-81"/>
        </w:rPr>
        <w:t> </w:t>
      </w:r>
      <w:r>
        <w:rPr>
          <w:spacing w:val="-81"/>
        </w:rPr>
      </w:r>
      <w:r>
        <w:rPr>
          <w:spacing w:val="-1"/>
        </w:rPr>
        <w:t>合并方和被合并方同处于同一控制之日孰晚日起至合并日之间已确认有关损益、其他综合收益以及其他净</w:t>
      </w:r>
      <w:r>
        <w:rPr>
          <w:spacing w:val="-81"/>
        </w:rPr>
        <w:t> </w:t>
      </w:r>
      <w:r>
        <w:rPr>
          <w:spacing w:val="-81"/>
        </w:rPr>
      </w:r>
      <w:r>
        <w:rPr/>
        <w:t>资产变动，分别冲减比较报表期间的期初留存收益或当期损益。</w:t>
      </w:r>
    </w:p>
    <w:p>
      <w:pPr>
        <w:pStyle w:val="BodyText"/>
        <w:spacing w:line="240" w:lineRule="auto"/>
        <w:ind w:left="573" w:right="0"/>
        <w:jc w:val="left"/>
      </w:pPr>
      <w:r>
        <w:rPr/>
        <w:t>在报告期内，若因非同一控制下企业合并增加子公司或业务的，则不调整合并资产负债表期初数；将</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该子公司或业务自购买日至报告期末的收入、费用、利润纳入合并利润表；该子公司或业务自购买日至报</w:t>
      </w:r>
      <w:r>
        <w:rPr>
          <w:spacing w:val="-83"/>
        </w:rPr>
        <w:t> </w:t>
      </w:r>
      <w:r>
        <w:rPr>
          <w:spacing w:val="-83"/>
        </w:rPr>
      </w:r>
      <w:r>
        <w:rPr/>
        <w:t>告期末的现金流量纳入合并现金流量表。</w:t>
      </w:r>
    </w:p>
    <w:p>
      <w:pPr>
        <w:pStyle w:val="BodyText"/>
        <w:spacing w:line="408" w:lineRule="auto"/>
        <w:ind w:right="1131" w:firstLine="420"/>
        <w:jc w:val="both"/>
      </w:pPr>
      <w:r>
        <w:rPr>
          <w:spacing w:val="-1"/>
        </w:rPr>
        <w:t>因追加投资等原因能够对非同一控制下的被投资方实施控制的，对于购买日之前持有的被购买方的股</w:t>
      </w:r>
      <w:r>
        <w:rPr/>
        <w:t> </w:t>
      </w:r>
      <w:r>
        <w:rPr>
          <w:spacing w:val="-1"/>
        </w:rPr>
        <w:t>权，本公司按照该股权在购买日的公允价值进行重新计量，公允价值与其账面价值的差额计入当期投资收</w:t>
      </w:r>
      <w:r>
        <w:rPr>
          <w:spacing w:val="-81"/>
        </w:rPr>
        <w:t> </w:t>
      </w:r>
      <w:r>
        <w:rPr>
          <w:spacing w:val="-81"/>
        </w:rPr>
      </w:r>
      <w:r>
        <w:rPr>
          <w:spacing w:val="-1"/>
        </w:rPr>
        <w:t>益。购买日之前持有的被购买方的股权涉及权益法核算下的其他综合收益以及除净损益、其他综合收益和</w:t>
      </w:r>
      <w:r>
        <w:rPr>
          <w:spacing w:val="-81"/>
        </w:rPr>
        <w:t> </w:t>
      </w:r>
      <w:r>
        <w:rPr>
          <w:spacing w:val="-81"/>
        </w:rPr>
      </w:r>
      <w:r>
        <w:rPr>
          <w:spacing w:val="-1"/>
        </w:rPr>
        <w:t>利润分配之外的其他所有者权益变动的，与其相关的其他综合收益、其他所有者权益变动转为购买日所属</w:t>
      </w:r>
      <w:r>
        <w:rPr>
          <w:spacing w:val="-81"/>
        </w:rPr>
        <w:t> </w:t>
      </w:r>
      <w:r>
        <w:rPr>
          <w:spacing w:val="-81"/>
        </w:rPr>
      </w:r>
      <w:r>
        <w:rPr/>
        <w:t>当期投资收益，由于被投资方重新计量设定受益计划净负债或净资产变动而产生的其他综合收益除外。</w:t>
      </w:r>
    </w:p>
    <w:p>
      <w:pPr>
        <w:pStyle w:val="BodyText"/>
        <w:spacing w:line="240" w:lineRule="auto"/>
        <w:ind w:left="573" w:right="0"/>
        <w:jc w:val="left"/>
      </w:pPr>
      <w:r>
        <w:rPr/>
        <w:t>（</w:t>
      </w:r>
      <w:r>
        <w:rPr>
          <w:rFonts w:ascii="Times New Roman" w:hAnsi="Times New Roman" w:cs="Times New Roman" w:eastAsia="Times New Roman" w:hint="default"/>
        </w:rPr>
        <w:t>2</w:t>
      </w:r>
      <w:r>
        <w:rPr/>
        <w:t>）处置子公司或业务</w:t>
      </w:r>
    </w:p>
    <w:p>
      <w:pPr>
        <w:pStyle w:val="BodyText"/>
        <w:spacing w:line="408" w:lineRule="auto" w:before="177"/>
        <w:ind w:left="573" w:right="0"/>
        <w:jc w:val="left"/>
      </w:pPr>
      <w:r>
        <w:rPr/>
        <w:t>①一般处理方法 </w:t>
      </w:r>
      <w:r>
        <w:rPr>
          <w:spacing w:val="-1"/>
        </w:rPr>
        <w:t>在报告期内，本公司处置子公司或业务，则该子公司或业务期初至处置日的收入、费用、利润纳入合</w:t>
      </w:r>
    </w:p>
    <w:p>
      <w:pPr>
        <w:pStyle w:val="BodyText"/>
        <w:spacing w:line="408" w:lineRule="auto"/>
        <w:ind w:left="573" w:right="0" w:hanging="420"/>
        <w:jc w:val="left"/>
      </w:pPr>
      <w:r>
        <w:rPr/>
        <w:t>并利润表；该子公司或业务期初至处置日的现金流量纳入合并现金流量表。 </w:t>
      </w:r>
      <w:r>
        <w:rPr>
          <w:spacing w:val="-1"/>
        </w:rPr>
        <w:t>因处置部分股权投资或其他原因丧失了对被投资方控制权时，对于处置后的剩余股权投资，本公司按</w:t>
      </w:r>
    </w:p>
    <w:p>
      <w:pPr>
        <w:pStyle w:val="BodyText"/>
        <w:spacing w:line="408" w:lineRule="auto"/>
        <w:ind w:right="1131"/>
        <w:jc w:val="both"/>
      </w:pPr>
      <w:r>
        <w:rPr>
          <w:spacing w:val="-1"/>
        </w:rPr>
        <w:t>照其在丧失控制权日的公允价值进行重新计量。处置股权取得的对价与剩余股权公允价值之和，减去按原</w:t>
      </w:r>
      <w:r>
        <w:rPr>
          <w:spacing w:val="-81"/>
        </w:rPr>
        <w:t> </w:t>
      </w:r>
      <w:r>
        <w:rPr>
          <w:spacing w:val="-81"/>
        </w:rPr>
      </w:r>
      <w:r>
        <w:rPr>
          <w:spacing w:val="-1"/>
        </w:rPr>
        <w:t>持股比例计算应享有原有子公司自购买日或合并日开始持续计算的净资产的份额与商誉之和的差额，计入</w:t>
      </w:r>
      <w:r>
        <w:rPr>
          <w:spacing w:val="-81"/>
        </w:rPr>
        <w:t> </w:t>
      </w:r>
      <w:r>
        <w:rPr>
          <w:spacing w:val="-81"/>
        </w:rPr>
      </w:r>
      <w:r>
        <w:rPr>
          <w:spacing w:val="-1"/>
        </w:rPr>
        <w:t>丧失控制权当期的投资收益。与原有子公司股权投资相关的其他综合收益或除净损益、其他综合收益及利</w:t>
      </w:r>
      <w:r>
        <w:rPr>
          <w:spacing w:val="-81"/>
        </w:rPr>
        <w:t> </w:t>
      </w:r>
      <w:r>
        <w:rPr>
          <w:spacing w:val="-81"/>
        </w:rPr>
      </w:r>
      <w:r>
        <w:rPr>
          <w:spacing w:val="-1"/>
        </w:rPr>
        <w:t>润分配之外的其他所有者权益变动，在丧失控制权时转为当期投资收益，由于被投资方重新计量设定受益</w:t>
      </w:r>
      <w:r>
        <w:rPr>
          <w:spacing w:val="-81"/>
        </w:rPr>
        <w:t> </w:t>
      </w:r>
      <w:r>
        <w:rPr>
          <w:spacing w:val="-81"/>
        </w:rPr>
      </w:r>
      <w:r>
        <w:rPr/>
        <w:t>计划净负债或净资产变动而产生的其他综合收益除外。</w:t>
      </w:r>
    </w:p>
    <w:p>
      <w:pPr>
        <w:pStyle w:val="BodyText"/>
        <w:spacing w:line="408" w:lineRule="auto"/>
        <w:ind w:left="574" w:right="0"/>
        <w:jc w:val="left"/>
      </w:pPr>
      <w:r>
        <w:rPr/>
        <w:t>②分步处置子公司 </w:t>
      </w:r>
      <w:r>
        <w:rPr>
          <w:spacing w:val="-1"/>
        </w:rPr>
        <w:t>通过多次交易分步处置对子公司股权投资直至丧失控制权的，处置对子公司股权投资的各项交易的条</w:t>
      </w:r>
    </w:p>
    <w:p>
      <w:pPr>
        <w:pStyle w:val="BodyText"/>
        <w:spacing w:line="408" w:lineRule="auto"/>
        <w:ind w:left="154" w:right="1131"/>
        <w:jc w:val="both"/>
      </w:pPr>
      <w:r>
        <w:rPr>
          <w:spacing w:val="-1"/>
        </w:rPr>
        <w:t>款、条件以及经济影响符合以下一种或多种情况，通常表明应将多次交易事项作为一揽子交易进行会计处</w:t>
      </w:r>
      <w:r>
        <w:rPr>
          <w:spacing w:val="-81"/>
        </w:rPr>
        <w:t> </w:t>
      </w:r>
      <w:r>
        <w:rPr>
          <w:spacing w:val="-81"/>
        </w:rPr>
      </w:r>
      <w:r>
        <w:rPr/>
        <w:t>理：</w:t>
      </w:r>
    </w:p>
    <w:p>
      <w:pPr>
        <w:pStyle w:val="BodyText"/>
        <w:spacing w:line="408" w:lineRule="auto"/>
        <w:ind w:left="573" w:right="1118"/>
        <w:jc w:val="left"/>
      </w:pPr>
      <w:r>
        <w:rPr/>
        <w:t>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 </w:t>
      </w:r>
      <w:r>
        <w:rPr>
          <w:spacing w:val="-1"/>
        </w:rPr>
        <w:t>处置对子公司股权投资直至丧失控制权的各项交易属于一揽子交易的，本公司将各项交易作为一项处</w:t>
      </w:r>
    </w:p>
    <w:p>
      <w:pPr>
        <w:pStyle w:val="BodyText"/>
        <w:spacing w:line="408" w:lineRule="auto"/>
        <w:ind w:right="1131"/>
        <w:jc w:val="both"/>
      </w:pPr>
      <w:r>
        <w:rPr>
          <w:spacing w:val="-1"/>
        </w:rPr>
        <w:t>置子公司并丧失控制权的交易进行会计处理；但是，在丧失控制权之前每一次处置价款与处置投资对应的</w:t>
      </w:r>
      <w:r>
        <w:rPr>
          <w:spacing w:val="-81"/>
        </w:rPr>
        <w:t> </w:t>
      </w:r>
      <w:r>
        <w:rPr>
          <w:spacing w:val="-81"/>
        </w:rPr>
      </w:r>
      <w:r>
        <w:rPr>
          <w:spacing w:val="-1"/>
        </w:rPr>
        <w:t>享有该子公司净资产份额的差额，在合并财务报表中确认为其他综合收益，在丧失控制权时一并转入丧失</w:t>
      </w:r>
      <w:r>
        <w:rPr>
          <w:spacing w:val="-81"/>
        </w:rPr>
        <w:t> </w:t>
      </w:r>
      <w:r>
        <w:rPr>
          <w:spacing w:val="-81"/>
        </w:rPr>
      </w:r>
      <w:r>
        <w:rPr/>
        <w:t>控制权当期的损益。</w:t>
      </w:r>
    </w:p>
    <w:p>
      <w:pPr>
        <w:pStyle w:val="BodyText"/>
        <w:spacing w:line="240" w:lineRule="auto"/>
        <w:ind w:left="573" w:right="0"/>
        <w:jc w:val="left"/>
      </w:pPr>
      <w:r>
        <w:rPr/>
        <w:t>处置对子公司股权投资直至丧失控制权的各项交易不属于一揽子交易的，在丧失控制权之前，按不丧</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1"/>
        </w:rPr>
        <w:t>失控制权的情况下部分处置对子公司的股权投资的相关政策进行会计处理；在丧失控制权时，按处置子公</w:t>
      </w:r>
      <w:r>
        <w:rPr>
          <w:spacing w:val="-81"/>
        </w:rPr>
        <w:t> </w:t>
      </w:r>
      <w:r>
        <w:rPr>
          <w:spacing w:val="-81"/>
        </w:rPr>
      </w:r>
      <w:r>
        <w:rPr/>
        <w:t>司一般处理方法进行会计处理。</w:t>
      </w:r>
    </w:p>
    <w:p>
      <w:pPr>
        <w:pStyle w:val="BodyText"/>
        <w:spacing w:line="386" w:lineRule="auto"/>
        <w:ind w:left="573" w:right="0"/>
        <w:jc w:val="left"/>
      </w:pPr>
      <w:r>
        <w:rPr/>
        <w:t>（</w:t>
      </w:r>
      <w:r>
        <w:rPr>
          <w:rFonts w:ascii="Times New Roman" w:hAnsi="Times New Roman" w:cs="Times New Roman" w:eastAsia="Times New Roman" w:hint="default"/>
        </w:rPr>
        <w:t>3</w:t>
      </w:r>
      <w:r>
        <w:rPr/>
        <w:t>）购买子公司少数股权 </w:t>
      </w:r>
      <w:r>
        <w:rPr>
          <w:spacing w:val="-1"/>
        </w:rPr>
        <w:t>本公司因购买少数股权新取得的长期股权投资与按照新增持股比例计算应享有子公司自购买日（或合</w:t>
      </w:r>
    </w:p>
    <w:p>
      <w:pPr>
        <w:pStyle w:val="BodyText"/>
        <w:spacing w:line="408" w:lineRule="auto" w:before="65"/>
        <w:ind w:right="0"/>
        <w:jc w:val="left"/>
      </w:pPr>
      <w:r>
        <w:rPr>
          <w:spacing w:val="-1"/>
        </w:rPr>
        <w:t>并日）开始持续计算的净资产份额之间的差额，调整合并资产负债表中的资本公积中的股本溢价，资本公</w:t>
      </w:r>
      <w:r>
        <w:rPr>
          <w:spacing w:val="-83"/>
        </w:rPr>
        <w:t> </w:t>
      </w:r>
      <w:r>
        <w:rPr>
          <w:spacing w:val="-83"/>
        </w:rPr>
      </w:r>
      <w:r>
        <w:rPr/>
        <w:t>积中的股本溢价不足冲减的，调整留存收益。</w:t>
      </w:r>
    </w:p>
    <w:p>
      <w:pPr>
        <w:pStyle w:val="BodyText"/>
        <w:spacing w:line="386" w:lineRule="auto"/>
        <w:ind w:left="574" w:right="0"/>
        <w:jc w:val="left"/>
      </w:pPr>
      <w:r>
        <w:rPr/>
        <w:t>（</w:t>
      </w:r>
      <w:r>
        <w:rPr>
          <w:rFonts w:ascii="Times New Roman" w:hAnsi="Times New Roman" w:cs="Times New Roman" w:eastAsia="Times New Roman" w:hint="default"/>
        </w:rPr>
        <w:t>4</w:t>
      </w:r>
      <w:r>
        <w:rPr/>
        <w:t>）不丧失控制权的情况下部分处置对子公司的股权投资 </w:t>
      </w:r>
      <w:r>
        <w:rPr>
          <w:spacing w:val="3"/>
        </w:rPr>
        <w:t>在不丧失控制权的情况下因部分处置对子公司的长期股权投资而取得的处置价款与处置长期股权投</w:t>
      </w:r>
    </w:p>
    <w:p>
      <w:pPr>
        <w:pStyle w:val="BodyText"/>
        <w:spacing w:line="408" w:lineRule="auto" w:before="65"/>
        <w:ind w:left="154" w:right="0"/>
        <w:jc w:val="left"/>
        <w:rPr>
          <w:rFonts w:ascii="宋体" w:hAnsi="宋体" w:cs="宋体" w:eastAsia="宋体" w:hint="default"/>
        </w:rPr>
      </w:pPr>
      <w:r>
        <w:rPr>
          <w:spacing w:val="-1"/>
        </w:rPr>
        <w:t>资相对应享有子公司自购买日或合并日开始持续计算的净资产份额之间的差额，调整合并资产负债表中的</w:t>
      </w:r>
      <w:r>
        <w:rPr>
          <w:spacing w:val="-81"/>
        </w:rPr>
        <w:t> </w:t>
      </w:r>
      <w:r>
        <w:rPr>
          <w:spacing w:val="-81"/>
        </w:rPr>
      </w:r>
      <w:r>
        <w:rPr/>
        <w:t>资本公积中的股本溢价，资本公积中的股本溢价不足冲减的，调整留存收益。 </w:t>
      </w:r>
      <w:bookmarkStart w:name="7、合营安排分类及共同经营会计处理方法" w:id="181"/>
      <w:bookmarkEnd w:id="181"/>
      <w:r>
        <w:rPr/>
      </w:r>
      <w:r>
        <w:rPr>
          <w:rFonts w:ascii="Times New Roman" w:hAnsi="Times New Roman" w:cs="Times New Roman" w:eastAsia="Times New Roman" w:hint="default"/>
          <w:b/>
          <w:bCs/>
        </w:rPr>
        <w:t>7</w:t>
      </w:r>
      <w:r>
        <w:rPr>
          <w:rFonts w:ascii="宋体" w:hAnsi="宋体" w:cs="宋体" w:eastAsia="宋体" w:hint="default"/>
          <w:b/>
          <w:bCs/>
        </w:rPr>
        <w:t>、合营安排分类及共同经营会计处理方法</w:t>
      </w:r>
      <w:r>
        <w:rPr>
          <w:rFonts w:ascii="宋体" w:hAnsi="宋体" w:cs="宋体" w:eastAsia="宋体" w:hint="default"/>
        </w:rPr>
      </w:r>
    </w:p>
    <w:p>
      <w:pPr>
        <w:pStyle w:val="BodyText"/>
        <w:spacing w:line="408" w:lineRule="auto" w:before="14"/>
        <w:ind w:left="574" w:right="1092"/>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ind w:left="574" w:right="0"/>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177"/>
        <w:ind w:left="574" w:right="0"/>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177"/>
        <w:ind w:left="574" w:right="0"/>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177"/>
        <w:ind w:left="574" w:right="0"/>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86" w:lineRule="auto" w:before="177"/>
        <w:ind w:left="574" w:right="3297"/>
        <w:jc w:val="left"/>
      </w:pPr>
      <w:r>
        <w:rPr/>
        <w:t>（</w:t>
      </w:r>
      <w:r>
        <w:rPr>
          <w:rFonts w:ascii="Times New Roman" w:hAnsi="Times New Roman" w:cs="Times New Roman" w:eastAsia="Times New Roman" w:hint="default"/>
        </w:rPr>
        <w:t>5</w:t>
      </w:r>
      <w:r>
        <w:rPr/>
        <w:t>）确认单独所发生的费用，以及按本公司份额确认共同经营发生的费用。 本公司对合营企业投资的会计政策见本附注</w:t>
      </w:r>
      <w:r>
        <w:rPr>
          <w:rFonts w:ascii="Times New Roman" w:hAnsi="Times New Roman" w:cs="Times New Roman" w:eastAsia="Times New Roman" w:hint="default"/>
        </w:rPr>
        <w:t>“</w:t>
      </w:r>
      <w:r>
        <w:rPr/>
        <w:t>三、（十四）长期股权投资</w:t>
      </w:r>
      <w:r>
        <w:rPr>
          <w:rFonts w:ascii="Times New Roman" w:hAnsi="Times New Roman" w:cs="Times New Roman" w:eastAsia="Times New Roman" w:hint="default"/>
        </w:rPr>
        <w:t>”</w:t>
      </w:r>
      <w:r>
        <w:rPr/>
        <w:t>。</w:t>
      </w:r>
    </w:p>
    <w:p>
      <w:pPr>
        <w:spacing w:line="386" w:lineRule="auto" w:before="35"/>
        <w:ind w:left="573" w:right="0" w:hanging="420"/>
        <w:jc w:val="left"/>
        <w:rPr>
          <w:rFonts w:ascii="宋体" w:hAnsi="宋体" w:cs="宋体" w:eastAsia="宋体" w:hint="default"/>
          <w:sz w:val="21"/>
          <w:szCs w:val="21"/>
        </w:rPr>
      </w:pPr>
      <w:bookmarkStart w:name="8、现金及现金等价物的确定标准" w:id="182"/>
      <w:bookmarkEnd w:id="182"/>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在编制现金流量表时，将本公司库存现金以及可以随时用于支付的存款确认为现金。将同时具备期限</w:t>
      </w:r>
    </w:p>
    <w:p>
      <w:pPr>
        <w:pStyle w:val="BodyText"/>
        <w:spacing w:line="408" w:lineRule="auto" w:before="65"/>
        <w:ind w:right="1093"/>
        <w:jc w:val="left"/>
      </w:pPr>
      <w:r>
        <w:rPr/>
        <w:t>短（从购买日起三个月内到期）、流动性强、易于转换为已知现金、价值变动风险很小四个条件的投资， 确定为现金等价物。</w:t>
      </w:r>
    </w:p>
    <w:p>
      <w:pPr>
        <w:pStyle w:val="Heading3"/>
        <w:spacing w:line="240" w:lineRule="auto" w:before="46"/>
        <w:ind w:right="0"/>
        <w:jc w:val="left"/>
        <w:rPr>
          <w:b w:val="0"/>
          <w:bCs w:val="0"/>
        </w:rPr>
      </w:pPr>
      <w:bookmarkStart w:name="9、外币业务和外币报表折算" w:id="183"/>
      <w:bookmarkEnd w:id="183"/>
      <w:r>
        <w:rPr>
          <w:b w:val="0"/>
          <w:bCs w:val="0"/>
        </w:rPr>
      </w:r>
      <w:r>
        <w:rPr>
          <w:rFonts w:ascii="Times New Roman" w:hAnsi="Times New Roman" w:cs="Times New Roman" w:eastAsia="Times New Roman" w:hint="default"/>
        </w:rPr>
        <w:t>9</w:t>
      </w:r>
      <w:r>
        <w:rPr/>
        <w:t>、外币业务和外币报表折算</w:t>
      </w:r>
      <w:r>
        <w:rPr>
          <w:b w:val="0"/>
          <w:bCs w:val="0"/>
        </w:rPr>
      </w:r>
    </w:p>
    <w:p>
      <w:pPr>
        <w:pStyle w:val="BodyText"/>
        <w:spacing w:line="386" w:lineRule="auto" w:before="177"/>
        <w:ind w:left="573" w:right="2773"/>
        <w:jc w:val="left"/>
      </w:pPr>
      <w:r>
        <w:rPr>
          <w:rFonts w:ascii="Times New Roman" w:hAnsi="Times New Roman" w:cs="Times New Roman" w:eastAsia="Times New Roman" w:hint="default"/>
        </w:rPr>
        <w:t>1</w:t>
      </w:r>
      <w:r>
        <w:rPr/>
        <w:t>、外币业务 外币业务采用交易发生日的即期汇率作为折算汇率将外币金额折合成人民币记账。</w:t>
      </w:r>
    </w:p>
    <w:p>
      <w:pPr>
        <w:pStyle w:val="BodyText"/>
        <w:spacing w:line="408" w:lineRule="auto" w:before="65"/>
        <w:ind w:right="1131" w:firstLine="420"/>
        <w:jc w:val="both"/>
      </w:pPr>
      <w:r>
        <w:rPr>
          <w:spacing w:val="-1"/>
        </w:rPr>
        <w:t>资产负债表日外币货币性项目余额按资产负债表日即期汇率折算，由此产生的汇兑差额，除属于与购</w:t>
      </w:r>
      <w:r>
        <w:rPr/>
        <w:t> </w:t>
      </w:r>
      <w:r>
        <w:rPr>
          <w:spacing w:val="-1"/>
        </w:rPr>
        <w:t>建符合资本化条件的资产相关的外币专门借款产生的汇兑差额按照借款费用资本化的原则处理外，均计入</w:t>
      </w:r>
      <w:r>
        <w:rPr>
          <w:spacing w:val="-81"/>
        </w:rPr>
        <w:t> </w:t>
      </w:r>
      <w:r>
        <w:rPr>
          <w:spacing w:val="-81"/>
        </w:rPr>
      </w:r>
      <w:r>
        <w:rPr/>
        <w:t>当期损益。</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left="573" w:right="1122"/>
        <w:jc w:val="left"/>
      </w:pPr>
      <w:r>
        <w:rPr>
          <w:rFonts w:ascii="Times New Roman" w:hAnsi="Times New Roman" w:cs="Times New Roman" w:eastAsia="Times New Roman" w:hint="default"/>
        </w:rPr>
        <w:t>2</w:t>
      </w:r>
      <w:r>
        <w:rPr/>
        <w:t>、外币财务报表的折算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w:t>
      </w:r>
      <w:r>
        <w:rPr/>
      </w:r>
    </w:p>
    <w:p>
      <w:pPr>
        <w:pStyle w:val="BodyText"/>
        <w:spacing w:line="386" w:lineRule="auto" w:before="35"/>
        <w:ind w:right="1118"/>
        <w:jc w:val="left"/>
      </w:pPr>
      <w:r>
        <w:rPr/>
        <w:t>润</w:t>
      </w:r>
      <w:r>
        <w:rPr>
          <w:rFonts w:ascii="Times New Roman" w:hAnsi="Times New Roman" w:cs="Times New Roman" w:eastAsia="Times New Roman" w:hint="default"/>
        </w:rPr>
        <w:t>”</w:t>
      </w:r>
      <w:r>
        <w:rPr/>
        <w:t>项目外，其他项目采用发生时的即期汇率折算。利润表中的收入和费用项目，采用交易发生日的即期</w:t>
      </w:r>
      <w:r>
        <w:rPr>
          <w:spacing w:val="-25"/>
        </w:rPr>
        <w:t> </w:t>
      </w:r>
      <w:r>
        <w:rPr>
          <w:spacing w:val="-25"/>
        </w:rPr>
      </w:r>
      <w:r>
        <w:rPr/>
        <w:t>汇率折算。</w:t>
      </w:r>
    </w:p>
    <w:p>
      <w:pPr>
        <w:pStyle w:val="BodyText"/>
        <w:spacing w:line="408" w:lineRule="auto" w:before="65"/>
        <w:ind w:right="1118" w:firstLine="420"/>
        <w:jc w:val="left"/>
      </w:pPr>
      <w:r>
        <w:rPr>
          <w:spacing w:val="-1"/>
        </w:rPr>
        <w:t>处置境外经营时，将与该境外经营相关的外币财务报表折算差额，自所有者权益项目转入处置当期损</w:t>
      </w:r>
      <w:r>
        <w:rPr/>
        <w:t> 益。</w:t>
      </w:r>
    </w:p>
    <w:p>
      <w:pPr>
        <w:pStyle w:val="Heading3"/>
        <w:spacing w:line="240" w:lineRule="auto" w:before="46"/>
        <w:ind w:left="154" w:right="0"/>
        <w:jc w:val="left"/>
        <w:rPr>
          <w:b w:val="0"/>
          <w:bCs w:val="0"/>
        </w:rPr>
      </w:pPr>
      <w:bookmarkStart w:name="10、金融工具" w:id="184"/>
      <w:bookmarkEnd w:id="184"/>
      <w:r>
        <w:rPr>
          <w:b w:val="0"/>
          <w:bCs w:val="0"/>
        </w:rPr>
      </w:r>
      <w:r>
        <w:rPr>
          <w:rFonts w:ascii="Times New Roman" w:hAnsi="Times New Roman" w:cs="Times New Roman" w:eastAsia="Times New Roman" w:hint="default"/>
        </w:rPr>
        <w:t>10</w:t>
      </w:r>
      <w:r>
        <w:rPr/>
        <w:t>、金融工具</w:t>
      </w:r>
      <w:r>
        <w:rPr>
          <w:b w:val="0"/>
          <w:bCs w:val="0"/>
        </w:rPr>
      </w:r>
    </w:p>
    <w:p>
      <w:pPr>
        <w:pStyle w:val="BodyText"/>
        <w:spacing w:line="240" w:lineRule="auto" w:before="177"/>
        <w:ind w:left="574" w:right="0"/>
        <w:jc w:val="left"/>
      </w:pPr>
      <w:r>
        <w:rPr/>
        <w:t>金融工具包括金融资产、金融负债和权益工具。</w:t>
      </w:r>
    </w:p>
    <w:p>
      <w:pPr>
        <w:spacing w:line="240" w:lineRule="auto" w:before="10"/>
        <w:rPr>
          <w:rFonts w:ascii="宋体" w:hAnsi="宋体" w:cs="宋体" w:eastAsia="宋体" w:hint="default"/>
          <w:sz w:val="14"/>
          <w:szCs w:val="14"/>
        </w:rPr>
      </w:pPr>
    </w:p>
    <w:p>
      <w:pPr>
        <w:pStyle w:val="BodyText"/>
        <w:spacing w:line="386" w:lineRule="auto" w:before="0"/>
        <w:ind w:left="574" w:right="0"/>
        <w:jc w:val="left"/>
      </w:pPr>
      <w:r>
        <w:rPr>
          <w:rFonts w:ascii="Times New Roman" w:hAnsi="Times New Roman" w:cs="Times New Roman" w:eastAsia="Times New Roman" w:hint="default"/>
        </w:rPr>
        <w:t>1</w:t>
      </w:r>
      <w:r>
        <w:rPr/>
        <w:t>、金融工具的分类 </w:t>
      </w:r>
      <w:r>
        <w:rPr>
          <w:spacing w:val="-1"/>
        </w:rPr>
        <w:t>金融资产和金融负债于初始确认时分类为：以公允价值计量且其变动计入当期损益的金融资产或金融</w:t>
      </w:r>
    </w:p>
    <w:p>
      <w:pPr>
        <w:pStyle w:val="BodyText"/>
        <w:spacing w:line="240" w:lineRule="auto" w:before="65"/>
        <w:ind w:left="154" w:right="0"/>
        <w:jc w:val="left"/>
      </w:pPr>
      <w:r>
        <w:rPr/>
        <w:t>负债；持有至到期投资；应收款项；可供出售金融资产；其他金融负债等。</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rFonts w:ascii="Times New Roman" w:hAnsi="Times New Roman" w:cs="Times New Roman" w:eastAsia="Times New Roman" w:hint="default"/>
        </w:rPr>
        <w:t>2</w:t>
      </w:r>
      <w:r>
        <w:rPr/>
        <w:t>、金融工具的确认依据和计量方法</w:t>
      </w:r>
    </w:p>
    <w:p>
      <w:pPr>
        <w:pStyle w:val="BodyText"/>
        <w:spacing w:line="386" w:lineRule="auto" w:before="177"/>
        <w:ind w:left="573" w:right="0"/>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1"/>
        </w:rPr>
        <w:t>取得时以公允价值（扣除已宣告但尚未发放的现金股利或已到付息期但尚未领取的债券利息）作为初</w:t>
      </w:r>
    </w:p>
    <w:p>
      <w:pPr>
        <w:pStyle w:val="BodyText"/>
        <w:spacing w:line="408" w:lineRule="auto" w:before="65"/>
        <w:ind w:left="573" w:right="1513" w:hanging="420"/>
        <w:jc w:val="left"/>
      </w:pPr>
      <w:r>
        <w:rPr/>
        <w:t>始确认金额，相关的交易费用计入当期损益。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98" w:lineRule="auto"/>
        <w:ind w:left="573" w:right="1018"/>
        <w:jc w:val="left"/>
      </w:pPr>
      <w:r>
        <w:rPr/>
        <w:t>（</w:t>
      </w:r>
      <w:r>
        <w:rPr>
          <w:rFonts w:ascii="Times New Roman" w:hAnsi="Times New Roman" w:cs="Times New Roman" w:eastAsia="Times New Roman" w:hint="default"/>
        </w:rPr>
        <w:t>2</w:t>
      </w:r>
      <w:r>
        <w:rPr/>
        <w:t>）持有至到期投资 </w:t>
      </w:r>
      <w:r>
        <w:rPr>
          <w:spacing w:val="-3"/>
        </w:rPr>
        <w:t>取得时按公允价值（扣除已到付息期但尚未领取的债券利息）和相关交易费用之和作为初始确认金额。</w:t>
      </w:r>
      <w:r>
        <w:rPr>
          <w:spacing w:val="-98"/>
        </w:rPr>
        <w:t> </w:t>
      </w:r>
      <w:r>
        <w:rPr>
          <w:spacing w:val="-98"/>
        </w:rPr>
      </w:r>
      <w:r>
        <w:rPr/>
        <w:t>持有期间按照摊余成本和实际利率计算确认利息收入，计入投资收益。实际利率在取得时确定，在该</w:t>
      </w:r>
    </w:p>
    <w:p>
      <w:pPr>
        <w:pStyle w:val="BodyText"/>
        <w:spacing w:line="408" w:lineRule="auto" w:before="54"/>
        <w:ind w:left="574" w:right="4032" w:hanging="420"/>
        <w:jc w:val="left"/>
      </w:pPr>
      <w:r>
        <w:rPr/>
        <w:t>预期存续期间或适用的更短期间内保持不变。 处置时，将所取得价款与该投资账面价值之间的差额计入投资收益。</w:t>
      </w:r>
    </w:p>
    <w:p>
      <w:pPr>
        <w:pStyle w:val="BodyText"/>
        <w:spacing w:line="386" w:lineRule="auto"/>
        <w:ind w:left="573" w:right="0"/>
        <w:jc w:val="left"/>
      </w:pPr>
      <w:r>
        <w:rPr/>
        <w:t>（</w:t>
      </w:r>
      <w:r>
        <w:rPr>
          <w:rFonts w:ascii="Times New Roman" w:hAnsi="Times New Roman" w:cs="Times New Roman" w:eastAsia="Times New Roman" w:hint="default"/>
        </w:rPr>
        <w:t>3</w:t>
      </w:r>
      <w:r>
        <w:rPr/>
        <w:t>）应收款项 </w:t>
      </w:r>
      <w:r>
        <w:rPr>
          <w:spacing w:val="-1"/>
        </w:rPr>
        <w:t>本公司对外销售商品或提供劳务形成的应收债权，以及本公司持有的其他企业的不包括在活跃市场上</w:t>
      </w:r>
    </w:p>
    <w:p>
      <w:pPr>
        <w:pStyle w:val="BodyText"/>
        <w:spacing w:line="408" w:lineRule="auto" w:before="65"/>
        <w:ind w:right="0"/>
        <w:jc w:val="left"/>
      </w:pPr>
      <w:r>
        <w:rPr>
          <w:spacing w:val="-1"/>
        </w:rPr>
        <w:t>有报价的债务工具的债权，包括应收账款、其他应收款等，以向购货方应收的合同或协议价款作为初始确</w:t>
      </w:r>
      <w:r>
        <w:rPr>
          <w:spacing w:val="-83"/>
        </w:rPr>
        <w:t> </w:t>
      </w:r>
      <w:r>
        <w:rPr>
          <w:spacing w:val="-83"/>
        </w:rPr>
      </w:r>
      <w:r>
        <w:rPr/>
        <w:t>认金额；具有融资性质的，按其现值进行初始确认。</w:t>
      </w:r>
    </w:p>
    <w:p>
      <w:pPr>
        <w:pStyle w:val="BodyText"/>
        <w:spacing w:line="240" w:lineRule="auto"/>
        <w:ind w:left="574" w:right="0"/>
        <w:jc w:val="left"/>
      </w:pPr>
      <w:r>
        <w:rPr/>
        <w:t>收回或处置时，将取得的价款与该应收款项账面价值之间的差额计入当期损益。</w:t>
      </w:r>
    </w:p>
    <w:p>
      <w:pPr>
        <w:spacing w:line="240" w:lineRule="auto" w:before="10"/>
        <w:rPr>
          <w:rFonts w:ascii="宋体" w:hAnsi="宋体" w:cs="宋体" w:eastAsia="宋体" w:hint="default"/>
          <w:sz w:val="14"/>
          <w:szCs w:val="14"/>
        </w:rPr>
      </w:pPr>
    </w:p>
    <w:p>
      <w:pPr>
        <w:pStyle w:val="BodyText"/>
        <w:spacing w:line="386" w:lineRule="auto" w:before="0"/>
        <w:ind w:left="573" w:right="0"/>
        <w:jc w:val="left"/>
      </w:pPr>
      <w:r>
        <w:rPr/>
        <w:t>（</w:t>
      </w:r>
      <w:r>
        <w:rPr>
          <w:rFonts w:ascii="Times New Roman" w:hAnsi="Times New Roman" w:cs="Times New Roman" w:eastAsia="Times New Roman" w:hint="default"/>
        </w:rPr>
        <w:t>4</w:t>
      </w:r>
      <w:r>
        <w:rPr/>
        <w:t>）可供出售金融资产 </w:t>
      </w:r>
      <w:r>
        <w:rPr>
          <w:spacing w:val="-1"/>
        </w:rPr>
        <w:t>取得时按公允价值（扣除已宣告但尚未发放的现金股利或已到付息期但尚未领取的债券利息）和相关</w:t>
      </w:r>
    </w:p>
    <w:p>
      <w:pPr>
        <w:pStyle w:val="BodyText"/>
        <w:spacing w:line="240" w:lineRule="auto" w:before="65"/>
        <w:ind w:right="0"/>
        <w:jc w:val="left"/>
      </w:pPr>
      <w:r>
        <w:rPr/>
        <w:t>交易费用之和作为初始确认金额。</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20"/>
        <w:jc w:val="both"/>
      </w:pPr>
      <w:r>
        <w:rPr>
          <w:spacing w:val="-1"/>
        </w:rPr>
        <w:t>持有期间将取得的利息或现金股利确认为投资收益。期末以公允价值计量且将公允价值变动计入其他</w:t>
      </w:r>
      <w:r>
        <w:rPr/>
        <w:t> </w:t>
      </w:r>
      <w:r>
        <w:rPr>
          <w:spacing w:val="-1"/>
        </w:rPr>
        <w:t>综合收益。但是，在活跃市场中没有报价且其公允价值不能可靠计量的权益工具投资，以及与该权益工具</w:t>
      </w:r>
      <w:r>
        <w:rPr>
          <w:spacing w:val="-83"/>
        </w:rPr>
        <w:t> </w:t>
      </w:r>
      <w:r>
        <w:rPr>
          <w:spacing w:val="-83"/>
        </w:rPr>
      </w:r>
      <w:r>
        <w:rPr/>
        <w:t>挂钩并须通过交付该权益工具结算的衍生金融资产，按照成本计量。</w:t>
      </w:r>
    </w:p>
    <w:p>
      <w:pPr>
        <w:pStyle w:val="BodyText"/>
        <w:spacing w:line="408" w:lineRule="auto"/>
        <w:ind w:right="1133" w:firstLine="420"/>
        <w:jc w:val="both"/>
      </w:pPr>
      <w:r>
        <w:rPr>
          <w:spacing w:val="-1"/>
        </w:rPr>
        <w:t>处置时，将取得的价款与该金融资产账面价值之间的差额，计入投资损益；同时，将原直接计入其他</w:t>
      </w:r>
      <w:r>
        <w:rPr/>
        <w:t> 综合收益的公允价值变动累计额对应处置部分的金额转出，计入当期损益。</w:t>
      </w:r>
    </w:p>
    <w:p>
      <w:pPr>
        <w:pStyle w:val="BodyText"/>
        <w:spacing w:line="393" w:lineRule="auto"/>
        <w:ind w:left="573" w:right="1118"/>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 </w:t>
      </w:r>
      <w:r>
        <w:rPr>
          <w:rFonts w:ascii="Times New Roman" w:hAnsi="Times New Roman" w:cs="Times New Roman" w:eastAsia="Times New Roman" w:hint="default"/>
        </w:rPr>
        <w:t>3</w:t>
      </w:r>
      <w:r>
        <w:rPr/>
        <w:t>、金融资产转移的确认依据和计量方法 </w:t>
      </w:r>
      <w:r>
        <w:rPr>
          <w:spacing w:val="-1"/>
        </w:rPr>
        <w:t>本公司发生金融资产转移时，如已将金融资产所有权上几乎所有的风险和报酬转移给转入方，则终止</w:t>
      </w:r>
    </w:p>
    <w:p>
      <w:pPr>
        <w:pStyle w:val="BodyText"/>
        <w:spacing w:line="408" w:lineRule="auto" w:before="58"/>
        <w:ind w:left="573" w:right="0" w:hanging="420"/>
        <w:jc w:val="left"/>
      </w:pPr>
      <w:r>
        <w:rPr/>
        <w:t>确认该金融资产；如保留了金融资产所有权上几乎所有的风险和报酬的，则不终止确认该金融资产。 </w:t>
      </w:r>
      <w:r>
        <w:rPr>
          <w:spacing w:val="-1"/>
        </w:rPr>
        <w:t>在判断金融资产转移是否满足上述金融资产终止确认条件时，采用实质重于形式的原则。公司将金融</w:t>
      </w:r>
    </w:p>
    <w:p>
      <w:pPr>
        <w:pStyle w:val="BodyText"/>
        <w:spacing w:line="408" w:lineRule="auto"/>
        <w:ind w:right="0"/>
        <w:jc w:val="left"/>
      </w:pPr>
      <w:r>
        <w:rPr>
          <w:spacing w:val="-1"/>
        </w:rPr>
        <w:t>资产转移区分为金融资产整体转移和部分转移。金融资产整体转移满足终止确认条件的，将下列两项金额</w:t>
      </w:r>
      <w:r>
        <w:rPr>
          <w:spacing w:val="-81"/>
        </w:rPr>
        <w:t> </w:t>
      </w:r>
      <w:r>
        <w:rPr>
          <w:spacing w:val="-81"/>
        </w:rPr>
      </w:r>
      <w:r>
        <w:rPr/>
        <w:t>的差额计入当期损益：</w:t>
      </w:r>
    </w:p>
    <w:p>
      <w:pPr>
        <w:pStyle w:val="BodyText"/>
        <w:spacing w:line="240" w:lineRule="auto"/>
        <w:ind w:left="574" w:right="0"/>
        <w:jc w:val="left"/>
      </w:pPr>
      <w:r>
        <w:rPr/>
        <w:t>（</w:t>
      </w:r>
      <w:r>
        <w:rPr>
          <w:rFonts w:ascii="Times New Roman" w:hAnsi="Times New Roman" w:cs="Times New Roman" w:eastAsia="Times New Roman" w:hint="default"/>
        </w:rPr>
        <w:t>1</w:t>
      </w:r>
      <w:r>
        <w:rPr/>
        <w:t>）所转移金融资产的账面价值；</w:t>
      </w:r>
    </w:p>
    <w:p>
      <w:pPr>
        <w:pStyle w:val="BodyText"/>
        <w:spacing w:line="386" w:lineRule="auto" w:before="177"/>
        <w:ind w:left="154" w:right="1141" w:firstLine="420"/>
        <w:jc w:val="both"/>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 为可供出售金融资产的情形）之和。</w:t>
      </w:r>
    </w:p>
    <w:p>
      <w:pPr>
        <w:pStyle w:val="BodyText"/>
        <w:spacing w:line="408" w:lineRule="auto" w:before="65"/>
        <w:ind w:left="154" w:right="1131" w:firstLine="420"/>
        <w:jc w:val="both"/>
      </w:pPr>
      <w:r>
        <w:rPr>
          <w:spacing w:val="-1"/>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pStyle w:val="BodyText"/>
        <w:spacing w:line="240" w:lineRule="auto"/>
        <w:ind w:left="573" w:right="0"/>
        <w:jc w:val="left"/>
      </w:pPr>
      <w:r>
        <w:rPr/>
        <w:t>（</w:t>
      </w:r>
      <w:r>
        <w:rPr>
          <w:rFonts w:ascii="Times New Roman" w:hAnsi="Times New Roman" w:cs="Times New Roman" w:eastAsia="Times New Roman" w:hint="default"/>
        </w:rPr>
        <w:t>1</w:t>
      </w:r>
      <w:r>
        <w:rPr/>
        <w:t>）终止确认部分的账面价值；</w:t>
      </w:r>
    </w:p>
    <w:p>
      <w:pPr>
        <w:pStyle w:val="BodyText"/>
        <w:spacing w:line="386" w:lineRule="auto" w:before="177"/>
        <w:ind w:right="1141" w:firstLine="420"/>
        <w:jc w:val="both"/>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 金额（涉及转移的金融资产为可供出售金融资产的情形）之和。</w:t>
      </w:r>
    </w:p>
    <w:p>
      <w:pPr>
        <w:pStyle w:val="BodyText"/>
        <w:spacing w:line="398" w:lineRule="auto" w:before="65"/>
        <w:ind w:left="573" w:right="0"/>
        <w:jc w:val="left"/>
      </w:pPr>
      <w:r>
        <w:rPr/>
        <w:t>金融资产转移不满足终止确认条件的，继续确认该金融资产，所收到的对价确认为一项金融负债。 </w:t>
      </w:r>
      <w:r>
        <w:rPr>
          <w:rFonts w:ascii="Times New Roman" w:hAnsi="Times New Roman" w:cs="Times New Roman" w:eastAsia="Times New Roman" w:hint="default"/>
        </w:rPr>
        <w:t>4</w:t>
      </w:r>
      <w:r>
        <w:rPr/>
        <w:t>、金融负债终止确认条件 </w:t>
      </w:r>
      <w:r>
        <w:rPr>
          <w:spacing w:val="-1"/>
        </w:rPr>
        <w:t>金融负债的现时义务全部或部分已经解除的，则终止确认该金融负债或其一部分；本公司若与债权人</w:t>
      </w:r>
    </w:p>
    <w:p>
      <w:pPr>
        <w:pStyle w:val="BodyText"/>
        <w:spacing w:line="408" w:lineRule="auto" w:before="54"/>
        <w:ind w:right="0"/>
        <w:jc w:val="left"/>
      </w:pPr>
      <w:r>
        <w:rPr>
          <w:spacing w:val="-1"/>
        </w:rPr>
        <w:t>签定协议，以承担新金融负债方式替换现存金融负债，且新金融负债与现存金融负债的合同条款实质上不</w:t>
      </w:r>
      <w:r>
        <w:rPr>
          <w:spacing w:val="-81"/>
        </w:rPr>
        <w:t> </w:t>
      </w:r>
      <w:r>
        <w:rPr>
          <w:spacing w:val="-81"/>
        </w:rPr>
      </w:r>
      <w:r>
        <w:rPr/>
        <w:t>同的，则终止确认现存金融负债，并同时确认新金融负债。</w:t>
      </w:r>
    </w:p>
    <w:p>
      <w:pPr>
        <w:pStyle w:val="BodyText"/>
        <w:spacing w:line="408" w:lineRule="auto"/>
        <w:ind w:left="154" w:right="1131" w:firstLine="420"/>
        <w:jc w:val="both"/>
      </w:pPr>
      <w:r>
        <w:rPr>
          <w:spacing w:val="-1"/>
        </w:rPr>
        <w:t>对现存金融负债全部或部分合同条款作出实质性修改的，则终止确认现存金融负债或其一部分，同时</w:t>
      </w:r>
      <w:r>
        <w:rPr/>
        <w:t> 将修改条款后的金融负债确认为一项新金融负债。</w:t>
      </w:r>
    </w:p>
    <w:p>
      <w:pPr>
        <w:pStyle w:val="BodyText"/>
        <w:spacing w:line="408" w:lineRule="auto"/>
        <w:ind w:left="154" w:right="1131" w:firstLine="420"/>
        <w:jc w:val="both"/>
      </w:pPr>
      <w:r>
        <w:rPr>
          <w:spacing w:val="-1"/>
        </w:rPr>
        <w:t>金融负债全部或部分终止确认时，终止确认的金融负债账面价值与支付对价（包括转出的非现金资产</w:t>
      </w:r>
      <w:r>
        <w:rPr/>
        <w:t> 或承担的新金融负债）之间的差额，计入当期损益。</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20"/>
        <w:jc w:val="both"/>
      </w:pPr>
      <w:r>
        <w:rPr>
          <w:spacing w:val="-1"/>
        </w:rPr>
        <w:t>本公司若回购部分金融负债的，在回购日按照继续确认部分与终止确认部分的相对公允价值，将该金</w:t>
      </w:r>
      <w:r>
        <w:rPr/>
        <w:t> </w:t>
      </w:r>
      <w:r>
        <w:rPr>
          <w:spacing w:val="-1"/>
        </w:rPr>
        <w:t>融负债整体的账面价值进行分配。分配给终止确认部分的账面价值与支付的对价（包括转出的非现金资产</w:t>
      </w:r>
      <w:r>
        <w:rPr>
          <w:spacing w:val="-81"/>
        </w:rPr>
        <w:t> </w:t>
      </w:r>
      <w:r>
        <w:rPr>
          <w:spacing w:val="-81"/>
        </w:rPr>
      </w:r>
      <w:r>
        <w:rPr/>
        <w:t>或承担的新金融负债）之间的差额，计入当期损益。</w:t>
      </w:r>
    </w:p>
    <w:p>
      <w:pPr>
        <w:pStyle w:val="BodyText"/>
        <w:spacing w:line="386" w:lineRule="auto"/>
        <w:ind w:left="573" w:right="0"/>
        <w:jc w:val="left"/>
      </w:pPr>
      <w:r>
        <w:rPr>
          <w:rFonts w:ascii="Times New Roman" w:hAnsi="Times New Roman" w:cs="Times New Roman" w:eastAsia="Times New Roman" w:hint="default"/>
        </w:rPr>
        <w:t>5</w:t>
      </w:r>
      <w:r>
        <w:rPr/>
        <w:t>、金融资产和金融负债的公允价值确定方法 </w:t>
      </w:r>
      <w:r>
        <w:rPr>
          <w:spacing w:val="-1"/>
        </w:rPr>
        <w:t>存在活跃市场的金融工具，以活跃市场中的报价确定其公允价值。不存在活跃市场的金融工具，采用</w:t>
      </w:r>
    </w:p>
    <w:p>
      <w:pPr>
        <w:pStyle w:val="BodyText"/>
        <w:spacing w:line="408" w:lineRule="auto" w:before="65"/>
        <w:ind w:right="1110"/>
        <w:jc w:val="both"/>
      </w:pPr>
      <w:r>
        <w:rPr>
          <w:spacing w:val="-1"/>
        </w:rPr>
        <w:t>估值技术确定其公允价值。在估值时，本公司采用在当前情况下适用并且有足够可利用数据和其他信息支</w:t>
      </w:r>
      <w:r>
        <w:rPr>
          <w:spacing w:val="-81"/>
        </w:rPr>
        <w:t> </w:t>
      </w:r>
      <w:r>
        <w:rPr>
          <w:spacing w:val="-81"/>
        </w:rPr>
      </w:r>
      <w:r>
        <w:rPr/>
        <w:t>持的估值技术，选择与市场参与者在相关资产或负债的交易中所考虑的资产或负债特征相一致的输入值， </w:t>
      </w:r>
      <w:r>
        <w:rPr>
          <w:spacing w:val="-1"/>
        </w:rPr>
        <w:t>并优先使用相关可观察输入值。只有在相关可观察输入值无法取得或取得不切实可行的情况下，才使用不</w:t>
      </w:r>
      <w:r>
        <w:rPr>
          <w:spacing w:val="-81"/>
        </w:rPr>
        <w:t> </w:t>
      </w:r>
      <w:r>
        <w:rPr>
          <w:spacing w:val="-81"/>
        </w:rPr>
      </w:r>
      <w:r>
        <w:rPr/>
        <w:t>可观察输入值。</w:t>
      </w:r>
    </w:p>
    <w:p>
      <w:pPr>
        <w:pStyle w:val="BodyText"/>
        <w:spacing w:line="386" w:lineRule="auto"/>
        <w:ind w:left="573" w:right="0"/>
        <w:jc w:val="left"/>
      </w:pPr>
      <w:r>
        <w:rPr>
          <w:rFonts w:ascii="Times New Roman" w:hAnsi="Times New Roman" w:cs="Times New Roman" w:eastAsia="Times New Roman" w:hint="default"/>
        </w:rPr>
        <w:t>6</w:t>
      </w:r>
      <w:r>
        <w:rPr/>
        <w:t>、金融资产（不含应收款项）减值测试方法 </w:t>
      </w:r>
      <w:r>
        <w:rPr>
          <w:spacing w:val="-1"/>
        </w:rPr>
        <w:t>除以公允价值计量且其变动计入当期损益的金融资产外，本公司于资产负债表日对金融资产的账面价</w:t>
      </w:r>
    </w:p>
    <w:p>
      <w:pPr>
        <w:pStyle w:val="BodyText"/>
        <w:spacing w:line="240" w:lineRule="auto" w:before="65"/>
        <w:ind w:right="0"/>
        <w:jc w:val="both"/>
      </w:pPr>
      <w:r>
        <w:rPr/>
        <w:t>值进行检查，如果有客观证据表明某项金融资产发生减值的，计提减值准备。</w:t>
      </w:r>
    </w:p>
    <w:p>
      <w:pPr>
        <w:spacing w:line="240" w:lineRule="auto" w:before="10"/>
        <w:rPr>
          <w:rFonts w:ascii="宋体" w:hAnsi="宋体" w:cs="宋体" w:eastAsia="宋体" w:hint="default"/>
          <w:sz w:val="14"/>
          <w:szCs w:val="14"/>
        </w:rPr>
      </w:pPr>
    </w:p>
    <w:p>
      <w:pPr>
        <w:pStyle w:val="BodyText"/>
        <w:spacing w:line="386" w:lineRule="auto" w:before="0"/>
        <w:ind w:left="573" w:right="0"/>
        <w:jc w:val="left"/>
      </w:pPr>
      <w:r>
        <w:rPr/>
        <w:t>（</w:t>
      </w:r>
      <w:r>
        <w:rPr>
          <w:rFonts w:ascii="Times New Roman" w:hAnsi="Times New Roman" w:cs="Times New Roman" w:eastAsia="Times New Roman" w:hint="default"/>
        </w:rPr>
        <w:t>1</w:t>
      </w:r>
      <w:r>
        <w:rPr/>
        <w:t>）可供出售金融资产的减值准备： </w:t>
      </w:r>
      <w:r>
        <w:rPr>
          <w:spacing w:val="-1"/>
        </w:rPr>
        <w:t>期末如果可供出售金融资产的公允价值发生严重下降，或在综合考虑各种相关因素后，预期这种下降</w:t>
      </w:r>
    </w:p>
    <w:p>
      <w:pPr>
        <w:pStyle w:val="BodyText"/>
        <w:spacing w:line="408" w:lineRule="auto" w:before="65"/>
        <w:ind w:right="1131"/>
        <w:jc w:val="both"/>
      </w:pPr>
      <w:r>
        <w:rPr>
          <w:spacing w:val="-1"/>
        </w:rPr>
        <w:t>趋势属于非暂时性的，就认定其已发生减值，将原直接计入所有者权益的公允价值下降形成的累计损失一</w:t>
      </w:r>
      <w:r>
        <w:rPr>
          <w:spacing w:val="-81"/>
        </w:rPr>
        <w:t> </w:t>
      </w:r>
      <w:r>
        <w:rPr>
          <w:spacing w:val="-81"/>
        </w:rPr>
      </w:r>
      <w:r>
        <w:rPr/>
        <w:t>并转出，确认减值损失。</w:t>
      </w:r>
    </w:p>
    <w:p>
      <w:pPr>
        <w:pStyle w:val="BodyText"/>
        <w:spacing w:line="408" w:lineRule="auto"/>
        <w:ind w:right="1132" w:firstLine="420"/>
        <w:jc w:val="both"/>
      </w:pPr>
      <w:r>
        <w:rPr>
          <w:spacing w:val="-1"/>
        </w:rPr>
        <w:t>对于已确认减值损失的可供出售债务工具，在随后的会计期间公允价值已上升且客观上与确认原减值</w:t>
      </w:r>
      <w:r>
        <w:rPr/>
        <w:t> 损失确认后发生的事项有关的，原确认的减值损失予以转回，计入当期损益。</w:t>
      </w:r>
    </w:p>
    <w:p>
      <w:pPr>
        <w:pStyle w:val="BodyText"/>
        <w:spacing w:line="391" w:lineRule="auto"/>
        <w:ind w:left="573" w:right="1572"/>
        <w:jc w:val="left"/>
      </w:pPr>
      <w:r>
        <w:rPr/>
        <w:t>可供出售权益工具投资发生的减值损失，不通过损益转回。 本公司对可供出售权益工具投资的公允价值下跌</w:t>
      </w:r>
      <w:r>
        <w:rPr>
          <w:rFonts w:ascii="Times New Roman" w:hAnsi="Times New Roman" w:cs="Times New Roman" w:eastAsia="Times New Roman" w:hint="default"/>
        </w:rPr>
        <w:t>“</w:t>
      </w:r>
      <w:r>
        <w:rPr/>
        <w:t>严重</w:t>
      </w:r>
      <w:r>
        <w:rPr>
          <w:rFonts w:ascii="Times New Roman" w:hAnsi="Times New Roman" w:cs="Times New Roman" w:eastAsia="Times New Roman" w:hint="default"/>
        </w:rPr>
        <w:t>”</w:t>
      </w:r>
      <w:r>
        <w:rPr/>
        <w:t>的标准为： 本公司对可供出售权益工具投资的公允价值下跌</w:t>
      </w:r>
      <w:r>
        <w:rPr>
          <w:rFonts w:ascii="Times New Roman" w:hAnsi="Times New Roman" w:cs="Times New Roman" w:eastAsia="Times New Roman" w:hint="default"/>
        </w:rPr>
        <w:t>“</w:t>
      </w:r>
      <w:r>
        <w:rPr/>
        <w:t>严重</w:t>
      </w:r>
      <w:r>
        <w:rPr>
          <w:rFonts w:ascii="Times New Roman" w:hAnsi="Times New Roman" w:cs="Times New Roman" w:eastAsia="Times New Roman" w:hint="default"/>
        </w:rPr>
        <w:t>”</w:t>
      </w:r>
      <w:r>
        <w:rPr/>
        <w:t>的标准为公允价值下降幅度超过</w:t>
      </w:r>
      <w:r>
        <w:rPr>
          <w:rFonts w:ascii="Times New Roman" w:hAnsi="Times New Roman" w:cs="Times New Roman" w:eastAsia="Times New Roman" w:hint="default"/>
        </w:rPr>
        <w:t>30%</w:t>
      </w:r>
      <w:r>
        <w:rPr/>
        <w:t>的。</w:t>
      </w:r>
      <w:r>
        <w:rPr>
          <w:spacing w:val="-2"/>
        </w:rPr>
        <w:t> </w:t>
      </w:r>
      <w:r>
        <w:rPr/>
        <w:t>本公司对可供出售权益工具投资的公允价值下跌</w:t>
      </w:r>
      <w:r>
        <w:rPr>
          <w:rFonts w:ascii="Times New Roman" w:hAnsi="Times New Roman" w:cs="Times New Roman" w:eastAsia="Times New Roman" w:hint="default"/>
        </w:rPr>
        <w:t>“</w:t>
      </w:r>
      <w:r>
        <w:rPr/>
        <w:t>非暂时性</w:t>
      </w:r>
      <w:r>
        <w:rPr>
          <w:rFonts w:ascii="Times New Roman" w:hAnsi="Times New Roman" w:cs="Times New Roman" w:eastAsia="Times New Roman" w:hint="default"/>
        </w:rPr>
        <w:t>”</w:t>
      </w:r>
      <w:r>
        <w:rPr/>
        <w:t>的标准为： 本公司对可供出售权益工具投资的公允价值下跌跌于其成本超过</w:t>
      </w:r>
      <w:r>
        <w:rPr>
          <w:rFonts w:ascii="Times New Roman" w:hAnsi="Times New Roman" w:cs="Times New Roman" w:eastAsia="Times New Roman" w:hint="default"/>
        </w:rPr>
        <w:t>6</w:t>
      </w:r>
      <w:r>
        <w:rPr/>
        <w:t>个月以上尚未回暖的。</w:t>
      </w:r>
    </w:p>
    <w:p>
      <w:pPr>
        <w:pStyle w:val="BodyText"/>
        <w:spacing w:line="386" w:lineRule="auto" w:before="30"/>
        <w:ind w:left="574" w:right="3822"/>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pStyle w:val="Heading3"/>
        <w:spacing w:line="240" w:lineRule="auto" w:before="65"/>
        <w:ind w:left="154" w:right="0"/>
        <w:jc w:val="both"/>
        <w:rPr>
          <w:b w:val="0"/>
          <w:bCs w:val="0"/>
        </w:rPr>
      </w:pPr>
      <w:bookmarkStart w:name="11、应收款项" w:id="185"/>
      <w:bookmarkEnd w:id="185"/>
      <w:r>
        <w:rPr>
          <w:b w:val="0"/>
          <w:bCs w:val="0"/>
        </w:rPr>
      </w:r>
      <w:r>
        <w:rPr>
          <w:rFonts w:ascii="Times New Roman" w:hAnsi="Times New Roman" w:cs="Times New Roman" w:eastAsia="Times New Roman" w:hint="default"/>
        </w:rPr>
        <w:t>11</w:t>
      </w:r>
      <w:r>
        <w:rPr/>
        <w:t>、应收款项</w:t>
      </w:r>
      <w:r>
        <w:rPr>
          <w:b w:val="0"/>
          <w:bCs w:val="0"/>
        </w:rPr>
      </w:r>
    </w:p>
    <w:p>
      <w:pPr>
        <w:pStyle w:val="Heading3"/>
        <w:spacing w:line="240" w:lineRule="auto" w:before="177"/>
        <w:ind w:left="154" w:right="0"/>
        <w:jc w:val="both"/>
        <w:rPr>
          <w:b w:val="0"/>
          <w:bCs w:val="0"/>
        </w:rPr>
      </w:pPr>
      <w:bookmarkStart w:name="（1）单项金额重大并单独计提坏账准备的应收款项" w:id="186"/>
      <w:bookmarkEnd w:id="186"/>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0"/>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94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88"/>
              <w:ind w:left="23" w:right="68"/>
              <w:jc w:val="left"/>
              <w:rPr>
                <w:rFonts w:ascii="宋体" w:hAnsi="宋体" w:cs="宋体" w:eastAsia="宋体" w:hint="default"/>
                <w:sz w:val="18"/>
                <w:szCs w:val="18"/>
              </w:rPr>
            </w:pPr>
            <w:r>
              <w:rPr>
                <w:rFonts w:ascii="宋体" w:hAnsi="宋体" w:cs="宋体" w:eastAsia="宋体" w:hint="default"/>
                <w:sz w:val="18"/>
                <w:szCs w:val="18"/>
              </w:rPr>
              <w:t>本公司单项金额重大的应收款项为期末余额在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 的应收款项</w:t>
            </w:r>
          </w:p>
        </w:tc>
      </w:tr>
    </w:tbl>
    <w:p>
      <w:pPr>
        <w:spacing w:after="0" w:line="451"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88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3" w:right="68"/>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本公司对单项金额重大的应收款项单独进行减值测试，如有 客观证据表明其已发生减值，按预计未来现金流量现值低于 其账面价值的差额计提坏账准备，计入当期损益。单独测试</w:t>
            </w:r>
          </w:p>
          <w:p>
            <w:pPr>
              <w:pStyle w:val="TableParagraph"/>
              <w:spacing w:line="240" w:lineRule="auto" w:before="54"/>
              <w:ind w:left="23" w:right="0"/>
              <w:jc w:val="both"/>
              <w:rPr>
                <w:rFonts w:ascii="宋体" w:hAnsi="宋体" w:cs="宋体" w:eastAsia="宋体" w:hint="default"/>
                <w:sz w:val="18"/>
                <w:szCs w:val="18"/>
              </w:rPr>
            </w:pPr>
            <w:r>
              <w:rPr>
                <w:rFonts w:ascii="宋体" w:hAnsi="宋体" w:cs="宋体" w:eastAsia="宋体" w:hint="default"/>
                <w:sz w:val="18"/>
                <w:szCs w:val="18"/>
              </w:rPr>
              <w:t>未发生减值的应收款项，将其归入相应组合计提坏账准备。</w:t>
            </w:r>
          </w:p>
        </w:tc>
      </w:tr>
    </w:tbl>
    <w:p>
      <w:pPr>
        <w:pStyle w:val="Heading3"/>
        <w:spacing w:line="240" w:lineRule="auto" w:before="63"/>
        <w:ind w:left="154" w:right="0"/>
        <w:jc w:val="left"/>
        <w:rPr>
          <w:b w:val="0"/>
          <w:bCs w:val="0"/>
        </w:rPr>
      </w:pPr>
      <w:bookmarkStart w:name="（2）按信用风险特征组合计提坏账准备的应收款项" w:id="187"/>
      <w:bookmarkEnd w:id="187"/>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7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79"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非合并范围内应收款项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line="240" w:lineRule="auto" w:before="10"/>
        <w:rPr>
          <w:rFonts w:ascii="宋体" w:hAnsi="宋体" w:cs="宋体" w:eastAsia="宋体" w:hint="default"/>
          <w:sz w:val="17"/>
          <w:szCs w:val="17"/>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7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7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6.00%</w:t>
            </w:r>
          </w:p>
        </w:tc>
      </w:tr>
      <w:tr>
        <w:trPr>
          <w:trHeight w:val="479"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8.00%</w:t>
            </w:r>
          </w:p>
        </w:tc>
      </w:tr>
      <w:tr>
        <w:trPr>
          <w:trHeight w:val="47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10.00%</w:t>
            </w:r>
          </w:p>
        </w:tc>
      </w:tr>
      <w:tr>
        <w:trPr>
          <w:trHeight w:val="47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20.00%</w:t>
            </w:r>
          </w:p>
        </w:tc>
      </w:tr>
      <w:tr>
        <w:trPr>
          <w:trHeight w:val="479"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30.00%</w:t>
            </w:r>
          </w:p>
        </w:tc>
      </w:tr>
      <w:tr>
        <w:trPr>
          <w:trHeight w:val="47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50.00%</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240" w:lineRule="auto" w:before="10"/>
        <w:rPr>
          <w:rFonts w:ascii="宋体" w:hAnsi="宋体" w:cs="宋体" w:eastAsia="宋体" w:hint="default"/>
          <w:sz w:val="17"/>
          <w:szCs w:val="17"/>
        </w:rPr>
      </w:pPr>
    </w:p>
    <w:p>
      <w:pPr>
        <w:spacing w:line="451" w:lineRule="auto" w:before="0"/>
        <w:ind w:left="15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7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3）单项金额不重大但单独计提坏账准备的应收款项" w:id="188"/>
      <w:bookmarkEnd w:id="188"/>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79"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得到有效证据表明应当单独计提坏账准备时</w:t>
            </w:r>
          </w:p>
        </w:tc>
      </w:tr>
      <w:tr>
        <w:trPr>
          <w:trHeight w:val="47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按照实际余额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计提坏账准备</w:t>
            </w:r>
          </w:p>
        </w:tc>
      </w:tr>
    </w:tbl>
    <w:p>
      <w:pPr>
        <w:pStyle w:val="Heading3"/>
        <w:spacing w:line="240" w:lineRule="auto" w:before="63"/>
        <w:ind w:left="154" w:right="0"/>
        <w:jc w:val="left"/>
        <w:rPr>
          <w:b w:val="0"/>
          <w:bCs w:val="0"/>
        </w:rPr>
      </w:pPr>
      <w:bookmarkStart w:name="12、存货" w:id="189"/>
      <w:bookmarkEnd w:id="189"/>
      <w:r>
        <w:rPr>
          <w:b w:val="0"/>
          <w:bCs w:val="0"/>
        </w:rPr>
      </w:r>
      <w:r>
        <w:rPr>
          <w:rFonts w:ascii="Times New Roman" w:hAnsi="Times New Roman" w:cs="Times New Roman" w:eastAsia="Times New Roman" w:hint="default"/>
        </w:rPr>
        <w:t>12</w:t>
      </w:r>
      <w:r>
        <w:rPr/>
        <w:t>、存货</w:t>
      </w:r>
      <w:r>
        <w:rPr>
          <w:b w:val="0"/>
          <w:bCs w:val="0"/>
        </w:rPr>
      </w:r>
    </w:p>
    <w:p>
      <w:pPr>
        <w:spacing w:line="240" w:lineRule="auto" w:before="6"/>
        <w:rPr>
          <w:rFonts w:ascii="宋体" w:hAnsi="宋体" w:cs="宋体" w:eastAsia="宋体" w:hint="default"/>
          <w:b/>
          <w:bCs/>
          <w:sz w:val="15"/>
          <w:szCs w:val="15"/>
        </w:rPr>
      </w:pPr>
    </w:p>
    <w:p>
      <w:pPr>
        <w:spacing w:line="47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98" w:lineRule="auto" w:before="29"/>
        <w:ind w:left="573" w:right="1723"/>
        <w:jc w:val="left"/>
      </w:pPr>
      <w:r>
        <w:rPr>
          <w:rFonts w:ascii="Times New Roman" w:hAnsi="Times New Roman" w:cs="Times New Roman" w:eastAsia="Times New Roman" w:hint="default"/>
        </w:rPr>
        <w:t>1</w:t>
      </w:r>
      <w:r>
        <w:rPr/>
        <w:t>、存货分类： 本公司存货分类为：库存商品、原材料、包装物、在产品、自制半成品、消耗性生物资产等。 </w:t>
      </w:r>
      <w:r>
        <w:rPr>
          <w:rFonts w:ascii="Times New Roman" w:hAnsi="Times New Roman" w:cs="Times New Roman" w:eastAsia="Times New Roman" w:hint="default"/>
        </w:rPr>
        <w:t>2</w:t>
      </w:r>
      <w:r>
        <w:rPr/>
        <w:t>、存货发出的计价方法：</w:t>
      </w:r>
    </w:p>
    <w:p>
      <w:pPr>
        <w:spacing w:after="0" w:line="39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573" w:right="0"/>
        <w:jc w:val="left"/>
      </w:pPr>
      <w:r>
        <w:rPr/>
        <w:t>本公司存货发出时按照加权平均法计价。</w:t>
      </w:r>
    </w:p>
    <w:p>
      <w:pPr>
        <w:spacing w:line="240" w:lineRule="auto" w:before="10"/>
        <w:rPr>
          <w:rFonts w:ascii="宋体" w:hAnsi="宋体" w:cs="宋体" w:eastAsia="宋体" w:hint="default"/>
          <w:sz w:val="14"/>
          <w:szCs w:val="14"/>
        </w:rPr>
      </w:pPr>
    </w:p>
    <w:p>
      <w:pPr>
        <w:pStyle w:val="BodyText"/>
        <w:spacing w:line="386" w:lineRule="auto" w:before="0"/>
        <w:ind w:left="573" w:right="0"/>
        <w:jc w:val="left"/>
      </w:pPr>
      <w:r>
        <w:rPr>
          <w:rFonts w:ascii="Times New Roman" w:hAnsi="Times New Roman" w:cs="Times New Roman" w:eastAsia="Times New Roman" w:hint="default"/>
        </w:rPr>
        <w:t>3</w:t>
      </w:r>
      <w:r>
        <w:rPr/>
        <w:t>、不同类别存货可变现净值的确定依据 </w:t>
      </w:r>
      <w:r>
        <w:rPr>
          <w:spacing w:val="-1"/>
        </w:rPr>
        <w:t>产成品、库存商品和用于出售的材料等直接用于出售的商品存货，在正常生产经营过程中，以该存货</w:t>
      </w:r>
    </w:p>
    <w:p>
      <w:pPr>
        <w:pStyle w:val="BodyText"/>
        <w:spacing w:line="408" w:lineRule="auto" w:before="65"/>
        <w:ind w:right="1131"/>
        <w:jc w:val="both"/>
      </w:pPr>
      <w:r>
        <w:rPr>
          <w:spacing w:val="-1"/>
        </w:rPr>
        <w:t>的估计售价减去估计的销售费用和相关税费后的金额，确定其可变现净值；需要经过加工的材料存货，在</w:t>
      </w:r>
      <w:r>
        <w:rPr>
          <w:spacing w:val="-83"/>
        </w:rPr>
        <w:t> </w:t>
      </w:r>
      <w:r>
        <w:rPr>
          <w:spacing w:val="-83"/>
        </w:rPr>
      </w:r>
      <w:r>
        <w:rPr>
          <w:spacing w:val="-1"/>
        </w:rPr>
        <w:t>正常生产经营过程中，以所生产的产成品的估计售价减去至完工时估计将要发生的成本、估计的销售费用</w:t>
      </w:r>
      <w:r>
        <w:rPr>
          <w:spacing w:val="-81"/>
        </w:rPr>
        <w:t> </w:t>
      </w:r>
      <w:r>
        <w:rPr>
          <w:spacing w:val="-81"/>
        </w:rPr>
      </w:r>
      <w:r>
        <w:rPr>
          <w:spacing w:val="-1"/>
        </w:rPr>
        <w:t>和相关税费后的金额，确定其可变现净值；为执行销售合同或者劳务合同而持有的存货，其可变现净值以</w:t>
      </w:r>
      <w:r>
        <w:rPr>
          <w:spacing w:val="-83"/>
        </w:rPr>
        <w:t> </w:t>
      </w:r>
      <w:r>
        <w:rPr>
          <w:spacing w:val="-83"/>
        </w:rPr>
      </w:r>
      <w:r>
        <w:rPr>
          <w:spacing w:val="-1"/>
        </w:rPr>
        <w:t>合同价格为基础计算，若持有存货的数量多于销售合同订购数量的，超出部分的存货的可变现净值以一般</w:t>
      </w:r>
      <w:r>
        <w:rPr>
          <w:spacing w:val="-81"/>
        </w:rPr>
        <w:t> </w:t>
      </w:r>
      <w:r>
        <w:rPr>
          <w:spacing w:val="-81"/>
        </w:rPr>
      </w:r>
      <w:r>
        <w:rPr/>
        <w:t>销售价格为基础计算。</w:t>
      </w:r>
    </w:p>
    <w:p>
      <w:pPr>
        <w:pStyle w:val="BodyText"/>
        <w:spacing w:line="408" w:lineRule="auto"/>
        <w:ind w:right="1131" w:firstLine="420"/>
        <w:jc w:val="both"/>
      </w:pPr>
      <w:r>
        <w:rPr>
          <w:spacing w:val="-1"/>
        </w:rPr>
        <w:t>期末按照单个存货项目计提存货跌价准备；但对于数量繁多、单价较低的存货，按照存货类别计提存</w:t>
      </w:r>
      <w:r>
        <w:rPr/>
        <w:t> </w:t>
      </w:r>
      <w:r>
        <w:rPr>
          <w:spacing w:val="-1"/>
        </w:rPr>
        <w:t>货跌价准备；与在同一地区生产和销售的产品系列相关、具有相同或类似最终用途或目的，且难以与其他</w:t>
      </w:r>
      <w:r>
        <w:rPr>
          <w:spacing w:val="-83"/>
        </w:rPr>
        <w:t> </w:t>
      </w:r>
      <w:r>
        <w:rPr>
          <w:spacing w:val="-83"/>
        </w:rPr>
      </w:r>
      <w:r>
        <w:rPr/>
        <w:t>项目分开计量的存货，则合并计提存货跌价准备。</w:t>
      </w:r>
    </w:p>
    <w:p>
      <w:pPr>
        <w:pStyle w:val="BodyText"/>
        <w:spacing w:line="408" w:lineRule="auto"/>
        <w:ind w:right="1118" w:firstLine="420"/>
        <w:jc w:val="left"/>
      </w:pPr>
      <w:r>
        <w:rPr>
          <w:spacing w:val="-1"/>
        </w:rPr>
        <w:t>除有明确证据表明资产负债表日市场价格异常外，存货项目的可变现净值以资产负债表日市场价格为</w:t>
      </w:r>
      <w:r>
        <w:rPr/>
        <w:t> 基础确定。</w:t>
      </w:r>
    </w:p>
    <w:p>
      <w:pPr>
        <w:pStyle w:val="BodyText"/>
        <w:spacing w:line="240" w:lineRule="auto"/>
        <w:ind w:left="573" w:right="0"/>
        <w:jc w:val="left"/>
      </w:pPr>
      <w:r>
        <w:rPr/>
        <w:t>本期期末存货项目的可变现净值以资产负债表日市场价格为基础确定。</w:t>
      </w:r>
    </w:p>
    <w:p>
      <w:pPr>
        <w:spacing w:line="240" w:lineRule="auto" w:before="10"/>
        <w:rPr>
          <w:rFonts w:ascii="宋体" w:hAnsi="宋体" w:cs="宋体" w:eastAsia="宋体" w:hint="default"/>
          <w:sz w:val="14"/>
          <w:szCs w:val="14"/>
        </w:rPr>
      </w:pPr>
    </w:p>
    <w:p>
      <w:pPr>
        <w:pStyle w:val="BodyText"/>
        <w:spacing w:line="398" w:lineRule="auto" w:before="0"/>
        <w:ind w:left="565" w:right="7086" w:firstLine="8"/>
        <w:jc w:val="left"/>
      </w:pPr>
      <w:r>
        <w:rPr>
          <w:rFonts w:ascii="Times New Roman" w:hAnsi="Times New Roman" w:cs="Times New Roman" w:eastAsia="Times New Roman" w:hint="default"/>
        </w:rPr>
        <w:t>4</w:t>
      </w:r>
      <w:r>
        <w:rPr/>
        <w:t>、存货的盘存制度 本公司存货采取永续盘存制。 </w:t>
      </w:r>
      <w:r>
        <w:rPr>
          <w:rFonts w:ascii="Times New Roman" w:hAnsi="Times New Roman" w:cs="Times New Roman" w:eastAsia="Times New Roman" w:hint="default"/>
        </w:rPr>
        <w:t>5</w:t>
      </w:r>
      <w:r>
        <w:rPr/>
        <w:t>、低值易耗品和包装物的转销方法</w:t>
      </w:r>
    </w:p>
    <w:p>
      <w:pPr>
        <w:pStyle w:val="BodyText"/>
        <w:spacing w:line="240" w:lineRule="auto" w:before="24"/>
        <w:ind w:left="565" w:right="0"/>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177"/>
        <w:ind w:left="565" w:right="0"/>
        <w:jc w:val="left"/>
      </w:pPr>
      <w:r>
        <w:rPr/>
        <w:t>（</w:t>
      </w:r>
      <w:r>
        <w:rPr>
          <w:rFonts w:ascii="Times New Roman" w:hAnsi="Times New Roman" w:cs="Times New Roman" w:eastAsia="Times New Roman" w:hint="default"/>
        </w:rPr>
        <w:t>2</w:t>
      </w:r>
      <w:r>
        <w:rPr/>
        <w:t>）包装物采用一次转销法</w:t>
      </w:r>
    </w:p>
    <w:p>
      <w:pPr>
        <w:spacing w:line="386" w:lineRule="auto" w:before="177"/>
        <w:ind w:left="565" w:right="3621" w:hanging="412"/>
        <w:jc w:val="left"/>
        <w:rPr>
          <w:rFonts w:ascii="宋体" w:hAnsi="宋体" w:cs="宋体" w:eastAsia="宋体" w:hint="default"/>
          <w:sz w:val="21"/>
          <w:szCs w:val="21"/>
        </w:rPr>
      </w:pPr>
      <w:bookmarkStart w:name="13、持有待售资产" w:id="190"/>
      <w:bookmarkEnd w:id="190"/>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、持有待售资产</w:t>
      </w:r>
      <w:r>
        <w:rPr>
          <w:rFonts w:ascii="宋体" w:hAnsi="宋体" w:cs="宋体" w:eastAsia="宋体" w:hint="default"/>
          <w:b/>
          <w:bCs/>
          <w:w w:val="99"/>
          <w:sz w:val="21"/>
          <w:szCs w:val="21"/>
        </w:rPr>
        <w:t> </w:t>
      </w:r>
      <w:r>
        <w:rPr>
          <w:rFonts w:ascii="宋体" w:hAnsi="宋体" w:cs="宋体" w:eastAsia="宋体" w:hint="default"/>
          <w:sz w:val="21"/>
          <w:szCs w:val="21"/>
        </w:rPr>
        <w:t>本公司将同时满足下列条件的非流动资产或处置组划分为持有待售类别：</w:t>
      </w:r>
    </w:p>
    <w:p>
      <w:pPr>
        <w:pStyle w:val="BodyText"/>
        <w:spacing w:line="240" w:lineRule="auto" w:before="65"/>
        <w:ind w:left="565" w:right="0"/>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86" w:lineRule="auto" w:before="177"/>
        <w:ind w:left="154" w:right="0" w:firstLine="411"/>
        <w:jc w:val="left"/>
      </w:pPr>
      <w:r>
        <w:rPr/>
        <w:t>（</w:t>
      </w:r>
      <w:r>
        <w:rPr>
          <w:rFonts w:ascii="Times New Roman" w:hAnsi="Times New Roman" w:cs="Times New Roman" w:eastAsia="Times New Roman" w:hint="default"/>
        </w:rPr>
        <w:t>2</w:t>
      </w:r>
      <w:r>
        <w:rPr/>
        <w:t>）出售极可能发生，即本公司已经就一项出售计划作出决议且获得确定的购买承诺，预计出售将 在一年内完成。有关规定要求本公司相关权力机构或者监管部门批准后方可出售的，已经获得批准。</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3"/>
        <w:spacing w:line="240" w:lineRule="auto"/>
        <w:ind w:left="154" w:right="0"/>
        <w:jc w:val="both"/>
        <w:rPr>
          <w:b w:val="0"/>
          <w:bCs w:val="0"/>
        </w:rPr>
      </w:pPr>
      <w:bookmarkStart w:name="14、长期股权投资" w:id="191"/>
      <w:bookmarkEnd w:id="191"/>
      <w:r>
        <w:rPr>
          <w:b w:val="0"/>
          <w:bCs w:val="0"/>
        </w:rPr>
      </w:r>
      <w:r>
        <w:rPr>
          <w:rFonts w:ascii="Times New Roman" w:hAnsi="Times New Roman" w:cs="Times New Roman" w:eastAsia="Times New Roman" w:hint="default"/>
        </w:rPr>
        <w:t>14</w:t>
      </w:r>
      <w:r>
        <w:rPr/>
        <w:t>、长期股权投资</w:t>
      </w:r>
      <w:r>
        <w:rPr>
          <w:b w:val="0"/>
          <w:bCs w:val="0"/>
        </w:rPr>
      </w:r>
    </w:p>
    <w:p>
      <w:pPr>
        <w:pStyle w:val="BodyText"/>
        <w:spacing w:line="386" w:lineRule="auto" w:before="177"/>
        <w:ind w:left="574" w:right="0"/>
        <w:jc w:val="left"/>
      </w:pPr>
      <w:r>
        <w:rPr>
          <w:rFonts w:ascii="Times New Roman" w:hAnsi="Times New Roman" w:cs="Times New Roman" w:eastAsia="Times New Roman" w:hint="default"/>
        </w:rPr>
        <w:t>1</w:t>
      </w:r>
      <w:r>
        <w:rPr/>
        <w:t>、共同控制、重大影响的判断标准 </w:t>
      </w:r>
      <w:r>
        <w:rPr>
          <w:spacing w:val="-1"/>
        </w:rPr>
        <w:t>共同控制，是指按照相关约定对某项安排所共有的控制，并且该安排的相关活动必须经过分享控制权</w:t>
      </w:r>
    </w:p>
    <w:p>
      <w:pPr>
        <w:pStyle w:val="BodyText"/>
        <w:spacing w:line="408" w:lineRule="auto" w:before="65"/>
        <w:ind w:left="154" w:right="1132"/>
        <w:jc w:val="both"/>
      </w:pPr>
      <w:r>
        <w:rPr>
          <w:spacing w:val="-1"/>
        </w:rPr>
        <w:t>的参与方一致同意后才能决策。本公司与其他合营方一同对被投资单位实施共同控制且对被投资单位净资</w:t>
      </w:r>
      <w:r>
        <w:rPr>
          <w:spacing w:val="-81"/>
        </w:rPr>
        <w:t> </w:t>
      </w:r>
      <w:r>
        <w:rPr>
          <w:spacing w:val="-81"/>
        </w:rPr>
      </w:r>
      <w:r>
        <w:rPr/>
        <w:t>产享有权利的，被投资单位为本公司的合营企业。</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20"/>
        <w:jc w:val="both"/>
      </w:pPr>
      <w:r>
        <w:rPr>
          <w:spacing w:val="-1"/>
        </w:rPr>
        <w:t>重大影响，是指对一个企业的财务和经营决策有参与决策的权力，但并不能够控制或者与其他方一起</w:t>
      </w:r>
      <w:r>
        <w:rPr/>
        <w:t> 共同控制这些政策的制定。本公司能够对被投资单位施加重大影响的，被投资单位为本公司联营企业。</w:t>
      </w:r>
    </w:p>
    <w:p>
      <w:pPr>
        <w:pStyle w:val="BodyText"/>
        <w:spacing w:line="240" w:lineRule="auto"/>
        <w:ind w:left="573" w:right="0"/>
        <w:jc w:val="left"/>
      </w:pPr>
      <w:r>
        <w:rPr>
          <w:rFonts w:ascii="Times New Roman" w:hAnsi="Times New Roman" w:cs="Times New Roman" w:eastAsia="Times New Roman" w:hint="default"/>
        </w:rPr>
        <w:t>2</w:t>
      </w:r>
      <w:r>
        <w:rPr/>
        <w:t>、初始投资成本的确定</w:t>
      </w:r>
    </w:p>
    <w:p>
      <w:pPr>
        <w:pStyle w:val="BodyText"/>
        <w:spacing w:line="386" w:lineRule="auto" w:before="177"/>
        <w:ind w:left="573" w:right="0"/>
        <w:jc w:val="left"/>
      </w:pPr>
      <w:r>
        <w:rPr/>
        <w:t>（</w:t>
      </w:r>
      <w:r>
        <w:rPr>
          <w:rFonts w:ascii="Times New Roman" w:hAnsi="Times New Roman" w:cs="Times New Roman" w:eastAsia="Times New Roman" w:hint="default"/>
        </w:rPr>
        <w:t>1</w:t>
      </w:r>
      <w:r>
        <w:rPr/>
        <w:t>）企业合并形成的长期股权投资 </w:t>
      </w:r>
      <w:r>
        <w:rPr>
          <w:spacing w:val="-1"/>
        </w:rPr>
        <w:t>同一控制下的企业合并：公司以支付现金、转让非现金资产或承担债务方式以及以发行权益性证券作</w:t>
      </w:r>
    </w:p>
    <w:p>
      <w:pPr>
        <w:pStyle w:val="BodyText"/>
        <w:spacing w:line="408" w:lineRule="auto" w:before="65"/>
        <w:ind w:right="1130"/>
        <w:jc w:val="both"/>
      </w:pPr>
      <w:r>
        <w:rPr>
          <w:spacing w:val="-1"/>
        </w:rPr>
        <w:t>为合并对价的，在合并日按照取得被合并方所有者权益在最终控制方合并财务报表中的账面价值的份额作</w:t>
      </w:r>
      <w:r>
        <w:rPr>
          <w:spacing w:val="-81"/>
        </w:rPr>
        <w:t> </w:t>
      </w:r>
      <w:r>
        <w:rPr>
          <w:spacing w:val="-81"/>
        </w:rPr>
      </w:r>
      <w:r>
        <w:rPr>
          <w:spacing w:val="-1"/>
        </w:rPr>
        <w:t>为长期股权投资的初始投资成本。因追加投资等原因能够对同一控制下的被投资单位实施控制的，在合并</w:t>
      </w:r>
      <w:r>
        <w:rPr>
          <w:spacing w:val="-81"/>
        </w:rPr>
        <w:t> </w:t>
      </w:r>
      <w:r>
        <w:rPr>
          <w:spacing w:val="-81"/>
        </w:rPr>
      </w:r>
      <w:r>
        <w:rPr>
          <w:spacing w:val="-1"/>
        </w:rPr>
        <w:t>日根据合并后应享有被合并方净资产在最终控制方合并财务报表中的账面价值的份额，确定长期股权投资</w:t>
      </w:r>
      <w:r>
        <w:rPr>
          <w:spacing w:val="-81"/>
        </w:rPr>
        <w:t> </w:t>
      </w:r>
      <w:r>
        <w:rPr>
          <w:spacing w:val="-81"/>
        </w:rPr>
      </w:r>
      <w:r>
        <w:rPr>
          <w:spacing w:val="-1"/>
        </w:rPr>
        <w:t>的初始投资成本。合并日长期股权投资的初始投资成本，与达到合并前的长期股权投资账面价值加上合并</w:t>
      </w:r>
      <w:r>
        <w:rPr>
          <w:spacing w:val="-81"/>
        </w:rPr>
        <w:t> </w:t>
      </w:r>
      <w:r>
        <w:rPr>
          <w:spacing w:val="-81"/>
        </w:rPr>
      </w:r>
      <w:r>
        <w:rPr>
          <w:spacing w:val="-1"/>
        </w:rPr>
        <w:t>日进一步取得股份新支付对价的账面价值之和的差额，调整股本溢价，股本溢价不足冲减的，冲减留存收</w:t>
      </w:r>
      <w:r>
        <w:rPr>
          <w:spacing w:val="-83"/>
        </w:rPr>
        <w:t> </w:t>
      </w:r>
      <w:r>
        <w:rPr>
          <w:spacing w:val="-83"/>
        </w:rPr>
      </w:r>
      <w:r>
        <w:rPr/>
        <w:t>益。</w:t>
      </w:r>
    </w:p>
    <w:p>
      <w:pPr>
        <w:pStyle w:val="BodyText"/>
        <w:spacing w:line="408" w:lineRule="auto"/>
        <w:ind w:left="154" w:right="1131" w:firstLine="420"/>
        <w:jc w:val="both"/>
      </w:pPr>
      <w:r>
        <w:rPr>
          <w:spacing w:val="-1"/>
        </w:rPr>
        <w:t>非同一控制下的企业合并：公司按照购买日确定的合并成本作为长期股权投资的初始投资成本。因追</w:t>
      </w:r>
      <w:r>
        <w:rPr/>
        <w:t> </w:t>
      </w:r>
      <w:r>
        <w:rPr>
          <w:spacing w:val="-1"/>
        </w:rPr>
        <w:t>加投资等原因能够对非同一控制下的被投资单位实施控制的，按照原持有的股权投资账面价值加上新增投</w:t>
      </w:r>
      <w:r>
        <w:rPr>
          <w:spacing w:val="-81"/>
        </w:rPr>
        <w:t> </w:t>
      </w:r>
      <w:r>
        <w:rPr>
          <w:spacing w:val="-81"/>
        </w:rPr>
      </w:r>
      <w:r>
        <w:rPr/>
        <w:t>资成本之和，作为改按成本法核算的初始投资成本。</w:t>
      </w:r>
    </w:p>
    <w:p>
      <w:pPr>
        <w:pStyle w:val="BodyText"/>
        <w:spacing w:line="400" w:lineRule="auto"/>
        <w:ind w:left="573" w:right="0"/>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1"/>
        </w:rPr>
        <w:t>在非货币性资产交换具备商业实质和换入资产或换出资产的公允价值能够可靠计量的前提下，非货币</w:t>
      </w:r>
    </w:p>
    <w:p>
      <w:pPr>
        <w:pStyle w:val="BodyText"/>
        <w:spacing w:line="408" w:lineRule="auto" w:before="52"/>
        <w:ind w:right="1131"/>
        <w:jc w:val="both"/>
      </w:pPr>
      <w:r>
        <w:rPr>
          <w:spacing w:val="-1"/>
        </w:rPr>
        <w:t>性资产交换换入的长期股权投资以换出资产的公允价值和应支付的相关税费确定其初始投资成本，除非有</w:t>
      </w:r>
      <w:r>
        <w:rPr>
          <w:spacing w:val="-81"/>
        </w:rPr>
        <w:t> </w:t>
      </w:r>
      <w:r>
        <w:rPr>
          <w:spacing w:val="-81"/>
        </w:rPr>
      </w:r>
      <w:r>
        <w:rPr>
          <w:spacing w:val="-1"/>
        </w:rPr>
        <w:t>确凿证据表明换入资产的公允价值更加可靠；不满足上述前提的非货币性资产交换，以换出资产的账面价</w:t>
      </w:r>
      <w:r>
        <w:rPr>
          <w:spacing w:val="-81"/>
        </w:rPr>
        <w:t> </w:t>
      </w:r>
      <w:r>
        <w:rPr>
          <w:spacing w:val="-81"/>
        </w:rPr>
      </w:r>
      <w:r>
        <w:rPr/>
        <w:t>值和应支付的相关税费作为换入长期股权投资的初始投资成本。</w:t>
      </w:r>
    </w:p>
    <w:p>
      <w:pPr>
        <w:pStyle w:val="BodyText"/>
        <w:spacing w:line="240" w:lineRule="auto"/>
        <w:ind w:left="573" w:right="0"/>
        <w:jc w:val="left"/>
      </w:pPr>
      <w:r>
        <w:rPr/>
        <w:t>通过债务重组取得的长期股权投资，其初始投资成本按照公允价值为基础确定。</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rFonts w:ascii="Times New Roman" w:hAnsi="Times New Roman" w:cs="Times New Roman" w:eastAsia="Times New Roman" w:hint="default"/>
        </w:rPr>
        <w:t>3</w:t>
      </w:r>
      <w:r>
        <w:rPr/>
        <w:t>、后续计量及损益确认方法</w:t>
      </w:r>
    </w:p>
    <w:p>
      <w:pPr>
        <w:pStyle w:val="BodyText"/>
        <w:spacing w:line="386" w:lineRule="auto" w:before="177"/>
        <w:ind w:left="573" w:right="0"/>
        <w:jc w:val="left"/>
      </w:pPr>
      <w:r>
        <w:rPr/>
        <w:t>（</w:t>
      </w:r>
      <w:r>
        <w:rPr>
          <w:rFonts w:ascii="Times New Roman" w:hAnsi="Times New Roman" w:cs="Times New Roman" w:eastAsia="Times New Roman" w:hint="default"/>
        </w:rPr>
        <w:t>1</w:t>
      </w:r>
      <w:r>
        <w:rPr/>
        <w:t>）成本法核算的长期股权投资 </w:t>
      </w:r>
      <w:r>
        <w:rPr>
          <w:spacing w:val="-1"/>
        </w:rPr>
        <w:t>本公司对子公司的长期股权投资，采用成本法核算。除取得投资时实际支付的价款或对价中包含的已</w:t>
      </w:r>
    </w:p>
    <w:p>
      <w:pPr>
        <w:pStyle w:val="BodyText"/>
        <w:spacing w:line="408" w:lineRule="auto" w:before="65"/>
        <w:ind w:right="1131"/>
        <w:jc w:val="both"/>
      </w:pPr>
      <w:r>
        <w:rPr>
          <w:spacing w:val="-1"/>
        </w:rPr>
        <w:t>宣告但尚未发放的现金股利或利润外，公司按照享有被投资单位宣告发放的现金股利或利润确认当期投资</w:t>
      </w:r>
      <w:r>
        <w:rPr>
          <w:spacing w:val="-81"/>
        </w:rPr>
        <w:t> </w:t>
      </w:r>
      <w:r>
        <w:rPr>
          <w:spacing w:val="-81"/>
        </w:rPr>
      </w:r>
      <w:r>
        <w:rPr/>
        <w:t>收益。</w:t>
      </w:r>
    </w:p>
    <w:p>
      <w:pPr>
        <w:pStyle w:val="BodyText"/>
        <w:spacing w:line="386" w:lineRule="auto"/>
        <w:ind w:left="573" w:right="0"/>
        <w:jc w:val="left"/>
      </w:pPr>
      <w:r>
        <w:rPr/>
        <w:t>（</w:t>
      </w:r>
      <w:r>
        <w:rPr>
          <w:rFonts w:ascii="Times New Roman" w:hAnsi="Times New Roman" w:cs="Times New Roman" w:eastAsia="Times New Roman" w:hint="default"/>
        </w:rPr>
        <w:t>2</w:t>
      </w:r>
      <w:r>
        <w:rPr/>
        <w:t>）权益法核算的长期股权投资 </w:t>
      </w:r>
      <w:r>
        <w:rPr>
          <w:spacing w:val="-1"/>
        </w:rPr>
        <w:t>对联营企业和合营企业的长期股权投资，采用权益法核算。初始投资成本大于投资时应享有被投资单</w:t>
      </w:r>
    </w:p>
    <w:p>
      <w:pPr>
        <w:pStyle w:val="BodyText"/>
        <w:spacing w:line="240" w:lineRule="auto" w:before="65"/>
        <w:ind w:right="0"/>
        <w:jc w:val="both"/>
      </w:pPr>
      <w:r>
        <w:rPr/>
        <w:t>位可辨认净资产公允价值份额的差额，不调整长期股权投资的初始投资成本；初始投资成本小于投资时应</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3" w:right="0" w:hanging="420"/>
        <w:jc w:val="left"/>
      </w:pPr>
      <w:r>
        <w:rPr/>
        <w:t>享有被投资单位可辨认净资产公允价值份额的差额，计入当期损益。 </w:t>
      </w:r>
      <w:r>
        <w:rPr>
          <w:spacing w:val="-1"/>
        </w:rPr>
        <w:t>本公司按照应享有或应分担的被投资单位实现的净损益和其他综合收益的份额，分别确认投资收益和</w:t>
      </w:r>
    </w:p>
    <w:p>
      <w:pPr>
        <w:pStyle w:val="BodyText"/>
        <w:spacing w:line="408" w:lineRule="auto"/>
        <w:ind w:right="1131"/>
        <w:jc w:val="both"/>
      </w:pPr>
      <w:r>
        <w:rPr>
          <w:spacing w:val="-1"/>
        </w:rPr>
        <w:t>其他综合收益，同时调整长期股权投资的账面价值；按照被投资单位宣告分派的利润或现金股利计算应享</w:t>
      </w:r>
      <w:r>
        <w:rPr>
          <w:spacing w:val="-81"/>
        </w:rPr>
        <w:t> </w:t>
      </w:r>
      <w:r>
        <w:rPr>
          <w:spacing w:val="-81"/>
        </w:rPr>
      </w:r>
      <w:r>
        <w:rPr>
          <w:spacing w:val="-1"/>
        </w:rPr>
        <w:t>有的部分，相应减少长期股权投资的账面价值；对于被投资单位除净损益、其他综合收益和利润分配以外</w:t>
      </w:r>
      <w:r>
        <w:rPr>
          <w:spacing w:val="-83"/>
        </w:rPr>
        <w:t> </w:t>
      </w:r>
      <w:r>
        <w:rPr>
          <w:spacing w:val="-83"/>
        </w:rPr>
      </w:r>
      <w:r>
        <w:rPr/>
        <w:t>所有者权益的其他变动，调整长期股权投资的账面价值并计入所有者权益。</w:t>
      </w:r>
    </w:p>
    <w:p>
      <w:pPr>
        <w:pStyle w:val="BodyText"/>
        <w:spacing w:line="408" w:lineRule="auto"/>
        <w:ind w:right="1131" w:firstLine="420"/>
        <w:jc w:val="both"/>
      </w:pPr>
      <w:r>
        <w:rPr>
          <w:spacing w:val="3"/>
        </w:rPr>
        <w:t>在确认应享有被投资单位净损益的份额时，以取得投资时被投资单位可辨认净资产的公允价值为基</w:t>
      </w:r>
      <w:r>
        <w:rPr/>
        <w:t> </w:t>
      </w:r>
      <w:r>
        <w:rPr>
          <w:spacing w:val="-1"/>
        </w:rPr>
        <w:t>础，并按照公司的会计政策及会计期间，对被投资单位的净利润进行调整后确认。在持有投资期间，被投</w:t>
      </w:r>
      <w:r>
        <w:rPr>
          <w:spacing w:val="-86"/>
        </w:rPr>
        <w:t> </w:t>
      </w:r>
      <w:r>
        <w:rPr>
          <w:spacing w:val="-86"/>
        </w:rPr>
      </w:r>
      <w:r>
        <w:rPr>
          <w:spacing w:val="-1"/>
        </w:rPr>
        <w:t>资单位编制合并财务报表的，以合并财务报表中的净利润、其他综合收益和其他所有者权益变动中归属于</w:t>
      </w:r>
      <w:r>
        <w:rPr>
          <w:spacing w:val="-81"/>
        </w:rPr>
        <w:t> </w:t>
      </w:r>
      <w:r>
        <w:rPr>
          <w:spacing w:val="-81"/>
        </w:rPr>
      </w:r>
      <w:r>
        <w:rPr/>
        <w:t>被投资单位的金额为基础进行核算。</w:t>
      </w:r>
    </w:p>
    <w:p>
      <w:pPr>
        <w:pStyle w:val="BodyText"/>
        <w:spacing w:line="403" w:lineRule="auto"/>
        <w:ind w:right="1131" w:firstLine="420"/>
        <w:jc w:val="both"/>
      </w:pPr>
      <w:r>
        <w:rPr>
          <w:spacing w:val="-1"/>
        </w:rPr>
        <w:t>本公司与联营企业、合营企业之间发生的未实现内部交易损益按照应享有的比例计算归属于公司的部</w:t>
      </w:r>
      <w:r>
        <w:rPr/>
        <w:t> </w:t>
      </w:r>
      <w:r>
        <w:rPr>
          <w:spacing w:val="-1"/>
        </w:rPr>
        <w:t>分，予以抵销，在此基础上确认投资收益。与被投资单位发生的未实现内部交易损失，属于资产减值损失</w:t>
      </w:r>
      <w:r>
        <w:rPr>
          <w:spacing w:val="-86"/>
        </w:rPr>
        <w:t> </w:t>
      </w:r>
      <w:r>
        <w:rPr>
          <w:spacing w:val="-86"/>
        </w:rPr>
      </w:r>
      <w:r>
        <w:rPr>
          <w:spacing w:val="-1"/>
        </w:rPr>
        <w:t>的，全额确认。公司与联营企业、合营企业之间发生投出或出售资产的交易，该资产构成业务的，按照本</w:t>
      </w:r>
      <w:r>
        <w:rPr>
          <w:spacing w:val="-83"/>
        </w:rPr>
        <w:t> </w:t>
      </w:r>
      <w:r>
        <w:rPr>
          <w:spacing w:val="-83"/>
        </w:rPr>
      </w:r>
      <w:r>
        <w:rPr>
          <w:spacing w:val="-2"/>
        </w:rPr>
        <w:t>附注</w:t>
      </w:r>
      <w:r>
        <w:rPr>
          <w:rFonts w:ascii="Times New Roman" w:hAnsi="Times New Roman" w:cs="Times New Roman" w:eastAsia="Times New Roman" w:hint="default"/>
          <w:spacing w:val="-2"/>
        </w:rPr>
        <w:t>“</w:t>
      </w:r>
      <w:r>
        <w:rPr>
          <w:spacing w:val="-2"/>
        </w:rPr>
        <w:t>三、（五）同一控制下和非同一控制下企业合并的会计处理方法</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三、（六）合并财务报表的编制</w:t>
      </w:r>
      <w:r>
        <w:rPr/>
        <w:t> 方法</w:t>
      </w:r>
      <w:r>
        <w:rPr>
          <w:rFonts w:ascii="Times New Roman" w:hAnsi="Times New Roman" w:cs="Times New Roman" w:eastAsia="Times New Roman" w:hint="default"/>
        </w:rPr>
        <w:t>”</w:t>
      </w:r>
      <w:r>
        <w:rPr/>
        <w:t>中披露的相关政策进行会计处理。</w:t>
      </w:r>
    </w:p>
    <w:p>
      <w:pPr>
        <w:pStyle w:val="BodyText"/>
        <w:spacing w:line="408" w:lineRule="auto" w:before="19"/>
        <w:ind w:left="154" w:right="1131" w:firstLine="420"/>
        <w:jc w:val="both"/>
      </w:pPr>
      <w:r>
        <w:rPr>
          <w:spacing w:val="-1"/>
        </w:rPr>
        <w:t>在公司确认应分担被投资单位发生的亏损时，按照以下顺序进行处理：首先，冲减长期股权投资的账</w:t>
      </w:r>
      <w:r>
        <w:rPr/>
        <w:t> </w:t>
      </w:r>
      <w:r>
        <w:rPr>
          <w:spacing w:val="-1"/>
        </w:rPr>
        <w:t>面价值。其次，长期股权投资的账面价值不足以冲减的，以其他实质上构成对被投资单位净投资的长期权</w:t>
      </w:r>
      <w:r>
        <w:rPr>
          <w:spacing w:val="-83"/>
        </w:rPr>
        <w:t> </w:t>
      </w:r>
      <w:r>
        <w:rPr>
          <w:spacing w:val="-83"/>
        </w:rPr>
      </w:r>
      <w:r>
        <w:rPr>
          <w:spacing w:val="-1"/>
        </w:rPr>
        <w:t>益账面价值为限继续确认投资损失，冲减长期应收项目等的账面价值。最后，经过上述处理，按照投资合</w:t>
      </w:r>
      <w:r>
        <w:rPr>
          <w:spacing w:val="-86"/>
        </w:rPr>
        <w:t> </w:t>
      </w:r>
      <w:r>
        <w:rPr>
          <w:spacing w:val="-86"/>
        </w:rPr>
      </w:r>
      <w:r>
        <w:rPr/>
        <w:t>同或协议约定企业仍承担额外义务的，按预计承担的义务确认预计负债，计入当期投资损失。</w:t>
      </w:r>
    </w:p>
    <w:p>
      <w:pPr>
        <w:pStyle w:val="BodyText"/>
        <w:spacing w:line="386" w:lineRule="auto"/>
        <w:ind w:left="573" w:right="3613"/>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408" w:lineRule="auto" w:before="65"/>
        <w:ind w:right="1131" w:firstLine="420"/>
        <w:jc w:val="both"/>
      </w:pPr>
      <w:r>
        <w:rPr>
          <w:spacing w:val="-1"/>
        </w:rPr>
        <w:t>采用权益法核算的长期股权投资，在处置该项投资时，采用与被投资单位直接处置相关资产或负债相</w:t>
      </w:r>
      <w:r>
        <w:rPr/>
        <w:t> </w:t>
      </w:r>
      <w:r>
        <w:rPr>
          <w:spacing w:val="-1"/>
        </w:rPr>
        <w:t>同的基础，按相应比例对原计入其他综合收益的部分进行会计处理。因被投资单位除净损益、其他综合收</w:t>
      </w:r>
      <w:r>
        <w:rPr>
          <w:spacing w:val="-83"/>
        </w:rPr>
        <w:t> </w:t>
      </w:r>
      <w:r>
        <w:rPr>
          <w:spacing w:val="-83"/>
        </w:rPr>
      </w:r>
      <w:r>
        <w:rPr>
          <w:spacing w:val="-1"/>
        </w:rPr>
        <w:t>益和利润分配以外的其他所有者权益变动而确认的所有者权益，按比例结转入当期损益，由于被投资方重</w:t>
      </w:r>
      <w:r>
        <w:rPr>
          <w:spacing w:val="-81"/>
        </w:rPr>
        <w:t> </w:t>
      </w:r>
      <w:r>
        <w:rPr>
          <w:spacing w:val="-81"/>
        </w:rPr>
      </w:r>
      <w:r>
        <w:rPr/>
        <w:t>新计量设定受益计划净负债或净资产变动而产生的其他综合收益除外。</w:t>
      </w:r>
    </w:p>
    <w:p>
      <w:pPr>
        <w:pStyle w:val="BodyText"/>
        <w:spacing w:line="408" w:lineRule="auto"/>
        <w:ind w:right="1130" w:firstLine="420"/>
        <w:jc w:val="both"/>
      </w:pPr>
      <w:r>
        <w:rPr>
          <w:spacing w:val="-1"/>
        </w:rPr>
        <w:t>因处置部分股权投资等原因丧失了对被投资单位的共同控制或重大影响的，处置后的剩余股权改按金</w:t>
      </w:r>
      <w:r>
        <w:rPr/>
        <w:t> </w:t>
      </w: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r>
        <w:rPr>
          <w:spacing w:val="-80"/>
        </w:rPr>
        <w:t> </w:t>
      </w:r>
      <w:r>
        <w:rPr>
          <w:spacing w:val="-80"/>
        </w:rPr>
      </w:r>
      <w:r>
        <w:rPr/>
        <w:t>外的其他所有者权益变动而确认的所有者权益，在终止采用权益法核算时全部转入当期损益。</w:t>
      </w:r>
    </w:p>
    <w:p>
      <w:pPr>
        <w:pStyle w:val="BodyText"/>
        <w:spacing w:line="240" w:lineRule="auto"/>
        <w:ind w:left="573" w:right="0"/>
        <w:jc w:val="left"/>
      </w:pPr>
      <w:r>
        <w:rPr/>
        <w:t>因处置部分股权投资等原因丧失了对被投资单位控制权的，在编制个别财务报表时，处置后的剩余股</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权能够对被投资单位实施共同控制或重大影响的，改按权益法核算，并对该剩余股权视同自取得时即采用</w:t>
      </w:r>
      <w:r>
        <w:rPr>
          <w:spacing w:val="-81"/>
        </w:rPr>
        <w:t> </w:t>
      </w:r>
      <w:r>
        <w:rPr>
          <w:spacing w:val="-81"/>
        </w:rPr>
      </w:r>
      <w:r>
        <w:rPr>
          <w:spacing w:val="-1"/>
        </w:rPr>
        <w:t>权益法核算进行调整；处置后的剩余股权不能对被投资单位实施共同控制或施加重大影响的，改按金融工</w:t>
      </w:r>
      <w:r>
        <w:rPr>
          <w:spacing w:val="-81"/>
        </w:rPr>
        <w:t> </w:t>
      </w:r>
      <w:r>
        <w:rPr>
          <w:spacing w:val="-81"/>
        </w:rPr>
      </w:r>
      <w:r>
        <w:rPr>
          <w:spacing w:val="-1"/>
        </w:rPr>
        <w:t>具确认和计量准则的有关规定进行会计处理，其在丧失控制之日的公允价值与账面价值间的差额计入当期</w:t>
      </w:r>
      <w:r>
        <w:rPr>
          <w:spacing w:val="-81"/>
        </w:rPr>
        <w:t> </w:t>
      </w:r>
      <w:r>
        <w:rPr>
          <w:spacing w:val="-81"/>
        </w:rPr>
      </w:r>
      <w:r>
        <w:rPr/>
        <w:t>损益。</w:t>
      </w:r>
    </w:p>
    <w:p>
      <w:pPr>
        <w:pStyle w:val="BodyText"/>
        <w:spacing w:line="408" w:lineRule="auto"/>
        <w:ind w:right="1131" w:firstLine="420"/>
        <w:jc w:val="both"/>
      </w:pPr>
      <w:r>
        <w:rPr>
          <w:spacing w:val="-1"/>
        </w:rPr>
        <w:t>处置的股权是因追加投资等原因通过企业合并取得的，在编制个别财务报表时，处置后的剩余股权采</w:t>
      </w:r>
      <w:r>
        <w:rPr/>
        <w:t> </w:t>
      </w:r>
      <w:r>
        <w:rPr>
          <w:spacing w:val="-1"/>
        </w:rPr>
        <w:t>用成本法或权益法核算的，购买日之前持有的股权投资因采用权益法核算而确认的其他综合收益和其他所</w:t>
      </w:r>
      <w:r>
        <w:rPr>
          <w:spacing w:val="-81"/>
        </w:rPr>
        <w:t> </w:t>
      </w:r>
      <w:r>
        <w:rPr>
          <w:spacing w:val="-81"/>
        </w:rPr>
      </w:r>
      <w:r>
        <w:rPr>
          <w:spacing w:val="-1"/>
        </w:rPr>
        <w:t>有者权益按比例结转；处置后的剩余股权改按金融工具确认和计量准则进行会计处理的，其他综合收益和</w:t>
      </w:r>
      <w:r>
        <w:rPr>
          <w:spacing w:val="-81"/>
        </w:rPr>
        <w:t> </w:t>
      </w:r>
      <w:r>
        <w:rPr>
          <w:spacing w:val="-81"/>
        </w:rPr>
      </w:r>
      <w:r>
        <w:rPr/>
        <w:t>其他所有者权益全部结转。</w:t>
      </w:r>
    </w:p>
    <w:p>
      <w:pPr>
        <w:pStyle w:val="BodyText"/>
        <w:spacing w:line="386" w:lineRule="auto"/>
        <w:ind w:left="573" w:right="0"/>
        <w:jc w:val="left"/>
      </w:pPr>
      <w:r>
        <w:rPr>
          <w:rFonts w:ascii="Times New Roman" w:hAnsi="Times New Roman" w:cs="Times New Roman" w:eastAsia="Times New Roman" w:hint="default"/>
        </w:rPr>
        <w:t>1</w:t>
      </w:r>
      <w:r>
        <w:rPr/>
        <w:t>、共同控制、重大影响的判断标准 </w:t>
      </w:r>
      <w:r>
        <w:rPr>
          <w:spacing w:val="-1"/>
        </w:rPr>
        <w:t>共同控制，是指按照相关约定对某项安排所共有的控制，并且该安排的相关活动必须经过分享控制权</w:t>
      </w:r>
    </w:p>
    <w:p>
      <w:pPr>
        <w:pStyle w:val="BodyText"/>
        <w:spacing w:line="408" w:lineRule="auto" w:before="65"/>
        <w:ind w:right="1132"/>
        <w:jc w:val="both"/>
      </w:pPr>
      <w:r>
        <w:rPr>
          <w:spacing w:val="-1"/>
        </w:rPr>
        <w:t>的参与方一致同意后才能决策。本公司与其他合营方一同对被投资单位实施共同控制且对被投资单位净资</w:t>
      </w:r>
      <w:r>
        <w:rPr>
          <w:spacing w:val="-81"/>
        </w:rPr>
        <w:t> </w:t>
      </w:r>
      <w:r>
        <w:rPr>
          <w:spacing w:val="-81"/>
        </w:rPr>
      </w:r>
      <w:r>
        <w:rPr/>
        <w:t>产享有权利的，被投资单位为本公司的合营企业。</w:t>
      </w:r>
    </w:p>
    <w:p>
      <w:pPr>
        <w:pStyle w:val="BodyText"/>
        <w:spacing w:line="408" w:lineRule="auto"/>
        <w:ind w:right="1131" w:firstLine="420"/>
        <w:jc w:val="both"/>
      </w:pPr>
      <w:r>
        <w:rPr>
          <w:spacing w:val="-1"/>
        </w:rPr>
        <w:t>重大影响，是指对一个企业的财务和经营决策有参与决策的权力，但并不能够控制或者与其他方一起</w:t>
      </w:r>
      <w:r>
        <w:rPr/>
        <w:t> 共同控制这些政策的制定。本公司能够对被投资单位施加重大影响的，被投资单位为本公司联营企业。</w:t>
      </w:r>
    </w:p>
    <w:p>
      <w:pPr>
        <w:pStyle w:val="BodyText"/>
        <w:spacing w:line="240" w:lineRule="auto"/>
        <w:ind w:left="573" w:right="0"/>
        <w:jc w:val="left"/>
      </w:pPr>
      <w:r>
        <w:rPr>
          <w:rFonts w:ascii="Times New Roman" w:hAnsi="Times New Roman" w:cs="Times New Roman" w:eastAsia="Times New Roman" w:hint="default"/>
        </w:rPr>
        <w:t>2</w:t>
      </w:r>
      <w:r>
        <w:rPr/>
        <w:t>、初始投资成本的确定</w:t>
      </w:r>
    </w:p>
    <w:p>
      <w:pPr>
        <w:pStyle w:val="BodyText"/>
        <w:spacing w:line="386" w:lineRule="auto" w:before="177"/>
        <w:ind w:left="573" w:right="0"/>
        <w:jc w:val="left"/>
      </w:pPr>
      <w:r>
        <w:rPr/>
        <w:t>（</w:t>
      </w:r>
      <w:r>
        <w:rPr>
          <w:rFonts w:ascii="Times New Roman" w:hAnsi="Times New Roman" w:cs="Times New Roman" w:eastAsia="Times New Roman" w:hint="default"/>
        </w:rPr>
        <w:t>1</w:t>
      </w:r>
      <w:r>
        <w:rPr/>
        <w:t>）企业合并形成的长期股权投资 </w:t>
      </w:r>
      <w:r>
        <w:rPr>
          <w:spacing w:val="-1"/>
        </w:rPr>
        <w:t>同一控制下的企业合并：公司以支付现金、转让非现金资产或承担债务方式以及以发行权益性证券作</w:t>
      </w:r>
    </w:p>
    <w:p>
      <w:pPr>
        <w:pStyle w:val="BodyText"/>
        <w:spacing w:line="408" w:lineRule="auto" w:before="65"/>
        <w:ind w:right="1131"/>
        <w:jc w:val="both"/>
      </w:pPr>
      <w:r>
        <w:rPr>
          <w:spacing w:val="-1"/>
        </w:rPr>
        <w:t>为合并对价的，在合并日按照取得被合并方所有者权益在最终控制方合并财务报表中的账面价值的份额作</w:t>
      </w:r>
      <w:r>
        <w:rPr>
          <w:spacing w:val="-81"/>
        </w:rPr>
        <w:t> </w:t>
      </w:r>
      <w:r>
        <w:rPr>
          <w:spacing w:val="-81"/>
        </w:rPr>
      </w:r>
      <w:r>
        <w:rPr>
          <w:spacing w:val="-1"/>
        </w:rPr>
        <w:t>为长期股权投资的初始投资成本。因追加投资等原因能够对同一控制下的被投资单位实施控制的，在合并</w:t>
      </w:r>
      <w:r>
        <w:rPr>
          <w:spacing w:val="-81"/>
        </w:rPr>
        <w:t> </w:t>
      </w:r>
      <w:r>
        <w:rPr>
          <w:spacing w:val="-81"/>
        </w:rPr>
      </w:r>
      <w:r>
        <w:rPr>
          <w:spacing w:val="-1"/>
        </w:rPr>
        <w:t>日根据合并后应享有被合并方净资产在最终控制方合并财务报表中的账面价值的份额，确定长期股权投资</w:t>
      </w:r>
      <w:r>
        <w:rPr>
          <w:spacing w:val="-81"/>
        </w:rPr>
        <w:t> </w:t>
      </w:r>
      <w:r>
        <w:rPr>
          <w:spacing w:val="-81"/>
        </w:rPr>
      </w:r>
      <w:r>
        <w:rPr>
          <w:spacing w:val="-1"/>
        </w:rPr>
        <w:t>的初始投资成本。合并日长期股权投资的初始投资成本，与达到合并前的长期股权投资账面价值加上合并</w:t>
      </w:r>
      <w:r>
        <w:rPr>
          <w:spacing w:val="-81"/>
        </w:rPr>
        <w:t> </w:t>
      </w:r>
      <w:r>
        <w:rPr>
          <w:spacing w:val="-81"/>
        </w:rPr>
      </w:r>
      <w:r>
        <w:rPr>
          <w:spacing w:val="-1"/>
        </w:rPr>
        <w:t>日进一步取得股份新支付对价的账面价值之和的差额，调整股本溢价，股本溢价不足冲减的，冲减留存收</w:t>
      </w:r>
      <w:r>
        <w:rPr>
          <w:spacing w:val="-83"/>
        </w:rPr>
        <w:t> </w:t>
      </w:r>
      <w:r>
        <w:rPr>
          <w:spacing w:val="-83"/>
        </w:rPr>
      </w:r>
      <w:r>
        <w:rPr/>
        <w:t>益。</w:t>
      </w:r>
    </w:p>
    <w:p>
      <w:pPr>
        <w:pStyle w:val="BodyText"/>
        <w:spacing w:line="408" w:lineRule="auto"/>
        <w:ind w:left="154" w:right="1131" w:firstLine="420"/>
        <w:jc w:val="both"/>
      </w:pPr>
      <w:r>
        <w:rPr>
          <w:spacing w:val="-1"/>
        </w:rPr>
        <w:t>非同一控制下的企业合并：公司按照购买日确定的合并成本作为长期股权投资的初始投资成本。因追</w:t>
      </w:r>
      <w:r>
        <w:rPr/>
        <w:t> </w:t>
      </w:r>
      <w:r>
        <w:rPr>
          <w:spacing w:val="-1"/>
        </w:rPr>
        <w:t>加投资等原因能够对非同一控制下的被投资单位实施控制的，按照原持有的股权投资账面价值加上新增投</w:t>
      </w:r>
      <w:r>
        <w:rPr>
          <w:spacing w:val="-81"/>
        </w:rPr>
        <w:t> </w:t>
      </w:r>
      <w:r>
        <w:rPr>
          <w:spacing w:val="-81"/>
        </w:rPr>
      </w:r>
      <w:r>
        <w:rPr/>
        <w:t>资成本之和，作为改按成本法核算的初始投资成本。</w:t>
      </w:r>
    </w:p>
    <w:p>
      <w:pPr>
        <w:pStyle w:val="BodyText"/>
        <w:spacing w:line="400" w:lineRule="auto"/>
        <w:ind w:left="573" w:right="0"/>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1"/>
        </w:rPr>
        <w:t>在非货币性资产交换具备商业实质和换入资产或换出资产的公允价值能够可靠计量的前提下，非货币</w:t>
      </w:r>
    </w:p>
    <w:p>
      <w:pPr>
        <w:spacing w:after="0" w:line="40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性资产交换换入的长期股权投资以换出资产的公允价值和应支付的相关税费确定其初始投资成本，除非有</w:t>
      </w:r>
      <w:r>
        <w:rPr>
          <w:spacing w:val="-81"/>
        </w:rPr>
        <w:t> </w:t>
      </w:r>
      <w:r>
        <w:rPr>
          <w:spacing w:val="-81"/>
        </w:rPr>
      </w:r>
      <w:r>
        <w:rPr>
          <w:spacing w:val="-1"/>
        </w:rPr>
        <w:t>确凿证据表明换入资产的公允价值更加可靠；不满足上述前提的非货币性资产交换，以换出资产的账面价</w:t>
      </w:r>
      <w:r>
        <w:rPr>
          <w:spacing w:val="-81"/>
        </w:rPr>
        <w:t> </w:t>
      </w:r>
      <w:r>
        <w:rPr>
          <w:spacing w:val="-81"/>
        </w:rPr>
      </w:r>
      <w:r>
        <w:rPr/>
        <w:t>值和应支付的相关税费作为换入长期股权投资的初始投资成本。</w:t>
      </w:r>
    </w:p>
    <w:p>
      <w:pPr>
        <w:pStyle w:val="BodyText"/>
        <w:spacing w:line="240" w:lineRule="auto"/>
        <w:ind w:left="573" w:right="0"/>
        <w:jc w:val="left"/>
      </w:pPr>
      <w:r>
        <w:rPr/>
        <w:t>通过债务重组取得的长期股权投资，其初始投资成本按照公允价值为基础确定。</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rFonts w:ascii="Times New Roman" w:hAnsi="Times New Roman" w:cs="Times New Roman" w:eastAsia="Times New Roman" w:hint="default"/>
        </w:rPr>
        <w:t>3</w:t>
      </w:r>
      <w:r>
        <w:rPr/>
        <w:t>、后续计量及损益确认方法</w:t>
      </w:r>
    </w:p>
    <w:p>
      <w:pPr>
        <w:pStyle w:val="BodyText"/>
        <w:spacing w:line="386" w:lineRule="auto" w:before="177"/>
        <w:ind w:left="573" w:right="0"/>
        <w:jc w:val="left"/>
      </w:pPr>
      <w:r>
        <w:rPr/>
        <w:t>（</w:t>
      </w:r>
      <w:r>
        <w:rPr>
          <w:rFonts w:ascii="Times New Roman" w:hAnsi="Times New Roman" w:cs="Times New Roman" w:eastAsia="Times New Roman" w:hint="default"/>
        </w:rPr>
        <w:t>1</w:t>
      </w:r>
      <w:r>
        <w:rPr/>
        <w:t>）成本法核算的长期股权投资 </w:t>
      </w:r>
      <w:r>
        <w:rPr>
          <w:spacing w:val="-1"/>
        </w:rPr>
        <w:t>本公司对子公司的长期股权投资，采用成本法核算。除取得投资时实际支付的价款或对价中包含的已</w:t>
      </w:r>
    </w:p>
    <w:p>
      <w:pPr>
        <w:pStyle w:val="BodyText"/>
        <w:spacing w:line="408" w:lineRule="auto" w:before="65"/>
        <w:ind w:right="1132"/>
        <w:jc w:val="both"/>
      </w:pPr>
      <w:r>
        <w:rPr>
          <w:spacing w:val="-1"/>
        </w:rPr>
        <w:t>宣告但尚未发放的现金股利或利润外，公司按照享有被投资单位宣告发放的现金股利或利润确认当期投资</w:t>
      </w:r>
      <w:r>
        <w:rPr>
          <w:spacing w:val="-81"/>
        </w:rPr>
        <w:t> </w:t>
      </w:r>
      <w:r>
        <w:rPr>
          <w:spacing w:val="-81"/>
        </w:rPr>
      </w:r>
      <w:r>
        <w:rPr/>
        <w:t>收益。</w:t>
      </w:r>
    </w:p>
    <w:p>
      <w:pPr>
        <w:pStyle w:val="BodyText"/>
        <w:spacing w:line="386" w:lineRule="auto"/>
        <w:ind w:left="573" w:right="0"/>
        <w:jc w:val="left"/>
      </w:pPr>
      <w:r>
        <w:rPr/>
        <w:t>（</w:t>
      </w:r>
      <w:r>
        <w:rPr>
          <w:rFonts w:ascii="Times New Roman" w:hAnsi="Times New Roman" w:cs="Times New Roman" w:eastAsia="Times New Roman" w:hint="default"/>
        </w:rPr>
        <w:t>2</w:t>
      </w:r>
      <w:r>
        <w:rPr/>
        <w:t>）权益法核算的长期股权投资 </w:t>
      </w:r>
      <w:r>
        <w:rPr>
          <w:spacing w:val="-1"/>
        </w:rPr>
        <w:t>对联营企业和合营企业的长期股权投资，采用权益法核算。初始投资成本大于投资时应享有被投资单</w:t>
      </w:r>
    </w:p>
    <w:p>
      <w:pPr>
        <w:pStyle w:val="BodyText"/>
        <w:spacing w:line="408" w:lineRule="auto" w:before="65"/>
        <w:ind w:right="1130"/>
        <w:jc w:val="both"/>
      </w:pPr>
      <w:r>
        <w:rPr>
          <w:spacing w:val="-1"/>
        </w:rPr>
        <w:t>位可辨认净资产公允价值份额的差额，不调整长期股权投资的初始投资成本；初始投资成本小于投资时应</w:t>
      </w:r>
      <w:r>
        <w:rPr>
          <w:spacing w:val="-80"/>
        </w:rPr>
        <w:t> </w:t>
      </w:r>
      <w:r>
        <w:rPr>
          <w:spacing w:val="-80"/>
        </w:rPr>
      </w:r>
      <w:r>
        <w:rPr/>
        <w:t>享有被投资单位可辨认净资产公允价值份额的差额，计入当期损益。</w:t>
      </w:r>
    </w:p>
    <w:p>
      <w:pPr>
        <w:pStyle w:val="BodyText"/>
        <w:spacing w:line="408" w:lineRule="auto"/>
        <w:ind w:right="1131" w:firstLine="420"/>
        <w:jc w:val="both"/>
      </w:pPr>
      <w:r>
        <w:rPr>
          <w:spacing w:val="-1"/>
        </w:rPr>
        <w:t>本公司按照应享有或应分担的被投资单位实现的净损益和其他综合收益的份额，分别确认投资收益和</w:t>
      </w:r>
      <w:r>
        <w:rPr/>
        <w:t> </w:t>
      </w:r>
      <w:r>
        <w:rPr>
          <w:spacing w:val="-1"/>
        </w:rPr>
        <w:t>其他综合收益，同时调整长期股权投资的账面价值；按照被投资单位宣告分派的利润或现金股利计算应享</w:t>
      </w:r>
      <w:r>
        <w:rPr>
          <w:spacing w:val="-81"/>
        </w:rPr>
        <w:t> </w:t>
      </w:r>
      <w:r>
        <w:rPr>
          <w:spacing w:val="-81"/>
        </w:rPr>
      </w:r>
      <w:r>
        <w:rPr>
          <w:spacing w:val="-1"/>
        </w:rPr>
        <w:t>有的部分，相应减少长期股权投资的账面价值；对于被投资单位除净损益、其他综合收益和利润分配以外</w:t>
      </w:r>
      <w:r>
        <w:rPr>
          <w:spacing w:val="-83"/>
        </w:rPr>
        <w:t> </w:t>
      </w:r>
      <w:r>
        <w:rPr>
          <w:spacing w:val="-83"/>
        </w:rPr>
      </w:r>
      <w:r>
        <w:rPr/>
        <w:t>所有者权益的其他变动，调整长期股权投资的账面价值并计入所有者权益。</w:t>
      </w:r>
    </w:p>
    <w:p>
      <w:pPr>
        <w:pStyle w:val="BodyText"/>
        <w:spacing w:line="408" w:lineRule="auto"/>
        <w:ind w:right="1131" w:firstLine="420"/>
        <w:jc w:val="both"/>
      </w:pPr>
      <w:r>
        <w:rPr>
          <w:spacing w:val="3"/>
        </w:rPr>
        <w:t>在确认应享有被投资单位净损益的份额时，以取得投资时被投资单位可辨认净资产的公允价值为基</w:t>
      </w:r>
      <w:r>
        <w:rPr/>
        <w:t> </w:t>
      </w:r>
      <w:r>
        <w:rPr>
          <w:spacing w:val="-1"/>
        </w:rPr>
        <w:t>础，并按照公司的会计政策及会计期间，对被投资单位的净利润进行调整后确认。在持有投资期间，被投</w:t>
      </w:r>
      <w:r>
        <w:rPr>
          <w:spacing w:val="-86"/>
        </w:rPr>
        <w:t> </w:t>
      </w:r>
      <w:r>
        <w:rPr>
          <w:spacing w:val="-86"/>
        </w:rPr>
      </w:r>
      <w:r>
        <w:rPr>
          <w:spacing w:val="-1"/>
        </w:rPr>
        <w:t>资单位编制合并财务报表的，以合并财务报表中的净利润、其他综合收益和其他所有者权益变动中归属于</w:t>
      </w:r>
      <w:r>
        <w:rPr>
          <w:spacing w:val="-81"/>
        </w:rPr>
        <w:t> </w:t>
      </w:r>
      <w:r>
        <w:rPr>
          <w:spacing w:val="-81"/>
        </w:rPr>
      </w:r>
      <w:r>
        <w:rPr/>
        <w:t>被投资单位的金额为基础进行核算。</w:t>
      </w:r>
    </w:p>
    <w:p>
      <w:pPr>
        <w:pStyle w:val="BodyText"/>
        <w:spacing w:line="403" w:lineRule="auto"/>
        <w:ind w:right="1132" w:firstLine="420"/>
        <w:jc w:val="both"/>
      </w:pPr>
      <w:r>
        <w:rPr>
          <w:spacing w:val="-1"/>
        </w:rPr>
        <w:t>本公司与联营企业、合营企业之间发生的未实现内部交易损益按照应享有的比例计算归属于公司的部</w:t>
      </w:r>
      <w:r>
        <w:rPr/>
        <w:t> </w:t>
      </w:r>
      <w:r>
        <w:rPr>
          <w:spacing w:val="-1"/>
        </w:rPr>
        <w:t>分，予以抵销，在此基础上确认投资收益。与被投资单位发生的未实现内部交易损失，属于资产减值损失</w:t>
      </w:r>
      <w:r>
        <w:rPr>
          <w:spacing w:val="-86"/>
        </w:rPr>
        <w:t> </w:t>
      </w:r>
      <w:r>
        <w:rPr>
          <w:spacing w:val="-86"/>
        </w:rPr>
      </w:r>
      <w:r>
        <w:rPr>
          <w:spacing w:val="-1"/>
        </w:rPr>
        <w:t>的，全额确认。公司与联营企业、合营企业之间发生投出或出售资产的交易，该资产构成业务的，按照本</w:t>
      </w:r>
      <w:r>
        <w:rPr>
          <w:spacing w:val="-83"/>
        </w:rPr>
        <w:t> </w:t>
      </w:r>
      <w:r>
        <w:rPr>
          <w:spacing w:val="-83"/>
        </w:rPr>
      </w:r>
      <w:r>
        <w:rPr>
          <w:spacing w:val="-2"/>
        </w:rPr>
        <w:t>附注</w:t>
      </w:r>
      <w:r>
        <w:rPr>
          <w:rFonts w:ascii="Times New Roman" w:hAnsi="Times New Roman" w:cs="Times New Roman" w:eastAsia="Times New Roman" w:hint="default"/>
          <w:spacing w:val="-2"/>
        </w:rPr>
        <w:t>“</w:t>
      </w:r>
      <w:r>
        <w:rPr>
          <w:spacing w:val="-2"/>
        </w:rPr>
        <w:t>三、（五）同一控制下和非同一控制下企业合并的会计处理方法</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三、（六）合并财务报表的编制</w:t>
      </w:r>
      <w:r>
        <w:rPr/>
        <w:t> 方法</w:t>
      </w:r>
      <w:r>
        <w:rPr>
          <w:rFonts w:ascii="Times New Roman" w:hAnsi="Times New Roman" w:cs="Times New Roman" w:eastAsia="Times New Roman" w:hint="default"/>
        </w:rPr>
        <w:t>”</w:t>
      </w:r>
      <w:r>
        <w:rPr/>
        <w:t>中披露的相关政策进行会计处理。</w:t>
      </w:r>
    </w:p>
    <w:p>
      <w:pPr>
        <w:pStyle w:val="BodyText"/>
        <w:spacing w:line="408" w:lineRule="auto" w:before="19"/>
        <w:ind w:left="154" w:right="1131" w:firstLine="420"/>
        <w:jc w:val="both"/>
      </w:pPr>
      <w:r>
        <w:rPr>
          <w:spacing w:val="-1"/>
        </w:rPr>
        <w:t>在公司确认应分担被投资单位发生的亏损时，按照以下顺序进行处理：首先，冲减长期股权投资的账</w:t>
      </w:r>
      <w:r>
        <w:rPr/>
        <w:t> </w:t>
      </w:r>
      <w:r>
        <w:rPr>
          <w:spacing w:val="-1"/>
        </w:rPr>
        <w:t>面价值。其次，长期股权投资的账面价值不足以冲减的，以其他实质上构成对被投资单位净投资的长期权</w:t>
      </w:r>
      <w:r>
        <w:rPr>
          <w:spacing w:val="-83"/>
        </w:rPr>
        <w:t> </w:t>
      </w:r>
      <w:r>
        <w:rPr>
          <w:spacing w:val="-83"/>
        </w:rPr>
      </w:r>
      <w:r>
        <w:rPr>
          <w:spacing w:val="-1"/>
        </w:rPr>
        <w:t>益账面价值为限继续确认投资损失，冲减长期应收项目等的账面价值。最后，经过上述处理，按照投资合</w:t>
      </w:r>
      <w:r>
        <w:rPr>
          <w:spacing w:val="-86"/>
        </w:rPr>
        <w:t> </w:t>
      </w:r>
      <w:r>
        <w:rPr>
          <w:spacing w:val="-86"/>
        </w:rPr>
      </w:r>
      <w:r>
        <w:rPr/>
        <w:t>同或协议约定企业仍承担额外义务的，按预计承担的义务确认预计负债，计入当期投资损失。</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left="573" w:right="3613"/>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408" w:lineRule="auto" w:before="65"/>
        <w:ind w:right="1131" w:firstLine="420"/>
        <w:jc w:val="both"/>
      </w:pPr>
      <w:r>
        <w:rPr>
          <w:spacing w:val="-1"/>
        </w:rPr>
        <w:t>采用权益法核算的长期股权投资，在处置该项投资时，采用与被投资单位直接处置相关资产或负债相</w:t>
      </w:r>
      <w:r>
        <w:rPr/>
        <w:t> </w:t>
      </w:r>
      <w:r>
        <w:rPr>
          <w:spacing w:val="-1"/>
        </w:rPr>
        <w:t>同的基础，按相应比例对原计入其他综合收益的部分进行会计处理。因被投资单位除净损益、其他综合收</w:t>
      </w:r>
      <w:r>
        <w:rPr>
          <w:spacing w:val="-83"/>
        </w:rPr>
        <w:t> </w:t>
      </w:r>
      <w:r>
        <w:rPr>
          <w:spacing w:val="-83"/>
        </w:rPr>
      </w:r>
      <w:r>
        <w:rPr>
          <w:spacing w:val="-1"/>
        </w:rPr>
        <w:t>益和利润分配以外的其他所有者权益变动而确认的所有者权益，按比例结转入当期损益，由于被投资方重</w:t>
      </w:r>
      <w:r>
        <w:rPr>
          <w:spacing w:val="-81"/>
        </w:rPr>
        <w:t> </w:t>
      </w:r>
      <w:r>
        <w:rPr>
          <w:spacing w:val="-81"/>
        </w:rPr>
      </w:r>
      <w:r>
        <w:rPr/>
        <w:t>新计量设定受益计划净负债或净资产变动而产生的其他综合收益除外。</w:t>
      </w:r>
    </w:p>
    <w:p>
      <w:pPr>
        <w:pStyle w:val="BodyText"/>
        <w:spacing w:line="408" w:lineRule="auto"/>
        <w:ind w:right="1131" w:firstLine="420"/>
        <w:jc w:val="both"/>
      </w:pPr>
      <w:r>
        <w:rPr>
          <w:spacing w:val="-1"/>
        </w:rPr>
        <w:t>因处置部分股权投资等原因丧失了对被投资单位的共同控制或重大影响的，处置后的剩余股权改按金</w:t>
      </w:r>
      <w:r>
        <w:rPr/>
        <w:t> </w:t>
      </w: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r>
        <w:rPr>
          <w:spacing w:val="-81"/>
        </w:rPr>
        <w:t> </w:t>
      </w:r>
      <w:r>
        <w:rPr>
          <w:spacing w:val="-81"/>
        </w:rPr>
      </w:r>
      <w:r>
        <w:rPr/>
        <w:t>外的其他所有者权益变动而确认的所有者权益，在终止采用权益法核算时全部转入当期损益。</w:t>
      </w:r>
    </w:p>
    <w:p>
      <w:pPr>
        <w:pStyle w:val="BodyText"/>
        <w:spacing w:line="408" w:lineRule="auto"/>
        <w:ind w:right="1131" w:firstLine="420"/>
        <w:jc w:val="both"/>
      </w:pPr>
      <w:r>
        <w:rPr>
          <w:spacing w:val="-1"/>
        </w:rPr>
        <w:t>因处置部分股权投资等原因丧失了对被投资单位控制权的，在编制个别财务报表时，处置后的剩余股</w:t>
      </w:r>
      <w:r>
        <w:rPr/>
        <w:t> </w:t>
      </w:r>
      <w:r>
        <w:rPr>
          <w:spacing w:val="-1"/>
        </w:rPr>
        <w:t>权能够对被投资单位实施共同控制或重大影响的，改按权益法核算，并对该剩余股权视同自取得时即采用</w:t>
      </w:r>
      <w:r>
        <w:rPr>
          <w:spacing w:val="-81"/>
        </w:rPr>
        <w:t> </w:t>
      </w:r>
      <w:r>
        <w:rPr>
          <w:spacing w:val="-81"/>
        </w:rPr>
      </w:r>
      <w:r>
        <w:rPr>
          <w:spacing w:val="-1"/>
        </w:rPr>
        <w:t>权益法核算进行调整；处置后的剩余股权不能对被投资单位实施共同控制或施加重大影响的，改按金融工</w:t>
      </w:r>
      <w:r>
        <w:rPr>
          <w:spacing w:val="-81"/>
        </w:rPr>
        <w:t> </w:t>
      </w:r>
      <w:r>
        <w:rPr>
          <w:spacing w:val="-81"/>
        </w:rPr>
      </w:r>
      <w:r>
        <w:rPr>
          <w:spacing w:val="-1"/>
        </w:rPr>
        <w:t>具确认和计量准则的有关规定进行会计处理，其在丧失控制之日的公允价值与账面价值间的差额计入当期</w:t>
      </w:r>
      <w:r>
        <w:rPr>
          <w:spacing w:val="-81"/>
        </w:rPr>
        <w:t> </w:t>
      </w:r>
      <w:r>
        <w:rPr>
          <w:spacing w:val="-81"/>
        </w:rPr>
      </w:r>
      <w:r>
        <w:rPr/>
        <w:t>损益。</w:t>
      </w:r>
    </w:p>
    <w:p>
      <w:pPr>
        <w:pStyle w:val="BodyText"/>
        <w:spacing w:line="408" w:lineRule="auto"/>
        <w:ind w:right="1131" w:firstLine="420"/>
        <w:jc w:val="both"/>
      </w:pPr>
      <w:r>
        <w:rPr>
          <w:spacing w:val="-1"/>
        </w:rPr>
        <w:t>处置的股权是因追加投资等原因通过企业合并取得的，在编制个别财务报表时，处置后的剩余股权采</w:t>
      </w:r>
      <w:r>
        <w:rPr/>
        <w:t> </w:t>
      </w:r>
      <w:r>
        <w:rPr>
          <w:spacing w:val="-1"/>
        </w:rPr>
        <w:t>用成本法或权益法核算的，购买日之前持有的股权投资因采用权益法核算而确认的其他综合收益和其他所</w:t>
      </w:r>
      <w:r>
        <w:rPr>
          <w:spacing w:val="-81"/>
        </w:rPr>
        <w:t> </w:t>
      </w:r>
      <w:r>
        <w:rPr>
          <w:spacing w:val="-81"/>
        </w:rPr>
      </w:r>
      <w:r>
        <w:rPr>
          <w:spacing w:val="-1"/>
        </w:rPr>
        <w:t>有者权益按比例结转；处置后的剩余股权改按金融工具确认和计量准则进行会计处理的，其他综合收益和</w:t>
      </w:r>
      <w:r>
        <w:rPr>
          <w:spacing w:val="-81"/>
        </w:rPr>
        <w:t> </w:t>
      </w:r>
      <w:r>
        <w:rPr>
          <w:spacing w:val="-81"/>
        </w:rPr>
      </w:r>
      <w:r>
        <w:rPr/>
        <w:t>其他所有者权益全部结转。</w:t>
      </w:r>
    </w:p>
    <w:p>
      <w:pPr>
        <w:pStyle w:val="Heading3"/>
        <w:spacing w:line="240" w:lineRule="auto" w:before="46"/>
        <w:ind w:right="0"/>
        <w:jc w:val="left"/>
        <w:rPr>
          <w:b w:val="0"/>
          <w:bCs w:val="0"/>
        </w:rPr>
      </w:pPr>
      <w:bookmarkStart w:name="15、投资性房地产" w:id="192"/>
      <w:bookmarkEnd w:id="192"/>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6"/>
        <w:rPr>
          <w:rFonts w:ascii="宋体" w:hAnsi="宋体" w:cs="宋体" w:eastAsia="宋体" w:hint="default"/>
          <w:b/>
          <w:bCs/>
          <w:sz w:val="15"/>
          <w:szCs w:val="15"/>
        </w:rPr>
      </w:pPr>
    </w:p>
    <w:p>
      <w:pPr>
        <w:spacing w:line="477" w:lineRule="auto" w:before="0"/>
        <w:ind w:left="153" w:right="8953"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408" w:lineRule="auto" w:before="29"/>
        <w:ind w:right="1110" w:firstLine="420"/>
        <w:jc w:val="both"/>
      </w:pPr>
      <w:r>
        <w:rPr/>
        <w:t>投资性房地产是指为赚取租金或资本增值，或两者兼有而持有的房地产，包括已出租的土地使用权、 </w:t>
      </w:r>
      <w:r>
        <w:rPr>
          <w:spacing w:val="-1"/>
        </w:rPr>
        <w:t>持有并准备增值后转让的土地使用权、已出租的建筑物（含自行建造或开发活动完成后用于出租的建筑物</w:t>
      </w:r>
      <w:r>
        <w:rPr>
          <w:spacing w:val="-81"/>
        </w:rPr>
        <w:t> </w:t>
      </w:r>
      <w:r>
        <w:rPr>
          <w:spacing w:val="-81"/>
        </w:rPr>
      </w:r>
      <w:r>
        <w:rPr/>
        <w:t>以及正在建造或开发过程中将来用于出租的建筑物）。</w:t>
      </w:r>
    </w:p>
    <w:p>
      <w:pPr>
        <w:pStyle w:val="BodyText"/>
        <w:spacing w:line="408" w:lineRule="auto"/>
        <w:ind w:left="154" w:right="1132" w:firstLine="420"/>
        <w:jc w:val="both"/>
      </w:pPr>
      <w:r>
        <w:rPr>
          <w:spacing w:val="-1"/>
        </w:rPr>
        <w:t>公司对现有投资性房地产采用成本模式计量。对按照成本模式计量的投资性房地产－出租用建筑物采</w:t>
      </w:r>
      <w:r>
        <w:rPr/>
        <w:t> 用与本公司固定资产相同的折旧政策，出租用土地使用权按与无形资产相同的摊销政策执行。</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16、固定资产" w:id="193"/>
      <w:bookmarkEnd w:id="193"/>
      <w:r>
        <w:rPr>
          <w:b w:val="0"/>
          <w:bCs w:val="0"/>
        </w:rPr>
      </w:r>
      <w:r>
        <w:rPr>
          <w:rFonts w:ascii="Times New Roman" w:hAnsi="Times New Roman" w:cs="Times New Roman" w:eastAsia="Times New Roman" w:hint="default"/>
        </w:rPr>
        <w:t>16</w:t>
      </w:r>
      <w:r>
        <w:rPr/>
        <w:t>、固定资产</w:t>
      </w:r>
      <w:r>
        <w:rPr>
          <w:b w:val="0"/>
          <w:bCs w:val="0"/>
        </w:rPr>
      </w:r>
    </w:p>
    <w:p>
      <w:pPr>
        <w:pStyle w:val="Heading3"/>
        <w:spacing w:line="240" w:lineRule="auto" w:before="177"/>
        <w:ind w:left="154" w:right="0"/>
        <w:jc w:val="left"/>
        <w:rPr>
          <w:b w:val="0"/>
          <w:bCs w:val="0"/>
        </w:rPr>
      </w:pPr>
      <w:bookmarkStart w:name="（1）确认条件" w:id="194"/>
      <w:bookmarkEnd w:id="194"/>
      <w:r>
        <w:rPr>
          <w:b w:val="0"/>
          <w:bCs w:val="0"/>
        </w:rPr>
      </w:r>
      <w:r>
        <w:rPr/>
        <w:t>（</w:t>
      </w:r>
      <w:r>
        <w:rPr>
          <w:rFonts w:ascii="Times New Roman" w:hAnsi="Times New Roman" w:cs="Times New Roman" w:eastAsia="Times New Roman" w:hint="default"/>
        </w:rPr>
        <w:t>1</w:t>
      </w:r>
      <w:r>
        <w:rPr/>
        <w:t>）确认条件</w:t>
      </w:r>
      <w:r>
        <w:rPr>
          <w:b w:val="0"/>
          <w:bCs w:val="0"/>
        </w:rPr>
      </w:r>
    </w:p>
    <w:p>
      <w:pPr>
        <w:pStyle w:val="BodyText"/>
        <w:spacing w:line="408" w:lineRule="auto" w:before="177"/>
        <w:ind w:left="154" w:right="0" w:firstLine="420"/>
        <w:jc w:val="left"/>
      </w:pPr>
      <w:r>
        <w:rPr>
          <w:spacing w:val="-1"/>
        </w:rPr>
        <w:t>固定资产指为生产商品、提供劳务、出租或经营管理而持有，并且使用寿命超过一个会计年度的有形</w:t>
      </w:r>
      <w:r>
        <w:rPr/>
        <w:t> </w:t>
      </w:r>
      <w:r>
        <w:rPr>
          <w:spacing w:val="-3"/>
        </w:rPr>
        <w:t>资产。固定资产在同时满足下列条件时予以确认：（</w:t>
      </w:r>
      <w:r>
        <w:rPr>
          <w:rFonts w:ascii="Times New Roman" w:hAnsi="Times New Roman" w:cs="Times New Roman" w:eastAsia="Times New Roman" w:hint="default"/>
          <w:spacing w:val="-3"/>
        </w:rPr>
        <w:t>1</w:t>
      </w:r>
      <w:r>
        <w:rPr>
          <w:spacing w:val="-3"/>
        </w:rPr>
        <w:t>）与该固定资产有关的经济利益很可能流入本公司；</w:t>
      </w:r>
    </w:p>
    <w:p>
      <w:pPr>
        <w:pStyle w:val="BodyText"/>
        <w:spacing w:line="240" w:lineRule="auto" w:before="14"/>
        <w:ind w:right="0"/>
        <w:jc w:val="left"/>
      </w:pPr>
      <w:r>
        <w:rPr/>
        <w:t>（</w:t>
      </w:r>
      <w:r>
        <w:rPr>
          <w:rFonts w:ascii="Times New Roman" w:hAnsi="Times New Roman" w:cs="Times New Roman" w:eastAsia="Times New Roman" w:hint="default"/>
        </w:rPr>
        <w:t>2</w:t>
      </w:r>
      <w:r>
        <w:rPr/>
        <w:t>）该固定资产的成本能够可靠地计量。</w:t>
      </w:r>
    </w:p>
    <w:p>
      <w:pPr>
        <w:pStyle w:val="Heading3"/>
        <w:spacing w:line="240" w:lineRule="auto" w:before="177"/>
        <w:ind w:right="0"/>
        <w:jc w:val="left"/>
        <w:rPr>
          <w:b w:val="0"/>
          <w:bCs w:val="0"/>
        </w:rPr>
      </w:pPr>
      <w:bookmarkStart w:name="（2）折旧方法" w:id="195"/>
      <w:bookmarkEnd w:id="195"/>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78"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79"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sz w:val="18"/>
              </w:rPr>
              <w:t>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sz w:val="18"/>
              </w:rPr>
              <w:t>3.80%</w:t>
            </w:r>
          </w:p>
        </w:tc>
      </w:tr>
      <w:tr>
        <w:trPr>
          <w:trHeight w:val="478"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9.50%</w:t>
            </w:r>
          </w:p>
        </w:tc>
      </w:tr>
      <w:tr>
        <w:trPr>
          <w:trHeight w:val="478"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79"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sz w:val="18"/>
              </w:rPr>
              <w:t>19.00%</w:t>
            </w:r>
          </w:p>
        </w:tc>
      </w:tr>
    </w:tbl>
    <w:p>
      <w:pPr>
        <w:spacing w:line="386" w:lineRule="auto" w:before="63"/>
        <w:ind w:left="574" w:right="1122" w:hanging="420"/>
        <w:jc w:val="left"/>
        <w:rPr>
          <w:rFonts w:ascii="宋体" w:hAnsi="宋体" w:cs="宋体" w:eastAsia="宋体" w:hint="default"/>
          <w:sz w:val="21"/>
          <w:szCs w:val="21"/>
        </w:rPr>
      </w:pPr>
      <w:bookmarkStart w:name="（3）融资租入固定资产的认定依据、计价和折旧方法" w:id="196"/>
      <w:bookmarkEnd w:id="1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w w:val="99"/>
          <w:sz w:val="21"/>
          <w:szCs w:val="21"/>
        </w:rPr>
        <w:t> </w:t>
      </w:r>
      <w:r>
        <w:rPr>
          <w:rFonts w:ascii="宋体" w:hAnsi="宋体" w:cs="宋体" w:eastAsia="宋体" w:hint="default"/>
          <w:spacing w:val="-3"/>
          <w:sz w:val="21"/>
          <w:szCs w:val="21"/>
        </w:rPr>
        <w:t>本公司与租赁方所签订的租赁协议条款中规定了下列条件之一的，确认为融资租入资产：（</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）租赁期</w:t>
      </w:r>
    </w:p>
    <w:p>
      <w:pPr>
        <w:pStyle w:val="BodyText"/>
        <w:spacing w:line="398" w:lineRule="auto" w:before="35"/>
        <w:ind w:left="154" w:right="1109"/>
        <w:jc w:val="both"/>
      </w:pPr>
      <w:r>
        <w:rPr>
          <w:spacing w:val="-3"/>
        </w:rPr>
        <w:t>满后租赁资产的所有权归属于本公司；（</w:t>
      </w:r>
      <w:r>
        <w:rPr>
          <w:rFonts w:ascii="Times New Roman" w:hAnsi="Times New Roman" w:cs="Times New Roman" w:eastAsia="Times New Roman" w:hint="default"/>
          <w:spacing w:val="-3"/>
        </w:rPr>
        <w:t>2</w:t>
      </w:r>
      <w:r>
        <w:rPr>
          <w:spacing w:val="-3"/>
        </w:rPr>
        <w:t>）公司具有购买资产的选择权，购买价款远低于行使选择权时该</w:t>
      </w:r>
      <w:r>
        <w:rPr>
          <w:spacing w:val="-93"/>
        </w:rPr>
        <w:t> </w:t>
      </w:r>
      <w:r>
        <w:rPr>
          <w:spacing w:val="-93"/>
        </w:rPr>
      </w:r>
      <w:r>
        <w:rPr>
          <w:spacing w:val="-5"/>
        </w:rPr>
        <w:t>资产的公允价值；（</w:t>
      </w:r>
      <w:r>
        <w:rPr>
          <w:rFonts w:ascii="Times New Roman" w:hAnsi="Times New Roman" w:cs="Times New Roman" w:eastAsia="Times New Roman" w:hint="default"/>
          <w:spacing w:val="-5"/>
        </w:rPr>
        <w:t>3</w:t>
      </w:r>
      <w:r>
        <w:rPr>
          <w:spacing w:val="-5"/>
        </w:rPr>
        <w:t>）租赁期占所租赁资产使用寿命的大部分；（</w:t>
      </w:r>
      <w:r>
        <w:rPr>
          <w:rFonts w:ascii="Times New Roman" w:hAnsi="Times New Roman" w:cs="Times New Roman" w:eastAsia="Times New Roman" w:hint="default"/>
          <w:spacing w:val="-5"/>
        </w:rPr>
        <w:t>4</w:t>
      </w:r>
      <w:r>
        <w:rPr>
          <w:spacing w:val="-5"/>
        </w:rPr>
        <w:t>）租赁开始日的最低租赁付款额现值，</w:t>
      </w:r>
      <w:r>
        <w:rPr>
          <w:spacing w:val="-79"/>
        </w:rPr>
        <w:t> </w:t>
      </w:r>
      <w:r>
        <w:rPr>
          <w:spacing w:val="-79"/>
        </w:rPr>
      </w:r>
      <w:r>
        <w:rPr>
          <w:spacing w:val="-1"/>
        </w:rPr>
        <w:t>与该资产的公允价值不存在较大的差异。公司在承租开始日，将租赁资产公允价值与最低租赁付款额现值</w:t>
      </w:r>
      <w:r>
        <w:rPr>
          <w:spacing w:val="-81"/>
        </w:rPr>
        <w:t> </w:t>
      </w:r>
      <w:r>
        <w:rPr>
          <w:spacing w:val="-81"/>
        </w:rPr>
      </w:r>
      <w:r>
        <w:rPr>
          <w:spacing w:val="-1"/>
        </w:rPr>
        <w:t>两者中较低者作为租入资产的入账价值，将最低租赁付款额作为长期应付款的入账价值，其差额作为未确</w:t>
      </w:r>
      <w:r>
        <w:rPr>
          <w:spacing w:val="-81"/>
        </w:rPr>
        <w:t> </w:t>
      </w:r>
      <w:r>
        <w:rPr>
          <w:spacing w:val="-81"/>
        </w:rPr>
      </w:r>
      <w:r>
        <w:rPr/>
        <w:t>认的融资费。</w:t>
      </w:r>
    </w:p>
    <w:p>
      <w:pPr>
        <w:pStyle w:val="Heading3"/>
        <w:spacing w:line="240" w:lineRule="auto" w:before="54"/>
        <w:ind w:left="154" w:right="0"/>
        <w:jc w:val="both"/>
        <w:rPr>
          <w:b w:val="0"/>
          <w:bCs w:val="0"/>
        </w:rPr>
      </w:pPr>
      <w:bookmarkStart w:name="17、在建工程" w:id="197"/>
      <w:bookmarkEnd w:id="197"/>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6"/>
        <w:rPr>
          <w:rFonts w:ascii="宋体" w:hAnsi="宋体" w:cs="宋体" w:eastAsia="宋体" w:hint="default"/>
          <w:b/>
          <w:bCs/>
          <w:sz w:val="15"/>
          <w:szCs w:val="15"/>
        </w:rPr>
      </w:pPr>
    </w:p>
    <w:p>
      <w:pPr>
        <w:spacing w:line="47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98" w:lineRule="auto" w:before="29"/>
        <w:ind w:left="574" w:right="6447"/>
        <w:jc w:val="left"/>
      </w:pPr>
      <w:r>
        <w:rPr>
          <w:rFonts w:ascii="Times New Roman" w:hAnsi="Times New Roman" w:cs="Times New Roman" w:eastAsia="Times New Roman" w:hint="default"/>
        </w:rPr>
        <w:t>1</w:t>
      </w:r>
      <w:r>
        <w:rPr/>
        <w:t>、在建工程的类别 本公司在建工程以立项项目分类核算。 </w:t>
      </w:r>
      <w:r>
        <w:rPr>
          <w:rFonts w:ascii="Times New Roman" w:hAnsi="Times New Roman" w:cs="Times New Roman" w:eastAsia="Times New Roman" w:hint="default"/>
        </w:rPr>
        <w:t>2</w:t>
      </w:r>
      <w:r>
        <w:rPr/>
        <w:t>、在建工程结转为固定资产的标准和时点</w:t>
      </w:r>
    </w:p>
    <w:p>
      <w:pPr>
        <w:pStyle w:val="BodyText"/>
        <w:spacing w:line="408" w:lineRule="auto" w:before="24"/>
        <w:ind w:left="154" w:right="1023" w:firstLine="420"/>
        <w:jc w:val="left"/>
      </w:pPr>
      <w:r>
        <w:rPr/>
        <w:t>在建工程项目按建造该项资产达到预定可使用状态前所发生的必要支出，作为固定资产的入账价值。 </w:t>
      </w:r>
      <w:r>
        <w:rPr>
          <w:spacing w:val="-3"/>
        </w:rPr>
        <w:t>所建造的固定资产在工程已达到预定可使用状态，但尚未办理竣工决算的，自达到预定可使用状态之日起，</w:t>
      </w:r>
      <w:r>
        <w:rPr>
          <w:spacing w:val="-92"/>
        </w:rPr>
        <w:t> </w:t>
      </w:r>
      <w:r>
        <w:rPr>
          <w:spacing w:val="-92"/>
        </w:rPr>
      </w:r>
      <w:r>
        <w:rPr/>
        <w:t>根据工程预算、造价或者工程实际成本等，按估计的价值转入固定资产，并按本公司固定资产折旧政策计</w:t>
      </w:r>
      <w:r>
        <w:rPr/>
        <w:t> </w:t>
      </w:r>
      <w:r>
        <w:rPr>
          <w:spacing w:val="-3"/>
        </w:rPr>
        <w:t>提固定资产的折旧，待办理竣工决算后，再按实际成本调整原来的暂估价值，但不调整原已计提的折旧额。</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18、借款费用" w:id="198"/>
      <w:bookmarkEnd w:id="198"/>
      <w:r>
        <w:rPr>
          <w:b w:val="0"/>
          <w:bCs w:val="0"/>
        </w:rPr>
      </w:r>
      <w:r>
        <w:rPr>
          <w:rFonts w:ascii="Times New Roman" w:hAnsi="Times New Roman" w:cs="Times New Roman" w:eastAsia="Times New Roman" w:hint="default"/>
        </w:rPr>
        <w:t>18</w:t>
      </w:r>
      <w:r>
        <w:rPr/>
        <w:t>、借款费用</w:t>
      </w:r>
      <w:r>
        <w:rPr>
          <w:b w:val="0"/>
          <w:bCs w:val="0"/>
        </w:rPr>
      </w:r>
    </w:p>
    <w:p>
      <w:pPr>
        <w:pStyle w:val="BodyText"/>
        <w:spacing w:line="398" w:lineRule="auto" w:before="177"/>
        <w:ind w:left="573" w:right="0"/>
        <w:jc w:val="left"/>
      </w:pPr>
      <w:r>
        <w:rPr>
          <w:rFonts w:ascii="Times New Roman" w:hAnsi="Times New Roman" w:cs="Times New Roman" w:eastAsia="Times New Roman" w:hint="default"/>
        </w:rPr>
        <w:t>1</w:t>
      </w:r>
      <w:r>
        <w:rPr/>
        <w:t>、借款费用资本化的确认原则 借款费用，包括借款利息、折价或者溢价的摊销、辅助费用以及因外币借款而发生的汇兑差额等。 </w:t>
      </w:r>
      <w:r>
        <w:rPr>
          <w:spacing w:val="-1"/>
        </w:rPr>
        <w:t>本公司发生的借款费用，可直接归属于符合资本化条件的资产的购建或者生产的，予以资本化，计入</w:t>
      </w:r>
    </w:p>
    <w:p>
      <w:pPr>
        <w:pStyle w:val="BodyText"/>
        <w:spacing w:line="408" w:lineRule="auto" w:before="54"/>
        <w:ind w:left="573" w:right="0" w:hanging="420"/>
        <w:jc w:val="left"/>
      </w:pPr>
      <w:r>
        <w:rPr/>
        <w:t>相关资产成本；其他借款费用，在发生时根据其发生额确认为费用，计入当期损益。 </w:t>
      </w:r>
      <w:r>
        <w:rPr>
          <w:spacing w:val="-1"/>
        </w:rPr>
        <w:t>符合资本化条件的资产，是指需要经过相当长时间的购建或者生产活动才能达到预定可使用或者可销</w:t>
      </w:r>
    </w:p>
    <w:p>
      <w:pPr>
        <w:pStyle w:val="BodyText"/>
        <w:spacing w:line="408" w:lineRule="auto"/>
        <w:ind w:left="574" w:right="6132" w:hanging="420"/>
        <w:jc w:val="left"/>
      </w:pPr>
      <w:r>
        <w:rPr/>
        <w:t>售状态的固定资产、投资性房地产和存货等资产。 借款费用同时满足下列条件时开始资本化：</w:t>
      </w:r>
    </w:p>
    <w:p>
      <w:pPr>
        <w:pStyle w:val="BodyText"/>
        <w:spacing w:line="386" w:lineRule="auto"/>
        <w:ind w:left="154" w:right="0" w:firstLine="42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 非现金资产或者承担带息债务形式发生的支出；</w:t>
      </w:r>
    </w:p>
    <w:p>
      <w:pPr>
        <w:pStyle w:val="BodyText"/>
        <w:spacing w:line="240" w:lineRule="auto" w:before="65"/>
        <w:ind w:left="574" w:right="0"/>
        <w:jc w:val="left"/>
      </w:pPr>
      <w:r>
        <w:rPr/>
        <w:t>（</w:t>
      </w:r>
      <w:r>
        <w:rPr>
          <w:rFonts w:ascii="Times New Roman" w:hAnsi="Times New Roman" w:cs="Times New Roman" w:eastAsia="Times New Roman" w:hint="default"/>
        </w:rPr>
        <w:t>2</w:t>
      </w:r>
      <w:r>
        <w:rPr/>
        <w:t>）借款费用已经发生；</w:t>
      </w:r>
    </w:p>
    <w:p>
      <w:pPr>
        <w:pStyle w:val="BodyText"/>
        <w:spacing w:line="386" w:lineRule="auto" w:before="177"/>
        <w:ind w:left="574" w:right="1118"/>
        <w:jc w:val="left"/>
      </w:pPr>
      <w:r>
        <w:rPr/>
        <w:t>（</w:t>
      </w:r>
      <w:r>
        <w:rPr>
          <w:rFonts w:ascii="Times New Roman" w:hAnsi="Times New Roman" w:cs="Times New Roman" w:eastAsia="Times New Roman" w:hint="default"/>
        </w:rPr>
        <w:t>3</w:t>
      </w:r>
      <w:r>
        <w:rPr/>
        <w:t>）为使资产达到预定可使用或者可销售状态所必要的购建或者生产活动已经开始。 </w:t>
      </w:r>
      <w:r>
        <w:rPr>
          <w:rFonts w:ascii="Times New Roman" w:hAnsi="Times New Roman" w:cs="Times New Roman" w:eastAsia="Times New Roman" w:hint="default"/>
        </w:rPr>
        <w:t>2</w:t>
      </w:r>
      <w:r>
        <w:rPr/>
        <w:t>、借款费用资本化期间 </w:t>
      </w:r>
      <w:r>
        <w:rPr>
          <w:spacing w:val="-1"/>
        </w:rPr>
        <w:t>资本化期间，指从借款费用开始资本化时点到停止资本化时点的期间，借款费用暂停资本化的期间不</w:t>
      </w:r>
    </w:p>
    <w:p>
      <w:pPr>
        <w:pStyle w:val="BodyText"/>
        <w:spacing w:line="240" w:lineRule="auto" w:before="65"/>
        <w:ind w:left="154" w:right="0"/>
        <w:jc w:val="left"/>
      </w:pPr>
      <w:r>
        <w:rPr/>
        <w:t>包括在内。</w:t>
      </w:r>
    </w:p>
    <w:p>
      <w:pPr>
        <w:spacing w:line="240" w:lineRule="auto" w:before="10"/>
        <w:rPr>
          <w:rFonts w:ascii="宋体" w:hAnsi="宋体" w:cs="宋体" w:eastAsia="宋体" w:hint="default"/>
          <w:sz w:val="14"/>
          <w:szCs w:val="14"/>
        </w:rPr>
      </w:pPr>
    </w:p>
    <w:p>
      <w:pPr>
        <w:pStyle w:val="BodyText"/>
        <w:spacing w:line="408" w:lineRule="auto" w:before="0"/>
        <w:ind w:left="574" w:right="0"/>
        <w:jc w:val="left"/>
      </w:pPr>
      <w:r>
        <w:rPr/>
        <w:t>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w:t>
      </w:r>
    </w:p>
    <w:p>
      <w:pPr>
        <w:pStyle w:val="BodyText"/>
        <w:spacing w:line="240" w:lineRule="auto"/>
        <w:ind w:left="154" w:right="0"/>
        <w:jc w:val="left"/>
      </w:pPr>
      <w:r>
        <w:rPr/>
        <w:t>止资本化。</w:t>
      </w:r>
    </w:p>
    <w:p>
      <w:pPr>
        <w:spacing w:line="240" w:lineRule="auto" w:before="10"/>
        <w:rPr>
          <w:rFonts w:ascii="宋体" w:hAnsi="宋体" w:cs="宋体" w:eastAsia="宋体" w:hint="default"/>
          <w:sz w:val="14"/>
          <w:szCs w:val="14"/>
        </w:rPr>
      </w:pPr>
    </w:p>
    <w:p>
      <w:pPr>
        <w:pStyle w:val="BodyText"/>
        <w:spacing w:line="408" w:lineRule="auto" w:before="0"/>
        <w:ind w:left="154" w:right="0" w:firstLine="420"/>
        <w:jc w:val="left"/>
      </w:pPr>
      <w:r>
        <w:rPr>
          <w:spacing w:val="-1"/>
        </w:rPr>
        <w:t>购建或者生产的资产的各部分分别完工，但必须等到整体完工后才可使用或可对外销售的，在该资产</w:t>
      </w:r>
      <w:r>
        <w:rPr/>
        <w:t> 整体完工时停止借款费用资本化。</w:t>
      </w:r>
    </w:p>
    <w:p>
      <w:pPr>
        <w:pStyle w:val="BodyText"/>
        <w:spacing w:line="386" w:lineRule="auto"/>
        <w:ind w:left="574" w:right="0"/>
        <w:jc w:val="left"/>
      </w:pPr>
      <w:r>
        <w:rPr>
          <w:rFonts w:ascii="Times New Roman" w:hAnsi="Times New Roman" w:cs="Times New Roman" w:eastAsia="Times New Roman" w:hint="default"/>
        </w:rPr>
        <w:t>3</w:t>
      </w:r>
      <w:r>
        <w:rPr/>
        <w:t>、暂停资本化期间 符合资本化条件的资产在购建或生产过程中发生的非正常中断、且中断时间连续超过</w:t>
      </w:r>
      <w:r>
        <w:rPr>
          <w:rFonts w:ascii="Times New Roman" w:hAnsi="Times New Roman" w:cs="Times New Roman" w:eastAsia="Times New Roman" w:hint="default"/>
        </w:rPr>
        <w:t>3</w:t>
      </w:r>
      <w:r>
        <w:rPr/>
        <w:t>个月的，则借</w:t>
      </w:r>
    </w:p>
    <w:p>
      <w:pPr>
        <w:pStyle w:val="BodyText"/>
        <w:spacing w:line="408" w:lineRule="auto" w:before="35"/>
        <w:ind w:left="154" w:right="1131"/>
        <w:jc w:val="both"/>
      </w:pPr>
      <w:r>
        <w:rPr>
          <w:spacing w:val="-1"/>
        </w:rPr>
        <w:t>款费用暂停资本化；该项中断如是所购建或生产的符合资本化条件的资产达到预定可使用状态或者可销售</w:t>
      </w:r>
      <w:r>
        <w:rPr>
          <w:spacing w:val="-81"/>
        </w:rPr>
        <w:t> </w:t>
      </w:r>
      <w:r>
        <w:rPr>
          <w:spacing w:val="-81"/>
        </w:rPr>
      </w:r>
      <w:r>
        <w:rPr>
          <w:spacing w:val="-1"/>
        </w:rPr>
        <w:t>状态必要的程序，则借款费用继续资本化。在中断期间发生的借款费用确认为当期损益，直至资产的购建</w:t>
      </w:r>
      <w:r>
        <w:rPr>
          <w:spacing w:val="-83"/>
        </w:rPr>
        <w:t> </w:t>
      </w:r>
      <w:r>
        <w:rPr>
          <w:spacing w:val="-83"/>
        </w:rPr>
      </w:r>
      <w:r>
        <w:rPr/>
        <w:t>或者生产活动重新开始后借款费用继续资本化。</w:t>
      </w:r>
    </w:p>
    <w:p>
      <w:pPr>
        <w:pStyle w:val="BodyText"/>
        <w:spacing w:line="386" w:lineRule="auto"/>
        <w:ind w:left="574" w:right="0"/>
        <w:jc w:val="left"/>
      </w:pPr>
      <w:r>
        <w:rPr>
          <w:rFonts w:ascii="Times New Roman" w:hAnsi="Times New Roman" w:cs="Times New Roman" w:eastAsia="Times New Roman" w:hint="default"/>
        </w:rPr>
        <w:t>4</w:t>
      </w:r>
      <w:r>
        <w:rPr/>
        <w:t>、借款费用资本化率、资本化金额的计算方法 </w:t>
      </w:r>
      <w:r>
        <w:rPr>
          <w:spacing w:val="3"/>
        </w:rPr>
        <w:t>对于为购建或者生产符合资本化条件的资产而借入的专门借款，以专门借款当期实际发生的借款费</w:t>
      </w:r>
    </w:p>
    <w:p>
      <w:pPr>
        <w:pStyle w:val="BodyText"/>
        <w:spacing w:line="408" w:lineRule="auto" w:before="65"/>
        <w:ind w:left="154" w:right="1131"/>
        <w:jc w:val="both"/>
      </w:pPr>
      <w:r>
        <w:rPr>
          <w:spacing w:val="-1"/>
        </w:rPr>
        <w:t>用，减去尚未动用的借款资金存入银行取得的利息收入或进行暂时性投资取得的投资收益后的金额，来确</w:t>
      </w:r>
      <w:r>
        <w:rPr>
          <w:spacing w:val="-81"/>
        </w:rPr>
        <w:t> </w:t>
      </w:r>
      <w:r>
        <w:rPr>
          <w:spacing w:val="-81"/>
        </w:rPr>
      </w:r>
      <w:r>
        <w:rPr/>
        <w:t>定借款费用的资本化金额。</w:t>
      </w:r>
    </w:p>
    <w:p>
      <w:pPr>
        <w:pStyle w:val="BodyText"/>
        <w:spacing w:line="240" w:lineRule="auto"/>
        <w:ind w:left="574" w:right="0"/>
        <w:jc w:val="left"/>
      </w:pPr>
      <w:r>
        <w:rPr/>
        <w:t>对于为购建或者生产符合资本化条件的资产而占用的一般借款，根据累计资产支出超过专门借款部分</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93"/>
        <w:jc w:val="left"/>
      </w:pPr>
      <w:r>
        <w:rPr/>
        <w:t>的资产支出加权平均数乘以所占用一般借款的资本化率，计算确定一般借款应予资本化的借款费用金额。 资本化率根据一般借款加权平均利率计算确定。</w:t>
      </w:r>
    </w:p>
    <w:p>
      <w:pPr>
        <w:pStyle w:val="Heading3"/>
        <w:spacing w:line="240" w:lineRule="auto" w:before="46"/>
        <w:ind w:right="0"/>
        <w:jc w:val="both"/>
        <w:rPr>
          <w:b w:val="0"/>
          <w:bCs w:val="0"/>
        </w:rPr>
      </w:pPr>
      <w:bookmarkStart w:name="19、生物资产" w:id="199"/>
      <w:bookmarkEnd w:id="199"/>
      <w:r>
        <w:rPr>
          <w:b w:val="0"/>
          <w:bCs w:val="0"/>
        </w:rPr>
      </w:r>
      <w:r>
        <w:rPr>
          <w:rFonts w:ascii="Times New Roman" w:hAnsi="Times New Roman" w:cs="Times New Roman" w:eastAsia="Times New Roman" w:hint="default"/>
        </w:rPr>
        <w:t>19</w:t>
      </w:r>
      <w:r>
        <w:rPr/>
        <w:t>、生物资产</w:t>
      </w:r>
      <w:r>
        <w:rPr>
          <w:b w:val="0"/>
          <w:bCs w:val="0"/>
        </w:rPr>
      </w:r>
    </w:p>
    <w:p>
      <w:pPr>
        <w:pStyle w:val="BodyText"/>
        <w:spacing w:line="386" w:lineRule="auto" w:before="177"/>
        <w:ind w:left="574" w:right="0"/>
        <w:jc w:val="left"/>
      </w:pPr>
      <w:r>
        <w:rPr>
          <w:rFonts w:ascii="Times New Roman" w:hAnsi="Times New Roman" w:cs="Times New Roman" w:eastAsia="Times New Roman" w:hint="default"/>
        </w:rPr>
        <w:t>1</w:t>
      </w:r>
      <w:r>
        <w:rPr/>
        <w:t>、成本计量方法 </w:t>
      </w:r>
      <w:r>
        <w:rPr>
          <w:spacing w:val="-1"/>
        </w:rPr>
        <w:t>生物资产按照成本进行初始计量。外购生物资产的成本，包括购买价款、相关税费、运输费、保险费</w:t>
      </w:r>
    </w:p>
    <w:p>
      <w:pPr>
        <w:pStyle w:val="BodyText"/>
        <w:spacing w:line="408" w:lineRule="auto" w:before="65"/>
        <w:ind w:left="154" w:right="1110"/>
        <w:jc w:val="both"/>
      </w:pPr>
      <w:r>
        <w:rPr>
          <w:spacing w:val="-1"/>
        </w:rPr>
        <w:t>以及可直接归属于购买该资产的其他支出；自行繁殖或养殖的消耗性生物资产（育肥畜）的成本包括出售</w:t>
      </w:r>
      <w:r>
        <w:rPr>
          <w:spacing w:val="-83"/>
        </w:rPr>
        <w:t> </w:t>
      </w:r>
      <w:r>
        <w:rPr>
          <w:spacing w:val="-83"/>
        </w:rPr>
      </w:r>
      <w:r>
        <w:rPr/>
        <w:t>前发生的饲料费、人工费和应分摊的间接费用等必要支出；自行繁殖的生产性生物资产（产畜）的成本， </w:t>
      </w:r>
      <w:r>
        <w:rPr>
          <w:spacing w:val="-1"/>
        </w:rPr>
        <w:t>包括达到预定生产经营目的（成龄）前发生的饲料费、人工费和应分摊的间接费用等必要支出（达到预定</w:t>
      </w:r>
      <w:r>
        <w:rPr>
          <w:spacing w:val="-86"/>
        </w:rPr>
        <w:t> </w:t>
      </w:r>
      <w:r>
        <w:rPr>
          <w:spacing w:val="-86"/>
        </w:rPr>
      </w:r>
      <w:r>
        <w:rPr/>
        <w:t>生产经营目的，是指生产性生物资产进入正常生产期，可以多年连续稳定产出产品、提供劳务或出租）； </w:t>
      </w:r>
      <w:r>
        <w:rPr>
          <w:spacing w:val="-1"/>
        </w:rPr>
        <w:t>计入生物资产成本的借款费用，按照借款费用的相关规定处理；投资者投入生物资产的成本，按照投资合</w:t>
      </w:r>
      <w:r>
        <w:rPr>
          <w:spacing w:val="-83"/>
        </w:rPr>
        <w:t> </w:t>
      </w:r>
      <w:r>
        <w:rPr>
          <w:spacing w:val="-83"/>
        </w:rPr>
      </w:r>
      <w:r>
        <w:rPr>
          <w:spacing w:val="-1"/>
        </w:rPr>
        <w:t>同或协议约定的价值确定，但合同或协议约定价值不公允的除外；生物资产在达到预定生产经营目的后发</w:t>
      </w:r>
      <w:r>
        <w:rPr>
          <w:spacing w:val="-80"/>
        </w:rPr>
        <w:t> </w:t>
      </w:r>
      <w:r>
        <w:rPr>
          <w:spacing w:val="-80"/>
        </w:rPr>
      </w:r>
      <w:r>
        <w:rPr/>
        <w:t>生的管护、饲养费用等后续支出，计入当期损益。</w:t>
      </w:r>
    </w:p>
    <w:p>
      <w:pPr>
        <w:pStyle w:val="BodyText"/>
        <w:spacing w:line="386" w:lineRule="auto"/>
        <w:ind w:left="574" w:right="0"/>
        <w:jc w:val="left"/>
      </w:pPr>
      <w:r>
        <w:rPr>
          <w:rFonts w:ascii="Times New Roman" w:hAnsi="Times New Roman" w:cs="Times New Roman" w:eastAsia="Times New Roman" w:hint="default"/>
        </w:rPr>
        <w:t>2</w:t>
      </w:r>
      <w:r>
        <w:rPr/>
        <w:t>、折旧确认方法 </w:t>
      </w:r>
      <w:r>
        <w:rPr>
          <w:spacing w:val="-1"/>
        </w:rPr>
        <w:t>对达到预定生产经营目的的生产性生物资产，按期计提折旧，并根据用途分别计入相关资产的成本或</w:t>
      </w:r>
    </w:p>
    <w:p>
      <w:pPr>
        <w:pStyle w:val="BodyText"/>
        <w:spacing w:line="408" w:lineRule="auto" w:before="65"/>
        <w:ind w:left="154" w:right="1118"/>
        <w:jc w:val="left"/>
      </w:pPr>
      <w:r>
        <w:rPr>
          <w:spacing w:val="-1"/>
        </w:rPr>
        <w:t>当期损益。本集团生产性生物资产为五味子，采用年限平均法计提折旧，预计净残值为零，预计使用寿命</w:t>
      </w:r>
      <w:r>
        <w:rPr>
          <w:spacing w:val="-86"/>
        </w:rPr>
        <w:t> </w:t>
      </w:r>
      <w:r>
        <w:rPr>
          <w:spacing w:val="-86"/>
        </w:rPr>
      </w:r>
      <w:r>
        <w:rPr/>
        <w:t>为</w:t>
      </w:r>
      <w:r>
        <w:rPr>
          <w:rFonts w:ascii="Times New Roman" w:hAnsi="Times New Roman" w:cs="Times New Roman" w:eastAsia="Times New Roman" w:hint="default"/>
        </w:rPr>
        <w:t>10</w:t>
      </w:r>
      <w:r>
        <w:rPr/>
        <w:t>年。</w:t>
      </w:r>
    </w:p>
    <w:p>
      <w:pPr>
        <w:pStyle w:val="BodyText"/>
        <w:spacing w:line="408" w:lineRule="auto" w:before="14"/>
        <w:ind w:left="154" w:right="1118" w:firstLine="420"/>
        <w:jc w:val="left"/>
      </w:pPr>
      <w:r>
        <w:rPr>
          <w:spacing w:val="-1"/>
        </w:rPr>
        <w:t>在年度终了对产畜的使用寿命、预计净残值和折旧方法进行复核，如发生改变，则作为会计估计变更</w:t>
      </w:r>
      <w:r>
        <w:rPr/>
        <w:t> 处理。</w:t>
      </w:r>
    </w:p>
    <w:p>
      <w:pPr>
        <w:pStyle w:val="BodyText"/>
        <w:spacing w:line="386" w:lineRule="auto"/>
        <w:ind w:left="573" w:right="1118"/>
        <w:jc w:val="left"/>
      </w:pPr>
      <w:r>
        <w:rPr>
          <w:rFonts w:ascii="Times New Roman" w:hAnsi="Times New Roman" w:cs="Times New Roman" w:eastAsia="Times New Roman" w:hint="default"/>
        </w:rPr>
        <w:t>3</w:t>
      </w:r>
      <w:r>
        <w:rPr/>
        <w:t>、减值处理 </w:t>
      </w:r>
      <w:r>
        <w:rPr>
          <w:spacing w:val="-1"/>
        </w:rPr>
        <w:t>每年年度终了对消耗性生物资产和生产性生物资产进行检查，有确凿证据表明由于遭受自然灾害、病</w:t>
      </w:r>
    </w:p>
    <w:p>
      <w:pPr>
        <w:pStyle w:val="BodyText"/>
        <w:spacing w:line="408" w:lineRule="auto" w:before="65"/>
        <w:ind w:left="0" w:right="1110"/>
        <w:jc w:val="right"/>
      </w:pPr>
      <w:r>
        <w:rPr>
          <w:spacing w:val="-1"/>
        </w:rPr>
        <w:t>虫害、动物疫病侵袭或市场需求变化等原因，使消耗性生物资产的可变现净值或生产性生物资产的可收回</w:t>
      </w:r>
      <w:r>
        <w:rPr/>
        <w:t> </w:t>
      </w:r>
      <w:r>
        <w:rPr>
          <w:spacing w:val="-1"/>
        </w:rPr>
        <w:t>金额低于其账面价值的，按照可变现净值或可收回金额低于账面价值的差额，计提生物资产跌价准备或减</w:t>
      </w:r>
      <w:r>
        <w:rPr/>
        <w:t> </w:t>
      </w:r>
      <w:r>
        <w:rPr>
          <w:spacing w:val="-1"/>
        </w:rPr>
        <w:t>值准备，并计入当期损益。当消耗性生物资产减值的影响因素已经消失的，减记金额予以恢复，并在原已</w:t>
      </w:r>
      <w:r>
        <w:rPr/>
        <w:t> 计提的跌价准备金额内转回，转回的金额计入当期损益。生产性生物资产减值准备一经计提，不再转回。 </w:t>
      </w:r>
      <w:r>
        <w:rPr>
          <w:spacing w:val="-1"/>
        </w:rPr>
        <w:t>对于消耗性生物资产，在出售时，按照其账面价值结转成本，结转成本的方法为加权平均法；生物资</w:t>
      </w:r>
      <w:r>
        <w:rPr/>
        <w:t> </w:t>
      </w:r>
      <w:r>
        <w:rPr>
          <w:spacing w:val="-1"/>
        </w:rPr>
        <w:t>产改变用途后的成本，按照改变用途时的账面价值确定；生物资产出售、盘亏或死亡、毁损时，将处置收</w:t>
      </w:r>
    </w:p>
    <w:p>
      <w:pPr>
        <w:pStyle w:val="BodyText"/>
        <w:spacing w:line="240" w:lineRule="auto"/>
        <w:ind w:left="154" w:right="0"/>
        <w:jc w:val="both"/>
      </w:pPr>
      <w:r>
        <w:rPr/>
        <w:t>入扣除其账面价值和相关税费后的余额计入当期损益。</w:t>
      </w:r>
    </w:p>
    <w:p>
      <w:pPr>
        <w:spacing w:line="240" w:lineRule="auto" w:before="10"/>
        <w:rPr>
          <w:rFonts w:ascii="宋体" w:hAnsi="宋体" w:cs="宋体" w:eastAsia="宋体" w:hint="default"/>
          <w:sz w:val="14"/>
          <w:szCs w:val="14"/>
        </w:rPr>
      </w:pPr>
    </w:p>
    <w:p>
      <w:pPr>
        <w:pStyle w:val="Heading3"/>
        <w:spacing w:line="240" w:lineRule="auto"/>
        <w:ind w:left="154" w:right="0"/>
        <w:jc w:val="both"/>
        <w:rPr>
          <w:b w:val="0"/>
          <w:bCs w:val="0"/>
        </w:rPr>
      </w:pPr>
      <w:bookmarkStart w:name="20、无形资产" w:id="200"/>
      <w:bookmarkEnd w:id="200"/>
      <w:r>
        <w:rPr>
          <w:b w:val="0"/>
          <w:bCs w:val="0"/>
        </w:rPr>
      </w:r>
      <w:r>
        <w:rPr>
          <w:rFonts w:ascii="Times New Roman" w:hAnsi="Times New Roman" w:cs="Times New Roman" w:eastAsia="Times New Roman" w:hint="default"/>
        </w:rPr>
        <w:t>20</w:t>
      </w:r>
      <w:r>
        <w:rPr/>
        <w:t>、无形资产</w:t>
      </w:r>
      <w:r>
        <w:rPr>
          <w:b w:val="0"/>
          <w:bCs w:val="0"/>
        </w:rPr>
      </w:r>
    </w:p>
    <w:p>
      <w:pPr>
        <w:pStyle w:val="Heading3"/>
        <w:spacing w:line="240" w:lineRule="auto" w:before="177"/>
        <w:ind w:left="154" w:right="0"/>
        <w:jc w:val="both"/>
        <w:rPr>
          <w:b w:val="0"/>
          <w:bCs w:val="0"/>
        </w:rPr>
      </w:pPr>
      <w:bookmarkStart w:name="（1）计价方法、使用寿命、减值测试" w:id="201"/>
      <w:bookmarkEnd w:id="201"/>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pStyle w:val="BodyText"/>
        <w:spacing w:line="240" w:lineRule="auto" w:before="177"/>
        <w:ind w:left="574" w:right="0"/>
        <w:jc w:val="left"/>
      </w:pPr>
      <w:r>
        <w:rPr>
          <w:rFonts w:ascii="Times New Roman" w:hAnsi="Times New Roman" w:cs="Times New Roman" w:eastAsia="Times New Roman" w:hint="default"/>
        </w:rPr>
        <w:t>1</w:t>
      </w:r>
      <w:r>
        <w:rPr/>
        <w:t>、无形资产的计价方法</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left="573" w:right="0"/>
        <w:jc w:val="left"/>
      </w:pPr>
      <w:r>
        <w:rPr/>
        <w:t>（</w:t>
      </w:r>
      <w:r>
        <w:rPr>
          <w:rFonts w:ascii="Times New Roman" w:hAnsi="Times New Roman" w:cs="Times New Roman" w:eastAsia="Times New Roman" w:hint="default"/>
        </w:rPr>
        <w:t>1</w:t>
      </w:r>
      <w:r>
        <w:rPr/>
        <w:t>）公司取得无形资产时按成本进行初始计量； </w:t>
      </w:r>
      <w:r>
        <w:rPr>
          <w:spacing w:val="-1"/>
        </w:rPr>
        <w:t>外购无形资产的成本，包括购买价款、相关税费以及直接归属于使该项资产达到预定用途所发生的其</w:t>
      </w:r>
    </w:p>
    <w:p>
      <w:pPr>
        <w:pStyle w:val="BodyText"/>
        <w:spacing w:line="408" w:lineRule="auto" w:before="65"/>
        <w:ind w:right="0"/>
        <w:jc w:val="left"/>
      </w:pPr>
      <w:r>
        <w:rPr>
          <w:spacing w:val="-1"/>
        </w:rPr>
        <w:t>他支出。购买无形资产的价款超过正常信用条件延期支付，实质上具有融资性质的，无形资产的成本以购</w:t>
      </w:r>
      <w:r>
        <w:rPr>
          <w:spacing w:val="-83"/>
        </w:rPr>
        <w:t> </w:t>
      </w:r>
      <w:r>
        <w:rPr>
          <w:spacing w:val="-83"/>
        </w:rPr>
      </w:r>
      <w:r>
        <w:rPr/>
        <w:t>买价款的现值为基础确定。</w:t>
      </w:r>
    </w:p>
    <w:p>
      <w:pPr>
        <w:pStyle w:val="BodyText"/>
        <w:spacing w:line="408" w:lineRule="auto"/>
        <w:ind w:right="1131" w:firstLine="420"/>
        <w:jc w:val="both"/>
      </w:pPr>
      <w:r>
        <w:rPr>
          <w:spacing w:val="-1"/>
        </w:rPr>
        <w:t>债务重组取得债务人用以抵债的无形资产，以该无形资产的公允价值为基础确定其入账价值，并将重</w:t>
      </w:r>
      <w:r>
        <w:rPr/>
        <w:t> 组债务的账面价值与该用以抵债的无形资产公允价值之间的差额，计入当期损益。</w:t>
      </w:r>
    </w:p>
    <w:p>
      <w:pPr>
        <w:pStyle w:val="BodyText"/>
        <w:spacing w:line="408" w:lineRule="auto"/>
        <w:ind w:right="1131" w:firstLine="420"/>
        <w:jc w:val="both"/>
      </w:pPr>
      <w:r>
        <w:rPr>
          <w:spacing w:val="-1"/>
        </w:rPr>
        <w:t>在非货币性资产交换具备商业实质且换入资产或换出资产的公允价值能够可靠计量的前提下，非货币</w:t>
      </w:r>
      <w:r>
        <w:rPr/>
        <w:t> </w:t>
      </w:r>
      <w:r>
        <w:rPr>
          <w:spacing w:val="-1"/>
        </w:rPr>
        <w:t>性资产交换换入的无形资产以换出资产的公允价值为基础确定其入账价值，除非有确凿证据表明换入资产</w:t>
      </w:r>
      <w:r>
        <w:rPr>
          <w:spacing w:val="-81"/>
        </w:rPr>
        <w:t> </w:t>
      </w:r>
      <w:r>
        <w:rPr>
          <w:spacing w:val="-81"/>
        </w:rPr>
      </w:r>
      <w:r>
        <w:rPr>
          <w:spacing w:val="-1"/>
        </w:rPr>
        <w:t>的公允价值更加可靠；不满足上述前提的非货币性资产交换，以换出资产的账面价值和应支付的相关税费</w:t>
      </w:r>
      <w:r>
        <w:rPr>
          <w:spacing w:val="-81"/>
        </w:rPr>
        <w:t> </w:t>
      </w:r>
      <w:r>
        <w:rPr>
          <w:spacing w:val="-81"/>
        </w:rPr>
      </w:r>
      <w:r>
        <w:rPr/>
        <w:t>作为换入无形资产的成本，不确认损益。</w:t>
      </w:r>
    </w:p>
    <w:p>
      <w:pPr>
        <w:pStyle w:val="BodyText"/>
        <w:spacing w:line="386" w:lineRule="auto"/>
        <w:ind w:left="573" w:right="6553"/>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408" w:lineRule="auto" w:before="65"/>
        <w:ind w:right="1131" w:firstLine="420"/>
        <w:jc w:val="both"/>
      </w:pPr>
      <w:r>
        <w:rPr>
          <w:spacing w:val="-1"/>
        </w:rPr>
        <w:t>对于使用寿命有限的无形资产，在为企业带来经济利益的期限内按直线法摊销；无法预见无形资产为</w:t>
      </w:r>
      <w:r>
        <w:rPr/>
        <w:t> 企业带来经济利益期限的，视为使用寿命不确定的无形资产，不予摊销。</w:t>
      </w:r>
    </w:p>
    <w:p>
      <w:pPr>
        <w:pStyle w:val="BodyText"/>
        <w:spacing w:line="240" w:lineRule="auto"/>
        <w:ind w:left="573" w:right="0"/>
        <w:jc w:val="left"/>
      </w:pPr>
      <w:r>
        <w:rPr>
          <w:rFonts w:ascii="Times New Roman" w:hAnsi="Times New Roman" w:cs="Times New Roman" w:eastAsia="Times New Roman" w:hint="default"/>
        </w:rPr>
        <w:t>2</w:t>
      </w:r>
      <w:r>
        <w:rPr/>
        <w:t>、使用寿命有限的无形资产的使用寿命估计情况：</w:t>
      </w:r>
    </w:p>
    <w:p>
      <w:pPr>
        <w:spacing w:line="240" w:lineRule="auto" w:before="10"/>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3214"/>
        <w:gridCol w:w="1536"/>
        <w:gridCol w:w="3999"/>
      </w:tblGrid>
      <w:tr>
        <w:trPr>
          <w:trHeight w:val="511" w:hRule="exact"/>
        </w:trPr>
        <w:tc>
          <w:tcPr>
            <w:tcW w:w="32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5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99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9"/>
              <w:ind w:right="4"/>
              <w:jc w:val="center"/>
              <w:rPr>
                <w:rFonts w:ascii="宋体" w:hAnsi="宋体" w:cs="宋体" w:eastAsia="宋体" w:hint="default"/>
                <w:sz w:val="18"/>
                <w:szCs w:val="18"/>
              </w:rPr>
            </w:pPr>
            <w:r>
              <w:rPr>
                <w:rFonts w:ascii="宋体" w:hAnsi="宋体" w:cs="宋体" w:eastAsia="宋体" w:hint="default"/>
                <w:sz w:val="18"/>
                <w:szCs w:val="18"/>
              </w:rPr>
              <w:t>依</w:t>
            </w:r>
            <w:r>
              <w:rPr>
                <w:rFonts w:ascii="宋体" w:hAnsi="宋体" w:cs="宋体" w:eastAsia="宋体" w:hint="default"/>
                <w:spacing w:val="55"/>
                <w:sz w:val="18"/>
                <w:szCs w:val="18"/>
              </w:rPr>
              <w:t> </w:t>
            </w:r>
            <w:r>
              <w:rPr>
                <w:rFonts w:ascii="宋体" w:hAnsi="宋体" w:cs="宋体" w:eastAsia="宋体" w:hint="default"/>
                <w:sz w:val="18"/>
                <w:szCs w:val="18"/>
              </w:rPr>
              <w:t>据</w:t>
            </w:r>
          </w:p>
        </w:tc>
      </w:tr>
      <w:tr>
        <w:trPr>
          <w:trHeight w:val="508" w:hRule="exact"/>
        </w:trPr>
        <w:tc>
          <w:tcPr>
            <w:tcW w:w="32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45-50</w:t>
            </w:r>
            <w:r>
              <w:rPr>
                <w:rFonts w:ascii="宋体" w:hAnsi="宋体" w:cs="宋体" w:eastAsia="宋体" w:hint="default"/>
                <w:sz w:val="18"/>
                <w:szCs w:val="18"/>
              </w:rPr>
              <w:t>年</w:t>
            </w:r>
          </w:p>
        </w:tc>
        <w:tc>
          <w:tcPr>
            <w:tcW w:w="399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8"/>
              <w:ind w:left="3" w:right="0"/>
              <w:jc w:val="left"/>
              <w:rPr>
                <w:rFonts w:ascii="宋体" w:hAnsi="宋体" w:cs="宋体" w:eastAsia="宋体" w:hint="default"/>
                <w:sz w:val="18"/>
                <w:szCs w:val="18"/>
              </w:rPr>
            </w:pPr>
            <w:r>
              <w:rPr>
                <w:rFonts w:ascii="宋体" w:hAnsi="宋体" w:cs="宋体" w:eastAsia="宋体" w:hint="default"/>
                <w:sz w:val="18"/>
                <w:szCs w:val="18"/>
              </w:rPr>
              <w:t>按土地使用权证约定日期</w:t>
            </w:r>
          </w:p>
        </w:tc>
      </w:tr>
      <w:tr>
        <w:trPr>
          <w:trHeight w:val="509" w:hRule="exact"/>
        </w:trPr>
        <w:tc>
          <w:tcPr>
            <w:tcW w:w="32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林地使用权</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年</w:t>
            </w:r>
          </w:p>
        </w:tc>
        <w:tc>
          <w:tcPr>
            <w:tcW w:w="399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8"/>
              <w:ind w:left="3" w:right="0"/>
              <w:jc w:val="left"/>
              <w:rPr>
                <w:rFonts w:ascii="宋体" w:hAnsi="宋体" w:cs="宋体" w:eastAsia="宋体" w:hint="default"/>
                <w:sz w:val="18"/>
                <w:szCs w:val="18"/>
              </w:rPr>
            </w:pPr>
            <w:r>
              <w:rPr>
                <w:rFonts w:ascii="宋体" w:hAnsi="宋体" w:cs="宋体" w:eastAsia="宋体" w:hint="default"/>
                <w:sz w:val="18"/>
                <w:szCs w:val="18"/>
              </w:rPr>
              <w:t>按林地使用权证约定日期</w:t>
            </w:r>
          </w:p>
        </w:tc>
      </w:tr>
      <w:tr>
        <w:trPr>
          <w:trHeight w:val="508" w:hRule="exact"/>
        </w:trPr>
        <w:tc>
          <w:tcPr>
            <w:tcW w:w="32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399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8"/>
              <w:ind w:left="3" w:right="0"/>
              <w:jc w:val="left"/>
              <w:rPr>
                <w:rFonts w:ascii="宋体" w:hAnsi="宋体" w:cs="宋体" w:eastAsia="宋体" w:hint="default"/>
                <w:sz w:val="18"/>
                <w:szCs w:val="18"/>
              </w:rPr>
            </w:pPr>
            <w:r>
              <w:rPr>
                <w:rFonts w:ascii="宋体" w:hAnsi="宋体" w:cs="宋体" w:eastAsia="宋体" w:hint="default"/>
                <w:sz w:val="18"/>
                <w:szCs w:val="18"/>
              </w:rPr>
              <w:t>按非专利技术证书使用年限约定日期</w:t>
            </w:r>
          </w:p>
        </w:tc>
      </w:tr>
      <w:tr>
        <w:trPr>
          <w:trHeight w:val="508" w:hRule="exact"/>
        </w:trPr>
        <w:tc>
          <w:tcPr>
            <w:tcW w:w="32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99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8"/>
              <w:ind w:left="3" w:right="0"/>
              <w:jc w:val="left"/>
              <w:rPr>
                <w:rFonts w:ascii="宋体" w:hAnsi="宋体" w:cs="宋体" w:eastAsia="宋体" w:hint="default"/>
                <w:sz w:val="18"/>
                <w:szCs w:val="18"/>
              </w:rPr>
            </w:pPr>
            <w:r>
              <w:rPr>
                <w:rFonts w:ascii="宋体" w:hAnsi="宋体" w:cs="宋体" w:eastAsia="宋体" w:hint="default"/>
                <w:sz w:val="18"/>
                <w:szCs w:val="18"/>
              </w:rPr>
              <w:t>按照预计使用年限</w:t>
            </w:r>
          </w:p>
        </w:tc>
      </w:tr>
    </w:tbl>
    <w:p>
      <w:pPr>
        <w:pStyle w:val="BodyText"/>
        <w:spacing w:line="398" w:lineRule="auto" w:before="63"/>
        <w:ind w:left="573" w:right="1118"/>
        <w:jc w:val="left"/>
      </w:pPr>
      <w:r>
        <w:rPr/>
        <w:t>每年终了，对使用寿命有限的无形资产的使用寿命及摊销方法进行复核。 经复核，本年期末无形资产的使用寿命及摊销方法与以前估计未有不同。 </w:t>
      </w:r>
      <w:r>
        <w:rPr>
          <w:rFonts w:ascii="Times New Roman" w:hAnsi="Times New Roman" w:cs="Times New Roman" w:eastAsia="Times New Roman" w:hint="default"/>
        </w:rPr>
        <w:t>3</w:t>
      </w:r>
      <w:r>
        <w:rPr/>
        <w:t>、使用寿命不确定的无形资产的判断依据： 截至资产负债表日</w:t>
      </w:r>
      <w:r>
        <w:rPr>
          <w:rFonts w:ascii="Times New Roman" w:hAnsi="Times New Roman" w:cs="Times New Roman" w:eastAsia="Times New Roman" w:hint="default"/>
        </w:rPr>
        <w:t>,</w:t>
      </w:r>
      <w:r>
        <w:rPr/>
        <w:t>本公司没有使用寿命不确定的无形资产 </w:t>
      </w:r>
      <w:r>
        <w:rPr>
          <w:rFonts w:ascii="Times New Roman" w:hAnsi="Times New Roman" w:cs="Times New Roman" w:eastAsia="Times New Roman" w:hint="default"/>
        </w:rPr>
        <w:t>4</w:t>
      </w:r>
      <w:r>
        <w:rPr/>
        <w:t>、划分为本公司研究开发项目研究阶段和开发阶段的具体标准 公司内部研究开发项目的支出分为研究阶段支出和开发阶段支出。 研究阶段：为获取并理解新的科学或技术知识等而进行的独创性的有计划调查、研究活动的阶段。 </w:t>
      </w:r>
      <w:r>
        <w:rPr>
          <w:spacing w:val="-1"/>
        </w:rPr>
        <w:t>开发阶段：在进行商业性生产或使用前，将研究成果或其他知识应用于某项计划或设计，以生产出新</w:t>
      </w:r>
    </w:p>
    <w:p>
      <w:pPr>
        <w:pStyle w:val="BodyText"/>
        <w:spacing w:line="240" w:lineRule="auto" w:before="54"/>
        <w:ind w:right="0"/>
        <w:jc w:val="left"/>
      </w:pPr>
      <w:r>
        <w:rPr/>
        <w:t>的或具有实质性改进的材料、装置、产品等活动的阶段。</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firstLine="420"/>
        <w:jc w:val="left"/>
      </w:pPr>
      <w:r>
        <w:rPr>
          <w:spacing w:val="3"/>
        </w:rPr>
        <w:t>本公司内部研究开发项目开发阶段系指公司多肽药品技术获取国家药品监督管理局核发临床批件后</w:t>
      </w:r>
      <w:r>
        <w:rPr/>
        <w:t> 开始进行临床实验、获取生产批件前的阶段。</w:t>
      </w:r>
    </w:p>
    <w:p>
      <w:pPr>
        <w:spacing w:line="386" w:lineRule="auto" w:before="46"/>
        <w:ind w:left="573" w:right="6973" w:hanging="420"/>
        <w:jc w:val="left"/>
        <w:rPr>
          <w:rFonts w:ascii="宋体" w:hAnsi="宋体" w:cs="宋体" w:eastAsia="宋体" w:hint="default"/>
          <w:sz w:val="21"/>
          <w:szCs w:val="21"/>
        </w:rPr>
      </w:pPr>
      <w:bookmarkStart w:name="（2）内部研究开发支出会计政策" w:id="202"/>
      <w:bookmarkEnd w:id="2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spacing w:val="1"/>
          <w:w w:val="99"/>
          <w:sz w:val="21"/>
          <w:szCs w:val="21"/>
        </w:rPr>
        <w:t> </w:t>
      </w:r>
      <w:r>
        <w:rPr>
          <w:rFonts w:ascii="宋体" w:hAnsi="宋体" w:cs="宋体" w:eastAsia="宋体" w:hint="default"/>
          <w:sz w:val="21"/>
          <w:szCs w:val="21"/>
        </w:rPr>
        <w:t>开发阶段支出符合资本化的具体标准</w:t>
      </w:r>
    </w:p>
    <w:p>
      <w:pPr>
        <w:pStyle w:val="BodyText"/>
        <w:spacing w:line="240" w:lineRule="auto" w:before="65"/>
        <w:ind w:left="573" w:right="0"/>
        <w:jc w:val="left"/>
      </w:pPr>
      <w:r>
        <w:rPr/>
        <w:t>（</w:t>
      </w:r>
      <w:r>
        <w:rPr>
          <w:rFonts w:ascii="Times New Roman" w:hAnsi="Times New Roman" w:cs="Times New Roman" w:eastAsia="Times New Roman" w:hint="default"/>
        </w:rPr>
        <w:t>1</w:t>
      </w:r>
      <w:r>
        <w:rPr/>
        <w:t>）内部研究开发项目开发阶段的支出，同时满足下列条件时确认为无形资产：</w:t>
      </w:r>
    </w:p>
    <w:p>
      <w:pPr>
        <w:pStyle w:val="BodyText"/>
        <w:spacing w:line="240" w:lineRule="auto" w:before="177"/>
        <w:ind w:left="573" w:right="0"/>
        <w:jc w:val="left"/>
      </w:pPr>
      <w:r>
        <w:rPr/>
        <w:t>①、完成该无形资产以使其能够使用或出售在技术上具有可行性；</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②、具有完成该无形资产并使用或出售的意图；</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spacing w:val="-1"/>
        </w:rPr>
        <w:t>③、无形资产产生经济利益的方式，包括能够证明运用该无形资产生产的产品存在市场或无形资产自</w:t>
      </w:r>
      <w:r>
        <w:rPr/>
        <w:t> 身存在市场，无形资产将在内部使用的，能够证明其有用性；</w:t>
      </w:r>
    </w:p>
    <w:p>
      <w:pPr>
        <w:pStyle w:val="BodyText"/>
        <w:spacing w:line="408" w:lineRule="auto"/>
        <w:ind w:right="1118" w:firstLine="420"/>
        <w:jc w:val="left"/>
      </w:pPr>
      <w:r>
        <w:rPr>
          <w:spacing w:val="-1"/>
        </w:rPr>
        <w:t>④、有足够的技术、财务资源和其他资源支持，以完成该无形资产的开发，并有能力使用或出售该无</w:t>
      </w:r>
      <w:r>
        <w:rPr/>
        <w:t> 形资产；</w:t>
      </w:r>
    </w:p>
    <w:p>
      <w:pPr>
        <w:pStyle w:val="BodyText"/>
        <w:spacing w:line="408" w:lineRule="auto"/>
        <w:ind w:left="573" w:right="0"/>
        <w:jc w:val="left"/>
      </w:pPr>
      <w:r>
        <w:rPr/>
        <w:t>⑤、归属于该无形资产开发阶段的支出能够可靠地计量。 </w:t>
      </w:r>
      <w:r>
        <w:rPr>
          <w:spacing w:val="-1"/>
        </w:rPr>
        <w:t>开发阶段的支出，若不满足上列条件的，于发生时计入当期损益。研究阶段的支出，在发生时计入当</w:t>
      </w:r>
    </w:p>
    <w:p>
      <w:pPr>
        <w:pStyle w:val="BodyText"/>
        <w:spacing w:line="240" w:lineRule="auto"/>
        <w:ind w:right="0"/>
        <w:jc w:val="left"/>
      </w:pPr>
      <w:r>
        <w:rPr/>
        <w:t>期损益。</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w:t>
      </w:r>
      <w:r>
        <w:rPr>
          <w:rFonts w:ascii="Times New Roman" w:hAnsi="Times New Roman" w:cs="Times New Roman" w:eastAsia="Times New Roman" w:hint="default"/>
        </w:rPr>
        <w:t>2</w:t>
      </w:r>
      <w:r>
        <w:rPr/>
        <w:t>）外购或委托外部研究开发项目开发阶段的支出，满足下列条件时确认为无形资产：</w:t>
      </w:r>
    </w:p>
    <w:p>
      <w:pPr>
        <w:pStyle w:val="BodyText"/>
        <w:spacing w:line="408" w:lineRule="auto" w:before="177"/>
        <w:ind w:right="0" w:firstLine="420"/>
        <w:jc w:val="left"/>
      </w:pPr>
      <w:r>
        <w:rPr>
          <w:spacing w:val="-1"/>
        </w:rPr>
        <w:t>①、外购的已获得临床批件的生产技术或配方，其购买价款及后续临床试验费用确认为开发支出，取</w:t>
      </w:r>
      <w:r>
        <w:rPr/>
        <w:t> 得生产批件后结转为无形资产。</w:t>
      </w:r>
    </w:p>
    <w:p>
      <w:pPr>
        <w:pStyle w:val="BodyText"/>
        <w:spacing w:line="408" w:lineRule="auto"/>
        <w:ind w:right="0" w:firstLine="420"/>
        <w:jc w:val="left"/>
      </w:pPr>
      <w:r>
        <w:rPr>
          <w:spacing w:val="-1"/>
        </w:rPr>
        <w:t>②、委托外部机构研发的多肽类生产技术或配方，自研发开始至取得临床批件期间发生的支出计入当</w:t>
      </w:r>
      <w:r>
        <w:rPr/>
        <w:t> 期损益；获得临床批件后发生的临床试验费用确认为开发支出，取得生产批件后结转为无形资产。</w:t>
      </w:r>
    </w:p>
    <w:p>
      <w:pPr>
        <w:pStyle w:val="BodyText"/>
        <w:spacing w:line="408" w:lineRule="auto"/>
        <w:ind w:right="0" w:firstLine="420"/>
        <w:jc w:val="left"/>
      </w:pPr>
      <w:r>
        <w:rPr>
          <w:spacing w:val="-1"/>
        </w:rPr>
        <w:t>③、委托外部机构研发的非多肽类生产技术或配方，自研发开始至获取生产批件期间发生的支出全部</w:t>
      </w:r>
      <w:r>
        <w:rPr/>
        <w:t> 计入当期损益。</w:t>
      </w:r>
    </w:p>
    <w:p>
      <w:pPr>
        <w:pStyle w:val="BodyText"/>
        <w:spacing w:line="386" w:lineRule="auto"/>
        <w:ind w:left="574" w:right="0" w:hanging="420"/>
        <w:jc w:val="left"/>
      </w:pPr>
      <w:bookmarkStart w:name="21、长期资产减值" w:id="203"/>
      <w:bookmarkEnd w:id="203"/>
      <w:r>
        <w:rPr/>
      </w:r>
      <w:r>
        <w:rPr>
          <w:rFonts w:ascii="Times New Roman" w:hAnsi="Times New Roman" w:cs="Times New Roman" w:eastAsia="Times New Roman" w:hint="default"/>
          <w:b/>
          <w:bCs/>
        </w:rPr>
        <w:t>21</w:t>
      </w:r>
      <w:r>
        <w:rPr>
          <w:rFonts w:ascii="宋体" w:hAnsi="宋体" w:cs="宋体" w:eastAsia="宋体" w:hint="default"/>
          <w:b/>
          <w:bCs/>
        </w:rPr>
        <w:t>、长期资产减值</w:t>
      </w:r>
      <w:r>
        <w:rPr>
          <w:rFonts w:ascii="宋体" w:hAnsi="宋体" w:cs="宋体" w:eastAsia="宋体" w:hint="default"/>
          <w:b/>
          <w:bCs/>
          <w:w w:val="99"/>
        </w:rPr>
        <w:t> </w:t>
      </w:r>
      <w:r>
        <w:rPr>
          <w:spacing w:val="-1"/>
        </w:rPr>
        <w:t>长期股权投资、采用成本模式计量的投资性房地产、固定资产、在建工程、无形资产等长期资产，于</w:t>
      </w:r>
    </w:p>
    <w:p>
      <w:pPr>
        <w:pStyle w:val="BodyText"/>
        <w:spacing w:line="408" w:lineRule="auto" w:before="65"/>
        <w:ind w:left="154" w:right="1110"/>
        <w:jc w:val="both"/>
      </w:pPr>
      <w:r>
        <w:rPr/>
        <w:t>资产负债表日存在减值迹象的，进行减值测试。减值测试结果表明资产的可收回金额低于其账面价值的， </w:t>
      </w:r>
      <w:r>
        <w:rPr>
          <w:spacing w:val="-1"/>
        </w:rPr>
        <w:t>按其差额计提减值准备并计入减值损失。可收回金额为资产的公允价值减去处置费用后的净额与资产预计</w:t>
      </w:r>
      <w:r>
        <w:rPr>
          <w:spacing w:val="-81"/>
        </w:rPr>
        <w:t> </w:t>
      </w:r>
      <w:r>
        <w:rPr>
          <w:spacing w:val="-81"/>
        </w:rPr>
      </w:r>
      <w:r>
        <w:rPr>
          <w:spacing w:val="-1"/>
        </w:rPr>
        <w:t>未来现金流量的现值两者之间的较高者。资产减值准备按单项资产为基础计算并确认，如果难以对单项资</w:t>
      </w:r>
      <w:r>
        <w:rPr>
          <w:spacing w:val="-81"/>
        </w:rPr>
        <w:t> </w:t>
      </w:r>
      <w:r>
        <w:rPr>
          <w:spacing w:val="-81"/>
        </w:rPr>
      </w:r>
      <w:r>
        <w:rPr>
          <w:spacing w:val="-1"/>
        </w:rPr>
        <w:t>产的可收回金额进行估计的，以该资产所属的资产组确定资产组的可收回金额。资产组是能够独立产生现</w:t>
      </w:r>
      <w:r>
        <w:rPr>
          <w:spacing w:val="-81"/>
        </w:rPr>
        <w:t> </w:t>
      </w:r>
      <w:r>
        <w:rPr>
          <w:spacing w:val="-81"/>
        </w:rPr>
      </w:r>
      <w:r>
        <w:rPr/>
        <w:t>金流入的最小资产组合。</w:t>
      </w:r>
    </w:p>
    <w:p>
      <w:pPr>
        <w:pStyle w:val="BodyText"/>
        <w:spacing w:line="408" w:lineRule="auto"/>
        <w:ind w:left="574" w:right="0"/>
        <w:jc w:val="left"/>
      </w:pPr>
      <w:r>
        <w:rPr/>
        <w:t>商誉至少在每年年度终了进行减值测试。 </w:t>
      </w:r>
      <w:r>
        <w:rPr>
          <w:spacing w:val="-1"/>
        </w:rPr>
        <w:t>本公司进行商誉减值测试，对于因企业合并形成的商誉的账面价值，自购买日起按照合理的方法分摊</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至相关的资产组；难以分摊至相关的资产组的，将其分摊至相关的资产组组合。在将商誉的账面价值分摊</w:t>
      </w:r>
      <w:r>
        <w:rPr>
          <w:spacing w:val="-83"/>
        </w:rPr>
        <w:t> </w:t>
      </w:r>
      <w:r>
        <w:rPr>
          <w:spacing w:val="-83"/>
        </w:rPr>
      </w:r>
      <w:r>
        <w:rPr>
          <w:spacing w:val="-1"/>
        </w:rPr>
        <w:t>至相关的资产组或者资产组组合时，按照各资产组或者资产组组合的公允价值占相关资产组或者资产组组</w:t>
      </w:r>
      <w:r>
        <w:rPr>
          <w:spacing w:val="-81"/>
        </w:rPr>
        <w:t> </w:t>
      </w:r>
      <w:r>
        <w:rPr>
          <w:spacing w:val="-81"/>
        </w:rPr>
      </w:r>
      <w:r>
        <w:rPr>
          <w:spacing w:val="-1"/>
        </w:rPr>
        <w:t>合公允价值总额的比例进行分摊。公允价值难以可靠计量的，按照各资产组或者资产组组合的账面价值占</w:t>
      </w:r>
      <w:r>
        <w:rPr>
          <w:spacing w:val="-81"/>
        </w:rPr>
        <w:t> </w:t>
      </w:r>
      <w:r>
        <w:rPr>
          <w:spacing w:val="-81"/>
        </w:rPr>
      </w:r>
      <w:r>
        <w:rPr/>
        <w:t>相关资产组或者资产组组合账面价值总额的比例进行分摊。</w:t>
      </w:r>
    </w:p>
    <w:p>
      <w:pPr>
        <w:pStyle w:val="BodyText"/>
        <w:spacing w:line="408" w:lineRule="auto"/>
        <w:ind w:right="1131" w:firstLine="420"/>
        <w:jc w:val="both"/>
      </w:pPr>
      <w:r>
        <w:rPr>
          <w:spacing w:val="-1"/>
        </w:rPr>
        <w:t>在对包含商誉的相关资产组或者资产组组合进行减值测试时，如与商誉相关的资产组或者资产组组合</w:t>
      </w:r>
      <w:r>
        <w:rPr/>
        <w:t> </w:t>
      </w:r>
      <w:r>
        <w:rPr>
          <w:spacing w:val="-1"/>
        </w:rPr>
        <w:t>存在减值迹象的，先对不包含商誉的资产组或者资产组组合进行减值测试，计算可收回金额，并与相关账</w:t>
      </w:r>
      <w:r>
        <w:rPr>
          <w:spacing w:val="-83"/>
        </w:rPr>
        <w:t> </w:t>
      </w:r>
      <w:r>
        <w:rPr>
          <w:spacing w:val="-83"/>
        </w:rPr>
      </w:r>
      <w:r>
        <w:rPr>
          <w:spacing w:val="-1"/>
        </w:rPr>
        <w:t>面价值相比较，确认相应的减值损失。再对包含商誉的资产组或者资产组组合进行减值测试，比较这些相</w:t>
      </w:r>
      <w:r>
        <w:rPr>
          <w:spacing w:val="-83"/>
        </w:rPr>
        <w:t> </w:t>
      </w:r>
      <w:r>
        <w:rPr>
          <w:spacing w:val="-83"/>
        </w:rPr>
      </w:r>
      <w:r>
        <w:rPr>
          <w:spacing w:val="-1"/>
        </w:rPr>
        <w:t>关资产组或者资产组组合的账面价值（包括所分摊的商誉的账面价值部分）与其可收回金额，如相关资产</w:t>
      </w:r>
      <w:r>
        <w:rPr>
          <w:spacing w:val="-83"/>
        </w:rPr>
        <w:t> </w:t>
      </w:r>
      <w:r>
        <w:rPr>
          <w:spacing w:val="-83"/>
        </w:rPr>
      </w:r>
      <w:r>
        <w:rPr/>
        <w:t>组或者资产组组合的可收回金额低于其账面价值的，确认商誉的减值损失。</w:t>
      </w:r>
      <w:r>
        <w:rPr>
          <w:spacing w:val="71"/>
        </w:rPr>
        <w:t> </w:t>
      </w:r>
      <w:r>
        <w:rPr/>
        <w:t>上述资产减值损失一经确</w:t>
      </w:r>
      <w:r>
        <w:rPr>
          <w:spacing w:val="-103"/>
        </w:rPr>
        <w:t> </w:t>
      </w:r>
      <w:r>
        <w:rPr>
          <w:spacing w:val="-103"/>
        </w:rPr>
      </w:r>
      <w:r>
        <w:rPr/>
        <w:t>认，在以后会计期间不予转回。</w:t>
      </w:r>
    </w:p>
    <w:p>
      <w:pPr>
        <w:pStyle w:val="BodyText"/>
        <w:spacing w:line="398" w:lineRule="auto"/>
        <w:ind w:left="565" w:right="1731" w:hanging="412"/>
        <w:jc w:val="left"/>
      </w:pPr>
      <w:bookmarkStart w:name="22、长期待摊费用" w:id="204"/>
      <w:bookmarkEnd w:id="204"/>
      <w:r>
        <w:rPr/>
      </w:r>
      <w:r>
        <w:rPr>
          <w:rFonts w:ascii="Times New Roman" w:hAnsi="Times New Roman" w:cs="Times New Roman" w:eastAsia="Times New Roman" w:hint="default"/>
          <w:b/>
          <w:bCs/>
        </w:rPr>
        <w:t>22</w:t>
      </w:r>
      <w:r>
        <w:rPr>
          <w:rFonts w:ascii="宋体" w:hAnsi="宋体" w:cs="宋体" w:eastAsia="宋体" w:hint="default"/>
          <w:b/>
          <w:bCs/>
        </w:rPr>
        <w:t>、长期待摊费用</w:t>
      </w:r>
      <w:r>
        <w:rPr>
          <w:rFonts w:ascii="宋体" w:hAnsi="宋体" w:cs="宋体" w:eastAsia="宋体" w:hint="default"/>
          <w:b/>
          <w:bCs/>
          <w:w w:val="99"/>
        </w:rPr>
        <w:t> </w:t>
      </w:r>
      <w:r>
        <w:rPr/>
        <w:t>长期待摊费用是指本公司已经发生但应由本期和以后各期负担的期限在一年以上的各项费用。 </w:t>
      </w:r>
      <w:r>
        <w:rPr>
          <w:rFonts w:ascii="Times New Roman" w:hAnsi="Times New Roman" w:cs="Times New Roman" w:eastAsia="Times New Roman" w:hint="default"/>
        </w:rPr>
        <w:t>1</w:t>
      </w:r>
      <w:r>
        <w:rPr/>
        <w:t>、摊销方法</w:t>
      </w:r>
    </w:p>
    <w:p>
      <w:pPr>
        <w:pStyle w:val="BodyText"/>
        <w:spacing w:line="240" w:lineRule="auto" w:before="24"/>
        <w:ind w:left="565" w:right="0"/>
        <w:jc w:val="left"/>
      </w:pPr>
      <w:r>
        <w:rPr/>
        <w:t>长期待摊费用在受益期内平均摊销。</w:t>
      </w:r>
    </w:p>
    <w:p>
      <w:pPr>
        <w:spacing w:line="240" w:lineRule="auto" w:before="10"/>
        <w:rPr>
          <w:rFonts w:ascii="宋体" w:hAnsi="宋体" w:cs="宋体" w:eastAsia="宋体" w:hint="default"/>
          <w:sz w:val="14"/>
          <w:szCs w:val="14"/>
        </w:rPr>
      </w:pPr>
    </w:p>
    <w:p>
      <w:pPr>
        <w:pStyle w:val="BodyText"/>
        <w:spacing w:line="386" w:lineRule="auto" w:before="0"/>
        <w:ind w:left="565" w:right="4251"/>
        <w:jc w:val="left"/>
      </w:pPr>
      <w:r>
        <w:rPr>
          <w:rFonts w:ascii="Times New Roman" w:hAnsi="Times New Roman" w:cs="Times New Roman" w:eastAsia="Times New Roman" w:hint="default"/>
        </w:rPr>
        <w:t>2</w:t>
      </w:r>
      <w:r>
        <w:rPr/>
        <w:t>、摊销年限 预付经营租入固定资产的租金，按租赁合同规定的期限平均摊销。</w:t>
      </w:r>
    </w:p>
    <w:p>
      <w:pPr>
        <w:pStyle w:val="BodyText"/>
        <w:spacing w:line="408" w:lineRule="auto" w:before="65"/>
        <w:ind w:left="154" w:right="1133" w:firstLine="411"/>
        <w:jc w:val="both"/>
      </w:pPr>
      <w:r>
        <w:rPr>
          <w:spacing w:val="-1"/>
        </w:rPr>
        <w:t>经营租赁方式租入的固定资产改良支出，按剩余租赁期与租赁资产尚可使用年限两者中较短的期限平</w:t>
      </w:r>
      <w:r>
        <w:rPr/>
        <w:t> 均摊销。</w:t>
      </w:r>
    </w:p>
    <w:p>
      <w:pPr>
        <w:pStyle w:val="BodyText"/>
        <w:spacing w:line="408" w:lineRule="auto"/>
        <w:ind w:left="154" w:right="1131" w:firstLine="420"/>
        <w:jc w:val="both"/>
      </w:pPr>
      <w:r>
        <w:rPr>
          <w:spacing w:val="-1"/>
        </w:rPr>
        <w:t>融资租赁方式租入的固定资产，其符合资本化条件的装修费用，在两次装修间隔期间、剩余租赁期和</w:t>
      </w:r>
      <w:r>
        <w:rPr/>
        <w:t> 固定资产尚可使用年限三者中较短的期限平均摊销。</w:t>
      </w:r>
    </w:p>
    <w:p>
      <w:pPr>
        <w:pStyle w:val="Heading3"/>
        <w:spacing w:line="240" w:lineRule="auto" w:before="46"/>
        <w:ind w:left="154" w:right="0"/>
        <w:jc w:val="left"/>
        <w:rPr>
          <w:b w:val="0"/>
          <w:bCs w:val="0"/>
        </w:rPr>
      </w:pPr>
      <w:bookmarkStart w:name="23、职工薪酬" w:id="205"/>
      <w:bookmarkEnd w:id="205"/>
      <w:r>
        <w:rPr>
          <w:b w:val="0"/>
          <w:bCs w:val="0"/>
        </w:rPr>
      </w:r>
      <w:r>
        <w:rPr>
          <w:rFonts w:ascii="Times New Roman" w:hAnsi="Times New Roman" w:cs="Times New Roman" w:eastAsia="Times New Roman" w:hint="default"/>
        </w:rPr>
        <w:t>23</w:t>
      </w:r>
      <w:r>
        <w:rPr/>
        <w:t>、职工薪酬</w:t>
      </w:r>
      <w:r>
        <w:rPr>
          <w:b w:val="0"/>
          <w:bCs w:val="0"/>
        </w:rPr>
      </w:r>
    </w:p>
    <w:p>
      <w:pPr>
        <w:spacing w:line="386" w:lineRule="auto" w:before="177"/>
        <w:ind w:left="565" w:right="0" w:hanging="412"/>
        <w:jc w:val="left"/>
        <w:rPr>
          <w:rFonts w:ascii="宋体" w:hAnsi="宋体" w:cs="宋体" w:eastAsia="宋体" w:hint="default"/>
          <w:sz w:val="21"/>
          <w:szCs w:val="21"/>
        </w:rPr>
      </w:pPr>
      <w:bookmarkStart w:name="（1）短期薪酬的会计处理方法" w:id="206"/>
      <w:bookmarkEnd w:id="2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本公司在职工为本公司提供服务的会计期间，将实际发生的短期薪酬确认为负债，并计入当期损益或</w:t>
      </w:r>
    </w:p>
    <w:p>
      <w:pPr>
        <w:pStyle w:val="BodyText"/>
        <w:spacing w:line="408" w:lineRule="auto" w:before="65"/>
        <w:ind w:left="565" w:right="1118" w:hanging="412"/>
        <w:jc w:val="left"/>
      </w:pPr>
      <w:r>
        <w:rPr/>
        <w:t>相关资产成本。 </w:t>
      </w:r>
      <w:r>
        <w:rPr>
          <w:spacing w:val="-1"/>
        </w:rPr>
        <w:t>本公司为职工缴纳的社会保险费和住房公积金，以及按规定提取的工会经费和职工教育经费，在职工</w:t>
      </w:r>
    </w:p>
    <w:p>
      <w:pPr>
        <w:pStyle w:val="BodyText"/>
        <w:spacing w:line="408" w:lineRule="auto"/>
        <w:ind w:left="565" w:right="1933" w:hanging="412"/>
        <w:jc w:val="left"/>
      </w:pPr>
      <w:r>
        <w:rPr/>
        <w:t>为本公司提供服务的会计期间，根据规定的计提基础和计提比例计算确定相应的职工薪酬金额。 职工福利费为非货币性福利的，如能够可靠计量的，按照公允价值计量。</w:t>
      </w:r>
    </w:p>
    <w:p>
      <w:pPr>
        <w:spacing w:line="386" w:lineRule="auto" w:before="46"/>
        <w:ind w:left="565" w:right="0" w:hanging="412"/>
        <w:jc w:val="left"/>
        <w:rPr>
          <w:rFonts w:ascii="宋体" w:hAnsi="宋体" w:cs="宋体" w:eastAsia="宋体" w:hint="default"/>
          <w:sz w:val="21"/>
          <w:szCs w:val="21"/>
        </w:rPr>
      </w:pPr>
      <w:bookmarkStart w:name="（2）离职后福利的会计处理方法" w:id="207"/>
      <w:bookmarkEnd w:id="2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本公司按当地政府的相关规定为职工缴纳基本养老保险和失业保险，在职工为本公司提供服务的会计</w:t>
      </w:r>
    </w:p>
    <w:p>
      <w:pPr>
        <w:pStyle w:val="BodyText"/>
        <w:spacing w:line="240" w:lineRule="auto" w:before="65"/>
        <w:ind w:left="154" w:right="0"/>
        <w:jc w:val="left"/>
      </w:pPr>
      <w:r>
        <w:rPr/>
        <w:t>期间，按以当地规定的缴纳基数和比例计算应缴纳金额，确认为负债，并计入当期损益或相关资产成本。</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386" w:lineRule="auto" w:before="174"/>
        <w:ind w:left="565" w:right="0" w:hanging="412"/>
        <w:jc w:val="left"/>
        <w:rPr>
          <w:rFonts w:ascii="宋体" w:hAnsi="宋体" w:cs="宋体" w:eastAsia="宋体" w:hint="default"/>
          <w:sz w:val="21"/>
          <w:szCs w:val="21"/>
        </w:rPr>
      </w:pPr>
      <w:bookmarkStart w:name="（3）辞退福利的会计处理方法" w:id="208"/>
      <w:bookmarkEnd w:id="2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本公司在不能单方面撤回因解除劳动关系计划或裁减建议所提供的辞退福利时，或确认与涉及支付辞</w:t>
      </w:r>
    </w:p>
    <w:p>
      <w:pPr>
        <w:pStyle w:val="BodyText"/>
        <w:spacing w:line="240" w:lineRule="auto" w:before="65"/>
        <w:ind w:right="0"/>
        <w:jc w:val="left"/>
      </w:pPr>
      <w:r>
        <w:rPr/>
        <w:t>退福利的重组相关的成本或费用时（两者孰早），确认辞退福利产生的职工薪酬负债，并计入当期损益。</w:t>
      </w:r>
    </w:p>
    <w:p>
      <w:pPr>
        <w:spacing w:line="240" w:lineRule="auto" w:before="10"/>
        <w:rPr>
          <w:rFonts w:ascii="宋体" w:hAnsi="宋体" w:cs="宋体" w:eastAsia="宋体" w:hint="default"/>
          <w:sz w:val="14"/>
          <w:szCs w:val="14"/>
        </w:rPr>
      </w:pPr>
    </w:p>
    <w:p>
      <w:pPr>
        <w:pStyle w:val="Heading3"/>
        <w:spacing w:line="386" w:lineRule="auto"/>
        <w:ind w:left="565" w:right="7064" w:hanging="412"/>
        <w:jc w:val="left"/>
        <w:rPr>
          <w:rFonts w:ascii="宋体" w:hAnsi="宋体" w:cs="宋体" w:eastAsia="宋体" w:hint="default"/>
          <w:b w:val="0"/>
          <w:bCs w:val="0"/>
        </w:rPr>
      </w:pPr>
      <w:bookmarkStart w:name="（4）其他长期职工福利的会计处理方法" w:id="209"/>
      <w:bookmarkEnd w:id="209"/>
      <w:r>
        <w:rPr>
          <w:b w:val="0"/>
          <w:bCs w:val="0"/>
        </w:rPr>
      </w:r>
      <w:r>
        <w:rPr/>
        <w:t>（</w:t>
      </w:r>
      <w:r>
        <w:rPr>
          <w:rFonts w:ascii="Times New Roman" w:hAnsi="Times New Roman" w:cs="Times New Roman" w:eastAsia="Times New Roman" w:hint="default"/>
        </w:rPr>
        <w:t>4</w:t>
      </w:r>
      <w:r>
        <w:rPr/>
        <w:t>）其他长期职工福利的会计处理方法</w:t>
      </w:r>
      <w:r>
        <w:rPr>
          <w:w w:val="99"/>
        </w:rPr>
        <w:t> </w:t>
      </w:r>
      <w:r>
        <w:rPr>
          <w:rFonts w:ascii="宋体" w:hAnsi="宋体" w:cs="宋体" w:eastAsia="宋体" w:hint="default"/>
          <w:b w:val="0"/>
          <w:bCs w:val="0"/>
        </w:rPr>
        <w:t>暂无</w:t>
      </w:r>
    </w:p>
    <w:p>
      <w:pPr>
        <w:pStyle w:val="Heading3"/>
        <w:spacing w:line="240" w:lineRule="auto" w:before="65"/>
        <w:ind w:right="0"/>
        <w:jc w:val="left"/>
        <w:rPr>
          <w:b w:val="0"/>
          <w:bCs w:val="0"/>
        </w:rPr>
      </w:pPr>
      <w:bookmarkStart w:name="24、预计负债" w:id="210"/>
      <w:bookmarkEnd w:id="210"/>
      <w:r>
        <w:rPr>
          <w:b w:val="0"/>
          <w:bCs w:val="0"/>
        </w:rPr>
      </w:r>
      <w:r>
        <w:rPr>
          <w:rFonts w:ascii="Times New Roman" w:hAnsi="Times New Roman" w:cs="Times New Roman" w:eastAsia="Times New Roman" w:hint="default"/>
        </w:rPr>
        <w:t>24</w:t>
      </w:r>
      <w:r>
        <w:rPr/>
        <w:t>、预计负债</w:t>
      </w:r>
      <w:r>
        <w:rPr>
          <w:b w:val="0"/>
          <w:bCs w:val="0"/>
        </w:rPr>
      </w:r>
    </w:p>
    <w:p>
      <w:pPr>
        <w:pStyle w:val="BodyText"/>
        <w:spacing w:line="408" w:lineRule="auto" w:before="177"/>
        <w:ind w:left="154" w:right="0" w:firstLine="411"/>
        <w:jc w:val="left"/>
      </w:pPr>
      <w:r>
        <w:rPr>
          <w:spacing w:val="-1"/>
        </w:rPr>
        <w:t>本公司涉及诉讼、债务担保、亏损合同、重组事项时，如该等事项很可能需要未来以交付资产或提供</w:t>
      </w:r>
      <w:r>
        <w:rPr/>
        <w:t> 劳务、其金额能够可靠计量的，确认为预计负债。</w:t>
      </w:r>
    </w:p>
    <w:p>
      <w:pPr>
        <w:pStyle w:val="BodyText"/>
        <w:spacing w:line="386" w:lineRule="auto"/>
        <w:ind w:left="565" w:right="0" w:firstLine="8"/>
        <w:jc w:val="left"/>
      </w:pPr>
      <w:r>
        <w:rPr>
          <w:rFonts w:ascii="Times New Roman" w:hAnsi="Times New Roman" w:cs="Times New Roman" w:eastAsia="Times New Roman" w:hint="default"/>
        </w:rPr>
        <w:t>1</w:t>
      </w:r>
      <w:r>
        <w:rPr/>
        <w:t>、预计负债的确认标准 </w:t>
      </w:r>
      <w:r>
        <w:rPr>
          <w:spacing w:val="-1"/>
        </w:rPr>
        <w:t>与诉讼、债务担保、亏损合同、重组事项等或有事项相关的义务同时满足下列条件时，本公司确认为</w:t>
      </w:r>
    </w:p>
    <w:p>
      <w:pPr>
        <w:pStyle w:val="BodyText"/>
        <w:spacing w:line="240" w:lineRule="auto" w:before="65"/>
        <w:ind w:left="154" w:right="0"/>
        <w:jc w:val="left"/>
      </w:pPr>
      <w:r>
        <w:rPr/>
        <w:t>预计负债：</w:t>
      </w:r>
    </w:p>
    <w:p>
      <w:pPr>
        <w:spacing w:line="240" w:lineRule="auto" w:before="10"/>
        <w:rPr>
          <w:rFonts w:ascii="宋体" w:hAnsi="宋体" w:cs="宋体" w:eastAsia="宋体" w:hint="default"/>
          <w:sz w:val="14"/>
          <w:szCs w:val="14"/>
        </w:rPr>
      </w:pPr>
    </w:p>
    <w:p>
      <w:pPr>
        <w:pStyle w:val="BodyText"/>
        <w:spacing w:line="240" w:lineRule="auto" w:before="0"/>
        <w:ind w:left="565" w:right="0"/>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177"/>
        <w:ind w:left="565" w:right="0"/>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177"/>
        <w:ind w:left="565" w:right="0"/>
        <w:jc w:val="left"/>
      </w:pPr>
      <w:r>
        <w:rPr/>
        <w:t>（</w:t>
      </w:r>
      <w:r>
        <w:rPr>
          <w:rFonts w:ascii="Times New Roman" w:hAnsi="Times New Roman" w:cs="Times New Roman" w:eastAsia="Times New Roman" w:hint="default"/>
        </w:rPr>
        <w:t>3</w:t>
      </w:r>
      <w:r>
        <w:rPr/>
        <w:t>）该义务的金额能够可靠地计量。</w:t>
      </w:r>
    </w:p>
    <w:p>
      <w:pPr>
        <w:pStyle w:val="BodyText"/>
        <w:spacing w:line="398" w:lineRule="auto" w:before="177"/>
        <w:ind w:left="565" w:right="1118" w:firstLine="8"/>
        <w:jc w:val="left"/>
      </w:pPr>
      <w:r>
        <w:rPr>
          <w:rFonts w:ascii="Times New Roman" w:hAnsi="Times New Roman" w:cs="Times New Roman" w:eastAsia="Times New Roman" w:hint="default"/>
        </w:rPr>
        <w:t>2</w:t>
      </w:r>
      <w:r>
        <w:rPr/>
        <w:t>、预计负债的计量方法 本公司预计负债按履行相关现时义务所需的支出的最佳估计数进行初始计量。 </w:t>
      </w:r>
      <w:r>
        <w:rPr>
          <w:spacing w:val="-1"/>
        </w:rPr>
        <w:t>本公司在确定最佳估计数时，综合考虑与或有事项有关的风险、不确定性和货币时间价值等因素。对</w:t>
      </w:r>
    </w:p>
    <w:p>
      <w:pPr>
        <w:pStyle w:val="BodyText"/>
        <w:spacing w:line="408" w:lineRule="auto" w:before="54"/>
        <w:ind w:left="565" w:right="1118" w:hanging="412"/>
        <w:jc w:val="left"/>
      </w:pPr>
      <w:r>
        <w:rPr/>
        <w:t>于货币时间价值影响重大的，通过对相关未来现金流出进行折现后确定最佳估计数。 最佳估计数分别以下情况处理： </w:t>
      </w:r>
      <w:r>
        <w:rPr>
          <w:spacing w:val="-1"/>
        </w:rPr>
        <w:t>所需支出存在一个连续范围（或区间），且该范围内各种结果发生的可能性相同的，则最佳估计数按</w:t>
      </w:r>
    </w:p>
    <w:p>
      <w:pPr>
        <w:pStyle w:val="BodyText"/>
        <w:spacing w:line="408" w:lineRule="auto"/>
        <w:ind w:left="565" w:right="0" w:hanging="412"/>
        <w:jc w:val="left"/>
      </w:pPr>
      <w:r>
        <w:rPr/>
        <w:t>照该范围的中间值即上下限金额的平均数确定。 </w:t>
      </w:r>
      <w:r>
        <w:rPr>
          <w:spacing w:val="-1"/>
        </w:rPr>
        <w:t>所需支出不存在一个连续范围（或区间），或虽然存在一个连续范围但该范围内各种结果发生的可能</w:t>
      </w:r>
    </w:p>
    <w:p>
      <w:pPr>
        <w:pStyle w:val="BodyText"/>
        <w:spacing w:line="408" w:lineRule="auto"/>
        <w:ind w:left="154" w:right="0"/>
        <w:jc w:val="left"/>
      </w:pPr>
      <w:r>
        <w:rPr>
          <w:spacing w:val="-1"/>
        </w:rPr>
        <w:t>性不相同的，如或有事项涉及单个项目的，则最佳估计数按照最可能发生金额确定；如或有事项涉及多个</w:t>
      </w:r>
      <w:r>
        <w:rPr>
          <w:spacing w:val="-83"/>
        </w:rPr>
        <w:t> </w:t>
      </w:r>
      <w:r>
        <w:rPr>
          <w:spacing w:val="-83"/>
        </w:rPr>
      </w:r>
      <w:r>
        <w:rPr/>
        <w:t>项目的，则最佳估计数按各种可能结果及相关概率计算确定。</w:t>
      </w:r>
    </w:p>
    <w:p>
      <w:pPr>
        <w:pStyle w:val="BodyText"/>
        <w:spacing w:line="408" w:lineRule="auto"/>
        <w:ind w:left="154" w:right="0" w:firstLine="411"/>
        <w:jc w:val="left"/>
      </w:pPr>
      <w:r>
        <w:rPr>
          <w:spacing w:val="-1"/>
        </w:rPr>
        <w:t>本公司清偿预计负债所需支出全部或部分预期由第三方补偿的，补偿金额在基本确定能够收到时，作</w:t>
      </w:r>
      <w:r>
        <w:rPr/>
        <w:t> 为资产单独确认，确认的补偿金额不超过预计负债的账面价值。</w:t>
      </w:r>
    </w:p>
    <w:p>
      <w:pPr>
        <w:pStyle w:val="Heading3"/>
        <w:spacing w:line="240" w:lineRule="auto" w:before="46"/>
        <w:ind w:left="154" w:right="0"/>
        <w:jc w:val="left"/>
        <w:rPr>
          <w:b w:val="0"/>
          <w:bCs w:val="0"/>
        </w:rPr>
      </w:pPr>
      <w:bookmarkStart w:name="25、收入" w:id="211"/>
      <w:bookmarkEnd w:id="211"/>
      <w:r>
        <w:rPr>
          <w:b w:val="0"/>
          <w:bCs w:val="0"/>
        </w:rPr>
      </w:r>
      <w:r>
        <w:rPr>
          <w:rFonts w:ascii="Times New Roman" w:hAnsi="Times New Roman" w:cs="Times New Roman" w:eastAsia="Times New Roman" w:hint="default"/>
        </w:rPr>
        <w:t>25</w:t>
      </w:r>
      <w:r>
        <w:rPr/>
        <w:t>、收入</w:t>
      </w:r>
      <w:r>
        <w:rPr>
          <w:b w:val="0"/>
          <w:bCs w:val="0"/>
        </w:rPr>
      </w:r>
    </w:p>
    <w:p>
      <w:pPr>
        <w:spacing w:line="240" w:lineRule="auto" w:before="7"/>
        <w:rPr>
          <w:rFonts w:ascii="宋体" w:hAnsi="宋体" w:cs="宋体" w:eastAsia="宋体" w:hint="default"/>
          <w:b/>
          <w:bCs/>
          <w:sz w:val="15"/>
          <w:szCs w:val="15"/>
        </w:rPr>
      </w:pPr>
    </w:p>
    <w:p>
      <w:pPr>
        <w:spacing w:line="47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40" w:lineRule="auto" w:before="29"/>
        <w:ind w:left="574" w:right="0"/>
        <w:jc w:val="left"/>
      </w:pPr>
      <w:r>
        <w:rPr>
          <w:rFonts w:ascii="Times New Roman" w:hAnsi="Times New Roman" w:cs="Times New Roman" w:eastAsia="Times New Roman" w:hint="default"/>
        </w:rPr>
        <w:t>1</w:t>
      </w:r>
      <w:r>
        <w:rPr/>
        <w:t>、销售商品收入确认和计量原则</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4" w:firstLine="420"/>
        <w:jc w:val="left"/>
      </w:pPr>
      <w:r>
        <w:rPr/>
        <w:t>公司已将商品所有权上的主要风险和报酬转移给购买方；公司既没有保留与所有权相联系的继续管理 </w:t>
      </w:r>
      <w:r>
        <w:rPr>
          <w:spacing w:val="-3"/>
        </w:rPr>
        <w:t>权，也没有对已售出的商品实施有效控制；收入的金额能够可靠地计量；相关的经济利益很可能流入企业；</w:t>
      </w:r>
      <w:r>
        <w:rPr>
          <w:spacing w:val="-90"/>
        </w:rPr>
        <w:t> </w:t>
      </w:r>
      <w:r>
        <w:rPr>
          <w:spacing w:val="-90"/>
        </w:rPr>
      </w:r>
      <w:r>
        <w:rPr/>
        <w:t>相关的已发生或将发生的成本能够可靠地计量时，确认商品销售收入实现。</w:t>
      </w:r>
    </w:p>
    <w:p>
      <w:pPr>
        <w:pStyle w:val="BodyText"/>
        <w:spacing w:line="240" w:lineRule="auto"/>
        <w:ind w:left="573" w:right="0"/>
        <w:jc w:val="left"/>
      </w:pPr>
      <w:r>
        <w:rPr>
          <w:rFonts w:ascii="Times New Roman" w:hAnsi="Times New Roman" w:cs="Times New Roman" w:eastAsia="Times New Roman" w:hint="default"/>
        </w:rPr>
        <w:t>2</w:t>
      </w:r>
      <w:r>
        <w:rPr/>
        <w:t>、让渡资产使用权收入的确认和计量原则</w:t>
      </w:r>
    </w:p>
    <w:p>
      <w:pPr>
        <w:pStyle w:val="BodyText"/>
        <w:spacing w:line="386" w:lineRule="auto" w:before="177"/>
        <w:ind w:left="573" w:right="0"/>
        <w:jc w:val="left"/>
      </w:pPr>
      <w:r>
        <w:rPr/>
        <w:t>（</w:t>
      </w:r>
      <w:r>
        <w:rPr>
          <w:rFonts w:ascii="Times New Roman" w:hAnsi="Times New Roman" w:cs="Times New Roman" w:eastAsia="Times New Roman" w:hint="default"/>
        </w:rPr>
        <w:t>1</w:t>
      </w:r>
      <w:r>
        <w:rPr/>
        <w:t>）让渡资产使用权收入确认和计量的总体原则 </w:t>
      </w:r>
      <w:r>
        <w:rPr>
          <w:spacing w:val="-1"/>
        </w:rPr>
        <w:t>与交易相关的经济利益很可能流入企业，收入的金额能够可靠地计量时。分别下列情况确定让渡资产</w:t>
      </w:r>
    </w:p>
    <w:p>
      <w:pPr>
        <w:pStyle w:val="BodyText"/>
        <w:spacing w:line="240" w:lineRule="auto" w:before="65"/>
        <w:ind w:right="0"/>
        <w:jc w:val="left"/>
      </w:pPr>
      <w:r>
        <w:rPr/>
        <w:t>使用权收入金额：</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①利息收入金额，按照他人使用本企业货币资金的时间和实际利率计算确定。</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②使用费收入金额，按照有关合同或协议约定的收费时间和方法计算确定。</w:t>
      </w: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26、政府补助" w:id="212"/>
      <w:bookmarkEnd w:id="212"/>
      <w:r>
        <w:rPr>
          <w:b w:val="0"/>
          <w:bCs w:val="0"/>
        </w:rPr>
      </w:r>
      <w:r>
        <w:rPr>
          <w:rFonts w:ascii="Times New Roman" w:hAnsi="Times New Roman" w:cs="Times New Roman" w:eastAsia="Times New Roman" w:hint="default"/>
        </w:rPr>
        <w:t>26</w:t>
      </w:r>
      <w:r>
        <w:rPr/>
        <w:t>、政府补助</w:t>
      </w:r>
      <w:r>
        <w:rPr>
          <w:b w:val="0"/>
          <w:bCs w:val="0"/>
        </w:rPr>
      </w:r>
    </w:p>
    <w:p>
      <w:pPr>
        <w:spacing w:line="386" w:lineRule="auto" w:before="177"/>
        <w:ind w:left="574" w:right="0" w:hanging="420"/>
        <w:jc w:val="left"/>
        <w:rPr>
          <w:rFonts w:ascii="宋体" w:hAnsi="宋体" w:cs="宋体" w:eastAsia="宋体" w:hint="default"/>
          <w:sz w:val="21"/>
          <w:szCs w:val="21"/>
        </w:rPr>
      </w:pPr>
      <w:bookmarkStart w:name="（1）与资产相关的政府补助判断依据及会计处理方法" w:id="213"/>
      <w:bookmarkEnd w:id="2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政府补助，是本公司从政府无偿取得的货币性资产与非货币性资产。分为与资产相关的政府补助和与</w:t>
      </w:r>
    </w:p>
    <w:p>
      <w:pPr>
        <w:pStyle w:val="BodyText"/>
        <w:spacing w:line="408" w:lineRule="auto" w:before="65"/>
        <w:ind w:left="574" w:right="0" w:hanging="420"/>
        <w:jc w:val="left"/>
      </w:pPr>
      <w:r>
        <w:rPr/>
        <w:t>收益相关的政府补助。 </w:t>
      </w:r>
      <w:r>
        <w:rPr>
          <w:spacing w:val="-1"/>
        </w:rPr>
        <w:t>与资产相关的政府补助，是指本公司取得的、用于购建或以其他方式形成长期资产的政府补助，与收</w:t>
      </w:r>
    </w:p>
    <w:p>
      <w:pPr>
        <w:pStyle w:val="BodyText"/>
        <w:spacing w:line="408" w:lineRule="auto"/>
        <w:ind w:left="574" w:right="0" w:hanging="420"/>
        <w:jc w:val="left"/>
      </w:pPr>
      <w:r>
        <w:rPr/>
        <w:t>益相关的政府补助，是指除与资产相关的政府补助之外的政府补助。 </w:t>
      </w:r>
      <w:r>
        <w:rPr>
          <w:spacing w:val="-1"/>
        </w:rPr>
        <w:t>本公司将政府补助划分为与资产相关的具体标准为：申请政府补助的项目最终形成一项或多项长期资</w:t>
      </w:r>
    </w:p>
    <w:p>
      <w:pPr>
        <w:pStyle w:val="BodyText"/>
        <w:spacing w:line="408" w:lineRule="auto"/>
        <w:ind w:left="574" w:right="0" w:hanging="420"/>
        <w:jc w:val="left"/>
      </w:pPr>
      <w:r>
        <w:rPr/>
        <w:t>产，且该长期资产可以为本公司带来预期的经济利益。 </w:t>
      </w:r>
      <w:r>
        <w:rPr>
          <w:spacing w:val="-1"/>
        </w:rPr>
        <w:t>与资产相关的政府补助，冲减相关资产账面价值或确认为递延收益。确认为递延收益的，在相关资产</w:t>
      </w:r>
    </w:p>
    <w:p>
      <w:pPr>
        <w:pStyle w:val="BodyText"/>
        <w:spacing w:line="408" w:lineRule="auto"/>
        <w:ind w:left="154" w:right="1133"/>
        <w:jc w:val="both"/>
      </w:pPr>
      <w:r>
        <w:rPr>
          <w:spacing w:val="-1"/>
        </w:rPr>
        <w:t>使用寿命内按照合理、系统的方法分期计入当期损益（与本公司日常活动相关的，计入其他收益；与本公</w:t>
      </w:r>
      <w:r>
        <w:rPr>
          <w:spacing w:val="-86"/>
        </w:rPr>
        <w:t> </w:t>
      </w:r>
      <w:r>
        <w:rPr>
          <w:spacing w:val="-86"/>
        </w:rPr>
      </w:r>
      <w:r>
        <w:rPr/>
        <w:t>司日常活动无关的，计入营业外收入）；</w:t>
      </w:r>
    </w:p>
    <w:p>
      <w:pPr>
        <w:spacing w:line="386" w:lineRule="auto" w:before="46"/>
        <w:ind w:left="574" w:right="0" w:hanging="420"/>
        <w:jc w:val="left"/>
        <w:rPr>
          <w:rFonts w:ascii="宋体" w:hAnsi="宋体" w:cs="宋体" w:eastAsia="宋体" w:hint="default"/>
          <w:sz w:val="21"/>
          <w:szCs w:val="21"/>
        </w:rPr>
      </w:pPr>
      <w:bookmarkStart w:name="（2）与收益相关的政府补助判断依据及会计处理方法" w:id="214"/>
      <w:bookmarkEnd w:id="2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本公司将政府补助划分为与收益相关的具体标准为：申请政府补助的项目与本公司主营业务紧密相</w:t>
      </w:r>
    </w:p>
    <w:p>
      <w:pPr>
        <w:pStyle w:val="BodyText"/>
        <w:spacing w:line="408" w:lineRule="auto" w:before="65"/>
        <w:ind w:left="574" w:right="0" w:hanging="420"/>
        <w:jc w:val="left"/>
      </w:pPr>
      <w:r>
        <w:rPr/>
        <w:t>关，本公司的相关投入最终将计入相应会计期间的费用。 </w:t>
      </w:r>
      <w:r>
        <w:rPr>
          <w:spacing w:val="-1"/>
        </w:rPr>
        <w:t>与收益相关的政府补助，用于补偿本公司以后期间的相关成本费用或损失的，确认为递延收益，并在</w:t>
      </w:r>
    </w:p>
    <w:p>
      <w:pPr>
        <w:pStyle w:val="BodyText"/>
        <w:spacing w:line="408" w:lineRule="auto"/>
        <w:ind w:left="154" w:right="1131"/>
        <w:jc w:val="both"/>
      </w:pPr>
      <w:r>
        <w:rPr>
          <w:spacing w:val="-1"/>
        </w:rPr>
        <w:t>确认相关成本费用或损失的期间，计入当期损益（与本公司日常活动相关的，计入其他收益；与本公司日</w:t>
      </w:r>
      <w:r>
        <w:rPr>
          <w:spacing w:val="-86"/>
        </w:rPr>
        <w:t> </w:t>
      </w:r>
      <w:r>
        <w:rPr>
          <w:spacing w:val="-86"/>
        </w:rPr>
      </w:r>
      <w:r>
        <w:rPr>
          <w:spacing w:val="-1"/>
        </w:rPr>
        <w:t>常活动无关的，计入营业外收入）或冲减相关成本费用或损失；用于补偿本公司已发生的相关成本费用或</w:t>
      </w:r>
      <w:r>
        <w:rPr>
          <w:spacing w:val="-83"/>
        </w:rPr>
        <w:t> </w:t>
      </w:r>
      <w:r>
        <w:rPr>
          <w:spacing w:val="-83"/>
        </w:rPr>
      </w:r>
      <w:r>
        <w:rPr>
          <w:spacing w:val="-1"/>
        </w:rPr>
        <w:t>损失的，直接计入当期损益（与本公司日常活动相关的，计入其他收益；与本公司日常活动无关的，计入</w:t>
      </w:r>
      <w:r>
        <w:rPr>
          <w:spacing w:val="-83"/>
        </w:rPr>
        <w:t> </w:t>
      </w:r>
      <w:r>
        <w:rPr>
          <w:spacing w:val="-83"/>
        </w:rPr>
      </w:r>
      <w:r>
        <w:rPr/>
        <w:t>营业外收入）或冲减相关成本费用或损失。</w:t>
      </w:r>
    </w:p>
    <w:p>
      <w:pPr>
        <w:pStyle w:val="BodyText"/>
        <w:spacing w:line="240" w:lineRule="auto"/>
        <w:ind w:left="574" w:right="0"/>
        <w:jc w:val="left"/>
      </w:pPr>
      <w:r>
        <w:rPr/>
        <w:t>本公司取得的政策性优惠贷款贴息，区分以下两种情况，分别进行会计处理：</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w:t>
      </w:r>
      <w:r>
        <w:rPr>
          <w:rFonts w:ascii="Times New Roman" w:hAnsi="Times New Roman" w:cs="Times New Roman" w:eastAsia="Times New Roman" w:hint="default"/>
        </w:rPr>
        <w:t>1</w:t>
      </w:r>
      <w:r>
        <w:rPr/>
        <w:t>）财政将贴息资金拨付给贷款银行，由贷款银行以政策性优惠利率向本公司提供贷款的，本公司</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以实际收到的借款金额作为借款的入账价值，按照借款本金和该政策性优惠利率计算相关借款费用。</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w:t>
      </w:r>
      <w:r>
        <w:rPr>
          <w:rFonts w:ascii="Times New Roman" w:hAnsi="Times New Roman" w:cs="Times New Roman" w:eastAsia="Times New Roman" w:hint="default"/>
        </w:rPr>
        <w:t>2</w:t>
      </w:r>
      <w:r>
        <w:rPr/>
        <w:t>）财政将贴息资金直接拨付给本公司的，本公司将对应的贴息冲减相关借款费用。</w:t>
      </w:r>
    </w:p>
    <w:p>
      <w:pPr>
        <w:spacing w:line="386" w:lineRule="auto" w:before="177"/>
        <w:ind w:left="573" w:right="0" w:hanging="420"/>
        <w:jc w:val="left"/>
        <w:rPr>
          <w:rFonts w:ascii="宋体" w:hAnsi="宋体" w:cs="宋体" w:eastAsia="宋体" w:hint="default"/>
          <w:sz w:val="21"/>
          <w:szCs w:val="21"/>
        </w:rPr>
      </w:pPr>
      <w:bookmarkStart w:name="27、递延所得税资产/递延所得税负债" w:id="215"/>
      <w:bookmarkEnd w:id="215"/>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pacing w:val="-1"/>
          <w:sz w:val="21"/>
          <w:szCs w:val="21"/>
        </w:rPr>
        <w:t>对于可抵扣暂时性差异确认递延所得税资产，以未来期间很可能取得的用来抵扣可抵扣暂时性差异的</w:t>
      </w:r>
    </w:p>
    <w:p>
      <w:pPr>
        <w:pStyle w:val="BodyText"/>
        <w:spacing w:line="408" w:lineRule="auto" w:before="65"/>
        <w:ind w:right="0"/>
        <w:jc w:val="left"/>
      </w:pPr>
      <w:r>
        <w:rPr>
          <w:spacing w:val="-1"/>
        </w:rPr>
        <w:t>应纳税所得额为限。对于能够结转以后年度的可抵扣亏损和税款抵减，以很可能获得用来抵扣可抵扣亏损</w:t>
      </w:r>
      <w:r>
        <w:rPr>
          <w:spacing w:val="-81"/>
        </w:rPr>
        <w:t> </w:t>
      </w:r>
      <w:r>
        <w:rPr>
          <w:spacing w:val="-81"/>
        </w:rPr>
      </w:r>
      <w:r>
        <w:rPr/>
        <w:t>和税款抵减的未来应纳税所得额为限，确认相应的递延所得税资产。</w:t>
      </w:r>
    </w:p>
    <w:p>
      <w:pPr>
        <w:pStyle w:val="BodyText"/>
        <w:spacing w:line="408" w:lineRule="auto"/>
        <w:ind w:left="573" w:right="0"/>
        <w:jc w:val="left"/>
      </w:pPr>
      <w:r>
        <w:rPr/>
        <w:t>对于应纳税暂时性差异，除特殊情况外，确认递延所得税负债。 </w:t>
      </w:r>
      <w:r>
        <w:rPr>
          <w:spacing w:val="-1"/>
        </w:rPr>
        <w:t>不确认递延所得税资产或递延所得税负债的特殊情况包括：商誉的初始确认；除企业合并以外的发生</w:t>
      </w:r>
    </w:p>
    <w:p>
      <w:pPr>
        <w:pStyle w:val="BodyText"/>
        <w:spacing w:line="408" w:lineRule="auto"/>
        <w:ind w:left="573" w:right="0" w:hanging="420"/>
        <w:jc w:val="left"/>
      </w:pPr>
      <w:r>
        <w:rPr/>
        <w:t>时既不影响会计利润也不影响应纳税所得额（或可抵扣亏损）的其他交易或事项。 </w:t>
      </w:r>
      <w:r>
        <w:rPr>
          <w:spacing w:val="-1"/>
        </w:rPr>
        <w:t>当拥有以净额结算的法定权利，且意图以净额结算或取得资产、清偿负债同时进行时，当期所得税资</w:t>
      </w:r>
    </w:p>
    <w:p>
      <w:pPr>
        <w:pStyle w:val="BodyText"/>
        <w:spacing w:line="408" w:lineRule="auto"/>
        <w:ind w:left="574" w:right="0" w:hanging="420"/>
        <w:jc w:val="left"/>
      </w:pPr>
      <w:r>
        <w:rPr/>
        <w:t>产及当期所得税负债以抵销后的净额列报。 </w:t>
      </w:r>
      <w:r>
        <w:rPr>
          <w:spacing w:val="-1"/>
        </w:rPr>
        <w:t>当拥有以净额结算当期所得税资产及当期所得税负债的法定权利，且递延所得税资产及递延所得税负</w:t>
      </w:r>
    </w:p>
    <w:p>
      <w:pPr>
        <w:pStyle w:val="BodyText"/>
        <w:spacing w:line="408" w:lineRule="auto"/>
        <w:ind w:left="154" w:right="1131"/>
        <w:jc w:val="both"/>
      </w:pPr>
      <w:r>
        <w:rPr>
          <w:spacing w:val="-1"/>
        </w:rPr>
        <w:t>债是与同一税收征管部门对同一纳税主体征收的所得税相关或者是对不同的纳税主体相关，但在未来每一</w:t>
      </w:r>
      <w:r>
        <w:rPr>
          <w:spacing w:val="-81"/>
        </w:rPr>
        <w:t> </w:t>
      </w:r>
      <w:r>
        <w:rPr>
          <w:spacing w:val="-81"/>
        </w:rPr>
      </w:r>
      <w:r>
        <w:rPr>
          <w:spacing w:val="-1"/>
        </w:rPr>
        <w:t>具有重要性的递延所得税资产及负债转回的期间内，涉及的纳税主体意图以净额结算当期所得税资产和负</w:t>
      </w:r>
      <w:r>
        <w:rPr>
          <w:spacing w:val="-81"/>
        </w:rPr>
        <w:t> </w:t>
      </w:r>
      <w:r>
        <w:rPr>
          <w:spacing w:val="-81"/>
        </w:rPr>
      </w:r>
      <w:r>
        <w:rPr/>
        <w:t>债或是同时取得资产、清偿负债时，递延所得税资产及递延所得税负债以抵销后的净额列报。</w:t>
      </w:r>
    </w:p>
    <w:p>
      <w:pPr>
        <w:pStyle w:val="Heading3"/>
        <w:spacing w:line="240" w:lineRule="auto" w:before="46"/>
        <w:ind w:right="0"/>
        <w:jc w:val="left"/>
        <w:rPr>
          <w:b w:val="0"/>
          <w:bCs w:val="0"/>
        </w:rPr>
      </w:pPr>
      <w:bookmarkStart w:name="28、租赁" w:id="216"/>
      <w:bookmarkEnd w:id="216"/>
      <w:r>
        <w:rPr>
          <w:b w:val="0"/>
          <w:bCs w:val="0"/>
        </w:rPr>
      </w:r>
      <w:r>
        <w:rPr>
          <w:rFonts w:ascii="Times New Roman" w:hAnsi="Times New Roman" w:cs="Times New Roman" w:eastAsia="Times New Roman" w:hint="default"/>
        </w:rPr>
        <w:t>28</w:t>
      </w:r>
      <w:r>
        <w:rPr/>
        <w:t>、租赁</w:t>
      </w:r>
      <w:r>
        <w:rPr>
          <w:b w:val="0"/>
          <w:bCs w:val="0"/>
        </w:rPr>
      </w:r>
    </w:p>
    <w:p>
      <w:pPr>
        <w:spacing w:line="386" w:lineRule="auto" w:before="177"/>
        <w:ind w:left="574" w:right="0" w:hanging="420"/>
        <w:jc w:val="left"/>
        <w:rPr>
          <w:rFonts w:ascii="宋体" w:hAnsi="宋体" w:cs="宋体" w:eastAsia="宋体" w:hint="default"/>
          <w:sz w:val="21"/>
          <w:szCs w:val="21"/>
        </w:rPr>
      </w:pPr>
      <w:bookmarkStart w:name="（1）经营租赁的会计处理方法" w:id="217"/>
      <w:bookmarkEnd w:id="21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本公司出租资产所收取的租赁费，在不扣除免租期的整个租赁期内，按直线法进行分摊，确认为租赁</w:t>
      </w:r>
    </w:p>
    <w:p>
      <w:pPr>
        <w:pStyle w:val="BodyText"/>
        <w:spacing w:line="408" w:lineRule="auto" w:before="65"/>
        <w:ind w:left="154" w:right="1023"/>
        <w:jc w:val="left"/>
      </w:pPr>
      <w:r>
        <w:rPr>
          <w:spacing w:val="-3"/>
        </w:rPr>
        <w:t>相关收入。本公司支付的与租赁交易相关的初始直接费用，计入当期费用；如金额较大的，则予以资本化，</w:t>
      </w:r>
      <w:r>
        <w:rPr>
          <w:spacing w:val="-96"/>
        </w:rPr>
        <w:t> </w:t>
      </w:r>
      <w:r>
        <w:rPr>
          <w:spacing w:val="-96"/>
        </w:rPr>
      </w:r>
      <w:r>
        <w:rPr/>
        <w:t>在整个租赁期间内按照与租赁相关收入确认相同的基础分期计入当期收益。</w:t>
      </w:r>
    </w:p>
    <w:p>
      <w:pPr>
        <w:pStyle w:val="BodyText"/>
        <w:spacing w:line="408" w:lineRule="auto"/>
        <w:ind w:right="1093" w:firstLine="420"/>
        <w:jc w:val="left"/>
      </w:pPr>
      <w:r>
        <w:rPr/>
        <w:t>本公司承担了应由承租方承担的与租赁相关的费用时，本公司将该部分费用从租金收入总额中扣除， 按扣除后的租金费用在租赁期内分配。</w:t>
      </w:r>
    </w:p>
    <w:p>
      <w:pPr>
        <w:spacing w:line="386" w:lineRule="auto" w:before="46"/>
        <w:ind w:left="573" w:right="0" w:hanging="420"/>
        <w:jc w:val="left"/>
        <w:rPr>
          <w:rFonts w:ascii="宋体" w:hAnsi="宋体" w:cs="宋体" w:eastAsia="宋体" w:hint="default"/>
          <w:sz w:val="21"/>
          <w:szCs w:val="21"/>
        </w:rPr>
      </w:pPr>
      <w:bookmarkStart w:name="（2）融资租赁的会计处理方法" w:id="218"/>
      <w:bookmarkEnd w:id="21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本公司租入资产所支付的租赁费，在不扣除免租期的整个租赁期内，按直线法进行分摊，计入当期费</w:t>
      </w:r>
    </w:p>
    <w:p>
      <w:pPr>
        <w:pStyle w:val="BodyText"/>
        <w:spacing w:line="408" w:lineRule="auto" w:before="65"/>
        <w:ind w:left="573" w:right="1093" w:hanging="420"/>
        <w:jc w:val="left"/>
      </w:pPr>
      <w:r>
        <w:rPr/>
        <w:t>用。本公司支付的与租赁交易相关的初始直接费用，计入当期费用。 资产出租方承担了应由本公司承担的与租赁相关的费用时，本公司将该部分费用从租金总额中扣除，</w:t>
      </w:r>
    </w:p>
    <w:p>
      <w:pPr>
        <w:pStyle w:val="BodyText"/>
        <w:spacing w:line="240" w:lineRule="auto"/>
        <w:ind w:right="0"/>
        <w:jc w:val="left"/>
      </w:pPr>
      <w:r>
        <w:rPr/>
        <w:t>按扣除后的租金费用在租赁期内分摊，计入当期费用。</w:t>
      </w:r>
    </w:p>
    <w:p>
      <w:pPr>
        <w:spacing w:line="240" w:lineRule="auto" w:before="10"/>
        <w:rPr>
          <w:rFonts w:ascii="宋体" w:hAnsi="宋体" w:cs="宋体" w:eastAsia="宋体" w:hint="default"/>
          <w:sz w:val="14"/>
          <w:szCs w:val="14"/>
        </w:rPr>
      </w:pPr>
    </w:p>
    <w:p>
      <w:pPr>
        <w:pStyle w:val="Heading3"/>
        <w:spacing w:line="386" w:lineRule="auto"/>
        <w:ind w:left="573" w:right="7381" w:hanging="420"/>
        <w:jc w:val="left"/>
        <w:rPr>
          <w:b w:val="0"/>
          <w:bCs w:val="0"/>
        </w:rPr>
      </w:pPr>
      <w:bookmarkStart w:name="29、其他重要的会计政策和会计估计" w:id="219"/>
      <w:bookmarkEnd w:id="219"/>
      <w:r>
        <w:rPr>
          <w:b w:val="0"/>
          <w:bCs w:val="0"/>
        </w:rPr>
      </w:r>
      <w:r>
        <w:rPr>
          <w:rFonts w:ascii="Times New Roman" w:hAnsi="Times New Roman" w:cs="Times New Roman" w:eastAsia="Times New Roman" w:hint="default"/>
        </w:rPr>
        <w:t>29</w:t>
      </w:r>
      <w:r>
        <w:rPr/>
        <w:t>、其他重要的会计政策和会计估计</w:t>
      </w:r>
      <w:r>
        <w:rPr>
          <w:w w:val="99"/>
        </w:rPr>
        <w:t> </w:t>
      </w:r>
      <w:r>
        <w:rPr/>
        <w:t>终止经营</w:t>
      </w:r>
      <w:r>
        <w:rPr>
          <w:b w:val="0"/>
          <w:bCs w:val="0"/>
        </w:rPr>
      </w:r>
    </w:p>
    <w:p>
      <w:pPr>
        <w:pStyle w:val="BodyText"/>
        <w:spacing w:line="240" w:lineRule="auto" w:before="65"/>
        <w:ind w:left="573" w:right="0"/>
        <w:jc w:val="left"/>
      </w:pPr>
      <w:r>
        <w:rPr/>
        <w:t>终止经营是满足下列条件之一的、能够单独区分的组成部分，且该组成部分已被本公司处置或被本公</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司划归为持有待售类别：</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w:t>
      </w:r>
      <w:r>
        <w:rPr>
          <w:rFonts w:ascii="Times New Roman" w:hAnsi="Times New Roman" w:cs="Times New Roman" w:eastAsia="Times New Roman" w:hint="default"/>
        </w:rPr>
        <w:t>1</w:t>
      </w:r>
      <w:r>
        <w:rPr/>
        <w:t>）该组成部分代表一项独立的主要业务或一个单独的主要经营地区；</w:t>
      </w:r>
    </w:p>
    <w:p>
      <w:pPr>
        <w:pStyle w:val="BodyText"/>
        <w:spacing w:line="386" w:lineRule="auto" w:before="177"/>
        <w:ind w:right="1118" w:firstLine="420"/>
        <w:jc w:val="left"/>
      </w:pPr>
      <w:r>
        <w:rPr/>
        <w:t>（</w:t>
      </w:r>
      <w:r>
        <w:rPr>
          <w:rFonts w:ascii="Times New Roman" w:hAnsi="Times New Roman" w:cs="Times New Roman" w:eastAsia="Times New Roman" w:hint="default"/>
        </w:rPr>
        <w:t>2</w:t>
      </w:r>
      <w:r>
        <w:rPr/>
        <w:t>）该组成部分是拟对一项独立的主要业务或一个单独的主要经营地区进行处置的一项相关联计划 的一部分；</w:t>
      </w:r>
    </w:p>
    <w:p>
      <w:pPr>
        <w:pStyle w:val="BodyText"/>
        <w:spacing w:line="386" w:lineRule="auto" w:before="65"/>
        <w:ind w:left="573" w:right="6028"/>
        <w:jc w:val="left"/>
        <w:rPr>
          <w:rFonts w:ascii="宋体" w:hAnsi="宋体" w:cs="宋体" w:eastAsia="宋体" w:hint="default"/>
        </w:rPr>
      </w:pPr>
      <w:r>
        <w:rPr/>
        <w:t>（</w:t>
      </w:r>
      <w:r>
        <w:rPr>
          <w:rFonts w:ascii="Times New Roman" w:hAnsi="Times New Roman" w:cs="Times New Roman" w:eastAsia="Times New Roman" w:hint="default"/>
        </w:rPr>
        <w:t>3</w:t>
      </w:r>
      <w:r>
        <w:rPr/>
        <w:t>）该组成部分是专为转售而取得的子公司。 </w:t>
      </w:r>
      <w:r>
        <w:rPr>
          <w:rFonts w:ascii="宋体" w:hAnsi="宋体" w:cs="宋体" w:eastAsia="宋体" w:hint="default"/>
          <w:b/>
          <w:bCs/>
        </w:rPr>
        <w:t>关联方</w:t>
      </w:r>
      <w:r>
        <w:rPr>
          <w:rFonts w:ascii="宋体" w:hAnsi="宋体" w:cs="宋体" w:eastAsia="宋体" w:hint="default"/>
        </w:rPr>
      </w:r>
    </w:p>
    <w:p>
      <w:pPr>
        <w:pStyle w:val="BodyText"/>
        <w:spacing w:line="408" w:lineRule="auto" w:before="65"/>
        <w:ind w:right="1131" w:firstLine="420"/>
        <w:jc w:val="both"/>
      </w:pPr>
      <w:r>
        <w:rPr>
          <w:spacing w:val="-1"/>
        </w:rPr>
        <w:t>一方控制、共同控制另一方或对另一方施加重大影响，以及两方或两方以上同受一方控制、共同控制</w:t>
      </w:r>
      <w:r>
        <w:rPr/>
        <w:t> </w:t>
      </w:r>
      <w:r>
        <w:rPr>
          <w:spacing w:val="-1"/>
        </w:rPr>
        <w:t>的，构成关联方。关联方可为个人或企业。仅仅同受国家控制而不存在其他关联方关系的企业，不构成本</w:t>
      </w:r>
      <w:r>
        <w:rPr>
          <w:spacing w:val="-86"/>
        </w:rPr>
        <w:t> </w:t>
      </w:r>
      <w:r>
        <w:rPr>
          <w:spacing w:val="-86"/>
        </w:rPr>
      </w:r>
      <w:r>
        <w:rPr/>
        <w:t>公司的关联方。</w:t>
      </w:r>
    </w:p>
    <w:p>
      <w:pPr>
        <w:pStyle w:val="BodyText"/>
        <w:spacing w:line="240" w:lineRule="auto"/>
        <w:ind w:left="573" w:right="0"/>
        <w:jc w:val="left"/>
      </w:pPr>
      <w:r>
        <w:rPr/>
        <w:t>本公司的关联方包括但不限于：</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w:t>
      </w:r>
      <w:r>
        <w:rPr>
          <w:rFonts w:ascii="Times New Roman" w:hAnsi="Times New Roman" w:cs="Times New Roman" w:eastAsia="Times New Roman" w:hint="default"/>
        </w:rPr>
        <w:t>1</w:t>
      </w:r>
      <w:r>
        <w:rPr/>
        <w:t>）本公司的母公司；</w:t>
      </w:r>
    </w:p>
    <w:p>
      <w:pPr>
        <w:pStyle w:val="BodyText"/>
        <w:spacing w:line="240" w:lineRule="auto" w:before="177"/>
        <w:ind w:left="573" w:right="0"/>
        <w:jc w:val="left"/>
      </w:pPr>
      <w:r>
        <w:rPr/>
        <w:t>（</w:t>
      </w:r>
      <w:r>
        <w:rPr>
          <w:rFonts w:ascii="Times New Roman" w:hAnsi="Times New Roman" w:cs="Times New Roman" w:eastAsia="Times New Roman" w:hint="default"/>
        </w:rPr>
        <w:t>2</w:t>
      </w:r>
      <w:r>
        <w:rPr/>
        <w:t>）本公司的子公司；</w:t>
      </w:r>
    </w:p>
    <w:p>
      <w:pPr>
        <w:pStyle w:val="BodyText"/>
        <w:spacing w:line="240" w:lineRule="auto" w:before="177"/>
        <w:ind w:left="573" w:right="0"/>
        <w:jc w:val="left"/>
      </w:pPr>
      <w:r>
        <w:rPr/>
        <w:t>（</w:t>
      </w:r>
      <w:r>
        <w:rPr>
          <w:rFonts w:ascii="Times New Roman" w:hAnsi="Times New Roman" w:cs="Times New Roman" w:eastAsia="Times New Roman" w:hint="default"/>
        </w:rPr>
        <w:t>3</w:t>
      </w:r>
      <w:r>
        <w:rPr/>
        <w:t>）与本公司受同一母公司控制的其他企业；</w:t>
      </w:r>
    </w:p>
    <w:p>
      <w:pPr>
        <w:pStyle w:val="BodyText"/>
        <w:spacing w:line="240" w:lineRule="auto" w:before="177"/>
        <w:ind w:left="573" w:right="0"/>
        <w:jc w:val="left"/>
      </w:pPr>
      <w:r>
        <w:rPr/>
        <w:t>（</w:t>
      </w:r>
      <w:r>
        <w:rPr>
          <w:rFonts w:ascii="Times New Roman" w:hAnsi="Times New Roman" w:cs="Times New Roman" w:eastAsia="Times New Roman" w:hint="default"/>
        </w:rPr>
        <w:t>4</w:t>
      </w:r>
      <w:r>
        <w:rPr/>
        <w:t>）对本公司实施共同控制的投资方；</w:t>
      </w:r>
    </w:p>
    <w:p>
      <w:pPr>
        <w:pStyle w:val="BodyText"/>
        <w:spacing w:line="240" w:lineRule="auto" w:before="177"/>
        <w:ind w:left="573" w:right="0"/>
        <w:jc w:val="left"/>
      </w:pPr>
      <w:r>
        <w:rPr/>
        <w:t>（</w:t>
      </w:r>
      <w:r>
        <w:rPr>
          <w:rFonts w:ascii="Times New Roman" w:hAnsi="Times New Roman" w:cs="Times New Roman" w:eastAsia="Times New Roman" w:hint="default"/>
        </w:rPr>
        <w:t>5</w:t>
      </w:r>
      <w:r>
        <w:rPr/>
        <w:t>）对本公司施加重大影响的投资方；</w:t>
      </w:r>
    </w:p>
    <w:p>
      <w:pPr>
        <w:pStyle w:val="BodyText"/>
        <w:spacing w:line="240" w:lineRule="auto" w:before="177"/>
        <w:ind w:left="573" w:right="0"/>
        <w:jc w:val="left"/>
      </w:pPr>
      <w:r>
        <w:rPr/>
        <w:t>（</w:t>
      </w:r>
      <w:r>
        <w:rPr>
          <w:rFonts w:ascii="Times New Roman" w:hAnsi="Times New Roman" w:cs="Times New Roman" w:eastAsia="Times New Roman" w:hint="default"/>
        </w:rPr>
        <w:t>6</w:t>
      </w:r>
      <w:r>
        <w:rPr/>
        <w:t>）本公司的合营企业，包括合营企业的子公司；</w:t>
      </w:r>
    </w:p>
    <w:p>
      <w:pPr>
        <w:pStyle w:val="BodyText"/>
        <w:spacing w:line="240" w:lineRule="auto" w:before="177"/>
        <w:ind w:left="573" w:right="0"/>
        <w:jc w:val="left"/>
      </w:pPr>
      <w:r>
        <w:rPr/>
        <w:t>（</w:t>
      </w:r>
      <w:r>
        <w:rPr>
          <w:rFonts w:ascii="Times New Roman" w:hAnsi="Times New Roman" w:cs="Times New Roman" w:eastAsia="Times New Roman" w:hint="default"/>
        </w:rPr>
        <w:t>7</w:t>
      </w:r>
      <w:r>
        <w:rPr/>
        <w:t>）本公司的联营企业，包括联营企业的子公司；</w:t>
      </w:r>
    </w:p>
    <w:p>
      <w:pPr>
        <w:pStyle w:val="BodyText"/>
        <w:spacing w:line="240" w:lineRule="auto" w:before="177"/>
        <w:ind w:left="573" w:right="0"/>
        <w:jc w:val="left"/>
      </w:pPr>
      <w:r>
        <w:rPr/>
        <w:t>（</w:t>
      </w:r>
      <w:r>
        <w:rPr>
          <w:rFonts w:ascii="Times New Roman" w:hAnsi="Times New Roman" w:cs="Times New Roman" w:eastAsia="Times New Roman" w:hint="default"/>
        </w:rPr>
        <w:t>8</w:t>
      </w:r>
      <w:r>
        <w:rPr/>
        <w:t>）本公司的主要投资者个人及与其关系密切的家庭成员</w:t>
      </w:r>
      <w:r>
        <w:rPr>
          <w:spacing w:val="-23"/>
        </w:rPr>
        <w:t> </w:t>
      </w:r>
      <w:r>
        <w:rPr/>
        <w:t>；</w:t>
      </w:r>
    </w:p>
    <w:p>
      <w:pPr>
        <w:pStyle w:val="BodyText"/>
        <w:spacing w:line="240" w:lineRule="auto" w:before="177"/>
        <w:ind w:left="574" w:right="0"/>
        <w:jc w:val="left"/>
      </w:pPr>
      <w:r>
        <w:rPr/>
        <w:t>（</w:t>
      </w:r>
      <w:r>
        <w:rPr>
          <w:rFonts w:ascii="Times New Roman" w:hAnsi="Times New Roman" w:cs="Times New Roman" w:eastAsia="Times New Roman" w:hint="default"/>
        </w:rPr>
        <w:t>9</w:t>
      </w:r>
      <w:r>
        <w:rPr/>
        <w:t>）本公司或其母公司的关键管理人员及与其关系密切的家庭成员；</w:t>
      </w:r>
    </w:p>
    <w:p>
      <w:pPr>
        <w:pStyle w:val="BodyText"/>
        <w:spacing w:line="386" w:lineRule="auto" w:before="177"/>
        <w:ind w:left="154" w:right="1118" w:firstLine="420"/>
        <w:jc w:val="left"/>
      </w:pPr>
      <w:r>
        <w:rPr>
          <w:spacing w:val="-1"/>
        </w:rPr>
        <w:t>（</w:t>
      </w:r>
      <w:r>
        <w:rPr>
          <w:rFonts w:ascii="Times New Roman" w:hAnsi="Times New Roman" w:cs="Times New Roman" w:eastAsia="Times New Roman" w:hint="default"/>
          <w:spacing w:val="-1"/>
        </w:rPr>
        <w:t>10</w:t>
      </w:r>
      <w:r>
        <w:rPr>
          <w:spacing w:val="-1"/>
        </w:rPr>
        <w:t>）本公司的主要投资者个人、关键管理人员或与其关系密切的家庭成员控制、共同控制的其他企</w:t>
      </w:r>
      <w:r>
        <w:rPr/>
        <w:t> 业。</w:t>
      </w:r>
    </w:p>
    <w:p>
      <w:pPr>
        <w:pStyle w:val="Heading3"/>
        <w:spacing w:line="240" w:lineRule="auto" w:before="65"/>
        <w:ind w:left="154" w:right="0"/>
        <w:jc w:val="left"/>
        <w:rPr>
          <w:b w:val="0"/>
          <w:bCs w:val="0"/>
        </w:rPr>
      </w:pPr>
      <w:bookmarkStart w:name="30、重要会计政策和会计估计变更" w:id="220"/>
      <w:bookmarkEnd w:id="220"/>
      <w:r>
        <w:rPr>
          <w:b w:val="0"/>
          <w:bCs w:val="0"/>
        </w:rPr>
      </w:r>
      <w:r>
        <w:rPr>
          <w:rFonts w:ascii="Times New Roman" w:hAnsi="Times New Roman" w:cs="Times New Roman" w:eastAsia="Times New Roman" w:hint="default"/>
        </w:rPr>
        <w:t>30</w:t>
      </w:r>
      <w:r>
        <w:rPr/>
        <w:t>、重要会计政策和会计估计变更</w:t>
      </w:r>
      <w:r>
        <w:rPr>
          <w:b w:val="0"/>
          <w:bCs w:val="0"/>
        </w:rPr>
      </w:r>
    </w:p>
    <w:p>
      <w:pPr>
        <w:pStyle w:val="Heading3"/>
        <w:spacing w:line="240" w:lineRule="auto" w:before="177"/>
        <w:ind w:right="0"/>
        <w:jc w:val="left"/>
        <w:rPr>
          <w:b w:val="0"/>
          <w:bCs w:val="0"/>
        </w:rPr>
      </w:pPr>
      <w:bookmarkStart w:name="（1）重要会计政策变更" w:id="221"/>
      <w:bookmarkEnd w:id="221"/>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6"/>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7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4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451" w:lineRule="auto"/>
              <w:ind w:left="22" w:right="22"/>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）在利润表中分别列示持续经营损益</w:t>
            </w:r>
            <w:r>
              <w:rPr>
                <w:rFonts w:ascii="宋体" w:hAnsi="宋体" w:cs="宋体" w:eastAsia="宋体" w:hint="default"/>
                <w:sz w:val="18"/>
                <w:szCs w:val="18"/>
              </w:rPr>
              <w:t> 和终止经营损益。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执行企业会计准则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列示持续经营损益本年金额</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371,577,386.43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元；列示终止经营损益本</w:t>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7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）部分与资产相关的政府补助，冲减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执行企业会计准则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本期无影响</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7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了相关资产账面价值。</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89"/>
              <w:ind w:left="22" w:right="21"/>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）部分与收益相关的政府补助，冲减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了相关成本费用。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执行企业会计准则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冲减财务费用本年金额为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10,632,030.80</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141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）与本公司日常活动相关的政府补</w:t>
            </w:r>
          </w:p>
          <w:p>
            <w:pPr>
              <w:pStyle w:val="TableParagraph"/>
              <w:spacing w:line="468" w:lineRule="exact" w:before="54"/>
              <w:ind w:left="22" w:right="96"/>
              <w:jc w:val="left"/>
              <w:rPr>
                <w:rFonts w:ascii="宋体" w:hAnsi="宋体" w:cs="宋体" w:eastAsia="宋体" w:hint="default"/>
                <w:sz w:val="18"/>
                <w:szCs w:val="18"/>
              </w:rPr>
            </w:pPr>
            <w:r>
              <w:rPr>
                <w:rFonts w:ascii="宋体" w:hAnsi="宋体" w:cs="宋体" w:eastAsia="宋体" w:hint="default"/>
                <w:sz w:val="18"/>
                <w:szCs w:val="18"/>
              </w:rPr>
              <w:t>助，计入其他收益，不再计入营业外收 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执行企业会计准则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计入其他收益本年金额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36,896,291.54 </w:t>
            </w:r>
            <w:r>
              <w:rPr>
                <w:rFonts w:ascii="宋体" w:hAnsi="宋体" w:cs="宋体" w:eastAsia="宋体" w:hint="default"/>
                <w:sz w:val="18"/>
                <w:szCs w:val="18"/>
              </w:rPr>
              <w:t>元</w:t>
            </w:r>
          </w:p>
        </w:tc>
      </w:tr>
    </w:tbl>
    <w:p>
      <w:pPr>
        <w:pStyle w:val="BodyText"/>
        <w:spacing w:line="386" w:lineRule="auto" w:before="63"/>
        <w:ind w:right="1110" w:firstLine="420"/>
        <w:jc w:val="both"/>
      </w:pPr>
      <w:r>
        <w:rPr/>
        <w:t>财政部于</w:t>
      </w:r>
      <w:r>
        <w:rPr>
          <w:rFonts w:ascii="Times New Roman" w:hAnsi="Times New Roman" w:cs="Times New Roman" w:eastAsia="Times New Roman" w:hint="default"/>
        </w:rPr>
        <w:t>2017</w:t>
      </w:r>
      <w:r>
        <w:rPr/>
        <w:t>年度发布了《企业会计准则第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 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日起施行，对于施行日存在的持有待售的非流动资产、处置组和终止经营，要求采用未来</w:t>
      </w:r>
      <w:r>
        <w:rPr>
          <w:spacing w:val="-37"/>
        </w:rPr>
        <w:t> </w:t>
      </w:r>
      <w:r>
        <w:rPr>
          <w:spacing w:val="-37"/>
        </w:rPr>
      </w:r>
      <w:r>
        <w:rPr/>
        <w:t>适用法处理。</w:t>
      </w:r>
    </w:p>
    <w:p>
      <w:pPr>
        <w:pStyle w:val="BodyText"/>
        <w:spacing w:line="386" w:lineRule="auto" w:before="65"/>
        <w:ind w:right="1127" w:firstLine="420"/>
        <w:jc w:val="both"/>
      </w:pPr>
      <w:r>
        <w:rPr/>
        <w:t>财政部于</w:t>
      </w:r>
      <w:r>
        <w:rPr>
          <w:rFonts w:ascii="Times New Roman" w:hAnsi="Times New Roman" w:cs="Times New Roman" w:eastAsia="Times New Roman" w:hint="default"/>
        </w:rPr>
        <w:t>2017</w:t>
      </w:r>
      <w:r>
        <w:rPr/>
        <w:t>年度修订了《企业会计准则第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政府补助》，修订后的准则自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w:t>
      </w:r>
      <w:r>
        <w:rPr>
          <w:spacing w:val="2"/>
        </w:rPr>
        <w:t> </w:t>
      </w:r>
      <w:r>
        <w:rPr>
          <w:spacing w:val="-1"/>
        </w:rPr>
        <w:t>施行，对于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日存在的政府补助，要求采用未来适用法处理；对于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日至施行日新增的</w:t>
      </w:r>
      <w:r>
        <w:rPr>
          <w:spacing w:val="-84"/>
        </w:rPr>
        <w:t> </w:t>
      </w:r>
      <w:r>
        <w:rPr>
          <w:spacing w:val="-84"/>
        </w:rPr>
      </w:r>
      <w:r>
        <w:rPr/>
        <w:t>政府补助，也要求按照修订后的准则进行调整。</w:t>
      </w:r>
    </w:p>
    <w:p>
      <w:pPr>
        <w:pStyle w:val="BodyText"/>
        <w:spacing w:line="386" w:lineRule="auto" w:before="65"/>
        <w:ind w:left="154" w:right="1132" w:firstLine="420"/>
        <w:jc w:val="both"/>
      </w:pPr>
      <w:r>
        <w:rPr>
          <w:spacing w:val="-1"/>
        </w:rPr>
        <w:t>财政部于</w:t>
      </w:r>
      <w:r>
        <w:rPr>
          <w:rFonts w:ascii="Times New Roman" w:hAnsi="Times New Roman" w:cs="Times New Roman" w:eastAsia="Times New Roman" w:hint="default"/>
          <w:spacing w:val="-1"/>
        </w:rPr>
        <w:t>2017</w:t>
      </w:r>
      <w:r>
        <w:rPr>
          <w:spacing w:val="-1"/>
        </w:rPr>
        <w:t>年发布了《关于修订印发一般企业财务报表格式的通知》，对财务报表的列报项目及内</w:t>
      </w:r>
      <w:r>
        <w:rPr/>
        <w:t> 容进行了调整。</w:t>
      </w:r>
    </w:p>
    <w:p>
      <w:pPr>
        <w:pStyle w:val="Heading3"/>
        <w:spacing w:line="240" w:lineRule="auto" w:before="65"/>
        <w:ind w:left="154" w:right="0"/>
        <w:jc w:val="left"/>
        <w:rPr>
          <w:b w:val="0"/>
          <w:bCs w:val="0"/>
        </w:rPr>
      </w:pPr>
      <w:bookmarkStart w:name="（2）重要会计估计变更" w:id="222"/>
      <w:bookmarkEnd w:id="222"/>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7"/>
        <w:rPr>
          <w:rFonts w:ascii="宋体" w:hAnsi="宋体" w:cs="宋体" w:eastAsia="宋体" w:hint="default"/>
          <w:b/>
          <w:bCs/>
          <w:sz w:val="15"/>
          <w:szCs w:val="1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31、其他" w:id="223"/>
      <w:bookmarkEnd w:id="223"/>
      <w:r>
        <w:rPr>
          <w:b w:val="0"/>
          <w:bCs w:val="0"/>
        </w:rPr>
      </w:r>
      <w:r>
        <w:rPr>
          <w:rFonts w:ascii="Times New Roman" w:hAnsi="Times New Roman" w:cs="Times New Roman" w:eastAsia="Times New Roman" w:hint="default"/>
        </w:rPr>
        <w:t>31</w:t>
      </w:r>
      <w:r>
        <w:rPr/>
        <w:t>、其他</w:t>
      </w:r>
      <w:r>
        <w:rPr>
          <w:b w:val="0"/>
          <w:bCs w:val="0"/>
        </w:rPr>
      </w:r>
    </w:p>
    <w:p>
      <w:pPr>
        <w:spacing w:line="408" w:lineRule="auto" w:before="177"/>
        <w:ind w:left="573" w:right="6553" w:firstLine="0"/>
        <w:jc w:val="left"/>
        <w:rPr>
          <w:rFonts w:ascii="宋体" w:hAnsi="宋体" w:cs="宋体" w:eastAsia="宋体" w:hint="default"/>
          <w:sz w:val="21"/>
          <w:szCs w:val="21"/>
        </w:rPr>
      </w:pPr>
      <w:r>
        <w:rPr>
          <w:rFonts w:ascii="宋体" w:hAnsi="宋体" w:cs="宋体" w:eastAsia="宋体" w:hint="default"/>
          <w:b/>
          <w:bCs/>
          <w:sz w:val="21"/>
          <w:szCs w:val="21"/>
        </w:rPr>
        <w:t>前期会计差错更正</w:t>
      </w:r>
      <w:r>
        <w:rPr>
          <w:rFonts w:ascii="宋体" w:hAnsi="宋体" w:cs="宋体" w:eastAsia="宋体" w:hint="default"/>
          <w:b/>
          <w:bCs/>
          <w:w w:val="99"/>
          <w:sz w:val="21"/>
          <w:szCs w:val="21"/>
        </w:rPr>
        <w:t> </w:t>
      </w:r>
      <w:r>
        <w:rPr>
          <w:rFonts w:ascii="宋体" w:hAnsi="宋体" w:cs="宋体" w:eastAsia="宋体" w:hint="default"/>
          <w:sz w:val="21"/>
          <w:szCs w:val="21"/>
        </w:rPr>
        <w:t>本报告期未发生前期会计差错更正事项。</w:t>
      </w:r>
    </w:p>
    <w:p>
      <w:pPr>
        <w:pStyle w:val="Heading2"/>
        <w:spacing w:line="240" w:lineRule="auto" w:before="23"/>
        <w:ind w:left="154" w:right="0"/>
        <w:jc w:val="left"/>
        <w:rPr>
          <w:b w:val="0"/>
          <w:bCs w:val="0"/>
        </w:rPr>
      </w:pPr>
      <w:bookmarkStart w:name="六、税项" w:id="224"/>
      <w:bookmarkEnd w:id="224"/>
      <w:r>
        <w:rPr>
          <w:b w:val="0"/>
          <w:bCs w:val="0"/>
        </w:rPr>
      </w:r>
      <w:r>
        <w:rPr/>
        <w:t>六、税项</w:t>
      </w:r>
      <w:r>
        <w:rPr>
          <w:b w:val="0"/>
          <w:bCs w:val="0"/>
        </w:rPr>
      </w:r>
    </w:p>
    <w:p>
      <w:pPr>
        <w:pStyle w:val="Heading3"/>
        <w:spacing w:line="240" w:lineRule="auto" w:before="177"/>
        <w:ind w:left="154" w:right="0"/>
        <w:jc w:val="left"/>
        <w:rPr>
          <w:b w:val="0"/>
          <w:bCs w:val="0"/>
        </w:rPr>
      </w:pPr>
      <w:bookmarkStart w:name="1、主要税种及税率" w:id="225"/>
      <w:bookmarkEnd w:id="225"/>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8"/>
          <w:szCs w:val="8"/>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79"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707"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477" w:lineRule="auto" w:before="88"/>
              <w:ind w:left="16"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w:t>
            </w:r>
          </w:p>
          <w:p>
            <w:pPr>
              <w:pStyle w:val="TableParagraph"/>
              <w:spacing w:line="240" w:lineRule="auto" w:before="54"/>
              <w:ind w:left="16" w:right="0"/>
              <w:jc w:val="both"/>
              <w:rPr>
                <w:rFonts w:ascii="宋体" w:hAnsi="宋体" w:cs="宋体" w:eastAsia="宋体" w:hint="default"/>
                <w:sz w:val="18"/>
                <w:szCs w:val="18"/>
              </w:rPr>
            </w:pPr>
            <w:r>
              <w:rPr>
                <w:rFonts w:ascii="宋体" w:hAnsi="宋体" w:cs="宋体" w:eastAsia="宋体" w:hint="default"/>
                <w:sz w:val="18"/>
                <w:szCs w:val="18"/>
              </w:rPr>
              <w:t>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68"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707"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239"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88"/>
              <w:ind w:left="16"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计征</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68"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239"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79"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72"/>
              <w:jc w:val="center"/>
              <w:rPr>
                <w:rFonts w:ascii="宋体" w:hAnsi="宋体" w:cs="宋体" w:eastAsia="宋体" w:hint="default"/>
                <w:sz w:val="18"/>
                <w:szCs w:val="18"/>
              </w:rPr>
            </w:pPr>
            <w:r>
              <w:rPr>
                <w:rFonts w:ascii="宋体" w:hAnsi="宋体" w:cs="宋体" w:eastAsia="宋体" w:hint="default"/>
                <w:sz w:val="18"/>
                <w:szCs w:val="18"/>
              </w:rPr>
              <w:t>按实际缴纳的营业税、增值税及消费税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78" w:hRule="exact"/>
        </w:trPr>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计征</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7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7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紫鑫药业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7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草还丹药业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7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紫鑫初元药业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7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紫鑫敦化医药药材</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7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紫鑫般若药业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7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紫鑫禺拙药业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7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紫鑫参售</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7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紫鑫参研</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7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宋体" w:hAnsi="宋体" w:cs="宋体" w:eastAsia="宋体" w:hint="default"/>
                <w:sz w:val="18"/>
                <w:szCs w:val="18"/>
              </w:rPr>
            </w:pPr>
            <w:r>
              <w:rPr>
                <w:rFonts w:ascii="宋体" w:hAnsi="宋体" w:cs="宋体" w:eastAsia="宋体" w:hint="default"/>
                <w:sz w:val="18"/>
                <w:szCs w:val="18"/>
              </w:rPr>
              <w:t>紫鑫药物研究</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7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吉林中科紫鑫</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7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北方环境能源交易所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25%</w:t>
            </w:r>
          </w:p>
        </w:tc>
      </w:tr>
    </w:tbl>
    <w:p>
      <w:pPr>
        <w:pStyle w:val="Heading3"/>
        <w:spacing w:line="240" w:lineRule="auto" w:before="63"/>
        <w:ind w:left="154" w:right="0"/>
        <w:jc w:val="left"/>
        <w:rPr>
          <w:b w:val="0"/>
          <w:bCs w:val="0"/>
        </w:rPr>
      </w:pPr>
      <w:bookmarkStart w:name="2、税收优惠" w:id="226"/>
      <w:bookmarkEnd w:id="226"/>
      <w:r>
        <w:rPr>
          <w:b w:val="0"/>
          <w:bCs w:val="0"/>
        </w:rPr>
      </w:r>
      <w:r>
        <w:rPr>
          <w:rFonts w:ascii="Times New Roman" w:hAnsi="Times New Roman" w:cs="Times New Roman" w:eastAsia="Times New Roman" w:hint="default"/>
        </w:rPr>
        <w:t>2</w:t>
      </w:r>
      <w:r>
        <w:rPr/>
        <w:t>、税收优惠</w:t>
      </w:r>
      <w:r>
        <w:rPr>
          <w:b w:val="0"/>
          <w:bCs w:val="0"/>
        </w:rPr>
      </w:r>
    </w:p>
    <w:p>
      <w:pPr>
        <w:pStyle w:val="BodyText"/>
        <w:spacing w:line="398" w:lineRule="auto" w:before="177"/>
        <w:ind w:right="1131" w:firstLine="420"/>
        <w:jc w:val="both"/>
      </w:pPr>
      <w:r>
        <w:rPr/>
        <w:t>本公司为吉林省高新技术企业执行的所得税税率为</w:t>
      </w:r>
      <w:r>
        <w:rPr>
          <w:rFonts w:ascii="Times New Roman" w:hAnsi="Times New Roman" w:cs="Times New Roman" w:eastAsia="Times New Roman" w:hint="default"/>
        </w:rPr>
        <w:t>15%</w:t>
      </w:r>
      <w:r>
        <w:rPr/>
        <w:t>。子公司吉林草还丹药业有限公司、吉林紫鑫 </w:t>
      </w:r>
      <w:r>
        <w:rPr>
          <w:spacing w:val="-1"/>
        </w:rPr>
        <w:t>初元药业有限公司坐落在吉林省延边朝鲜族自治州，根据国家有关规定享受国家西部大开发政策，执行的</w:t>
      </w:r>
      <w:r>
        <w:rPr>
          <w:spacing w:val="-81"/>
        </w:rPr>
        <w:t> </w:t>
      </w:r>
      <w:r>
        <w:rPr>
          <w:spacing w:val="-81"/>
        </w:rPr>
      </w:r>
      <w:r>
        <w:rPr/>
        <w:t>所得税税率为</w:t>
      </w:r>
      <w:r>
        <w:rPr>
          <w:rFonts w:ascii="Times New Roman" w:hAnsi="Times New Roman" w:cs="Times New Roman" w:eastAsia="Times New Roman" w:hint="default"/>
        </w:rPr>
        <w:t>15%</w:t>
      </w:r>
      <w:r>
        <w:rPr/>
        <w:t>。</w:t>
      </w:r>
    </w:p>
    <w:p>
      <w:pPr>
        <w:pStyle w:val="BodyText"/>
        <w:spacing w:line="403" w:lineRule="auto" w:before="24"/>
        <w:ind w:right="1118" w:firstLine="420"/>
        <w:jc w:val="left"/>
        <w:rPr>
          <w:rFonts w:ascii="宋体" w:hAnsi="宋体" w:cs="宋体" w:eastAsia="宋体" w:hint="default"/>
        </w:rPr>
      </w:pPr>
      <w:r>
        <w:rPr/>
        <w:t>根据国税函【</w:t>
      </w:r>
      <w:r>
        <w:rPr>
          <w:rFonts w:ascii="Times New Roman" w:hAnsi="Times New Roman" w:cs="Times New Roman" w:eastAsia="Times New Roman" w:hint="default"/>
        </w:rPr>
        <w:t>2008</w:t>
      </w:r>
      <w:r>
        <w:rPr/>
        <w:t>】第</w:t>
      </w:r>
      <w:r>
        <w:rPr>
          <w:rFonts w:ascii="Times New Roman" w:hAnsi="Times New Roman" w:cs="Times New Roman" w:eastAsia="Times New Roman" w:hint="default"/>
        </w:rPr>
        <w:t>850</w:t>
      </w:r>
      <w:r>
        <w:rPr/>
        <w:t>号《国家税务总局关于贯彻落实从事农、林、牧、渔业项目企业所得税优 </w:t>
      </w:r>
      <w:r>
        <w:rPr>
          <w:spacing w:val="-1"/>
        </w:rPr>
        <w:t>惠政策有关事项的通知》及《中华人民共和国企业所得税法实施条例》第八十六条的规定，子公司吉林紫</w:t>
      </w:r>
      <w:r>
        <w:rPr>
          <w:spacing w:val="-86"/>
        </w:rPr>
        <w:t> </w:t>
      </w:r>
      <w:r>
        <w:rPr>
          <w:spacing w:val="-86"/>
        </w:rPr>
      </w:r>
      <w:r>
        <w:rPr>
          <w:spacing w:val="-1"/>
        </w:rPr>
        <w:t>鑫红石种养殖有限公司享受所得税免征政策。子公司吉林草还丹药业有限公司、吉林紫鑫般若药业有限公</w:t>
      </w:r>
      <w:r>
        <w:rPr>
          <w:spacing w:val="-81"/>
        </w:rPr>
        <w:t> </w:t>
      </w:r>
      <w:r>
        <w:rPr>
          <w:spacing w:val="-81"/>
        </w:rPr>
      </w:r>
      <w:r>
        <w:rPr/>
        <w:t>司人参初加工产品享受所得税免征政策。子公司吉林紫鑫红石种养殖有限公司享受增值税免税政策。 </w:t>
      </w:r>
      <w:bookmarkStart w:name="3、其他" w:id="227"/>
      <w:bookmarkEnd w:id="227"/>
      <w:r>
        <w:rPr/>
      </w:r>
      <w:r>
        <w:rPr>
          <w:rFonts w:ascii="Times New Roman" w:hAnsi="Times New Roman" w:cs="Times New Roman" w:eastAsia="Times New Roman" w:hint="default"/>
          <w:b/>
          <w:bCs/>
        </w:rPr>
        <w:t>3</w:t>
      </w:r>
      <w:r>
        <w:rPr>
          <w:rFonts w:ascii="宋体" w:hAnsi="宋体" w:cs="宋体" w:eastAsia="宋体" w:hint="default"/>
          <w:b/>
          <w:bCs/>
        </w:rPr>
        <w:t>、其他</w:t>
      </w:r>
      <w:r>
        <w:rPr>
          <w:rFonts w:ascii="宋体" w:hAnsi="宋体" w:cs="宋体" w:eastAsia="宋体" w:hint="default"/>
        </w:rPr>
      </w:r>
    </w:p>
    <w:p>
      <w:pPr>
        <w:pStyle w:val="BodyText"/>
        <w:spacing w:line="408" w:lineRule="auto" w:before="19"/>
        <w:ind w:left="573" w:right="1118"/>
        <w:jc w:val="left"/>
      </w:pPr>
      <w:r>
        <w:rPr>
          <w:rFonts w:ascii="宋体" w:hAnsi="宋体" w:cs="宋体" w:eastAsia="宋体" w:hint="default"/>
          <w:b/>
          <w:bCs/>
        </w:rPr>
        <w:t>增值税</w:t>
      </w:r>
      <w:r>
        <w:rPr>
          <w:rFonts w:ascii="宋体" w:hAnsi="宋体" w:cs="宋体" w:eastAsia="宋体" w:hint="default"/>
          <w:b/>
          <w:bCs/>
          <w:spacing w:val="1"/>
          <w:w w:val="99"/>
        </w:rPr>
        <w:t> </w:t>
      </w:r>
      <w:r>
        <w:rPr>
          <w:spacing w:val="-1"/>
        </w:rPr>
        <w:t>本公司及子公司吉林紫鑫敦化医药药材有限公司、吉林草还丹药业有限公司、吉林紫鑫初元药业有限</w:t>
      </w:r>
    </w:p>
    <w:p>
      <w:pPr>
        <w:pStyle w:val="BodyText"/>
        <w:spacing w:line="240" w:lineRule="auto"/>
        <w:ind w:right="0"/>
        <w:jc w:val="left"/>
      </w:pPr>
      <w:r>
        <w:rPr/>
        <w:t>公司、吉林紫鑫般若药业有限公司、吉林紫鑫禺拙药业有限公司、吉林紫鑫人参销售有限公司、吉林紫鑫</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93" w:lineRule="auto" w:before="174"/>
        <w:ind w:right="1131"/>
        <w:jc w:val="both"/>
      </w:pPr>
      <w:r>
        <w:rPr>
          <w:spacing w:val="-1"/>
        </w:rPr>
        <w:t>金桂药业有限公司、吉林紫鑫高科技功能食品有限公司、吉林中科紫鑫科技有限公司均为增值税一般纳税</w:t>
      </w:r>
      <w:r>
        <w:rPr>
          <w:spacing w:val="-81"/>
        </w:rPr>
        <w:t> </w:t>
      </w:r>
      <w:r>
        <w:rPr>
          <w:spacing w:val="-81"/>
        </w:rPr>
      </w:r>
      <w:r>
        <w:rPr/>
        <w:t>人，增值税应纳税额为当期销项税额抵减可以抵扣的进项税额后的余额，增值税的销项税率为</w:t>
      </w:r>
      <w:r>
        <w:rPr>
          <w:rFonts w:ascii="Times New Roman" w:hAnsi="Times New Roman" w:cs="Times New Roman" w:eastAsia="Times New Roman" w:hint="default"/>
        </w:rPr>
        <w:t>17%</w:t>
      </w:r>
      <w:r>
        <w:rPr/>
        <w:t>。销售</w:t>
      </w:r>
      <w:r>
        <w:rPr>
          <w:spacing w:val="-95"/>
        </w:rPr>
        <w:t> </w:t>
      </w:r>
      <w:r>
        <w:rPr>
          <w:spacing w:val="-95"/>
        </w:rPr>
      </w:r>
      <w:r>
        <w:rPr/>
        <w:t>人参产品按照人参初加工和深加工分类，增值税的销项税率为</w:t>
      </w:r>
      <w:r>
        <w:rPr>
          <w:rFonts w:ascii="Times New Roman" w:hAnsi="Times New Roman" w:cs="Times New Roman" w:eastAsia="Times New Roman" w:hint="default"/>
        </w:rPr>
        <w:t>11%</w:t>
      </w:r>
      <w:r>
        <w:rPr/>
        <w:t>和</w:t>
      </w:r>
      <w:r>
        <w:rPr>
          <w:rFonts w:ascii="Times New Roman" w:hAnsi="Times New Roman" w:cs="Times New Roman" w:eastAsia="Times New Roman" w:hint="default"/>
        </w:rPr>
        <w:t>17%</w:t>
      </w:r>
      <w:r>
        <w:rPr/>
        <w:t>。子公司吉林紫鑫红石种养殖有</w:t>
      </w:r>
      <w:r>
        <w:rPr>
          <w:spacing w:val="-65"/>
        </w:rPr>
        <w:t> </w:t>
      </w:r>
      <w:r>
        <w:rPr>
          <w:spacing w:val="-65"/>
        </w:rPr>
      </w:r>
      <w:r>
        <w:rPr/>
        <w:t>限公司享受增值税免税政策。</w:t>
      </w:r>
    </w:p>
    <w:p>
      <w:pPr>
        <w:pStyle w:val="Heading2"/>
        <w:spacing w:line="240" w:lineRule="auto" w:before="35"/>
        <w:ind w:right="0"/>
        <w:jc w:val="both"/>
        <w:rPr>
          <w:b w:val="0"/>
          <w:bCs w:val="0"/>
        </w:rPr>
      </w:pPr>
      <w:bookmarkStart w:name="七、合并财务报表项目注释" w:id="228"/>
      <w:bookmarkEnd w:id="228"/>
      <w:r>
        <w:rPr>
          <w:b w:val="0"/>
          <w:bCs w:val="0"/>
        </w:rPr>
      </w:r>
      <w:r>
        <w:rPr/>
        <w:t>七、合并财务报表项目注释</w:t>
      </w:r>
      <w:r>
        <w:rPr>
          <w:b w:val="0"/>
          <w:bCs w:val="0"/>
        </w:rPr>
      </w:r>
    </w:p>
    <w:p>
      <w:pPr>
        <w:pStyle w:val="Heading3"/>
        <w:spacing w:line="240" w:lineRule="auto" w:before="177"/>
        <w:ind w:right="0"/>
        <w:jc w:val="both"/>
        <w:rPr>
          <w:b w:val="0"/>
          <w:bCs w:val="0"/>
        </w:rPr>
      </w:pPr>
      <w:bookmarkStart w:name="1、货币资金" w:id="229"/>
      <w:bookmarkEnd w:id="229"/>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6"/>
        <w:rPr>
          <w:rFonts w:ascii="宋体" w:hAnsi="宋体" w:cs="宋体" w:eastAsia="宋体" w:hint="default"/>
          <w:b/>
          <w:bCs/>
          <w:sz w:val="15"/>
          <w:szCs w:val="15"/>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7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9"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135,061.75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47,000.34</w:t>
            </w:r>
          </w:p>
        </w:tc>
      </w:tr>
      <w:tr>
        <w:trPr>
          <w:trHeight w:val="47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861,628,559.95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1,042,037,235.66</w:t>
            </w:r>
          </w:p>
        </w:tc>
      </w:tr>
      <w:tr>
        <w:trPr>
          <w:trHeight w:val="47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5,013,787.60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866,777,409.30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1,042,084,236.00</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BodyText"/>
        <w:spacing w:line="240" w:lineRule="auto" w:before="0"/>
        <w:ind w:left="574" w:right="0"/>
        <w:jc w:val="left"/>
      </w:pPr>
      <w:r>
        <w:rPr/>
        <w:t>其中受限制的货币资金明细如下：</w:t>
      </w:r>
    </w:p>
    <w:p>
      <w:pPr>
        <w:spacing w:line="240" w:lineRule="auto" w:before="12"/>
        <w:rPr>
          <w:rFonts w:ascii="宋体" w:hAnsi="宋体" w:cs="宋体" w:eastAsia="宋体" w:hint="default"/>
          <w:sz w:val="9"/>
          <w:szCs w:val="9"/>
        </w:rPr>
      </w:pPr>
    </w:p>
    <w:tbl>
      <w:tblPr>
        <w:tblW w:w="0" w:type="auto"/>
        <w:jc w:val="left"/>
        <w:tblInd w:w="144" w:type="dxa"/>
        <w:tblLayout w:type="fixed"/>
        <w:tblCellMar>
          <w:top w:w="0" w:type="dxa"/>
          <w:left w:w="0" w:type="dxa"/>
          <w:bottom w:w="0" w:type="dxa"/>
          <w:right w:w="0" w:type="dxa"/>
        </w:tblCellMar>
        <w:tblLook w:val="01E0"/>
      </w:tblPr>
      <w:tblGrid>
        <w:gridCol w:w="2956"/>
        <w:gridCol w:w="2955"/>
        <w:gridCol w:w="2956"/>
      </w:tblGrid>
      <w:tr>
        <w:trPr>
          <w:trHeight w:val="513" w:hRule="exact"/>
        </w:trPr>
        <w:tc>
          <w:tcPr>
            <w:tcW w:w="2956" w:type="dxa"/>
            <w:tcBorders>
              <w:top w:val="single" w:sz="8" w:space="0" w:color="000000"/>
              <w:left w:val="single" w:sz="8" w:space="0" w:color="000000"/>
              <w:bottom w:val="single" w:sz="12" w:space="0" w:color="000000"/>
              <w:right w:val="single" w:sz="8" w:space="0" w:color="000000"/>
            </w:tcBorders>
          </w:tcPr>
          <w:p>
            <w:pPr>
              <w:pStyle w:val="TableParagraph"/>
              <w:tabs>
                <w:tab w:pos="397" w:val="left" w:leader="none"/>
              </w:tabs>
              <w:spacing w:line="240" w:lineRule="auto" w:before="99"/>
              <w:ind w:right="1177"/>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95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5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9"/>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09" w:hRule="exact"/>
        </w:trPr>
        <w:tc>
          <w:tcPr>
            <w:tcW w:w="2956"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88"/>
              <w:ind w:left="-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2955" w:type="dxa"/>
            <w:tcBorders>
              <w:top w:val="single" w:sz="12" w:space="0" w:color="000000"/>
              <w:left w:val="single" w:sz="8" w:space="0" w:color="000000"/>
              <w:bottom w:val="single" w:sz="12" w:space="0" w:color="000000"/>
              <w:right w:val="single" w:sz="8" w:space="0" w:color="000000"/>
            </w:tcBorders>
          </w:tcPr>
          <w:p>
            <w:pPr/>
          </w:p>
        </w:tc>
        <w:tc>
          <w:tcPr>
            <w:tcW w:w="2956" w:type="dxa"/>
            <w:tcBorders>
              <w:top w:val="single" w:sz="12" w:space="0" w:color="000000"/>
              <w:left w:val="single" w:sz="8" w:space="0" w:color="000000"/>
              <w:bottom w:val="single" w:sz="12" w:space="0" w:color="000000"/>
              <w:right w:val="nil" w:sz="6" w:space="0" w:color="auto"/>
            </w:tcBorders>
          </w:tcPr>
          <w:p>
            <w:pPr>
              <w:pStyle w:val="TableParagraph"/>
              <w:spacing w:line="240" w:lineRule="auto" w:before="128"/>
              <w:ind w:right="8"/>
              <w:jc w:val="right"/>
              <w:rPr>
                <w:rFonts w:ascii="Times New Roman" w:hAnsi="Times New Roman" w:cs="Times New Roman" w:eastAsia="Times New Roman" w:hint="default"/>
                <w:sz w:val="18"/>
                <w:szCs w:val="18"/>
              </w:rPr>
            </w:pPr>
            <w:r>
              <w:rPr>
                <w:rFonts w:ascii="Times New Roman"/>
                <w:spacing w:val="-1"/>
                <w:sz w:val="18"/>
              </w:rPr>
              <w:t>140,000,000.00</w:t>
            </w:r>
          </w:p>
        </w:tc>
      </w:tr>
      <w:tr>
        <w:trPr>
          <w:trHeight w:val="508" w:hRule="exact"/>
        </w:trPr>
        <w:tc>
          <w:tcPr>
            <w:tcW w:w="2956"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88"/>
              <w:ind w:left="-1" w:right="0"/>
              <w:jc w:val="left"/>
              <w:rPr>
                <w:rFonts w:ascii="宋体" w:hAnsi="宋体" w:cs="宋体" w:eastAsia="宋体" w:hint="default"/>
                <w:sz w:val="18"/>
                <w:szCs w:val="18"/>
              </w:rPr>
            </w:pPr>
            <w:r>
              <w:rPr>
                <w:rFonts w:ascii="宋体" w:hAnsi="宋体" w:cs="宋体" w:eastAsia="宋体" w:hint="default"/>
                <w:sz w:val="18"/>
                <w:szCs w:val="18"/>
              </w:rPr>
              <w:t>应付票据保证金</w:t>
            </w:r>
          </w:p>
        </w:tc>
        <w:tc>
          <w:tcPr>
            <w:tcW w:w="2955"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5,013,787.60</w:t>
            </w:r>
          </w:p>
        </w:tc>
        <w:tc>
          <w:tcPr>
            <w:tcW w:w="2956" w:type="dxa"/>
            <w:tcBorders>
              <w:top w:val="single" w:sz="12" w:space="0" w:color="000000"/>
              <w:left w:val="single" w:sz="8" w:space="0" w:color="000000"/>
              <w:bottom w:val="single" w:sz="12" w:space="0" w:color="000000"/>
              <w:right w:val="nil" w:sz="6" w:space="0" w:color="auto"/>
            </w:tcBorders>
          </w:tcPr>
          <w:p>
            <w:pPr/>
          </w:p>
        </w:tc>
      </w:tr>
      <w:tr>
        <w:trPr>
          <w:trHeight w:val="508" w:hRule="exact"/>
        </w:trPr>
        <w:tc>
          <w:tcPr>
            <w:tcW w:w="2956" w:type="dxa"/>
            <w:tcBorders>
              <w:top w:val="single" w:sz="12" w:space="0" w:color="000000"/>
              <w:left w:val="single" w:sz="8" w:space="0" w:color="000000"/>
              <w:bottom w:val="single" w:sz="12" w:space="0" w:color="000000"/>
              <w:right w:val="single" w:sz="8" w:space="0" w:color="000000"/>
            </w:tcBorders>
          </w:tcPr>
          <w:p>
            <w:pPr>
              <w:pStyle w:val="TableParagraph"/>
              <w:tabs>
                <w:tab w:pos="397" w:val="left" w:leader="none"/>
              </w:tabs>
              <w:spacing w:line="240" w:lineRule="auto" w:before="88"/>
              <w:ind w:right="117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955"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5,013,787.60</w:t>
            </w:r>
          </w:p>
        </w:tc>
        <w:tc>
          <w:tcPr>
            <w:tcW w:w="2956" w:type="dxa"/>
            <w:tcBorders>
              <w:top w:val="single" w:sz="12" w:space="0" w:color="000000"/>
              <w:left w:val="single" w:sz="8" w:space="0" w:color="000000"/>
              <w:bottom w:val="single" w:sz="12" w:space="0" w:color="000000"/>
              <w:right w:val="nil" w:sz="6" w:space="0" w:color="auto"/>
            </w:tcBorders>
          </w:tcPr>
          <w:p>
            <w:pPr>
              <w:pStyle w:val="TableParagraph"/>
              <w:spacing w:line="240" w:lineRule="auto" w:before="128"/>
              <w:ind w:right="8"/>
              <w:jc w:val="right"/>
              <w:rPr>
                <w:rFonts w:ascii="Times New Roman" w:hAnsi="Times New Roman" w:cs="Times New Roman" w:eastAsia="Times New Roman" w:hint="default"/>
                <w:sz w:val="18"/>
                <w:szCs w:val="18"/>
              </w:rPr>
            </w:pPr>
            <w:r>
              <w:rPr>
                <w:rFonts w:ascii="Times New Roman"/>
                <w:spacing w:val="-1"/>
                <w:sz w:val="18"/>
              </w:rPr>
              <w:t>140,000,000.00</w:t>
            </w:r>
          </w:p>
        </w:tc>
      </w:tr>
    </w:tbl>
    <w:p>
      <w:pPr>
        <w:pStyle w:val="BodyText"/>
        <w:spacing w:line="386" w:lineRule="auto" w:before="63"/>
        <w:ind w:right="0" w:firstLine="420"/>
        <w:jc w:val="left"/>
      </w:pPr>
      <w:r>
        <w:rPr/>
        <w:t>本公司期末银行存款中保证金</w:t>
      </w:r>
      <w:r>
        <w:rPr>
          <w:rFonts w:ascii="Times New Roman" w:hAnsi="Times New Roman" w:cs="Times New Roman" w:eastAsia="Times New Roman" w:hint="default"/>
        </w:rPr>
        <w:t>501.38</w:t>
      </w:r>
      <w:r>
        <w:rPr/>
        <w:t>万元是应付票据保证金，在支付使用上受到限制，除此之外不存 在其他的抵押、冻结或收到限制的有风险的资金。</w:t>
      </w:r>
    </w:p>
    <w:p>
      <w:pPr>
        <w:pStyle w:val="Heading3"/>
        <w:spacing w:line="240" w:lineRule="auto" w:before="65"/>
        <w:ind w:left="154" w:right="0"/>
        <w:jc w:val="left"/>
        <w:rPr>
          <w:b w:val="0"/>
          <w:bCs w:val="0"/>
        </w:rPr>
      </w:pPr>
      <w:bookmarkStart w:name="2、衍生金融资产" w:id="230"/>
      <w:bookmarkEnd w:id="230"/>
      <w:r>
        <w:rPr>
          <w:b w:val="0"/>
          <w:bCs w:val="0"/>
        </w:rPr>
      </w:r>
      <w:r>
        <w:rPr>
          <w:rFonts w:ascii="Times New Roman" w:hAnsi="Times New Roman" w:cs="Times New Roman" w:eastAsia="Times New Roman" w:hint="default"/>
        </w:rPr>
        <w:t>2</w:t>
      </w:r>
      <w:r>
        <w:rPr/>
        <w:t>、衍生金融资产</w:t>
      </w:r>
      <w:r>
        <w:rPr>
          <w:b w:val="0"/>
          <w:bCs w:val="0"/>
        </w:rPr>
      </w:r>
    </w:p>
    <w:p>
      <w:pPr>
        <w:spacing w:line="240" w:lineRule="auto" w:before="6"/>
        <w:rPr>
          <w:rFonts w:ascii="宋体" w:hAnsi="宋体" w:cs="宋体" w:eastAsia="宋体" w:hint="default"/>
          <w:b/>
          <w:bCs/>
          <w:sz w:val="15"/>
          <w:szCs w:val="1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3、应收票据" w:id="231"/>
      <w:bookmarkEnd w:id="231"/>
      <w:r>
        <w:rPr>
          <w:b w:val="0"/>
          <w:bCs w:val="0"/>
        </w:rPr>
      </w:r>
      <w:r>
        <w:rPr>
          <w:rFonts w:ascii="Times New Roman" w:hAnsi="Times New Roman" w:cs="Times New Roman" w:eastAsia="Times New Roman" w:hint="default"/>
        </w:rPr>
        <w:t>3</w:t>
      </w:r>
      <w:r>
        <w:rPr/>
        <w:t>、应收票据</w:t>
      </w:r>
      <w:r>
        <w:rPr>
          <w:b w:val="0"/>
          <w:bCs w:val="0"/>
        </w:rPr>
      </w:r>
    </w:p>
    <w:p>
      <w:pPr>
        <w:pStyle w:val="Heading3"/>
        <w:spacing w:line="240" w:lineRule="auto" w:before="177"/>
        <w:ind w:right="0"/>
        <w:jc w:val="left"/>
        <w:rPr>
          <w:b w:val="0"/>
          <w:bCs w:val="0"/>
        </w:rPr>
      </w:pPr>
      <w:bookmarkStart w:name="（1）应收票据分类列示" w:id="232"/>
      <w:bookmarkEnd w:id="232"/>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6"/>
        <w:rPr>
          <w:rFonts w:ascii="宋体" w:hAnsi="宋体" w:cs="宋体" w:eastAsia="宋体" w:hint="default"/>
          <w:b/>
          <w:bCs/>
          <w:sz w:val="15"/>
          <w:szCs w:val="15"/>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79"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3,113,250.30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9,632,223.94</w:t>
            </w:r>
          </w:p>
        </w:tc>
      </w:tr>
      <w:tr>
        <w:trPr>
          <w:trHeight w:val="479"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3,113,250.30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9,632,223.94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2）期末公司已质押的应收票据" w:id="233"/>
      <w:bookmarkEnd w:id="233"/>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79"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Heading3"/>
        <w:spacing w:line="240" w:lineRule="auto" w:before="63"/>
        <w:ind w:left="154" w:right="0"/>
        <w:jc w:val="left"/>
        <w:rPr>
          <w:b w:val="0"/>
          <w:bCs w:val="0"/>
        </w:rPr>
      </w:pPr>
      <w:bookmarkStart w:name="（3）期末公司已背书或贴现且在资产负债表日尚未到期的应收票据" w:id="234"/>
      <w:bookmarkEnd w:id="234"/>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7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7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15,316,199.88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10,478,589.54</w:t>
            </w:r>
          </w:p>
        </w:tc>
      </w:tr>
      <w:tr>
        <w:trPr>
          <w:trHeight w:val="479"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15,316,199.88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10,478,589.54</w:t>
            </w:r>
          </w:p>
        </w:tc>
      </w:tr>
    </w:tbl>
    <w:p>
      <w:pPr>
        <w:pStyle w:val="Heading3"/>
        <w:spacing w:line="240" w:lineRule="auto" w:before="63"/>
        <w:ind w:left="154" w:right="0"/>
        <w:jc w:val="left"/>
        <w:rPr>
          <w:b w:val="0"/>
          <w:bCs w:val="0"/>
        </w:rPr>
      </w:pPr>
      <w:bookmarkStart w:name="（4）期末公司因出票人未履约而将其转应收账款的票据" w:id="235"/>
      <w:bookmarkEnd w:id="235"/>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7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89"/>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Heading3"/>
        <w:spacing w:line="240" w:lineRule="auto"/>
        <w:ind w:right="0"/>
        <w:jc w:val="left"/>
        <w:rPr>
          <w:b w:val="0"/>
          <w:bCs w:val="0"/>
        </w:rPr>
      </w:pPr>
      <w:bookmarkStart w:name="4、应收账款" w:id="236"/>
      <w:bookmarkEnd w:id="236"/>
      <w:r>
        <w:rPr>
          <w:b w:val="0"/>
          <w:bCs w:val="0"/>
        </w:rPr>
      </w:r>
      <w:r>
        <w:rPr>
          <w:rFonts w:ascii="Times New Roman" w:hAnsi="Times New Roman" w:cs="Times New Roman" w:eastAsia="Times New Roman" w:hint="default"/>
        </w:rPr>
        <w:t>4</w:t>
      </w:r>
      <w:r>
        <w:rPr/>
        <w:t>、应收账款</w:t>
      </w:r>
      <w:r>
        <w:rPr>
          <w:b w:val="0"/>
          <w:bCs w:val="0"/>
        </w:rPr>
      </w:r>
    </w:p>
    <w:p>
      <w:pPr>
        <w:pStyle w:val="Heading3"/>
        <w:spacing w:line="240" w:lineRule="auto" w:before="177"/>
        <w:ind w:left="154" w:right="0"/>
        <w:jc w:val="left"/>
        <w:rPr>
          <w:b w:val="0"/>
          <w:bCs w:val="0"/>
        </w:rPr>
      </w:pPr>
      <w:bookmarkStart w:name="（1）应收账款分类披露" w:id="237"/>
      <w:bookmarkEnd w:id="23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7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4"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39"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37"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31"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86"/>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86"/>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86"/>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4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239"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4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88"/>
              <w:ind w:left="22" w:right="160"/>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合计提坏账准备的</w:t>
            </w:r>
          </w:p>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63" w:right="0"/>
              <w:jc w:val="center"/>
              <w:rPr>
                <w:rFonts w:ascii="Times New Roman" w:hAnsi="Times New Roman" w:cs="Times New Roman" w:eastAsia="Times New Roman" w:hint="default"/>
                <w:sz w:val="18"/>
                <w:szCs w:val="18"/>
              </w:rPr>
            </w:pPr>
            <w:r>
              <w:rPr>
                <w:rFonts w:ascii="Times New Roman"/>
                <w:sz w:val="18"/>
              </w:rPr>
              <w:t>819,737,</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00" w:right="0"/>
              <w:jc w:val="center"/>
              <w:rPr>
                <w:rFonts w:ascii="Times New Roman" w:hAnsi="Times New Roman" w:cs="Times New Roman" w:eastAsia="Times New Roman" w:hint="default"/>
                <w:sz w:val="18"/>
                <w:szCs w:val="18"/>
              </w:rPr>
            </w:pPr>
            <w:r>
              <w:rPr>
                <w:rFonts w:ascii="Times New Roman"/>
                <w:sz w:val="18"/>
              </w:rPr>
              <w:t>576.84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8" w:right="0"/>
              <w:jc w:val="left"/>
              <w:rPr>
                <w:rFonts w:ascii="Times New Roman" w:hAnsi="Times New Roman" w:cs="Times New Roman" w:eastAsia="Times New Roman" w:hint="default"/>
                <w:sz w:val="18"/>
                <w:szCs w:val="18"/>
              </w:rPr>
            </w:pPr>
            <w:r>
              <w:rPr>
                <w:rFonts w:ascii="Times New Roman"/>
                <w:sz w:val="18"/>
              </w:rPr>
              <w:t>75,743,9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26.16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5" w:right="0"/>
              <w:jc w:val="left"/>
              <w:rPr>
                <w:rFonts w:ascii="Times New Roman" w:hAnsi="Times New Roman" w:cs="Times New Roman" w:eastAsia="Times New Roman" w:hint="default"/>
                <w:sz w:val="18"/>
                <w:szCs w:val="18"/>
              </w:rPr>
            </w:pPr>
            <w:r>
              <w:rPr>
                <w:rFonts w:ascii="Times New Roman"/>
                <w:sz w:val="18"/>
              </w:rPr>
              <w:t>9.24%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7" w:right="0"/>
              <w:jc w:val="left"/>
              <w:rPr>
                <w:rFonts w:ascii="Times New Roman" w:hAnsi="Times New Roman" w:cs="Times New Roman" w:eastAsia="Times New Roman" w:hint="default"/>
                <w:sz w:val="18"/>
                <w:szCs w:val="18"/>
              </w:rPr>
            </w:pPr>
            <w:r>
              <w:rPr>
                <w:rFonts w:ascii="Times New Roman"/>
                <w:sz w:val="18"/>
              </w:rPr>
              <w:t>743,993,6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50.68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5" w:right="0"/>
              <w:jc w:val="left"/>
              <w:rPr>
                <w:rFonts w:ascii="Times New Roman" w:hAnsi="Times New Roman" w:cs="Times New Roman" w:eastAsia="Times New Roman" w:hint="default"/>
                <w:sz w:val="18"/>
                <w:szCs w:val="18"/>
              </w:rPr>
            </w:pPr>
            <w:r>
              <w:rPr>
                <w:rFonts w:ascii="Times New Roman"/>
                <w:sz w:val="18"/>
              </w:rPr>
              <w:t>676,176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,801.09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60" w:right="0"/>
              <w:jc w:val="left"/>
              <w:rPr>
                <w:rFonts w:ascii="Times New Roman" w:hAnsi="Times New Roman" w:cs="Times New Roman" w:eastAsia="Times New Roman" w:hint="default"/>
                <w:sz w:val="18"/>
                <w:szCs w:val="18"/>
              </w:rPr>
            </w:pPr>
            <w:r>
              <w:rPr>
                <w:rFonts w:ascii="Times New Roman"/>
                <w:sz w:val="18"/>
              </w:rPr>
              <w:t>58,908,28</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0.11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35" w:right="0"/>
              <w:jc w:val="left"/>
              <w:rPr>
                <w:rFonts w:ascii="Times New Roman" w:hAnsi="Times New Roman" w:cs="Times New Roman" w:eastAsia="Times New Roman" w:hint="default"/>
                <w:sz w:val="18"/>
                <w:szCs w:val="18"/>
              </w:rPr>
            </w:pPr>
            <w:r>
              <w:rPr>
                <w:rFonts w:ascii="Times New Roman"/>
                <w:sz w:val="18"/>
              </w:rPr>
              <w:t>8.71%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88" w:right="0"/>
              <w:jc w:val="left"/>
              <w:rPr>
                <w:rFonts w:ascii="Times New Roman" w:hAnsi="Times New Roman" w:cs="Times New Roman" w:eastAsia="Times New Roman" w:hint="default"/>
                <w:sz w:val="18"/>
                <w:szCs w:val="18"/>
              </w:rPr>
            </w:pPr>
            <w:r>
              <w:rPr>
                <w:rFonts w:ascii="Times New Roman"/>
                <w:sz w:val="18"/>
              </w:rPr>
              <w:t>617,268,52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0.98</w:t>
            </w:r>
          </w:p>
        </w:tc>
      </w:tr>
      <w:tr>
        <w:trPr>
          <w:trHeight w:val="239"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28"/>
              <w:ind w:left="69" w:right="0"/>
              <w:jc w:val="center"/>
              <w:rPr>
                <w:rFonts w:ascii="Times New Roman" w:hAnsi="Times New Roman" w:cs="Times New Roman" w:eastAsia="Times New Roman" w:hint="default"/>
                <w:sz w:val="18"/>
                <w:szCs w:val="18"/>
              </w:rPr>
            </w:pPr>
            <w:r>
              <w:rPr>
                <w:rFonts w:ascii="Times New Roman"/>
                <w:sz w:val="18"/>
              </w:rPr>
              <w:t>819,737,</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05" w:right="0"/>
              <w:jc w:val="center"/>
              <w:rPr>
                <w:rFonts w:ascii="Times New Roman" w:hAnsi="Times New Roman" w:cs="Times New Roman" w:eastAsia="Times New Roman" w:hint="default"/>
                <w:sz w:val="18"/>
                <w:szCs w:val="18"/>
              </w:rPr>
            </w:pPr>
            <w:r>
              <w:rPr>
                <w:rFonts w:ascii="Times New Roman"/>
                <w:sz w:val="18"/>
              </w:rPr>
              <w:t>576.84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8"/>
              <w:ind w:left="98" w:right="0"/>
              <w:jc w:val="left"/>
              <w:rPr>
                <w:rFonts w:ascii="Times New Roman" w:hAnsi="Times New Roman" w:cs="Times New Roman" w:eastAsia="Times New Roman" w:hint="default"/>
                <w:sz w:val="18"/>
                <w:szCs w:val="18"/>
              </w:rPr>
            </w:pPr>
            <w:r>
              <w:rPr>
                <w:rFonts w:ascii="Times New Roman"/>
                <w:sz w:val="18"/>
              </w:rPr>
              <w:t>75,743,9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26.16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65" w:right="0"/>
              <w:jc w:val="left"/>
              <w:rPr>
                <w:rFonts w:ascii="Times New Roman" w:hAnsi="Times New Roman" w:cs="Times New Roman" w:eastAsia="Times New Roman" w:hint="default"/>
                <w:sz w:val="18"/>
                <w:szCs w:val="18"/>
              </w:rPr>
            </w:pPr>
            <w:r>
              <w:rPr>
                <w:rFonts w:ascii="Times New Roman"/>
                <w:sz w:val="18"/>
              </w:rPr>
              <w:t>9.24%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8"/>
              <w:ind w:left="37" w:right="0"/>
              <w:jc w:val="left"/>
              <w:rPr>
                <w:rFonts w:ascii="Times New Roman" w:hAnsi="Times New Roman" w:cs="Times New Roman" w:eastAsia="Times New Roman" w:hint="default"/>
                <w:sz w:val="18"/>
                <w:szCs w:val="18"/>
              </w:rPr>
            </w:pPr>
            <w:r>
              <w:rPr>
                <w:rFonts w:ascii="Times New Roman"/>
                <w:sz w:val="18"/>
              </w:rPr>
              <w:t>743,993,6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50.68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128"/>
              <w:ind w:left="35" w:right="0"/>
              <w:jc w:val="left"/>
              <w:rPr>
                <w:rFonts w:ascii="Times New Roman" w:hAnsi="Times New Roman" w:cs="Times New Roman" w:eastAsia="Times New Roman" w:hint="default"/>
                <w:sz w:val="18"/>
                <w:szCs w:val="18"/>
              </w:rPr>
            </w:pPr>
            <w:r>
              <w:rPr>
                <w:rFonts w:ascii="Times New Roman"/>
                <w:sz w:val="18"/>
              </w:rPr>
              <w:t>676,176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,801.09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8"/>
              <w:ind w:left="60" w:right="0"/>
              <w:jc w:val="left"/>
              <w:rPr>
                <w:rFonts w:ascii="Times New Roman" w:hAnsi="Times New Roman" w:cs="Times New Roman" w:eastAsia="Times New Roman" w:hint="default"/>
                <w:sz w:val="18"/>
                <w:szCs w:val="18"/>
              </w:rPr>
            </w:pPr>
            <w:r>
              <w:rPr>
                <w:rFonts w:ascii="Times New Roman"/>
                <w:sz w:val="18"/>
              </w:rPr>
              <w:t>58,908,28</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0.11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35" w:right="0"/>
              <w:jc w:val="left"/>
              <w:rPr>
                <w:rFonts w:ascii="Times New Roman" w:hAnsi="Times New Roman" w:cs="Times New Roman" w:eastAsia="Times New Roman" w:hint="default"/>
                <w:sz w:val="18"/>
                <w:szCs w:val="18"/>
              </w:rPr>
            </w:pPr>
            <w:r>
              <w:rPr>
                <w:rFonts w:ascii="Times New Roman"/>
                <w:sz w:val="18"/>
              </w:rPr>
              <w:t>8.71%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8"/>
              <w:ind w:left="88" w:right="0"/>
              <w:jc w:val="left"/>
              <w:rPr>
                <w:rFonts w:ascii="Times New Roman" w:hAnsi="Times New Roman" w:cs="Times New Roman" w:eastAsia="Times New Roman" w:hint="default"/>
                <w:sz w:val="18"/>
                <w:szCs w:val="18"/>
              </w:rPr>
            </w:pPr>
            <w:r>
              <w:rPr>
                <w:rFonts w:ascii="Times New Roman"/>
                <w:sz w:val="18"/>
              </w:rPr>
              <w:t>617,268,52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0.98</w:t>
            </w:r>
          </w:p>
        </w:tc>
      </w:tr>
      <w:tr>
        <w:trPr>
          <w:trHeight w:val="468"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240"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240" w:lineRule="auto" w:before="10"/>
        <w:rPr>
          <w:rFonts w:ascii="宋体" w:hAnsi="宋体" w:cs="宋体" w:eastAsia="宋体" w:hint="default"/>
          <w:sz w:val="17"/>
          <w:szCs w:val="17"/>
        </w:rPr>
      </w:pPr>
    </w:p>
    <w:p>
      <w:pPr>
        <w:spacing w:line="451"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7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244"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8"/>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35" w:hRule="exact"/>
        </w:trPr>
        <w:tc>
          <w:tcPr>
            <w:tcW w:w="2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8" w:type="dxa"/>
            <w:gridSpan w:val="3"/>
            <w:vMerge/>
            <w:tcBorders>
              <w:left w:val="single" w:sz="4" w:space="0" w:color="000000"/>
              <w:bottom w:val="single" w:sz="4" w:space="0" w:color="000000"/>
              <w:right w:val="single" w:sz="4" w:space="0" w:color="000000"/>
            </w:tcBorders>
            <w:shd w:val="clear" w:color="auto" w:fill="D2D2D2"/>
          </w:tcPr>
          <w:p>
            <w:pPr/>
          </w:p>
        </w:tc>
      </w:tr>
      <w:tr>
        <w:trPr>
          <w:trHeight w:val="233" w:hRule="exact"/>
        </w:trPr>
        <w:tc>
          <w:tcPr>
            <w:tcW w:w="2369" w:type="dxa"/>
            <w:vMerge/>
            <w:tcBorders>
              <w:left w:val="single" w:sz="4" w:space="0" w:color="000000"/>
              <w:bottom w:val="nil" w:sz="6" w:space="0" w:color="auto"/>
              <w:right w:val="single" w:sz="4" w:space="0" w:color="000000"/>
            </w:tcBorders>
            <w:shd w:val="clear" w:color="auto" w:fill="D2D2D2"/>
          </w:tcPr>
          <w:p>
            <w:pPr/>
          </w:p>
        </w:tc>
        <w:tc>
          <w:tcPr>
            <w:tcW w:w="24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left="11"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50"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4"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73"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7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567,301,871.62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34,038,112.31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6.00%</w:t>
            </w:r>
          </w:p>
        </w:tc>
      </w:tr>
      <w:tr>
        <w:trPr>
          <w:trHeight w:val="479"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107,237,184.72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8,578,974.76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8.00%</w:t>
            </w:r>
          </w:p>
        </w:tc>
      </w:tr>
      <w:tr>
        <w:trPr>
          <w:trHeight w:val="47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57,181,219.10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5,718,121.92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10.00%</w:t>
            </w:r>
          </w:p>
        </w:tc>
      </w:tr>
      <w:tr>
        <w:trPr>
          <w:trHeight w:val="47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37,161,166.38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7,432,233.28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20.00%</w:t>
            </w:r>
          </w:p>
        </w:tc>
      </w:tr>
      <w:tr>
        <w:trPr>
          <w:trHeight w:val="479"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27,257,918.10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8,177,375.43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30.00%</w:t>
            </w:r>
          </w:p>
        </w:tc>
      </w:tr>
      <w:tr>
        <w:trPr>
          <w:trHeight w:val="47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23,598,216.92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11,799,108.46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50.00%</w:t>
            </w:r>
          </w:p>
        </w:tc>
      </w:tr>
      <w:tr>
        <w:trPr>
          <w:trHeight w:val="479"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819,737,576.84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75,743,926.16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8.24%</w:t>
            </w:r>
          </w:p>
        </w:tc>
      </w:tr>
    </w:tbl>
    <w:p>
      <w:pPr>
        <w:spacing w:line="477" w:lineRule="auto" w:before="88"/>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463" w:lineRule="auto" w:before="54"/>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 不适用</w:t>
      </w:r>
    </w:p>
    <w:p>
      <w:pPr>
        <w:pStyle w:val="Heading3"/>
        <w:spacing w:line="240" w:lineRule="auto" w:before="40"/>
        <w:ind w:right="0"/>
        <w:jc w:val="left"/>
        <w:rPr>
          <w:b w:val="0"/>
          <w:bCs w:val="0"/>
        </w:rPr>
      </w:pPr>
      <w:bookmarkStart w:name="（2）本期计提、收回或转回的坏账准备情况" w:id="238"/>
      <w:bookmarkEnd w:id="23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15"/>
          <w:szCs w:val="15"/>
        </w:rPr>
      </w:pPr>
    </w:p>
    <w:p>
      <w:pPr>
        <w:spacing w:line="477" w:lineRule="auto" w:before="0"/>
        <w:ind w:left="154" w:right="589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本期计提坏账准备金额元；本期收回或转回坏账准备金额元。 其中本期坏账准备收回或转回金额重要的：</w:t>
      </w:r>
    </w:p>
    <w:p>
      <w:pPr>
        <w:spacing w:before="5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7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Heading3"/>
        <w:spacing w:line="240" w:lineRule="auto" w:before="63"/>
        <w:ind w:left="154" w:right="0"/>
        <w:jc w:val="left"/>
        <w:rPr>
          <w:b w:val="0"/>
          <w:bCs w:val="0"/>
        </w:rPr>
      </w:pPr>
      <w:bookmarkStart w:name="（3）本期实际核销的应收账款情况" w:id="239"/>
      <w:bookmarkEnd w:id="239"/>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7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line="240" w:lineRule="auto" w:before="5"/>
        <w:rPr>
          <w:rFonts w:ascii="宋体" w:hAnsi="宋体" w:cs="宋体" w:eastAsia="宋体" w:hint="default"/>
          <w:sz w:val="14"/>
          <w:szCs w:val="1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94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款项是否由关联交</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易产生</w:t>
            </w:r>
          </w:p>
        </w:tc>
      </w:tr>
    </w:tbl>
    <w:p>
      <w:pPr>
        <w:spacing w:before="89"/>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4）按欠款方归集的期末余额前五名的应收账款情况" w:id="240"/>
      <w:bookmarkEnd w:id="240"/>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pStyle w:val="Heading3"/>
        <w:spacing w:line="240" w:lineRule="auto" w:before="177"/>
        <w:ind w:right="0"/>
        <w:jc w:val="left"/>
        <w:rPr>
          <w:b w:val="0"/>
          <w:bCs w:val="0"/>
        </w:rPr>
      </w:pPr>
      <w:bookmarkStart w:name="（5）因金融资产转移而终止确认的应收账款" w:id="241"/>
      <w:bookmarkEnd w:id="241"/>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pStyle w:val="Heading3"/>
        <w:spacing w:line="240" w:lineRule="auto" w:before="177"/>
        <w:ind w:right="0"/>
        <w:jc w:val="left"/>
        <w:rPr>
          <w:b w:val="0"/>
          <w:bCs w:val="0"/>
        </w:rPr>
      </w:pPr>
      <w:bookmarkStart w:name="（6）转移应收账款且继续涉入形成的资产、负债金额" w:id="242"/>
      <w:bookmarkEnd w:id="242"/>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Heading3"/>
        <w:spacing w:line="240" w:lineRule="auto"/>
        <w:ind w:right="0"/>
        <w:jc w:val="left"/>
        <w:rPr>
          <w:b w:val="0"/>
          <w:bCs w:val="0"/>
        </w:rPr>
      </w:pPr>
      <w:bookmarkStart w:name="5、预付款项" w:id="243"/>
      <w:bookmarkEnd w:id="243"/>
      <w:r>
        <w:rPr>
          <w:b w:val="0"/>
          <w:bCs w:val="0"/>
        </w:rPr>
      </w:r>
      <w:r>
        <w:rPr>
          <w:rFonts w:ascii="Times New Roman" w:hAnsi="Times New Roman" w:cs="Times New Roman" w:eastAsia="Times New Roman" w:hint="default"/>
        </w:rPr>
        <w:t>5</w:t>
      </w:r>
      <w:r>
        <w:rPr/>
        <w:t>、预付款项</w:t>
      </w:r>
      <w:r>
        <w:rPr>
          <w:b w:val="0"/>
          <w:bCs w:val="0"/>
        </w:rPr>
      </w:r>
    </w:p>
    <w:p>
      <w:pPr>
        <w:pStyle w:val="Heading3"/>
        <w:spacing w:line="240" w:lineRule="auto" w:before="177"/>
        <w:ind w:right="0"/>
        <w:jc w:val="left"/>
        <w:rPr>
          <w:b w:val="0"/>
          <w:bCs w:val="0"/>
        </w:rPr>
      </w:pPr>
      <w:bookmarkStart w:name="（1）预付款项按账龄列示" w:id="244"/>
      <w:bookmarkEnd w:id="244"/>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44"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8"/>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35"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33"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4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7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58,221,328.91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89.39%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49,575,685.05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95.88%</w:t>
            </w:r>
          </w:p>
        </w:tc>
      </w:tr>
      <w:tr>
        <w:trPr>
          <w:trHeight w:val="47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5,411,926.94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8.31%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469,205.70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0.91%</w:t>
            </w:r>
          </w:p>
        </w:tc>
      </w:tr>
      <w:tr>
        <w:trPr>
          <w:trHeight w:val="47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107,028.48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0.16%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426,160.13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0.82%</w:t>
            </w:r>
          </w:p>
        </w:tc>
      </w:tr>
      <w:tr>
        <w:trPr>
          <w:trHeight w:val="47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1,392,545.50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2.14%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1,236,275.45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2.39%</w:t>
            </w:r>
          </w:p>
        </w:tc>
      </w:tr>
      <w:tr>
        <w:trPr>
          <w:trHeight w:val="47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8"/>
              <w:ind w:right="9"/>
              <w:jc w:val="right"/>
              <w:rPr>
                <w:rFonts w:ascii="Times New Roman" w:hAnsi="Times New Roman" w:cs="Times New Roman" w:eastAsia="Times New Roman" w:hint="default"/>
                <w:sz w:val="18"/>
                <w:szCs w:val="18"/>
              </w:rPr>
            </w:pPr>
            <w:r>
              <w:rPr>
                <w:rFonts w:ascii="Times New Roman"/>
                <w:spacing w:val="-1"/>
                <w:sz w:val="18"/>
              </w:rPr>
              <w:t>65,132,829.83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51,707,326.33</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1"/>
        <w:rPr>
          <w:rFonts w:ascii="宋体" w:hAnsi="宋体" w:cs="宋体" w:eastAsia="宋体" w:hint="default"/>
          <w:sz w:val="14"/>
          <w:szCs w:val="14"/>
        </w:rPr>
      </w:pPr>
    </w:p>
    <w:p>
      <w:pPr>
        <w:pStyle w:val="BodyText"/>
        <w:spacing w:line="240" w:lineRule="auto" w:before="0"/>
        <w:ind w:left="154" w:right="0"/>
        <w:jc w:val="left"/>
      </w:pPr>
      <w:r>
        <w:rPr/>
        <w:t>本期无账龄超过一年以上且金额重大的预付款项</w:t>
      </w:r>
    </w:p>
    <w:p>
      <w:pPr>
        <w:spacing w:line="240" w:lineRule="auto" w:before="10"/>
        <w:rPr>
          <w:rFonts w:ascii="宋体" w:hAnsi="宋体" w:cs="宋体" w:eastAsia="宋体" w:hint="default"/>
          <w:sz w:val="14"/>
          <w:szCs w:val="14"/>
        </w:rPr>
      </w:pPr>
    </w:p>
    <w:p>
      <w:pPr>
        <w:spacing w:line="386" w:lineRule="auto" w:before="0"/>
        <w:ind w:left="154" w:right="0" w:firstLine="0"/>
        <w:jc w:val="left"/>
        <w:rPr>
          <w:rFonts w:ascii="宋体" w:hAnsi="宋体" w:cs="宋体" w:eastAsia="宋体" w:hint="default"/>
          <w:sz w:val="21"/>
          <w:szCs w:val="21"/>
        </w:rPr>
      </w:pPr>
      <w:bookmarkStart w:name="（2）按预付对象归集的期末余额前五名的预付款情况" w:id="245"/>
      <w:bookmarkEnd w:id="24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99"/>
          <w:sz w:val="21"/>
          <w:szCs w:val="21"/>
        </w:rPr>
        <w:t> </w:t>
      </w:r>
      <w:r>
        <w:rPr>
          <w:rFonts w:ascii="宋体" w:hAnsi="宋体" w:cs="宋体" w:eastAsia="宋体" w:hint="default"/>
          <w:sz w:val="21"/>
          <w:szCs w:val="21"/>
        </w:rPr>
        <w:t>按预付对象集中度归集的期末余额前五名预付款项汇总金额</w:t>
      </w:r>
      <w:r>
        <w:rPr>
          <w:rFonts w:ascii="Times New Roman" w:hAnsi="Times New Roman" w:cs="Times New Roman" w:eastAsia="Times New Roman" w:hint="default"/>
          <w:sz w:val="21"/>
          <w:szCs w:val="21"/>
        </w:rPr>
        <w:t>48,738,677.97</w:t>
      </w:r>
      <w:r>
        <w:rPr>
          <w:rFonts w:ascii="宋体" w:hAnsi="宋体" w:cs="宋体" w:eastAsia="宋体" w:hint="default"/>
          <w:sz w:val="21"/>
          <w:szCs w:val="21"/>
        </w:rPr>
        <w:t>元，占预付款项期末余额合计数</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的比例</w:t>
      </w:r>
      <w:r>
        <w:rPr>
          <w:rFonts w:ascii="Times New Roman" w:hAnsi="Times New Roman" w:cs="Times New Roman" w:eastAsia="Times New Roman" w:hint="default"/>
          <w:sz w:val="21"/>
          <w:szCs w:val="21"/>
        </w:rPr>
        <w:t>76.36%</w:t>
      </w:r>
      <w:r>
        <w:rPr>
          <w:rFonts w:ascii="宋体" w:hAnsi="宋体" w:cs="宋体" w:eastAsia="宋体" w:hint="default"/>
          <w:sz w:val="21"/>
          <w:szCs w:val="21"/>
        </w:rPr>
        <w:t>。</w:t>
      </w:r>
    </w:p>
    <w:p>
      <w:pPr>
        <w:spacing w:before="6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BodyText"/>
        <w:spacing w:line="240" w:lineRule="auto" w:before="0"/>
        <w:ind w:right="0"/>
        <w:jc w:val="left"/>
      </w:pPr>
      <w:r>
        <w:rPr/>
        <w:t>预付款项期末余额中无持有本公司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以上表决权股份的股东单位款项；无其他关联方款项。</w:t>
      </w:r>
    </w:p>
    <w:p>
      <w:pPr>
        <w:pStyle w:val="Heading3"/>
        <w:spacing w:line="240" w:lineRule="auto" w:before="177"/>
        <w:ind w:right="0"/>
        <w:jc w:val="left"/>
        <w:rPr>
          <w:b w:val="0"/>
          <w:bCs w:val="0"/>
        </w:rPr>
      </w:pPr>
      <w:bookmarkStart w:name="6、其他应收款" w:id="246"/>
      <w:bookmarkEnd w:id="246"/>
      <w:r>
        <w:rPr>
          <w:b w:val="0"/>
          <w:bCs w:val="0"/>
        </w:rPr>
      </w:r>
      <w:r>
        <w:rPr>
          <w:rFonts w:ascii="Times New Roman" w:hAnsi="Times New Roman" w:cs="Times New Roman" w:eastAsia="Times New Roman" w:hint="default"/>
        </w:rPr>
        <w:t>6</w:t>
      </w:r>
      <w:r>
        <w:rPr/>
        <w:t>、其他应收款</w:t>
      </w:r>
      <w:r>
        <w:rPr>
          <w:b w:val="0"/>
          <w:bCs w:val="0"/>
        </w:rPr>
      </w:r>
    </w:p>
    <w:p>
      <w:pPr>
        <w:pStyle w:val="Heading3"/>
        <w:spacing w:line="240" w:lineRule="auto" w:before="177"/>
        <w:ind w:right="0"/>
        <w:jc w:val="left"/>
        <w:rPr>
          <w:b w:val="0"/>
          <w:bCs w:val="0"/>
        </w:rPr>
      </w:pPr>
      <w:bookmarkStart w:name="（1）其他应收款分类披露" w:id="247"/>
      <w:bookmarkEnd w:id="24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6"/>
        <w:rPr>
          <w:rFonts w:ascii="宋体" w:hAnsi="宋体" w:cs="宋体" w:eastAsia="宋体" w:hint="default"/>
          <w:b/>
          <w:bCs/>
          <w:sz w:val="15"/>
          <w:szCs w:val="15"/>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1635"/>
        <w:gridCol w:w="752"/>
        <w:gridCol w:w="762"/>
        <w:gridCol w:w="774"/>
        <w:gridCol w:w="739"/>
        <w:gridCol w:w="800"/>
        <w:gridCol w:w="655"/>
        <w:gridCol w:w="762"/>
        <w:gridCol w:w="813"/>
        <w:gridCol w:w="932"/>
        <w:gridCol w:w="932"/>
      </w:tblGrid>
      <w:tr>
        <w:trPr>
          <w:trHeight w:val="47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2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4"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3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0"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39"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right="22"/>
              <w:jc w:val="center"/>
              <w:rPr>
                <w:rFonts w:ascii="宋体" w:hAnsi="宋体" w:cs="宋体" w:eastAsia="宋体" w:hint="default"/>
                <w:sz w:val="18"/>
                <w:szCs w:val="18"/>
              </w:rPr>
            </w:pPr>
            <w:r>
              <w:rPr>
                <w:rFonts w:ascii="宋体" w:hAnsi="宋体" w:cs="宋体" w:eastAsia="宋体" w:hint="default"/>
                <w:sz w:val="18"/>
                <w:szCs w:val="18"/>
              </w:rPr>
              <w:t>类别</w:t>
            </w:r>
          </w:p>
        </w:tc>
        <w:tc>
          <w:tcPr>
            <w:tcW w:w="1514" w:type="dxa"/>
            <w:gridSpan w:val="2"/>
            <w:vMerge/>
            <w:tcBorders>
              <w:left w:val="single" w:sz="4" w:space="0" w:color="000000"/>
              <w:bottom w:val="single" w:sz="4" w:space="0" w:color="000000"/>
              <w:right w:val="single" w:sz="4" w:space="0" w:color="000000"/>
            </w:tcBorders>
            <w:shd w:val="clear" w:color="auto" w:fill="D2D2D2"/>
          </w:tcPr>
          <w:p>
            <w:pP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37"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5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31"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86"/>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86"/>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86"/>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9"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1"/>
              <w:ind w:left="1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40" w:hRule="exact"/>
        </w:trPr>
        <w:tc>
          <w:tcPr>
            <w:tcW w:w="1635" w:type="dxa"/>
            <w:vMerge/>
            <w:tcBorders>
              <w:left w:val="single" w:sz="4" w:space="0" w:color="000000"/>
              <w:right w:val="single" w:sz="4" w:space="0" w:color="000000"/>
            </w:tcBorders>
            <w:shd w:val="clear" w:color="auto" w:fill="D2D2D2"/>
          </w:tcPr>
          <w:p>
            <w:pPr/>
          </w:p>
        </w:tc>
        <w:tc>
          <w:tcPr>
            <w:tcW w:w="75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39"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239"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9"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47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tc>
        <w:tc>
          <w:tcPr>
            <w:tcW w:w="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76" w:right="0"/>
              <w:jc w:val="left"/>
              <w:rPr>
                <w:rFonts w:ascii="Times New Roman" w:hAnsi="Times New Roman" w:cs="Times New Roman" w:eastAsia="Times New Roman" w:hint="default"/>
                <w:sz w:val="18"/>
                <w:szCs w:val="18"/>
              </w:rPr>
            </w:pPr>
            <w:r>
              <w:rPr>
                <w:rFonts w:ascii="Times New Roman"/>
                <w:sz w:val="18"/>
              </w:rPr>
              <w:t>131,957,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3" w:right="0"/>
              <w:jc w:val="left"/>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8" w:right="0"/>
              <w:jc w:val="left"/>
              <w:rPr>
                <w:rFonts w:ascii="Times New Roman" w:hAnsi="Times New Roman" w:cs="Times New Roman" w:eastAsia="Times New Roman" w:hint="default"/>
                <w:sz w:val="18"/>
                <w:szCs w:val="18"/>
              </w:rPr>
            </w:pPr>
            <w:r>
              <w:rPr>
                <w:rFonts w:ascii="Times New Roman"/>
                <w:sz w:val="18"/>
              </w:rPr>
              <w:t>9,300,54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53" w:right="0"/>
              <w:jc w:val="left"/>
              <w:rPr>
                <w:rFonts w:ascii="Times New Roman" w:hAnsi="Times New Roman" w:cs="Times New Roman" w:eastAsia="Times New Roman" w:hint="default"/>
                <w:sz w:val="18"/>
                <w:szCs w:val="18"/>
              </w:rPr>
            </w:pPr>
            <w:r>
              <w:rPr>
                <w:rFonts w:ascii="Times New Roman"/>
                <w:sz w:val="18"/>
              </w:rPr>
              <w:t>7.05%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8" w:right="0"/>
              <w:jc w:val="left"/>
              <w:rPr>
                <w:rFonts w:ascii="Times New Roman" w:hAnsi="Times New Roman" w:cs="Times New Roman" w:eastAsia="Times New Roman" w:hint="default"/>
                <w:sz w:val="18"/>
                <w:szCs w:val="18"/>
              </w:rPr>
            </w:pPr>
            <w:r>
              <w:rPr>
                <w:rFonts w:ascii="Times New Roman"/>
                <w:sz w:val="18"/>
              </w:rPr>
              <w:t>122,656,6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2" w:right="0"/>
              <w:jc w:val="left"/>
              <w:rPr>
                <w:rFonts w:ascii="Times New Roman" w:hAnsi="Times New Roman" w:cs="Times New Roman" w:eastAsia="Times New Roman" w:hint="default"/>
                <w:sz w:val="18"/>
                <w:szCs w:val="18"/>
              </w:rPr>
            </w:pPr>
            <w:r>
              <w:rPr>
                <w:rFonts w:ascii="Times New Roman"/>
                <w:sz w:val="18"/>
              </w:rPr>
              <w:t>115,948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0" w:right="0"/>
              <w:jc w:val="left"/>
              <w:rPr>
                <w:rFonts w:ascii="Times New Roman" w:hAnsi="Times New Roman" w:cs="Times New Roman" w:eastAsia="Times New Roman" w:hint="default"/>
                <w:sz w:val="18"/>
                <w:szCs w:val="18"/>
              </w:rPr>
            </w:pPr>
            <w:r>
              <w:rPr>
                <w:rFonts w:ascii="Times New Roman"/>
                <w:sz w:val="18"/>
              </w:rPr>
              <w:t>7,731,392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35" w:right="0"/>
              <w:jc w:val="left"/>
              <w:rPr>
                <w:rFonts w:ascii="Times New Roman" w:hAnsi="Times New Roman" w:cs="Times New Roman" w:eastAsia="Times New Roman" w:hint="default"/>
                <w:sz w:val="18"/>
                <w:szCs w:val="18"/>
              </w:rPr>
            </w:pPr>
            <w:r>
              <w:rPr>
                <w:rFonts w:ascii="Times New Roman"/>
                <w:sz w:val="18"/>
              </w:rPr>
              <w:t>6.67%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8" w:right="0"/>
              <w:jc w:val="left"/>
              <w:rPr>
                <w:rFonts w:ascii="Times New Roman" w:hAnsi="Times New Roman" w:cs="Times New Roman" w:eastAsia="Times New Roman" w:hint="default"/>
                <w:sz w:val="18"/>
                <w:szCs w:val="18"/>
              </w:rPr>
            </w:pPr>
            <w:r>
              <w:rPr>
                <w:rFonts w:ascii="Times New Roman"/>
                <w:sz w:val="18"/>
              </w:rPr>
              <w:t>108,216,97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94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合计提坏账准备的</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5" w:right="0"/>
              <w:jc w:val="left"/>
              <w:rPr>
                <w:rFonts w:ascii="Times New Roman" w:hAnsi="Times New Roman" w:cs="Times New Roman" w:eastAsia="Times New Roman" w:hint="default"/>
                <w:sz w:val="18"/>
                <w:szCs w:val="18"/>
              </w:rPr>
            </w:pPr>
            <w:r>
              <w:rPr>
                <w:rFonts w:ascii="Times New Roman"/>
                <w:sz w:val="18"/>
              </w:rPr>
              <w:t>217.51</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13" w:right="0"/>
              <w:jc w:val="left"/>
              <w:rPr>
                <w:rFonts w:ascii="Times New Roman" w:hAnsi="Times New Roman" w:cs="Times New Roman" w:eastAsia="Times New Roman" w:hint="default"/>
                <w:sz w:val="18"/>
                <w:szCs w:val="18"/>
              </w:rPr>
            </w:pPr>
            <w:r>
              <w:rPr>
                <w:rFonts w:ascii="Times New Roman"/>
                <w:sz w:val="18"/>
              </w:rPr>
              <w:t>0.42</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52" w:right="0"/>
              <w:jc w:val="left"/>
              <w:rPr>
                <w:rFonts w:ascii="Times New Roman" w:hAnsi="Times New Roman" w:cs="Times New Roman" w:eastAsia="Times New Roman" w:hint="default"/>
                <w:sz w:val="18"/>
                <w:szCs w:val="18"/>
              </w:rPr>
            </w:pPr>
            <w:r>
              <w:rPr>
                <w:rFonts w:ascii="Times New Roman"/>
                <w:sz w:val="18"/>
              </w:rPr>
              <w:t>77.09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0" w:right="0"/>
              <w:jc w:val="left"/>
              <w:rPr>
                <w:rFonts w:ascii="Times New Roman" w:hAnsi="Times New Roman" w:cs="Times New Roman" w:eastAsia="Times New Roman" w:hint="default"/>
                <w:sz w:val="18"/>
                <w:szCs w:val="18"/>
              </w:rPr>
            </w:pPr>
            <w:r>
              <w:rPr>
                <w:rFonts w:ascii="Times New Roman"/>
                <w:sz w:val="18"/>
              </w:rPr>
              <w:t>,363.40</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.98</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84" w:right="0"/>
              <w:jc w:val="left"/>
              <w:rPr>
                <w:rFonts w:ascii="Times New Roman" w:hAnsi="Times New Roman" w:cs="Times New Roman" w:eastAsia="Times New Roman" w:hint="default"/>
                <w:sz w:val="18"/>
                <w:szCs w:val="18"/>
              </w:rPr>
            </w:pPr>
            <w:r>
              <w:rPr>
                <w:rFonts w:ascii="Times New Roman"/>
                <w:sz w:val="18"/>
              </w:rPr>
              <w:t>0.42</w:t>
            </w:r>
          </w:p>
        </w:tc>
      </w:tr>
      <w:tr>
        <w:trPr>
          <w:trHeight w:val="94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6" w:right="0"/>
              <w:jc w:val="center"/>
              <w:rPr>
                <w:rFonts w:ascii="Times New Roman" w:hAnsi="Times New Roman" w:cs="Times New Roman" w:eastAsia="Times New Roman" w:hint="default"/>
                <w:sz w:val="18"/>
                <w:szCs w:val="18"/>
              </w:rPr>
            </w:pPr>
            <w:r>
              <w:rPr>
                <w:rFonts w:ascii="Times New Roman"/>
                <w:sz w:val="18"/>
              </w:rPr>
              <w:t>131,957,</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12" w:right="0"/>
              <w:jc w:val="center"/>
              <w:rPr>
                <w:rFonts w:ascii="Times New Roman" w:hAnsi="Times New Roman" w:cs="Times New Roman" w:eastAsia="Times New Roman" w:hint="default"/>
                <w:sz w:val="18"/>
                <w:szCs w:val="18"/>
              </w:rPr>
            </w:pPr>
            <w:r>
              <w:rPr>
                <w:rFonts w:ascii="Times New Roman"/>
                <w:sz w:val="18"/>
              </w:rPr>
              <w:t>217.51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8" w:right="0"/>
              <w:jc w:val="left"/>
              <w:rPr>
                <w:rFonts w:ascii="Times New Roman" w:hAnsi="Times New Roman" w:cs="Times New Roman" w:eastAsia="Times New Roman" w:hint="default"/>
                <w:sz w:val="18"/>
                <w:szCs w:val="18"/>
              </w:rPr>
            </w:pPr>
            <w:r>
              <w:rPr>
                <w:rFonts w:ascii="Times New Roman"/>
                <w:sz w:val="18"/>
              </w:rPr>
              <w:t>9,300,54</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0.42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5" w:right="0"/>
              <w:jc w:val="left"/>
              <w:rPr>
                <w:rFonts w:ascii="Times New Roman" w:hAnsi="Times New Roman" w:cs="Times New Roman" w:eastAsia="Times New Roman" w:hint="default"/>
                <w:sz w:val="18"/>
                <w:szCs w:val="18"/>
              </w:rPr>
            </w:pPr>
            <w:r>
              <w:rPr>
                <w:rFonts w:ascii="Times New Roman"/>
                <w:sz w:val="18"/>
              </w:rPr>
              <w:t>7.05%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7" w:right="0"/>
              <w:jc w:val="left"/>
              <w:rPr>
                <w:rFonts w:ascii="Times New Roman" w:hAnsi="Times New Roman" w:cs="Times New Roman" w:eastAsia="Times New Roman" w:hint="default"/>
                <w:sz w:val="18"/>
                <w:szCs w:val="18"/>
              </w:rPr>
            </w:pPr>
            <w:r>
              <w:rPr>
                <w:rFonts w:ascii="Times New Roman"/>
                <w:sz w:val="18"/>
              </w:rPr>
              <w:t>122,656,6</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77.09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1" w:right="0"/>
              <w:jc w:val="left"/>
              <w:rPr>
                <w:rFonts w:ascii="Times New Roman" w:hAnsi="Times New Roman" w:cs="Times New Roman" w:eastAsia="Times New Roman" w:hint="default"/>
                <w:sz w:val="18"/>
                <w:szCs w:val="18"/>
              </w:rPr>
            </w:pPr>
            <w:r>
              <w:rPr>
                <w:rFonts w:ascii="Times New Roman"/>
                <w:sz w:val="18"/>
              </w:rPr>
              <w:t>115,948</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,363.40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7,731,392</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5" w:right="0"/>
              <w:jc w:val="left"/>
              <w:rPr>
                <w:rFonts w:ascii="Times New Roman" w:hAnsi="Times New Roman" w:cs="Times New Roman" w:eastAsia="Times New Roman" w:hint="default"/>
                <w:sz w:val="18"/>
                <w:szCs w:val="18"/>
              </w:rPr>
            </w:pPr>
            <w:r>
              <w:rPr>
                <w:rFonts w:ascii="Times New Roman"/>
                <w:sz w:val="18"/>
              </w:rPr>
              <w:t>6.67%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8" w:right="0"/>
              <w:jc w:val="left"/>
              <w:rPr>
                <w:rFonts w:ascii="Times New Roman" w:hAnsi="Times New Roman" w:cs="Times New Roman" w:eastAsia="Times New Roman" w:hint="default"/>
                <w:sz w:val="18"/>
                <w:szCs w:val="18"/>
              </w:rPr>
            </w:pPr>
            <w:r>
              <w:rPr>
                <w:rFonts w:ascii="Times New Roman"/>
                <w:sz w:val="18"/>
              </w:rPr>
              <w:t>108,216,97</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0.42</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240" w:lineRule="auto" w:before="10"/>
        <w:rPr>
          <w:rFonts w:ascii="宋体" w:hAnsi="宋体" w:cs="宋体" w:eastAsia="宋体" w:hint="default"/>
          <w:sz w:val="17"/>
          <w:szCs w:val="17"/>
        </w:rPr>
      </w:pPr>
    </w:p>
    <w:p>
      <w:pPr>
        <w:spacing w:line="451" w:lineRule="auto" w:before="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7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244"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35"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33"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50"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73"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78"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87,513,855.90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5,250,831.36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6.00%</w:t>
            </w:r>
          </w:p>
        </w:tc>
      </w:tr>
      <w:tr>
        <w:trPr>
          <w:trHeight w:val="479"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33,481,886.12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2,678,550.87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8.00%</w:t>
            </w:r>
          </w:p>
        </w:tc>
      </w:tr>
      <w:tr>
        <w:trPr>
          <w:trHeight w:val="478"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8,566,272.80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856,627.28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10.00%</w:t>
            </w:r>
          </w:p>
        </w:tc>
      </w:tr>
      <w:tr>
        <w:trPr>
          <w:trHeight w:val="478"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2,197,928.95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439,585.79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20.00%</w:t>
            </w:r>
          </w:p>
        </w:tc>
      </w:tr>
      <w:tr>
        <w:trPr>
          <w:trHeight w:val="479"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118,458.74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35,537.62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30.00%</w:t>
            </w:r>
          </w:p>
        </w:tc>
      </w:tr>
      <w:tr>
        <w:trPr>
          <w:trHeight w:val="478"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78,815.00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39,407.50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50.00%</w:t>
            </w:r>
          </w:p>
        </w:tc>
      </w:tr>
      <w:tr>
        <w:trPr>
          <w:trHeight w:val="479"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131,957,217.51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9,300,540.42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7.05%</w:t>
            </w:r>
          </w:p>
        </w:tc>
      </w:tr>
    </w:tbl>
    <w:p>
      <w:pPr>
        <w:spacing w:line="477" w:lineRule="auto" w:before="88"/>
        <w:ind w:left="154" w:right="877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不适用</w:t>
      </w:r>
    </w:p>
    <w:p>
      <w:pPr>
        <w:spacing w:before="54"/>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240" w:lineRule="auto" w:before="10"/>
        <w:rPr>
          <w:rFonts w:ascii="宋体" w:hAnsi="宋体" w:cs="宋体" w:eastAsia="宋体" w:hint="default"/>
          <w:sz w:val="17"/>
          <w:szCs w:val="17"/>
        </w:rPr>
      </w:pPr>
    </w:p>
    <w:p>
      <w:pPr>
        <w:spacing w:line="451" w:lineRule="auto" w:before="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7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2）本期计提、收回或转回的坏账准备情况" w:id="248"/>
      <w:bookmarkEnd w:id="24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15"/>
          <w:szCs w:val="15"/>
        </w:rPr>
      </w:pPr>
    </w:p>
    <w:p>
      <w:pPr>
        <w:spacing w:line="477" w:lineRule="auto" w:before="0"/>
        <w:ind w:left="154" w:right="589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本期计提坏账准备金额元；本期收回或转回坏账准备金额元。 其中本期坏账准备转回或收回金额重要的：</w:t>
      </w:r>
    </w:p>
    <w:p>
      <w:pPr>
        <w:spacing w:before="5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Heading3"/>
        <w:spacing w:line="240" w:lineRule="auto" w:before="63"/>
        <w:ind w:left="154" w:right="0"/>
        <w:jc w:val="left"/>
        <w:rPr>
          <w:b w:val="0"/>
          <w:bCs w:val="0"/>
        </w:rPr>
      </w:pPr>
      <w:bookmarkStart w:name="（3）本期实际核销的其他应收款情况" w:id="249"/>
      <w:bookmarkEnd w:id="249"/>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78"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line="240" w:lineRule="auto" w:before="5"/>
        <w:rPr>
          <w:rFonts w:ascii="宋体" w:hAnsi="宋体" w:cs="宋体" w:eastAsia="宋体" w:hint="default"/>
          <w:sz w:val="14"/>
          <w:szCs w:val="1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94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款项是否由关联交</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易产生</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1"/>
        <w:rPr>
          <w:rFonts w:ascii="宋体" w:hAnsi="宋体" w:cs="宋体" w:eastAsia="宋体" w:hint="default"/>
          <w:sz w:val="15"/>
          <w:szCs w:val="15"/>
        </w:rPr>
      </w:pPr>
    </w:p>
    <w:p>
      <w:pPr>
        <w:pStyle w:val="Heading3"/>
        <w:spacing w:line="240" w:lineRule="auto"/>
        <w:ind w:left="154" w:right="0"/>
        <w:jc w:val="left"/>
        <w:rPr>
          <w:b w:val="0"/>
          <w:bCs w:val="0"/>
        </w:rPr>
      </w:pPr>
      <w:bookmarkStart w:name="（4）按欠款方归集的期末余额前五名的其他应收款情况" w:id="250"/>
      <w:bookmarkEnd w:id="250"/>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94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73" w:right="0"/>
              <w:jc w:val="left"/>
              <w:rPr>
                <w:rFonts w:ascii="宋体" w:hAnsi="宋体" w:cs="宋体" w:eastAsia="宋体" w:hint="default"/>
                <w:sz w:val="18"/>
                <w:szCs w:val="18"/>
              </w:rPr>
            </w:pPr>
            <w:r>
              <w:rPr>
                <w:rFonts w:ascii="宋体" w:hAnsi="宋体" w:cs="宋体" w:eastAsia="宋体" w:hint="default"/>
                <w:sz w:val="18"/>
                <w:szCs w:val="18"/>
              </w:rPr>
              <w:t>占其他应收款期末</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94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pacing w:val="-10"/>
                <w:sz w:val="18"/>
                <w:szCs w:val="18"/>
              </w:rPr>
              <w:t>新力德润（天津）租</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赁有限公司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5.30%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420,000.00</w:t>
            </w:r>
          </w:p>
        </w:tc>
      </w:tr>
      <w:tr>
        <w:trPr>
          <w:trHeight w:val="47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许丽凤</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4,308,684.45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3.27%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258,521.07</w:t>
            </w:r>
          </w:p>
        </w:tc>
      </w:tr>
      <w:tr>
        <w:trPr>
          <w:trHeight w:val="94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安徽兴泰融资租赁</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3.03%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320,000.00</w:t>
            </w:r>
          </w:p>
        </w:tc>
      </w:tr>
      <w:tr>
        <w:trPr>
          <w:trHeight w:val="47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周兴财</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3,929,655.82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2.98%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235,779.35</w:t>
            </w:r>
          </w:p>
        </w:tc>
      </w:tr>
      <w:tr>
        <w:trPr>
          <w:trHeight w:val="94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中远海运租赁有限</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一年以内一至二年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2.65%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245,000.00</w:t>
            </w:r>
          </w:p>
        </w:tc>
      </w:tr>
      <w:tr>
        <w:trPr>
          <w:trHeight w:val="47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128"/>
              <w:ind w:right="14"/>
              <w:jc w:val="right"/>
              <w:rPr>
                <w:rFonts w:ascii="Times New Roman" w:hAnsi="Times New Roman" w:cs="Times New Roman" w:eastAsia="Times New Roman" w:hint="default"/>
                <w:sz w:val="18"/>
                <w:szCs w:val="18"/>
              </w:rPr>
            </w:pPr>
            <w:r>
              <w:rPr>
                <w:rFonts w:ascii="Times New Roman"/>
                <w:spacing w:val="-1"/>
                <w:sz w:val="18"/>
              </w:rPr>
              <w:t>22,738,340.27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17.23%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1,479,300.42</w:t>
            </w:r>
          </w:p>
        </w:tc>
      </w:tr>
    </w:tbl>
    <w:p>
      <w:pPr>
        <w:pStyle w:val="Heading3"/>
        <w:spacing w:line="240" w:lineRule="auto" w:before="63"/>
        <w:ind w:left="154" w:right="0"/>
        <w:jc w:val="left"/>
        <w:rPr>
          <w:b w:val="0"/>
          <w:bCs w:val="0"/>
        </w:rPr>
      </w:pPr>
      <w:bookmarkStart w:name="（5）转移其他应收款且继续涉入形成的资产、负债金额" w:id="251"/>
      <w:bookmarkEnd w:id="251"/>
      <w:r>
        <w:rPr>
          <w:b w:val="0"/>
          <w:bCs w:val="0"/>
        </w:rPr>
      </w:r>
      <w:r>
        <w:rPr/>
        <w:t>（</w:t>
      </w:r>
      <w:r>
        <w:rPr>
          <w:rFonts w:ascii="Times New Roman" w:hAnsi="Times New Roman" w:cs="Times New Roman" w:eastAsia="Times New Roman" w:hint="default"/>
        </w:rPr>
        <w:t>5</w:t>
      </w:r>
      <w:r>
        <w:rPr/>
        <w:t>）转移其他应收款且继续涉入形成的资产、负债金额</w:t>
      </w:r>
      <w:r>
        <w:rPr>
          <w:b w:val="0"/>
          <w:bCs w:val="0"/>
        </w:rPr>
      </w:r>
    </w:p>
    <w:p>
      <w:pPr>
        <w:spacing w:line="240" w:lineRule="auto" w:before="6"/>
        <w:rPr>
          <w:rFonts w:ascii="宋体" w:hAnsi="宋体" w:cs="宋体" w:eastAsia="宋体" w:hint="default"/>
          <w:b/>
          <w:bCs/>
          <w:sz w:val="15"/>
          <w:szCs w:val="15"/>
        </w:rPr>
      </w:pPr>
    </w:p>
    <w:p>
      <w:pPr>
        <w:spacing w:line="477" w:lineRule="auto" w:before="0"/>
        <w:ind w:left="154" w:right="9852" w:firstLine="0"/>
        <w:jc w:val="left"/>
        <w:rPr>
          <w:rFonts w:ascii="宋体" w:hAnsi="宋体" w:cs="宋体" w:eastAsia="宋体" w:hint="default"/>
          <w:sz w:val="18"/>
          <w:szCs w:val="18"/>
        </w:rPr>
      </w:pPr>
      <w:r>
        <w:rPr>
          <w:rFonts w:ascii="宋体" w:hAnsi="宋体" w:cs="宋体" w:eastAsia="宋体" w:hint="default"/>
          <w:sz w:val="18"/>
          <w:szCs w:val="18"/>
        </w:rPr>
        <w:t>无 其他说明：</w:t>
      </w:r>
    </w:p>
    <w:p>
      <w:pPr>
        <w:pStyle w:val="BodyText"/>
        <w:spacing w:line="240" w:lineRule="auto" w:before="29"/>
        <w:ind w:right="0"/>
        <w:jc w:val="left"/>
      </w:pPr>
      <w:r>
        <w:rPr/>
        <w:t>（</w:t>
      </w:r>
      <w:r>
        <w:rPr>
          <w:rFonts w:ascii="Times New Roman" w:hAnsi="Times New Roman" w:cs="Times New Roman" w:eastAsia="Times New Roman" w:hint="default"/>
        </w:rPr>
        <w:t>1</w:t>
      </w:r>
      <w:r>
        <w:rPr/>
        <w:t>）期末其他应收款余额中无持本公司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以上表决权股份的股东单位的欠款；无其他关联方欠款。</w:t>
      </w:r>
    </w:p>
    <w:p>
      <w:pPr>
        <w:pStyle w:val="BodyText"/>
        <w:spacing w:line="386" w:lineRule="auto" w:before="177"/>
        <w:ind w:right="0"/>
        <w:jc w:val="left"/>
      </w:pPr>
      <w:r>
        <w:rPr/>
        <w:t>（</w:t>
      </w:r>
      <w:r>
        <w:rPr>
          <w:rFonts w:ascii="Times New Roman" w:hAnsi="Times New Roman" w:cs="Times New Roman" w:eastAsia="Times New Roman" w:hint="default"/>
        </w:rPr>
        <w:t>2</w:t>
      </w:r>
      <w:r>
        <w:rPr/>
        <w:t>）无前期已全额计提坏账准备，或计提减值准备的比例较大，但在本期又全额收回或转回，或在本期</w:t>
      </w:r>
      <w:r>
        <w:rPr>
          <w:spacing w:val="-35"/>
        </w:rPr>
        <w:t> </w:t>
      </w:r>
      <w:r>
        <w:rPr>
          <w:spacing w:val="-35"/>
        </w:rPr>
      </w:r>
      <w:r>
        <w:rPr/>
        <w:t>收回或转回比例较大的其他应收款情况。</w:t>
      </w:r>
    </w:p>
    <w:p>
      <w:pPr>
        <w:spacing w:after="0" w:line="38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7、存货" w:id="252"/>
      <w:bookmarkEnd w:id="252"/>
      <w:r>
        <w:rPr>
          <w:b w:val="0"/>
          <w:bCs w:val="0"/>
        </w:rPr>
      </w:r>
      <w:r>
        <w:rPr>
          <w:rFonts w:ascii="Times New Roman" w:hAnsi="Times New Roman" w:cs="Times New Roman" w:eastAsia="Times New Roman" w:hint="default"/>
        </w:rPr>
        <w:t>7</w:t>
      </w:r>
      <w:r>
        <w:rPr/>
        <w:t>、存货</w:t>
      </w:r>
      <w:r>
        <w:rPr>
          <w:b w:val="0"/>
          <w:bCs w:val="0"/>
        </w:rPr>
      </w:r>
    </w:p>
    <w:p>
      <w:pPr>
        <w:spacing w:line="240" w:lineRule="auto" w:before="6"/>
        <w:rPr>
          <w:rFonts w:ascii="宋体" w:hAnsi="宋体" w:cs="宋体" w:eastAsia="宋体" w:hint="default"/>
          <w:b/>
          <w:bCs/>
          <w:sz w:val="15"/>
          <w:szCs w:val="15"/>
        </w:rPr>
      </w:pPr>
    </w:p>
    <w:p>
      <w:pPr>
        <w:spacing w:line="477" w:lineRule="auto" w:before="0"/>
        <w:ind w:left="153" w:right="7513"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pStyle w:val="Heading3"/>
        <w:spacing w:line="240" w:lineRule="auto" w:before="29"/>
        <w:ind w:left="154" w:right="0"/>
        <w:jc w:val="left"/>
        <w:rPr>
          <w:b w:val="0"/>
          <w:bCs w:val="0"/>
        </w:rPr>
      </w:pPr>
      <w:bookmarkStart w:name="（1）存货分类" w:id="253"/>
      <w:bookmarkEnd w:id="253"/>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44"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35"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33"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327,381,511.44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327,381,511.44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198,357,921.55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198,357,921.55</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28,023,618.44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28,023,618.44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1,704,452.43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1,704,452.43</w:t>
            </w:r>
          </w:p>
        </w:tc>
      </w:tr>
      <w:tr>
        <w:trPr>
          <w:trHeight w:val="47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1,363,551,020.92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1,363,551,020.92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1,308,674,214.79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1,308,674,214.79</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3,006,165,659.57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3,006,165,659.57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1,011,657,050.41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1,011,657,050.41</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72,247,024.80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72,247,024.80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125,432,519.23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125,432,519.23</w:t>
            </w:r>
          </w:p>
        </w:tc>
      </w:tr>
      <w:tr>
        <w:trPr>
          <w:trHeight w:val="47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14,946,387.09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14,946,387.09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10,883,142.94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10,883,142.94</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20,848,663.12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20,848,663.12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16,535,631.34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16,535,631.34</w:t>
            </w:r>
          </w:p>
        </w:tc>
      </w:tr>
      <w:tr>
        <w:trPr>
          <w:trHeight w:val="47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4,833,163,885.38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4,833,163,885.38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2,673,244,932.69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2,673,244,932.69</w:t>
            </w:r>
          </w:p>
        </w:tc>
      </w:tr>
    </w:tbl>
    <w:p>
      <w:pPr>
        <w:spacing w:line="451" w:lineRule="auto" w:before="88"/>
        <w:ind w:left="154" w:right="24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pStyle w:val="Heading3"/>
        <w:spacing w:line="240" w:lineRule="auto" w:before="48"/>
        <w:ind w:left="154" w:right="0"/>
        <w:jc w:val="left"/>
        <w:rPr>
          <w:b w:val="0"/>
          <w:bCs w:val="0"/>
        </w:rPr>
      </w:pPr>
      <w:bookmarkStart w:name="（2）存货跌价准备" w:id="254"/>
      <w:bookmarkEnd w:id="254"/>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78"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8"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63"/>
        <w:ind w:left="154" w:right="0"/>
        <w:jc w:val="left"/>
      </w:pPr>
      <w:r>
        <w:rPr/>
        <w:t>存货期末余额中无成本高于可变现净值情况，无需计提存货跌价准备。</w:t>
      </w: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3）存货期末余额含有借款费用资本化金额的说明" w:id="255"/>
      <w:bookmarkEnd w:id="255"/>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6"/>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1"/>
        <w:rPr>
          <w:rFonts w:ascii="宋体" w:hAnsi="宋体" w:cs="宋体" w:eastAsia="宋体" w:hint="default"/>
          <w:sz w:val="15"/>
          <w:szCs w:val="15"/>
        </w:rPr>
      </w:pPr>
    </w:p>
    <w:p>
      <w:pPr>
        <w:pStyle w:val="Heading3"/>
        <w:spacing w:line="240" w:lineRule="auto"/>
        <w:ind w:right="0"/>
        <w:jc w:val="left"/>
        <w:rPr>
          <w:b w:val="0"/>
          <w:bCs w:val="0"/>
        </w:rPr>
      </w:pPr>
      <w:bookmarkStart w:name="（4）期末建造合同形成的已完工未结算资产情况" w:id="256"/>
      <w:bookmarkEnd w:id="256"/>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7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BodyText"/>
        <w:spacing w:line="240" w:lineRule="auto" w:before="0"/>
        <w:ind w:right="0"/>
        <w:jc w:val="left"/>
      </w:pPr>
      <w:r>
        <w:rPr/>
        <w:t>（</w:t>
      </w:r>
      <w:r>
        <w:rPr>
          <w:rFonts w:ascii="Times New Roman" w:hAnsi="Times New Roman" w:cs="Times New Roman" w:eastAsia="Times New Roman" w:hint="default"/>
        </w:rPr>
        <w:t>1</w:t>
      </w:r>
      <w:r>
        <w:rPr/>
        <w:t>）存货中的消耗性生物资产</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238"/>
        <w:gridCol w:w="2471"/>
        <w:gridCol w:w="2471"/>
      </w:tblGrid>
      <w:tr>
        <w:trPr>
          <w:trHeight w:val="511" w:hRule="exact"/>
        </w:trPr>
        <w:tc>
          <w:tcPr>
            <w:tcW w:w="42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1840"/>
              <w:jc w:val="right"/>
              <w:rPr>
                <w:rFonts w:ascii="宋体" w:hAnsi="宋体" w:cs="宋体" w:eastAsia="宋体" w:hint="default"/>
                <w:sz w:val="18"/>
                <w:szCs w:val="18"/>
              </w:rPr>
            </w:pPr>
            <w:r>
              <w:rPr>
                <w:rFonts w:ascii="宋体" w:hAnsi="宋体" w:cs="宋体" w:eastAsia="宋体" w:hint="default"/>
                <w:sz w:val="18"/>
                <w:szCs w:val="18"/>
              </w:rPr>
              <w:t>项  目</w:t>
            </w:r>
          </w:p>
        </w:tc>
        <w:tc>
          <w:tcPr>
            <w:tcW w:w="24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7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9"/>
              <w:ind w:right="7"/>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508" w:hRule="exact"/>
        </w:trPr>
        <w:tc>
          <w:tcPr>
            <w:tcW w:w="42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一、种植业</w:t>
            </w:r>
          </w:p>
        </w:tc>
        <w:tc>
          <w:tcPr>
            <w:tcW w:w="24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3,006,165,659.57</w:t>
            </w:r>
          </w:p>
        </w:tc>
        <w:tc>
          <w:tcPr>
            <w:tcW w:w="24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8"/>
              <w:jc w:val="right"/>
              <w:rPr>
                <w:rFonts w:ascii="Times New Roman" w:hAnsi="Times New Roman" w:cs="Times New Roman" w:eastAsia="Times New Roman" w:hint="default"/>
                <w:sz w:val="18"/>
                <w:szCs w:val="18"/>
              </w:rPr>
            </w:pPr>
            <w:r>
              <w:rPr>
                <w:rFonts w:ascii="Times New Roman"/>
                <w:spacing w:val="-1"/>
                <w:sz w:val="18"/>
              </w:rPr>
              <w:t>1,011,657,050.41</w:t>
            </w:r>
          </w:p>
        </w:tc>
      </w:tr>
      <w:tr>
        <w:trPr>
          <w:trHeight w:val="509" w:hRule="exact"/>
        </w:trPr>
        <w:tc>
          <w:tcPr>
            <w:tcW w:w="42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人参种苗</w:t>
            </w:r>
          </w:p>
        </w:tc>
        <w:tc>
          <w:tcPr>
            <w:tcW w:w="24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11,517,705.44</w:t>
            </w:r>
          </w:p>
        </w:tc>
        <w:tc>
          <w:tcPr>
            <w:tcW w:w="24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9,828,112.30</w:t>
            </w:r>
          </w:p>
        </w:tc>
      </w:tr>
      <w:tr>
        <w:trPr>
          <w:trHeight w:val="508" w:hRule="exact"/>
        </w:trPr>
        <w:tc>
          <w:tcPr>
            <w:tcW w:w="42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林下参</w:t>
            </w:r>
          </w:p>
        </w:tc>
        <w:tc>
          <w:tcPr>
            <w:tcW w:w="24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2,994,454,311.38</w:t>
            </w:r>
          </w:p>
        </w:tc>
        <w:tc>
          <w:tcPr>
            <w:tcW w:w="24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999,810,703.77</w:t>
            </w:r>
          </w:p>
        </w:tc>
      </w:tr>
      <w:tr>
        <w:trPr>
          <w:trHeight w:val="508" w:hRule="exact"/>
        </w:trPr>
        <w:tc>
          <w:tcPr>
            <w:tcW w:w="42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其他作物</w:t>
            </w:r>
          </w:p>
        </w:tc>
        <w:tc>
          <w:tcPr>
            <w:tcW w:w="24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z w:val="18"/>
              </w:rPr>
              <w:t>193,642.75</w:t>
            </w:r>
          </w:p>
        </w:tc>
        <w:tc>
          <w:tcPr>
            <w:tcW w:w="24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2,018,234.34</w:t>
            </w:r>
          </w:p>
        </w:tc>
      </w:tr>
      <w:tr>
        <w:trPr>
          <w:trHeight w:val="509" w:hRule="exact"/>
        </w:trPr>
        <w:tc>
          <w:tcPr>
            <w:tcW w:w="42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840"/>
              <w:jc w:val="right"/>
              <w:rPr>
                <w:rFonts w:ascii="宋体" w:hAnsi="宋体" w:cs="宋体" w:eastAsia="宋体" w:hint="default"/>
                <w:sz w:val="18"/>
                <w:szCs w:val="18"/>
              </w:rPr>
            </w:pPr>
            <w:r>
              <w:rPr>
                <w:rFonts w:ascii="宋体" w:hAnsi="宋体" w:cs="宋体" w:eastAsia="宋体" w:hint="default"/>
                <w:sz w:val="18"/>
                <w:szCs w:val="18"/>
              </w:rPr>
              <w:t>合  计</w:t>
            </w:r>
          </w:p>
        </w:tc>
        <w:tc>
          <w:tcPr>
            <w:tcW w:w="24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3,006,165,659.57</w:t>
            </w:r>
          </w:p>
        </w:tc>
        <w:tc>
          <w:tcPr>
            <w:tcW w:w="24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8"/>
              <w:jc w:val="right"/>
              <w:rPr>
                <w:rFonts w:ascii="Times New Roman" w:hAnsi="Times New Roman" w:cs="Times New Roman" w:eastAsia="Times New Roman" w:hint="default"/>
                <w:sz w:val="18"/>
                <w:szCs w:val="18"/>
              </w:rPr>
            </w:pPr>
            <w:r>
              <w:rPr>
                <w:rFonts w:ascii="Times New Roman"/>
                <w:spacing w:val="-1"/>
                <w:sz w:val="18"/>
              </w:rPr>
              <w:t>1,011,657,050.41</w:t>
            </w:r>
          </w:p>
        </w:tc>
      </w:tr>
    </w:tbl>
    <w:p>
      <w:pPr>
        <w:pStyle w:val="BodyText"/>
        <w:spacing w:line="386" w:lineRule="auto" w:before="63"/>
        <w:ind w:left="154" w:right="1139"/>
        <w:jc w:val="both"/>
      </w:pPr>
      <w:r>
        <w:rPr/>
        <w:t>（</w:t>
      </w:r>
      <w:r>
        <w:rPr>
          <w:rFonts w:ascii="Times New Roman" w:hAnsi="Times New Roman" w:cs="Times New Roman" w:eastAsia="Times New Roman" w:hint="default"/>
        </w:rPr>
        <w:t>2</w:t>
      </w:r>
      <w:r>
        <w:rPr/>
        <w:t>）本公司期末消耗性生物资产中林下参增加，主要因本期子公司吉林紫鑫红石种养殖有限公司购买林</w:t>
      </w:r>
      <w:r>
        <w:rPr>
          <w:spacing w:val="-35"/>
        </w:rPr>
        <w:t> </w:t>
      </w:r>
      <w:r>
        <w:rPr>
          <w:spacing w:val="-35"/>
        </w:rPr>
      </w:r>
      <w:r>
        <w:rPr/>
        <w:t>下参增加所致。</w:t>
      </w:r>
    </w:p>
    <w:p>
      <w:pPr>
        <w:pStyle w:val="BodyText"/>
        <w:spacing w:line="386" w:lineRule="auto" w:before="65"/>
        <w:ind w:right="1132"/>
        <w:jc w:val="both"/>
      </w:pPr>
      <w:r>
        <w:rPr>
          <w:spacing w:val="-1"/>
        </w:rPr>
        <w:t>（</w:t>
      </w:r>
      <w:r>
        <w:rPr>
          <w:rFonts w:ascii="Times New Roman" w:hAnsi="Times New Roman" w:cs="Times New Roman" w:eastAsia="Times New Roman" w:hint="default"/>
          <w:spacing w:val="-1"/>
        </w:rPr>
        <w:t>3</w:t>
      </w:r>
      <w:r>
        <w:rPr>
          <w:spacing w:val="-1"/>
        </w:rPr>
        <w:t>）存货期末余额中抵押和担保的情况：根据</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11</w:t>
      </w:r>
      <w:r>
        <w:rPr>
          <w:spacing w:val="-1"/>
        </w:rPr>
        <w:t>日本公司与吉林银行股份有限公司长春瑞祥支</w:t>
      </w:r>
      <w:r>
        <w:rPr>
          <w:spacing w:val="-82"/>
        </w:rPr>
        <w:t> </w:t>
      </w:r>
      <w:r>
        <w:rPr>
          <w:spacing w:val="-1"/>
        </w:rPr>
        <w:t>行签订的质押合同，以本公司存货人参（干品）中的</w:t>
      </w:r>
      <w:r>
        <w:rPr>
          <w:rFonts w:ascii="Times New Roman" w:hAnsi="Times New Roman" w:cs="Times New Roman" w:eastAsia="Times New Roman" w:hint="default"/>
          <w:spacing w:val="-1"/>
        </w:rPr>
        <w:t>1,346.58</w:t>
      </w:r>
      <w:r>
        <w:rPr>
          <w:spacing w:val="-1"/>
        </w:rPr>
        <w:t>吨，估价为</w:t>
      </w:r>
      <w:r>
        <w:rPr>
          <w:rFonts w:ascii="Times New Roman" w:hAnsi="Times New Roman" w:cs="Times New Roman" w:eastAsia="Times New Roman" w:hint="default"/>
          <w:spacing w:val="-1"/>
        </w:rPr>
        <w:t>169,942.64</w:t>
      </w:r>
      <w:r>
        <w:rPr>
          <w:spacing w:val="-1"/>
        </w:rPr>
        <w:t>万元，作为质押物取得</w:t>
      </w:r>
      <w:r>
        <w:rPr>
          <w:spacing w:val="-75"/>
        </w:rPr>
        <w:t> </w:t>
      </w:r>
      <w:r>
        <w:rPr>
          <w:spacing w:val="-75"/>
        </w:rPr>
      </w:r>
      <w:r>
        <w:rPr/>
        <w:t>银行流动资金贷款</w:t>
      </w:r>
      <w:r>
        <w:rPr>
          <w:rFonts w:ascii="Times New Roman" w:hAnsi="Times New Roman" w:cs="Times New Roman" w:eastAsia="Times New Roman" w:hint="default"/>
        </w:rPr>
        <w:t>80,000</w:t>
      </w:r>
      <w:r>
        <w:rPr/>
        <w:t>万元。</w:t>
      </w:r>
    </w:p>
    <w:p>
      <w:pPr>
        <w:pStyle w:val="Heading3"/>
        <w:spacing w:line="240" w:lineRule="auto" w:before="35"/>
        <w:ind w:left="154" w:right="0"/>
        <w:jc w:val="both"/>
        <w:rPr>
          <w:b w:val="0"/>
          <w:bCs w:val="0"/>
        </w:rPr>
      </w:pPr>
      <w:bookmarkStart w:name="8、其他流动资产" w:id="257"/>
      <w:bookmarkEnd w:id="257"/>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6"/>
        <w:rPr>
          <w:rFonts w:ascii="宋体" w:hAnsi="宋体" w:cs="宋体" w:eastAsia="宋体" w:hint="default"/>
          <w:b/>
          <w:bCs/>
          <w:sz w:val="15"/>
          <w:szCs w:val="15"/>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已交税费和待抵扣进项税小计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30,968,065.99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97,347,587.42</w:t>
            </w:r>
          </w:p>
        </w:tc>
      </w:tr>
      <w:tr>
        <w:trPr>
          <w:trHeight w:val="47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未抵扣进项税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643,390.45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448,126.45</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31,611,456.44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97,795,713.87</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Heading3"/>
        <w:spacing w:line="240" w:lineRule="auto"/>
        <w:ind w:right="0"/>
        <w:jc w:val="left"/>
        <w:rPr>
          <w:b w:val="0"/>
          <w:bCs w:val="0"/>
        </w:rPr>
      </w:pPr>
      <w:bookmarkStart w:name="9、可供出售金融资产" w:id="258"/>
      <w:bookmarkEnd w:id="258"/>
      <w:r>
        <w:rPr>
          <w:b w:val="0"/>
          <w:bCs w:val="0"/>
        </w:rPr>
      </w:r>
      <w:r>
        <w:rPr>
          <w:rFonts w:ascii="Times New Roman" w:hAnsi="Times New Roman" w:cs="Times New Roman" w:eastAsia="Times New Roman" w:hint="default"/>
        </w:rPr>
        <w:t>9</w:t>
      </w:r>
      <w:r>
        <w:rPr/>
        <w:t>、可供出售金融资产</w:t>
      </w:r>
      <w:r>
        <w:rPr>
          <w:b w:val="0"/>
          <w:bCs w:val="0"/>
        </w:rPr>
      </w:r>
    </w:p>
    <w:p>
      <w:pPr>
        <w:pStyle w:val="Heading3"/>
        <w:spacing w:line="240" w:lineRule="auto" w:before="177"/>
        <w:ind w:right="0"/>
        <w:jc w:val="left"/>
        <w:rPr>
          <w:b w:val="0"/>
          <w:bCs w:val="0"/>
        </w:rPr>
      </w:pPr>
      <w:bookmarkStart w:name="（1）可供出售金融资产情况" w:id="259"/>
      <w:bookmarkEnd w:id="259"/>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45"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29"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39"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4"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78"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48,000,000.00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48,000,000.00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479"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48,000,000.00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48,000,000.00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478"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48,000,000.00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48,000,000.00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28,000,000.00</w:t>
            </w:r>
          </w:p>
        </w:tc>
      </w:tr>
    </w:tbl>
    <w:p>
      <w:pPr>
        <w:pStyle w:val="Heading3"/>
        <w:spacing w:line="240" w:lineRule="auto" w:before="63"/>
        <w:ind w:left="154" w:right="0"/>
        <w:jc w:val="left"/>
        <w:rPr>
          <w:b w:val="0"/>
          <w:bCs w:val="0"/>
        </w:rPr>
      </w:pPr>
      <w:bookmarkStart w:name="（2）期末按公允价值计量的可供出售金融资产" w:id="260"/>
      <w:bookmarkEnd w:id="260"/>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79"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88"/>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pStyle w:val="Heading3"/>
        <w:spacing w:line="240" w:lineRule="auto" w:before="63"/>
        <w:ind w:left="154" w:right="0"/>
        <w:jc w:val="left"/>
        <w:rPr>
          <w:b w:val="0"/>
          <w:bCs w:val="0"/>
        </w:rPr>
      </w:pPr>
      <w:bookmarkStart w:name="（3）期末按成本计量的可供出售金融资产" w:id="261"/>
      <w:bookmarkEnd w:id="261"/>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78"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在被投资</w:t>
            </w:r>
          </w:p>
          <w:p>
            <w:pPr>
              <w:pStyle w:val="TableParagraph"/>
              <w:spacing w:line="460" w:lineRule="atLeast" w:before="8"/>
              <w:ind w:left="69" w:right="68"/>
              <w:jc w:val="center"/>
              <w:rPr>
                <w:rFonts w:ascii="宋体" w:hAnsi="宋体" w:cs="宋体" w:eastAsia="宋体" w:hint="default"/>
                <w:sz w:val="18"/>
                <w:szCs w:val="18"/>
              </w:rPr>
            </w:pPr>
            <w:r>
              <w:rPr>
                <w:rFonts w:ascii="宋体" w:hAnsi="宋体" w:cs="宋体" w:eastAsia="宋体" w:hint="default"/>
                <w:sz w:val="18"/>
                <w:szCs w:val="18"/>
              </w:rPr>
              <w:t>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936"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88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108"/>
              <w:jc w:val="both"/>
              <w:rPr>
                <w:rFonts w:ascii="宋体" w:hAnsi="宋体" w:cs="宋体" w:eastAsia="宋体" w:hint="default"/>
                <w:sz w:val="18"/>
                <w:szCs w:val="18"/>
              </w:rPr>
            </w:pPr>
            <w:r>
              <w:rPr>
                <w:rFonts w:ascii="宋体" w:hAnsi="宋体" w:cs="宋体" w:eastAsia="宋体" w:hint="default"/>
                <w:sz w:val="18"/>
                <w:szCs w:val="18"/>
              </w:rPr>
              <w:t>长春农村 商业银行 股份有限</w:t>
            </w:r>
          </w:p>
          <w:p>
            <w:pPr>
              <w:pStyle w:val="TableParagraph"/>
              <w:spacing w:line="240" w:lineRule="auto" w:before="54"/>
              <w:ind w:left="22" w:right="0"/>
              <w:jc w:val="both"/>
              <w:rPr>
                <w:rFonts w:ascii="宋体" w:hAnsi="宋体" w:cs="宋体" w:eastAsia="宋体" w:hint="default"/>
                <w:sz w:val="18"/>
                <w:szCs w:val="18"/>
              </w:rPr>
            </w:pPr>
            <w:r>
              <w:rPr>
                <w:rFonts w:ascii="宋体" w:hAnsi="宋体" w:cs="宋体" w:eastAsia="宋体" w:hint="default"/>
                <w:sz w:val="18"/>
                <w:szCs w:val="18"/>
              </w:rPr>
              <w:t>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28,000,000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28,000,000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71" w:right="0"/>
              <w:jc w:val="left"/>
              <w:rPr>
                <w:rFonts w:ascii="Times New Roman" w:hAnsi="Times New Roman" w:cs="Times New Roman" w:eastAsia="Times New Roman" w:hint="default"/>
                <w:sz w:val="18"/>
                <w:szCs w:val="18"/>
              </w:rPr>
            </w:pPr>
            <w:r>
              <w:rPr>
                <w:rFonts w:ascii="Times New Roman"/>
                <w:sz w:val="18"/>
              </w:rPr>
              <w:t>2.72%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pacing w:val="-1"/>
                <w:sz w:val="18"/>
              </w:rPr>
              <w:t>9,800,000.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w:t>
            </w:r>
          </w:p>
        </w:tc>
      </w:tr>
      <w:tr>
        <w:trPr>
          <w:trHeight w:val="2819"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9"/>
              <w:ind w:left="22" w:right="108"/>
              <w:jc w:val="both"/>
              <w:rPr>
                <w:rFonts w:ascii="宋体" w:hAnsi="宋体" w:cs="宋体" w:eastAsia="宋体" w:hint="default"/>
                <w:sz w:val="18"/>
                <w:szCs w:val="18"/>
              </w:rPr>
            </w:pPr>
            <w:r>
              <w:rPr>
                <w:rFonts w:ascii="宋体" w:hAnsi="宋体" w:cs="宋体" w:eastAsia="宋体" w:hint="default"/>
                <w:sz w:val="18"/>
                <w:szCs w:val="18"/>
              </w:rPr>
              <w:t>华盖信诚 医疗健康 投资成都 合伙企业</w:t>
            </w:r>
          </w:p>
          <w:p>
            <w:pPr>
              <w:pStyle w:val="TableParagraph"/>
              <w:spacing w:line="240" w:lineRule="auto" w:before="54"/>
              <w:ind w:left="22" w:right="0"/>
              <w:jc w:val="both"/>
              <w:rPr>
                <w:rFonts w:ascii="宋体" w:hAnsi="宋体" w:cs="宋体" w:eastAsia="宋体" w:hint="default"/>
                <w:sz w:val="18"/>
                <w:szCs w:val="18"/>
              </w:rPr>
            </w:pPr>
            <w:r>
              <w:rPr>
                <w:rFonts w:ascii="宋体" w:hAnsi="宋体" w:cs="宋体" w:eastAsia="宋体" w:hint="default"/>
                <w:sz w:val="18"/>
                <w:szCs w:val="18"/>
              </w:rPr>
              <w:t>（有限合</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伙）</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71" w:right="0"/>
              <w:jc w:val="left"/>
              <w:rPr>
                <w:rFonts w:ascii="Times New Roman" w:hAnsi="Times New Roman" w:cs="Times New Roman" w:eastAsia="Times New Roman" w:hint="default"/>
                <w:sz w:val="18"/>
                <w:szCs w:val="18"/>
              </w:rPr>
            </w:pPr>
            <w:r>
              <w:rPr>
                <w:rFonts w:ascii="Times New Roman"/>
                <w:sz w:val="18"/>
              </w:rPr>
              <w:t>0.64%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28,000,000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48,000,000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9,800,000.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w:t>
            </w:r>
          </w:p>
        </w:tc>
      </w:tr>
    </w:tbl>
    <w:p>
      <w:pPr>
        <w:pStyle w:val="Heading3"/>
        <w:spacing w:line="240" w:lineRule="auto" w:before="63"/>
        <w:ind w:left="154" w:right="0"/>
        <w:jc w:val="left"/>
        <w:rPr>
          <w:b w:val="0"/>
          <w:bCs w:val="0"/>
        </w:rPr>
      </w:pPr>
      <w:bookmarkStart w:name="（4）报告期内可供出售金融资产减值的变动情况" w:id="262"/>
      <w:bookmarkEnd w:id="262"/>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79"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89"/>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pStyle w:val="Heading3"/>
        <w:spacing w:line="240" w:lineRule="auto" w:before="63"/>
        <w:ind w:left="154" w:right="0"/>
        <w:jc w:val="left"/>
        <w:rPr>
          <w:b w:val="0"/>
          <w:bCs w:val="0"/>
        </w:rPr>
      </w:pPr>
      <w:bookmarkStart w:name="（5）可供出售权益工具期末公允价值严重下跌或非暂时性下跌但未计提减值准备的相关说" w:id="263"/>
      <w:bookmarkEnd w:id="263"/>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94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可供出售权益工</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47" w:right="0"/>
              <w:jc w:val="left"/>
              <w:rPr>
                <w:rFonts w:ascii="宋体" w:hAnsi="宋体" w:cs="宋体" w:eastAsia="宋体" w:hint="default"/>
                <w:sz w:val="18"/>
                <w:szCs w:val="18"/>
              </w:rPr>
            </w:pPr>
            <w:r>
              <w:rPr>
                <w:rFonts w:ascii="宋体" w:hAnsi="宋体" w:cs="宋体" w:eastAsia="宋体" w:hint="default"/>
                <w:sz w:val="18"/>
                <w:szCs w:val="18"/>
              </w:rPr>
              <w:t>公允价值相对于</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89"/>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BodyText"/>
        <w:spacing w:line="386" w:lineRule="auto" w:before="0"/>
        <w:ind w:right="0" w:firstLine="420"/>
        <w:jc w:val="left"/>
      </w:pPr>
      <w:r>
        <w:rPr/>
        <w:t>根据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日长春农村商业银行股份有限公司召开的</w:t>
      </w:r>
      <w:r>
        <w:rPr>
          <w:rFonts w:ascii="Times New Roman" w:hAnsi="Times New Roman" w:cs="Times New Roman" w:eastAsia="Times New Roman" w:hint="default"/>
        </w:rPr>
        <w:t>2016</w:t>
      </w:r>
      <w:r>
        <w:rPr/>
        <w:t>年度股东大会，审议通过了</w:t>
      </w:r>
      <w:r>
        <w:rPr>
          <w:rFonts w:ascii="Times New Roman" w:hAnsi="Times New Roman" w:cs="Times New Roman" w:eastAsia="Times New Roman" w:hint="default"/>
        </w:rPr>
        <w:t>2016</w:t>
      </w:r>
      <w:r>
        <w:rPr/>
        <w:t>年度 </w:t>
      </w:r>
      <w:r>
        <w:rPr>
          <w:spacing w:val="-2"/>
        </w:rPr>
        <w:t>利润分配方案，按照每股</w:t>
      </w:r>
      <w:r>
        <w:rPr>
          <w:rFonts w:ascii="Times New Roman" w:hAnsi="Times New Roman" w:cs="Times New Roman" w:eastAsia="Times New Roman" w:hint="default"/>
          <w:spacing w:val="-2"/>
        </w:rPr>
        <w:t>0.2</w:t>
      </w:r>
      <w:r>
        <w:rPr>
          <w:spacing w:val="-2"/>
        </w:rPr>
        <w:t>元（含税）的比例，向该行截止</w:t>
      </w:r>
      <w:r>
        <w:rPr>
          <w:rFonts w:ascii="Times New Roman" w:hAnsi="Times New Roman" w:cs="Times New Roman" w:eastAsia="Times New Roman" w:hint="default"/>
          <w:spacing w:val="-2"/>
        </w:rPr>
        <w:t>2016</w:t>
      </w:r>
      <w:r>
        <w:rPr>
          <w:spacing w:val="-2"/>
        </w:rPr>
        <w:t>年末登记在册的股东进行现金分红，本期</w:t>
      </w:r>
      <w:r>
        <w:rPr>
          <w:spacing w:val="-84"/>
        </w:rPr>
        <w:t> </w:t>
      </w:r>
      <w:r>
        <w:rPr>
          <w:spacing w:val="-84"/>
        </w:rPr>
      </w:r>
      <w:r>
        <w:rPr/>
        <w:t>确认投资收益</w:t>
      </w:r>
      <w:r>
        <w:rPr>
          <w:rFonts w:ascii="Times New Roman" w:hAnsi="Times New Roman" w:cs="Times New Roman" w:eastAsia="Times New Roman" w:hint="default"/>
        </w:rPr>
        <w:t>980</w:t>
      </w:r>
      <w:r>
        <w:rPr/>
        <w:t>万元。</w:t>
      </w:r>
    </w:p>
    <w:p>
      <w:pPr>
        <w:spacing w:after="0" w:line="38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10、长期应收款" w:id="264"/>
      <w:bookmarkEnd w:id="264"/>
      <w:r>
        <w:rPr>
          <w:b w:val="0"/>
          <w:bCs w:val="0"/>
        </w:rPr>
      </w:r>
      <w:r>
        <w:rPr>
          <w:rFonts w:ascii="Times New Roman" w:hAnsi="Times New Roman" w:cs="Times New Roman" w:eastAsia="Times New Roman" w:hint="default"/>
        </w:rPr>
        <w:t>10</w:t>
      </w:r>
      <w:r>
        <w:rPr/>
        <w:t>、长期应收款</w:t>
      </w:r>
      <w:r>
        <w:rPr>
          <w:b w:val="0"/>
          <w:bCs w:val="0"/>
        </w:rPr>
      </w:r>
    </w:p>
    <w:p>
      <w:pPr>
        <w:pStyle w:val="Heading3"/>
        <w:spacing w:line="240" w:lineRule="auto" w:before="177"/>
        <w:ind w:left="154" w:right="0"/>
        <w:jc w:val="left"/>
        <w:rPr>
          <w:b w:val="0"/>
          <w:bCs w:val="0"/>
        </w:rPr>
      </w:pPr>
      <w:bookmarkStart w:name="（1）长期应收款情况" w:id="265"/>
      <w:bookmarkEnd w:id="265"/>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78"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78"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pStyle w:val="Heading3"/>
        <w:spacing w:line="240" w:lineRule="auto" w:before="63"/>
        <w:ind w:left="154" w:right="0"/>
        <w:jc w:val="left"/>
        <w:rPr>
          <w:b w:val="0"/>
          <w:bCs w:val="0"/>
        </w:rPr>
      </w:pPr>
      <w:bookmarkStart w:name="（2）因金融资产转移而终止确认的长期应收款" w:id="266"/>
      <w:bookmarkEnd w:id="266"/>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pStyle w:val="Heading3"/>
        <w:spacing w:line="240" w:lineRule="auto" w:before="177"/>
        <w:ind w:left="154" w:right="0"/>
        <w:jc w:val="left"/>
        <w:rPr>
          <w:b w:val="0"/>
          <w:bCs w:val="0"/>
        </w:rPr>
      </w:pPr>
      <w:bookmarkStart w:name="（3）转移长期应收款且继续涉入形成的资产、负债金额" w:id="267"/>
      <w:bookmarkEnd w:id="267"/>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6"/>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Heading3"/>
        <w:spacing w:line="240" w:lineRule="auto"/>
        <w:ind w:right="0"/>
        <w:jc w:val="left"/>
        <w:rPr>
          <w:b w:val="0"/>
          <w:bCs w:val="0"/>
        </w:rPr>
      </w:pPr>
      <w:bookmarkStart w:name="11、长期股权投资" w:id="268"/>
      <w:bookmarkEnd w:id="268"/>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78"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477"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477"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414"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89"/>
              <w:ind w:left="33" w:right="33"/>
              <w:jc w:val="left"/>
              <w:rPr>
                <w:rFonts w:ascii="宋体" w:hAnsi="宋体" w:cs="宋体" w:eastAsia="宋体" w:hint="default"/>
                <w:sz w:val="18"/>
                <w:szCs w:val="18"/>
              </w:rPr>
            </w:pPr>
            <w:r>
              <w:rPr>
                <w:rFonts w:ascii="宋体" w:hAnsi="宋体" w:cs="宋体" w:eastAsia="宋体" w:hint="default"/>
                <w:sz w:val="18"/>
                <w:szCs w:val="18"/>
              </w:rPr>
              <w:t>权益法下 确认的投</w:t>
            </w:r>
          </w:p>
          <w:p>
            <w:pPr>
              <w:pStyle w:val="TableParagraph"/>
              <w:spacing w:line="240" w:lineRule="auto" w:before="54"/>
              <w:ind w:left="123" w:right="0"/>
              <w:jc w:val="left"/>
              <w:rPr>
                <w:rFonts w:ascii="宋体" w:hAnsi="宋体" w:cs="宋体" w:eastAsia="宋体" w:hint="default"/>
                <w:sz w:val="18"/>
                <w:szCs w:val="18"/>
              </w:rPr>
            </w:pPr>
            <w:r>
              <w:rPr>
                <w:rFonts w:ascii="宋体" w:hAnsi="宋体" w:cs="宋体" w:eastAsia="宋体" w:hint="default"/>
                <w:sz w:val="18"/>
                <w:szCs w:val="18"/>
              </w:rPr>
              <w:t>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89"/>
              <w:ind w:left="33" w:right="32"/>
              <w:jc w:val="left"/>
              <w:rPr>
                <w:rFonts w:ascii="宋体" w:hAnsi="宋体" w:cs="宋体" w:eastAsia="宋体" w:hint="default"/>
                <w:sz w:val="18"/>
                <w:szCs w:val="18"/>
              </w:rPr>
            </w:pPr>
            <w:r>
              <w:rPr>
                <w:rFonts w:ascii="宋体" w:hAnsi="宋体" w:cs="宋体" w:eastAsia="宋体" w:hint="default"/>
                <w:sz w:val="18"/>
                <w:szCs w:val="18"/>
              </w:rPr>
              <w:t>宣告发放 现金股利</w:t>
            </w:r>
          </w:p>
          <w:p>
            <w:pPr>
              <w:pStyle w:val="TableParagraph"/>
              <w:spacing w:line="240" w:lineRule="auto" w:before="54"/>
              <w:ind w:left="123" w:right="0"/>
              <w:jc w:val="left"/>
              <w:rPr>
                <w:rFonts w:ascii="宋体" w:hAnsi="宋体" w:cs="宋体" w:eastAsia="宋体" w:hint="default"/>
                <w:sz w:val="18"/>
                <w:szCs w:val="18"/>
              </w:rPr>
            </w:pPr>
            <w:r>
              <w:rPr>
                <w:rFonts w:ascii="宋体" w:hAnsi="宋体" w:cs="宋体" w:eastAsia="宋体" w:hint="default"/>
                <w:sz w:val="18"/>
                <w:szCs w:val="18"/>
              </w:rPr>
              <w:t>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78"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78"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before="89"/>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Heading3"/>
        <w:spacing w:line="240" w:lineRule="auto"/>
        <w:ind w:right="0"/>
        <w:jc w:val="left"/>
        <w:rPr>
          <w:b w:val="0"/>
          <w:bCs w:val="0"/>
        </w:rPr>
      </w:pPr>
      <w:bookmarkStart w:name="12、固定资产" w:id="269"/>
      <w:bookmarkEnd w:id="269"/>
      <w:r>
        <w:rPr>
          <w:b w:val="0"/>
          <w:bCs w:val="0"/>
        </w:rPr>
      </w:r>
      <w:r>
        <w:rPr>
          <w:rFonts w:ascii="Times New Roman" w:hAnsi="Times New Roman" w:cs="Times New Roman" w:eastAsia="Times New Roman" w:hint="default"/>
        </w:rPr>
        <w:t>12</w:t>
      </w:r>
      <w:r>
        <w:rPr/>
        <w:t>、固定资产</w:t>
      </w:r>
      <w:r>
        <w:rPr>
          <w:b w:val="0"/>
          <w:bCs w:val="0"/>
        </w:rPr>
      </w:r>
    </w:p>
    <w:p>
      <w:pPr>
        <w:pStyle w:val="Heading3"/>
        <w:spacing w:line="240" w:lineRule="auto" w:before="177"/>
        <w:ind w:left="154" w:right="0"/>
        <w:jc w:val="left"/>
        <w:rPr>
          <w:b w:val="0"/>
          <w:bCs w:val="0"/>
        </w:rPr>
      </w:pPr>
      <w:bookmarkStart w:name="（1）固定资产情况" w:id="270"/>
      <w:bookmarkEnd w:id="270"/>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78"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88"/>
              <w:ind w:left="13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88"/>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88"/>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88"/>
              <w:ind w:left="318"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78"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61"/>
              <w:jc w:val="righ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712,211,268.82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165,255,261.02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26,488,061.71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18,662,807.89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10" w:right="0"/>
              <w:jc w:val="left"/>
              <w:rPr>
                <w:rFonts w:ascii="Times New Roman" w:hAnsi="Times New Roman" w:cs="Times New Roman" w:eastAsia="Times New Roman" w:hint="default"/>
                <w:sz w:val="18"/>
                <w:szCs w:val="18"/>
              </w:rPr>
            </w:pPr>
            <w:r>
              <w:rPr>
                <w:rFonts w:ascii="Times New Roman"/>
                <w:sz w:val="18"/>
              </w:rPr>
              <w:t>145,000,100.00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1,067,617,499.44</w:t>
            </w:r>
          </w:p>
        </w:tc>
      </w:tr>
      <w:tr>
        <w:trPr>
          <w:trHeight w:val="94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352,556,742.75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10,104,452.63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3,549,969.43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3,933,795.68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370,144,960.49</w:t>
            </w:r>
          </w:p>
        </w:tc>
      </w:tr>
      <w:tr>
        <w:trPr>
          <w:trHeight w:val="478"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2,488,238.30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6,611,446.14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3,549,969.43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3,865,505.10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16,515,158.97</w:t>
            </w:r>
          </w:p>
        </w:tc>
      </w:tr>
      <w:tr>
        <w:trPr>
          <w:trHeight w:val="947"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90"/>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350,068,504.45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3,493,006.49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68,290.58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353,629,801.52</w:t>
            </w:r>
          </w:p>
        </w:tc>
      </w:tr>
      <w:tr>
        <w:trPr>
          <w:trHeight w:val="478"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0"/>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78"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23,811.97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23,811.97</w:t>
            </w:r>
          </w:p>
        </w:tc>
      </w:tr>
      <w:tr>
        <w:trPr>
          <w:trHeight w:val="94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23,811.97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23,811.97</w:t>
            </w:r>
          </w:p>
        </w:tc>
      </w:tr>
      <w:tr>
        <w:trPr>
          <w:trHeight w:val="479"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1,064,768,011.57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175,359,713.65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30,038,031.14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22,572,791.60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145,000,100.00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1,437,738,647.96</w:t>
            </w:r>
          </w:p>
        </w:tc>
      </w:tr>
      <w:tr>
        <w:trPr>
          <w:trHeight w:val="478"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146,407,519.61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22,184,918.86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19,137,760.61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11,007,630.27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6,201,310.41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204,939,139.76</w:t>
            </w:r>
          </w:p>
        </w:tc>
      </w:tr>
      <w:tr>
        <w:trPr>
          <w:trHeight w:val="94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45,467,083.53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5,677,250.80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2,342,300.47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2,582,082.96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32,841,211.30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88,909,929.06</w:t>
            </w:r>
          </w:p>
        </w:tc>
      </w:tr>
      <w:tr>
        <w:trPr>
          <w:trHeight w:val="478"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45,467,083.53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5,677,250.80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2,342,300.47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2,582,082.96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32,841,211.30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88,909,929.06</w:t>
            </w:r>
          </w:p>
        </w:tc>
      </w:tr>
      <w:tr>
        <w:trPr>
          <w:trHeight w:val="479"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w w:val="95"/>
                <w:sz w:val="18"/>
              </w:rPr>
              <w:t>2,350.11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w w:val="95"/>
                <w:sz w:val="18"/>
              </w:rPr>
              <w:t>2,350.11</w:t>
            </w:r>
          </w:p>
        </w:tc>
      </w:tr>
      <w:tr>
        <w:trPr>
          <w:trHeight w:val="94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w w:val="95"/>
                <w:sz w:val="18"/>
              </w:rPr>
              <w:t>2,350.11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w w:val="95"/>
                <w:sz w:val="18"/>
              </w:rPr>
              <w:t>2,350.11</w:t>
            </w:r>
          </w:p>
        </w:tc>
      </w:tr>
      <w:tr>
        <w:trPr>
          <w:trHeight w:val="479"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191,874,603.14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27,862,169.66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21,480,061.08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13,587,363.12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39,042,521.71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293,846,718.71</w:t>
            </w:r>
          </w:p>
        </w:tc>
      </w:tr>
      <w:tr>
        <w:trPr>
          <w:trHeight w:val="478"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9"/>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6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78"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9"/>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872,893,408.43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147,497,543.99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8,557,970.06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8,985,428.48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105,957,578.29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50" w:right="0"/>
              <w:jc w:val="center"/>
              <w:rPr>
                <w:rFonts w:ascii="Times New Roman" w:hAnsi="Times New Roman" w:cs="Times New Roman" w:eastAsia="Times New Roman" w:hint="default"/>
                <w:sz w:val="18"/>
                <w:szCs w:val="18"/>
              </w:rPr>
            </w:pPr>
            <w:r>
              <w:rPr>
                <w:rFonts w:ascii="Times New Roman"/>
                <w:sz w:val="18"/>
              </w:rPr>
              <w:t>1,143,891,929.25</w:t>
            </w:r>
          </w:p>
        </w:tc>
      </w:tr>
      <w:tr>
        <w:trPr>
          <w:trHeight w:val="94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565,803,749.21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143,070,342.16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7,350,301.10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7,655,177.62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138,798,789.59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87" w:right="0"/>
              <w:jc w:val="center"/>
              <w:rPr>
                <w:rFonts w:ascii="Times New Roman" w:hAnsi="Times New Roman" w:cs="Times New Roman" w:eastAsia="Times New Roman" w:hint="default"/>
                <w:sz w:val="18"/>
                <w:szCs w:val="18"/>
              </w:rPr>
            </w:pPr>
            <w:r>
              <w:rPr>
                <w:rFonts w:ascii="Times New Roman"/>
                <w:sz w:val="18"/>
              </w:rPr>
              <w:t>862,678,359.68</w:t>
            </w:r>
          </w:p>
        </w:tc>
      </w:tr>
    </w:tbl>
    <w:p>
      <w:pPr>
        <w:pStyle w:val="Heading3"/>
        <w:spacing w:line="240" w:lineRule="auto" w:before="63"/>
        <w:ind w:left="154" w:right="0"/>
        <w:jc w:val="left"/>
        <w:rPr>
          <w:b w:val="0"/>
          <w:bCs w:val="0"/>
        </w:rPr>
      </w:pPr>
      <w:bookmarkStart w:name="（2）通过融资租赁租入的固定资产情况" w:id="271"/>
      <w:bookmarkEnd w:id="271"/>
      <w:r>
        <w:rPr>
          <w:b w:val="0"/>
          <w:bCs w:val="0"/>
        </w:rPr>
      </w:r>
      <w:r>
        <w:rPr/>
        <w:t>（</w:t>
      </w:r>
      <w:r>
        <w:rPr>
          <w:rFonts w:ascii="Times New Roman" w:hAnsi="Times New Roman" w:cs="Times New Roman" w:eastAsia="Times New Roman" w:hint="default"/>
        </w:rPr>
        <w:t>2</w:t>
      </w:r>
      <w:r>
        <w:rPr/>
        <w:t>）通过融资租赁租入的固定资产情况</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7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78"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35,574,119.82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6,645,495.57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28,928,624.25</w:t>
            </w:r>
          </w:p>
        </w:tc>
      </w:tr>
      <w:tr>
        <w:trPr>
          <w:trHeight w:val="478"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104,145,467.14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29,994,217.46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74,151,249.68</w:t>
            </w:r>
          </w:p>
        </w:tc>
      </w:tr>
      <w:tr>
        <w:trPr>
          <w:trHeight w:val="479"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5,280,513.04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2,402,808.68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2,877,704.36</w:t>
            </w:r>
          </w:p>
        </w:tc>
      </w:tr>
      <w:tr>
        <w:trPr>
          <w:trHeight w:val="478"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tabs>
                <w:tab w:pos="563" w:val="left" w:leader="none"/>
              </w:tabs>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145,000,100.00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39,042,521.71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105,957,578.29</w:t>
            </w:r>
          </w:p>
        </w:tc>
      </w:tr>
    </w:tbl>
    <w:p>
      <w:pPr>
        <w:pStyle w:val="Heading3"/>
        <w:spacing w:line="240" w:lineRule="auto" w:before="63"/>
        <w:ind w:left="154" w:right="0"/>
        <w:jc w:val="left"/>
        <w:rPr>
          <w:b w:val="0"/>
          <w:bCs w:val="0"/>
        </w:rPr>
      </w:pPr>
      <w:bookmarkStart w:name="（3）未办妥产权证书的固定资产情况" w:id="272"/>
      <w:bookmarkEnd w:id="272"/>
      <w:r>
        <w:rPr>
          <w:b w:val="0"/>
          <w:bCs w:val="0"/>
        </w:rPr>
      </w:r>
      <w:r>
        <w:rPr/>
        <w:t>（</w:t>
      </w:r>
      <w:r>
        <w:rPr>
          <w:rFonts w:ascii="Times New Roman" w:hAnsi="Times New Roman" w:cs="Times New Roman" w:eastAsia="Times New Roman" w:hint="default"/>
        </w:rPr>
        <w:t>3</w:t>
      </w:r>
      <w:r>
        <w:rPr/>
        <w:t>）未办妥产权证书的固定资产情况</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BodyText"/>
        <w:spacing w:line="386" w:lineRule="auto" w:before="0"/>
        <w:ind w:right="1303" w:firstLine="420"/>
        <w:jc w:val="left"/>
      </w:pPr>
      <w:r>
        <w:rPr/>
        <w:t>（</w:t>
      </w:r>
      <w:r>
        <w:rPr>
          <w:rFonts w:ascii="Times New Roman" w:hAnsi="Times New Roman" w:cs="Times New Roman" w:eastAsia="Times New Roman" w:hint="default"/>
        </w:rPr>
        <w:t>1</w:t>
      </w:r>
      <w:r>
        <w:rPr/>
        <w:t>）本期折旧额为</w:t>
      </w:r>
      <w:r>
        <w:rPr>
          <w:rFonts w:ascii="Times New Roman" w:hAnsi="Times New Roman" w:cs="Times New Roman" w:eastAsia="Times New Roman" w:hint="default"/>
        </w:rPr>
        <w:t>8,890.99</w:t>
      </w:r>
      <w:r>
        <w:rPr/>
        <w:t>万元，本期由在建工程转入固定资产的金额为</w:t>
      </w:r>
      <w:r>
        <w:rPr>
          <w:rFonts w:ascii="Times New Roman" w:hAnsi="Times New Roman" w:cs="Times New Roman" w:eastAsia="Times New Roman" w:hint="default"/>
        </w:rPr>
        <w:t>35,362.98</w:t>
      </w:r>
      <w:r>
        <w:rPr/>
        <w:t>万元。期末用于 抵押或担保的固定资产原值为</w:t>
      </w:r>
      <w:r>
        <w:rPr>
          <w:rFonts w:ascii="Times New Roman" w:hAnsi="Times New Roman" w:cs="Times New Roman" w:eastAsia="Times New Roman" w:hint="default"/>
        </w:rPr>
        <w:t>71,508.29</w:t>
      </w:r>
      <w:r>
        <w:rPr/>
        <w:t>万元，净值为</w:t>
      </w:r>
      <w:r>
        <w:rPr>
          <w:rFonts w:ascii="Times New Roman" w:hAnsi="Times New Roman" w:cs="Times New Roman" w:eastAsia="Times New Roman" w:hint="default"/>
        </w:rPr>
        <w:t>48,067.13</w:t>
      </w:r>
      <w:r>
        <w:rPr/>
        <w:t>万元。</w:t>
      </w:r>
    </w:p>
    <w:p>
      <w:pPr>
        <w:pStyle w:val="BodyText"/>
        <w:spacing w:line="240" w:lineRule="auto" w:before="35"/>
        <w:ind w:left="573" w:right="0"/>
        <w:jc w:val="left"/>
      </w:pPr>
      <w:r>
        <w:rPr/>
        <w:t>（</w:t>
      </w:r>
      <w:r>
        <w:rPr>
          <w:rFonts w:ascii="Times New Roman" w:hAnsi="Times New Roman" w:cs="Times New Roman" w:eastAsia="Times New Roman" w:hint="default"/>
        </w:rPr>
        <w:t>2</w:t>
      </w:r>
      <w:r>
        <w:rPr/>
        <w:t>）期末无暂时闲置的固定资产。</w:t>
      </w:r>
    </w:p>
    <w:p>
      <w:pPr>
        <w:pStyle w:val="BodyText"/>
        <w:spacing w:line="386" w:lineRule="auto" w:before="177"/>
        <w:ind w:left="565" w:right="2878" w:firstLine="8"/>
        <w:jc w:val="left"/>
      </w:pPr>
      <w:r>
        <w:rPr/>
        <w:t>（</w:t>
      </w:r>
      <w:r>
        <w:rPr>
          <w:rFonts w:ascii="Times New Roman" w:hAnsi="Times New Roman" w:cs="Times New Roman" w:eastAsia="Times New Roman" w:hint="default"/>
        </w:rPr>
        <w:t>3</w:t>
      </w:r>
      <w:r>
        <w:rPr/>
        <w:t>）固定资产期末余额中经营租出、融资租赁租入、持有待售的固定资产的情况 通过融资租赁租入的固定资产情况：</w:t>
      </w:r>
    </w:p>
    <w:tbl>
      <w:tblPr>
        <w:tblW w:w="0" w:type="auto"/>
        <w:jc w:val="left"/>
        <w:tblInd w:w="146" w:type="dxa"/>
        <w:tblLayout w:type="fixed"/>
        <w:tblCellMar>
          <w:top w:w="0" w:type="dxa"/>
          <w:left w:w="0" w:type="dxa"/>
          <w:bottom w:w="0" w:type="dxa"/>
          <w:right w:w="0" w:type="dxa"/>
        </w:tblCellMar>
        <w:tblLook w:val="01E0"/>
      </w:tblPr>
      <w:tblGrid>
        <w:gridCol w:w="1847"/>
        <w:gridCol w:w="1736"/>
        <w:gridCol w:w="2117"/>
        <w:gridCol w:w="1534"/>
        <w:gridCol w:w="1698"/>
      </w:tblGrid>
      <w:tr>
        <w:trPr>
          <w:trHeight w:val="511" w:hRule="exact"/>
        </w:trPr>
        <w:tc>
          <w:tcPr>
            <w:tcW w:w="1847" w:type="dxa"/>
            <w:tcBorders>
              <w:top w:val="single" w:sz="6" w:space="0" w:color="000000"/>
              <w:left w:val="single" w:sz="6" w:space="0" w:color="000000"/>
              <w:bottom w:val="single" w:sz="12" w:space="0" w:color="000000"/>
              <w:right w:val="single" w:sz="6" w:space="0" w:color="000000"/>
            </w:tcBorders>
          </w:tcPr>
          <w:p>
            <w:pPr>
              <w:pStyle w:val="TableParagraph"/>
              <w:tabs>
                <w:tab w:pos="397" w:val="left" w:leader="none"/>
              </w:tabs>
              <w:spacing w:line="240" w:lineRule="auto" w:before="99"/>
              <w:ind w:right="625"/>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7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left="501"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21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left="6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left="3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6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9"/>
              <w:ind w:left="48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08" w:hRule="exact"/>
        </w:trPr>
        <w:tc>
          <w:tcPr>
            <w:tcW w:w="18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35,574,119.82</w:t>
            </w:r>
          </w:p>
        </w:tc>
        <w:tc>
          <w:tcPr>
            <w:tcW w:w="21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6,645,495.57</w:t>
            </w:r>
          </w:p>
        </w:tc>
        <w:tc>
          <w:tcPr>
            <w:tcW w:w="1534" w:type="dxa"/>
            <w:tcBorders>
              <w:top w:val="single" w:sz="12" w:space="0" w:color="000000"/>
              <w:left w:val="single" w:sz="6" w:space="0" w:color="000000"/>
              <w:bottom w:val="single" w:sz="12" w:space="0" w:color="000000"/>
              <w:right w:val="single" w:sz="6" w:space="0" w:color="000000"/>
            </w:tcBorders>
          </w:tcPr>
          <w:p>
            <w:pPr/>
          </w:p>
        </w:tc>
        <w:tc>
          <w:tcPr>
            <w:tcW w:w="16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8"/>
              <w:jc w:val="right"/>
              <w:rPr>
                <w:rFonts w:ascii="Times New Roman" w:hAnsi="Times New Roman" w:cs="Times New Roman" w:eastAsia="Times New Roman" w:hint="default"/>
                <w:sz w:val="18"/>
                <w:szCs w:val="18"/>
              </w:rPr>
            </w:pPr>
            <w:r>
              <w:rPr>
                <w:rFonts w:ascii="Times New Roman"/>
                <w:spacing w:val="-1"/>
                <w:sz w:val="18"/>
              </w:rPr>
              <w:t>28,928,624.25</w:t>
            </w:r>
          </w:p>
        </w:tc>
      </w:tr>
      <w:tr>
        <w:trPr>
          <w:trHeight w:val="509" w:hRule="exact"/>
        </w:trPr>
        <w:tc>
          <w:tcPr>
            <w:tcW w:w="18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104,145,467.14</w:t>
            </w:r>
          </w:p>
        </w:tc>
        <w:tc>
          <w:tcPr>
            <w:tcW w:w="21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29,994,217.46</w:t>
            </w:r>
          </w:p>
        </w:tc>
        <w:tc>
          <w:tcPr>
            <w:tcW w:w="1534" w:type="dxa"/>
            <w:tcBorders>
              <w:top w:val="single" w:sz="12" w:space="0" w:color="000000"/>
              <w:left w:val="single" w:sz="6" w:space="0" w:color="000000"/>
              <w:bottom w:val="single" w:sz="12" w:space="0" w:color="000000"/>
              <w:right w:val="single" w:sz="6" w:space="0" w:color="000000"/>
            </w:tcBorders>
          </w:tcPr>
          <w:p>
            <w:pPr/>
          </w:p>
        </w:tc>
        <w:tc>
          <w:tcPr>
            <w:tcW w:w="16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74,151,249.68</w:t>
            </w:r>
          </w:p>
        </w:tc>
      </w:tr>
      <w:tr>
        <w:trPr>
          <w:trHeight w:val="508" w:hRule="exact"/>
        </w:trPr>
        <w:tc>
          <w:tcPr>
            <w:tcW w:w="18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5,280,513.04</w:t>
            </w:r>
          </w:p>
        </w:tc>
        <w:tc>
          <w:tcPr>
            <w:tcW w:w="21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2,402,808.68</w:t>
            </w:r>
          </w:p>
        </w:tc>
        <w:tc>
          <w:tcPr>
            <w:tcW w:w="1534" w:type="dxa"/>
            <w:tcBorders>
              <w:top w:val="single" w:sz="12" w:space="0" w:color="000000"/>
              <w:left w:val="single" w:sz="6" w:space="0" w:color="000000"/>
              <w:bottom w:val="single" w:sz="12" w:space="0" w:color="000000"/>
              <w:right w:val="single" w:sz="6" w:space="0" w:color="000000"/>
            </w:tcBorders>
          </w:tcPr>
          <w:p>
            <w:pPr/>
          </w:p>
        </w:tc>
        <w:tc>
          <w:tcPr>
            <w:tcW w:w="16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8"/>
              <w:jc w:val="right"/>
              <w:rPr>
                <w:rFonts w:ascii="Times New Roman" w:hAnsi="Times New Roman" w:cs="Times New Roman" w:eastAsia="Times New Roman" w:hint="default"/>
                <w:sz w:val="18"/>
                <w:szCs w:val="18"/>
              </w:rPr>
            </w:pPr>
            <w:r>
              <w:rPr>
                <w:rFonts w:ascii="Times New Roman"/>
                <w:spacing w:val="-1"/>
                <w:sz w:val="18"/>
              </w:rPr>
              <w:t>2,877,704.36</w:t>
            </w:r>
          </w:p>
        </w:tc>
      </w:tr>
      <w:tr>
        <w:trPr>
          <w:trHeight w:val="508" w:hRule="exact"/>
        </w:trPr>
        <w:tc>
          <w:tcPr>
            <w:tcW w:w="1847" w:type="dxa"/>
            <w:tcBorders>
              <w:top w:val="single" w:sz="12" w:space="0" w:color="000000"/>
              <w:left w:val="single" w:sz="6" w:space="0" w:color="000000"/>
              <w:bottom w:val="single" w:sz="12" w:space="0" w:color="000000"/>
              <w:right w:val="single" w:sz="6" w:space="0" w:color="000000"/>
            </w:tcBorders>
          </w:tcPr>
          <w:p>
            <w:pPr>
              <w:pStyle w:val="TableParagraph"/>
              <w:tabs>
                <w:tab w:pos="470" w:val="left" w:leader="none"/>
              </w:tabs>
              <w:spacing w:line="240" w:lineRule="auto" w:before="88"/>
              <w:ind w:right="63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7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145,000,100.00</w:t>
            </w:r>
          </w:p>
        </w:tc>
        <w:tc>
          <w:tcPr>
            <w:tcW w:w="21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39,042,521.71</w:t>
            </w:r>
          </w:p>
        </w:tc>
        <w:tc>
          <w:tcPr>
            <w:tcW w:w="1534" w:type="dxa"/>
            <w:tcBorders>
              <w:top w:val="single" w:sz="12" w:space="0" w:color="000000"/>
              <w:left w:val="single" w:sz="6" w:space="0" w:color="000000"/>
              <w:bottom w:val="single" w:sz="12" w:space="0" w:color="000000"/>
              <w:right w:val="single" w:sz="6" w:space="0" w:color="000000"/>
            </w:tcBorders>
          </w:tcPr>
          <w:p>
            <w:pPr/>
          </w:p>
        </w:tc>
        <w:tc>
          <w:tcPr>
            <w:tcW w:w="16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105,957,578.29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125.360001pt;margin-top:315.949982pt;width:66.8pt;height:20.8pt;mso-position-horizontal-relative:page;mso-position-vertical-relative:page;z-index:-904240" coordorigin="2507,6319" coordsize="1336,416">
            <v:group style="position:absolute;left:2519;top:6330;width:2;height:393" coordorigin="2519,6330" coordsize="2,393">
              <v:shape style="position:absolute;left:2519;top:6330;width:2;height:393" coordorigin="2519,6330" coordsize="0,393" path="m2519,6330l2519,6723e" filled="false" stroked="true" strokeweight="1.140pt" strokecolor="#ffffff">
                <v:path arrowok="t"/>
              </v:shape>
            </v:group>
            <v:group style="position:absolute;left:2530;top:6330;width:1313;height:393" coordorigin="2530,6330" coordsize="1313,393">
              <v:shape style="position:absolute;left:2530;top:6330;width:1313;height:393" coordorigin="2530,6330" coordsize="1313,393" path="m2530,6723l3843,6723,3843,6330,2530,6330,2530,6723xe" filled="true" fillcolor="#ffffff" stroked="false">
                <v:path arrowok="t"/>
                <v:fill type="solid"/>
              </v:shape>
            </v:group>
            <w10:wrap type="none"/>
          </v:group>
        </w:pict>
      </w:r>
      <w:r>
        <w:rPr/>
        <w:pict>
          <v:group style="position:absolute;margin-left:125.360001pt;margin-top:367.249969pt;width:66.8pt;height:20.8pt;mso-position-horizontal-relative:page;mso-position-vertical-relative:page;z-index:-904216" coordorigin="2507,7345" coordsize="1336,416">
            <v:group style="position:absolute;left:2519;top:7356;width:2;height:393" coordorigin="2519,7356" coordsize="2,393">
              <v:shape style="position:absolute;left:2519;top:7356;width:2;height:393" coordorigin="2519,7356" coordsize="0,393" path="m2519,7356l2519,7749e" filled="false" stroked="true" strokeweight="1.140pt" strokecolor="#ffffff">
                <v:path arrowok="t"/>
              </v:shape>
            </v:group>
            <v:group style="position:absolute;left:2530;top:7356;width:1313;height:393" coordorigin="2530,7356" coordsize="1313,393">
              <v:shape style="position:absolute;left:2530;top:7356;width:1313;height:393" coordorigin="2530,7356" coordsize="1313,393" path="m2530,7749l3843,7749,3843,7356,2530,7356,2530,7749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13、在建工程" w:id="273"/>
      <w:bookmarkEnd w:id="273"/>
      <w:r>
        <w:rPr>
          <w:b w:val="0"/>
          <w:bCs w:val="0"/>
        </w:rPr>
      </w:r>
      <w:r>
        <w:rPr>
          <w:rFonts w:ascii="Times New Roman" w:hAnsi="Times New Roman" w:cs="Times New Roman" w:eastAsia="Times New Roman" w:hint="default"/>
        </w:rPr>
        <w:t>13</w:t>
      </w:r>
      <w:r>
        <w:rPr/>
        <w:t>、在建工程</w:t>
      </w:r>
      <w:r>
        <w:rPr>
          <w:b w:val="0"/>
          <w:bCs w:val="0"/>
        </w:rPr>
      </w:r>
    </w:p>
    <w:p>
      <w:pPr>
        <w:pStyle w:val="Heading3"/>
        <w:spacing w:line="240" w:lineRule="auto" w:before="177"/>
        <w:ind w:left="154" w:right="0"/>
        <w:jc w:val="left"/>
        <w:rPr>
          <w:b w:val="0"/>
          <w:bCs w:val="0"/>
        </w:rPr>
      </w:pPr>
      <w:bookmarkStart w:name="（1）在建工程情况" w:id="274"/>
      <w:bookmarkEnd w:id="274"/>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2"/>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368"/>
        <w:gridCol w:w="183"/>
        <w:gridCol w:w="1185"/>
        <w:gridCol w:w="1367"/>
        <w:gridCol w:w="1367"/>
        <w:gridCol w:w="1368"/>
        <w:gridCol w:w="1367"/>
        <w:gridCol w:w="1367"/>
      </w:tblGrid>
      <w:tr>
        <w:trPr>
          <w:trHeight w:val="478"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柳河厂区建设</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461,513,528.91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461,513,528.91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289,470,094.15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289,470,094.15</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pacing w:val="7"/>
                <w:sz w:val="18"/>
                <w:szCs w:val="18"/>
              </w:rPr>
              <w:t>人参产品系列化</w:t>
            </w:r>
            <w:r>
              <w:rPr>
                <w:rFonts w:ascii="宋体" w:hAnsi="宋体" w:cs="宋体" w:eastAsia="宋体" w:hint="default"/>
                <w:sz w:val="18"/>
                <w:szCs w:val="18"/>
              </w:rPr>
              <w:t> </w:t>
            </w:r>
            <w:r>
              <w:rPr>
                <w:rFonts w:ascii="宋体" w:hAnsi="宋体" w:cs="宋体" w:eastAsia="宋体" w:hint="default"/>
                <w:spacing w:val="7"/>
                <w:sz w:val="18"/>
                <w:szCs w:val="18"/>
              </w:rPr>
              <w:t>项目一期（通化</w:t>
            </w:r>
            <w:r>
              <w:rPr>
                <w:rFonts w:ascii="宋体" w:hAnsi="宋体" w:cs="宋体" w:eastAsia="宋体" w:hint="default"/>
                <w:sz w:val="18"/>
                <w:szCs w:val="18"/>
              </w:rPr>
              <w:t> </w:t>
            </w:r>
            <w:r>
              <w:rPr>
                <w:rFonts w:ascii="宋体" w:hAnsi="宋体" w:cs="宋体" w:eastAsia="宋体" w:hint="default"/>
                <w:spacing w:val="-5"/>
                <w:sz w:val="18"/>
                <w:szCs w:val="18"/>
              </w:rPr>
              <w:t>厂区）</w:t>
            </w:r>
            <w:r>
              <w:rPr>
                <w:rFonts w:ascii="宋体" w:hAnsi="宋体" w:cs="宋体" w:eastAsia="宋体" w:hint="default"/>
                <w:spacing w:val="-5"/>
                <w:sz w:val="18"/>
                <w:szCs w:val="18"/>
              </w:rPr>
              <w:t>-</w:t>
            </w:r>
            <w:r>
              <w:rPr>
                <w:rFonts w:ascii="宋体" w:hAnsi="宋体" w:cs="宋体" w:eastAsia="宋体" w:hint="default"/>
                <w:spacing w:val="-5"/>
                <w:sz w:val="18"/>
                <w:szCs w:val="18"/>
              </w:rPr>
              <w:t>改扩建工</w:t>
            </w:r>
            <w:r>
              <w:rPr>
                <w:rFonts w:ascii="宋体" w:hAnsi="宋体" w:cs="宋体" w:eastAsia="宋体" w:hint="default"/>
                <w:spacing w:val="-88"/>
                <w:sz w:val="18"/>
                <w:szCs w:val="18"/>
              </w:rPr>
              <w:t> </w:t>
            </w:r>
            <w:r>
              <w:rPr>
                <w:rFonts w:ascii="宋体" w:hAnsi="宋体" w:cs="宋体" w:eastAsia="宋体" w:hint="default"/>
                <w:sz w:val="18"/>
                <w:szCs w:val="18"/>
              </w:rPr>
              <w:t>程</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74,700.00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74,700.00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597,933.69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597,933.69</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7"/>
                <w:sz w:val="18"/>
                <w:szCs w:val="18"/>
              </w:rPr>
              <w:t>人参产品系列化</w:t>
            </w:r>
            <w:r>
              <w:rPr>
                <w:rFonts w:ascii="宋体" w:hAnsi="宋体" w:cs="宋体" w:eastAsia="宋体" w:hint="default"/>
                <w:sz w:val="18"/>
                <w:szCs w:val="18"/>
              </w:rPr>
              <w:t> </w:t>
            </w:r>
            <w:r>
              <w:rPr>
                <w:rFonts w:ascii="宋体" w:hAnsi="宋体" w:cs="宋体" w:eastAsia="宋体" w:hint="default"/>
                <w:spacing w:val="-6"/>
                <w:sz w:val="18"/>
                <w:szCs w:val="18"/>
              </w:rPr>
              <w:t>项目（磐石厂区</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改扩建工程</w:t>
            </w:r>
          </w:p>
        </w:tc>
        <w:tc>
          <w:tcPr>
            <w:tcW w:w="1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18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50,140,724.60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50,140,724.60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22,267,101.57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22,267,101.57</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7"/>
                <w:sz w:val="18"/>
                <w:szCs w:val="18"/>
              </w:rPr>
              <w:t>人参产品系列化</w:t>
            </w:r>
            <w:r>
              <w:rPr>
                <w:rFonts w:ascii="宋体" w:hAnsi="宋体" w:cs="宋体" w:eastAsia="宋体" w:hint="default"/>
                <w:sz w:val="18"/>
                <w:szCs w:val="18"/>
              </w:rPr>
              <w:t> </w:t>
            </w:r>
            <w:r>
              <w:rPr>
                <w:rFonts w:ascii="宋体" w:hAnsi="宋体" w:cs="宋体" w:eastAsia="宋体" w:hint="default"/>
                <w:spacing w:val="-6"/>
                <w:sz w:val="18"/>
                <w:szCs w:val="18"/>
              </w:rPr>
              <w:t>项目（延吉厂区</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改扩建工程</w:t>
            </w:r>
          </w:p>
        </w:tc>
        <w:tc>
          <w:tcPr>
            <w:tcW w:w="1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18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8,447,445.43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8,447,445.43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7,755,657.93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7,755,657.93</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高新医药产业园 建设项目（通化 厂区）</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27,610,595.62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27,610,595.62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7,258,664.11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7,258,664.11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中科新厂区建设</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12,140,600.00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12,140,600.00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427,730,420.00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427,730,420.00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紫鑫高科技食品</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改扩建工程</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9,056,209.50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9,056,209.50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198" w:right="0"/>
              <w:jc w:val="left"/>
              <w:rPr>
                <w:rFonts w:ascii="Times New Roman" w:hAnsi="Times New Roman" w:cs="Times New Roman" w:eastAsia="Times New Roman" w:hint="default"/>
                <w:sz w:val="18"/>
                <w:szCs w:val="18"/>
              </w:rPr>
            </w:pPr>
            <w:r>
              <w:rPr>
                <w:rFonts w:ascii="Times New Roman"/>
                <w:sz w:val="18"/>
              </w:rPr>
              <w:t>568,983,804.06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568,983,804.06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755,189,871.45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755,189,871.45</w:t>
            </w:r>
          </w:p>
        </w:tc>
      </w:tr>
    </w:tbl>
    <w:p>
      <w:pPr>
        <w:pStyle w:val="Heading3"/>
        <w:spacing w:line="240" w:lineRule="auto" w:before="63"/>
        <w:ind w:left="154" w:right="0"/>
        <w:jc w:val="left"/>
        <w:rPr>
          <w:b w:val="0"/>
          <w:bCs w:val="0"/>
        </w:rPr>
      </w:pPr>
      <w:bookmarkStart w:name="（2）重要在建工程项目本期变动情况" w:id="275"/>
      <w:bookmarkEnd w:id="275"/>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88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477" w:lineRule="auto"/>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477"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477" w:lineRule="auto"/>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89"/>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w:t>
            </w:r>
          </w:p>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477"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89"/>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w:t>
            </w:r>
          </w:p>
          <w:p>
            <w:pPr>
              <w:pStyle w:val="TableParagraph"/>
              <w:spacing w:line="240" w:lineRule="auto" w:before="54"/>
              <w:ind w:left="182" w:right="0"/>
              <w:jc w:val="both"/>
              <w:rPr>
                <w:rFonts w:ascii="宋体" w:hAnsi="宋体" w:cs="宋体" w:eastAsia="宋体" w:hint="default"/>
                <w:sz w:val="18"/>
                <w:szCs w:val="18"/>
              </w:rPr>
            </w:pPr>
            <w:r>
              <w:rPr>
                <w:rFonts w:ascii="宋体" w:hAnsi="宋体" w:cs="宋体" w:eastAsia="宋体" w:hint="default"/>
                <w:sz w:val="18"/>
                <w:szCs w:val="18"/>
              </w:rPr>
              <w:t>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477"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89"/>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w:t>
            </w:r>
          </w:p>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477"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414" w:hRule="exact"/>
        </w:trPr>
        <w:tc>
          <w:tcPr>
            <w:tcW w:w="732"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319" w:lineRule="auto"/>
              <w:ind w:left="22" w:right="-57"/>
              <w:jc w:val="both"/>
              <w:rPr>
                <w:rFonts w:ascii="宋体" w:hAnsi="宋体" w:cs="宋体" w:eastAsia="宋体" w:hint="default"/>
                <w:sz w:val="18"/>
                <w:szCs w:val="18"/>
              </w:rPr>
            </w:pPr>
            <w:r>
              <w:rPr>
                <w:rFonts w:ascii="宋体" w:hAnsi="宋体" w:cs="宋体" w:eastAsia="宋体" w:hint="default"/>
                <w:spacing w:val="45"/>
                <w:sz w:val="18"/>
                <w:szCs w:val="18"/>
              </w:rPr>
              <w:t>柳河新</w:t>
            </w:r>
            <w:r>
              <w:rPr>
                <w:rFonts w:ascii="宋体" w:hAnsi="宋体" w:cs="宋体" w:eastAsia="宋体" w:hint="default"/>
                <w:spacing w:val="-22"/>
                <w:sz w:val="18"/>
                <w:szCs w:val="18"/>
              </w:rPr>
              <w:t> </w:t>
            </w:r>
            <w:r>
              <w:rPr>
                <w:rFonts w:ascii="宋体" w:hAnsi="宋体" w:cs="宋体" w:eastAsia="宋体" w:hint="default"/>
                <w:spacing w:val="45"/>
                <w:sz w:val="18"/>
                <w:szCs w:val="18"/>
              </w:rPr>
              <w:t>厂区建</w:t>
            </w:r>
            <w:r>
              <w:rPr>
                <w:rFonts w:ascii="宋体" w:hAnsi="宋体" w:cs="宋体" w:eastAsia="宋体" w:hint="default"/>
                <w:spacing w:val="-22"/>
                <w:sz w:val="18"/>
                <w:szCs w:val="18"/>
              </w:rPr>
              <w:t> </w:t>
            </w:r>
            <w:r>
              <w:rPr>
                <w:rFonts w:ascii="宋体" w:hAnsi="宋体" w:cs="宋体" w:eastAsia="宋体" w:hint="default"/>
                <w:sz w:val="18"/>
                <w:szCs w:val="18"/>
              </w:rPr>
              <w:t>设</w:t>
            </w:r>
          </w:p>
        </w:tc>
        <w:tc>
          <w:tcPr>
            <w:tcW w:w="7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9" w:right="0"/>
              <w:jc w:val="center"/>
              <w:rPr>
                <w:rFonts w:ascii="Times New Roman" w:hAnsi="Times New Roman" w:cs="Times New Roman" w:eastAsia="Times New Roman" w:hint="default"/>
                <w:sz w:val="18"/>
                <w:szCs w:val="18"/>
              </w:rPr>
            </w:pPr>
            <w:r>
              <w:rPr>
                <w:rFonts w:ascii="Times New Roman"/>
                <w:sz w:val="18"/>
              </w:rPr>
              <w:t>570,210,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75"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1" w:right="0"/>
              <w:jc w:val="center"/>
              <w:rPr>
                <w:rFonts w:ascii="Times New Roman" w:hAnsi="Times New Roman" w:cs="Times New Roman" w:eastAsia="Times New Roman" w:hint="default"/>
                <w:sz w:val="18"/>
                <w:szCs w:val="18"/>
              </w:rPr>
            </w:pPr>
            <w:r>
              <w:rPr>
                <w:rFonts w:ascii="Times New Roman"/>
                <w:sz w:val="18"/>
              </w:rPr>
              <w:t>289,470,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094.15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0" w:right="0"/>
              <w:jc w:val="center"/>
              <w:rPr>
                <w:rFonts w:ascii="Times New Roman" w:hAnsi="Times New Roman" w:cs="Times New Roman" w:eastAsia="Times New Roman" w:hint="default"/>
                <w:sz w:val="18"/>
                <w:szCs w:val="18"/>
              </w:rPr>
            </w:pPr>
            <w:r>
              <w:rPr>
                <w:rFonts w:ascii="Times New Roman"/>
                <w:sz w:val="18"/>
              </w:rPr>
              <w:t>172,082,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921.94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z w:val="18"/>
              </w:rPr>
              <w:t>39,487.1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0" w:right="0"/>
              <w:jc w:val="center"/>
              <w:rPr>
                <w:rFonts w:ascii="Times New Roman" w:hAnsi="Times New Roman" w:cs="Times New Roman" w:eastAsia="Times New Roman" w:hint="default"/>
                <w:sz w:val="18"/>
                <w:szCs w:val="18"/>
              </w:rPr>
            </w:pPr>
            <w:r>
              <w:rPr>
                <w:rFonts w:ascii="Times New Roman"/>
                <w:sz w:val="18"/>
              </w:rPr>
              <w:t>461,513,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528.91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8" w:right="0"/>
              <w:jc w:val="left"/>
              <w:rPr>
                <w:rFonts w:ascii="Times New Roman" w:hAnsi="Times New Roman" w:cs="Times New Roman" w:eastAsia="Times New Roman" w:hint="default"/>
                <w:sz w:val="18"/>
                <w:szCs w:val="18"/>
              </w:rPr>
            </w:pPr>
            <w:r>
              <w:rPr>
                <w:rFonts w:ascii="Times New Roman"/>
                <w:sz w:val="18"/>
              </w:rPr>
              <w:t>80.94%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0" w:right="0"/>
              <w:jc w:val="left"/>
              <w:rPr>
                <w:rFonts w:ascii="Times New Roman" w:hAnsi="Times New Roman" w:cs="Times New Roman" w:eastAsia="Times New Roman" w:hint="default"/>
                <w:sz w:val="18"/>
                <w:szCs w:val="18"/>
              </w:rPr>
            </w:pPr>
            <w:r>
              <w:rPr>
                <w:rFonts w:ascii="Times New Roman"/>
                <w:sz w:val="18"/>
              </w:rPr>
              <w:t>80.94%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93.559998pt;margin-top:72.47998pt;width:36.3pt;height:33.25pt;mso-position-horizontal-relative:page;mso-position-vertical-relative:page;z-index:-904192" coordorigin="1871,1450" coordsize="726,665">
            <v:shape style="position:absolute;left:1871;top:1450;width:726;height:665" coordorigin="1871,1450" coordsize="726,665" path="m1871,2114l2597,2114,2597,1450,1871,1450,1871,2114xe" filled="true" fillcolor="#ffffff" stroked="false">
              <v:path arrowok="t"/>
              <v:fill type="solid"/>
            </v:shape>
            <w10:wrap type="none"/>
          </v:group>
        </w:pict>
      </w:r>
      <w:r>
        <w:rPr/>
        <w:pict>
          <v:group style="position:absolute;margin-left:93.559998pt;margin-top:152.539978pt;width:36.3pt;height:66.9pt;mso-position-horizontal-relative:page;mso-position-vertical-relative:page;z-index:-904168" coordorigin="1871,3051" coordsize="726,1338">
            <v:group style="position:absolute;left:1871;top:3051;width:726;height:664" coordorigin="1871,3051" coordsize="726,664">
              <v:shape style="position:absolute;left:1871;top:3051;width:726;height:664" coordorigin="1871,3051" coordsize="726,664" path="m1871,3714l2597,3714,2597,3051,1871,3051,1871,3714xe" filled="true" fillcolor="#ffffff" stroked="false">
                <v:path arrowok="t"/>
                <v:fill type="solid"/>
              </v:shape>
            </v:group>
            <v:group style="position:absolute;left:1871;top:3724;width:726;height:665" coordorigin="1871,3724" coordsize="726,665">
              <v:shape style="position:absolute;left:1871;top:3724;width:726;height:665" coordorigin="1871,3724" coordsize="726,665" path="m1871,4389l2597,4389,2597,3724,1871,3724,1871,4389xe" filled="true" fillcolor="#ffffff" stroked="false">
                <v:path arrowok="t"/>
                <v:fill type="solid"/>
              </v:shape>
            </v:group>
            <w10:wrap type="none"/>
          </v:group>
        </w:pict>
      </w:r>
      <w:r>
        <w:rPr/>
        <w:pict>
          <v:group style="position:absolute;margin-left:93.559998pt;margin-top:266.239990pt;width:36.3pt;height:66.9pt;mso-position-horizontal-relative:page;mso-position-vertical-relative:page;z-index:-904144" coordorigin="1871,5325" coordsize="726,1338">
            <v:group style="position:absolute;left:1871;top:5325;width:726;height:664" coordorigin="1871,5325" coordsize="726,664">
              <v:shape style="position:absolute;left:1871;top:5325;width:726;height:664" coordorigin="1871,5325" coordsize="726,664" path="m1871,5988l2597,5988,2597,5325,1871,5325,1871,5988xe" filled="true" fillcolor="#ffffff" stroked="false">
                <v:path arrowok="t"/>
                <v:fill type="solid"/>
              </v:shape>
            </v:group>
            <v:group style="position:absolute;left:1871;top:5998;width:726;height:665" coordorigin="1871,5998" coordsize="726,665">
              <v:shape style="position:absolute;left:1871;top:5998;width:726;height:665" coordorigin="1871,5998" coordsize="726,665" path="m1871,6663l2597,6663,2597,5998,1871,5998,1871,6663xe" filled="true" fillcolor="#ffffff" stroked="false">
                <v:path arrowok="t"/>
                <v:fill type="solid"/>
              </v:shape>
            </v:group>
            <w10:wrap type="none"/>
          </v:group>
        </w:pict>
      </w:r>
      <w:r>
        <w:rPr/>
        <w:pict>
          <v:group style="position:absolute;margin-left:93.559998pt;margin-top:379.939972pt;width:36.3pt;height:51.35pt;mso-position-horizontal-relative:page;mso-position-vertical-relative:page;z-index:-904120" coordorigin="1871,7599" coordsize="726,1027">
            <v:group style="position:absolute;left:1871;top:7599;width:726;height:664" coordorigin="1871,7599" coordsize="726,664">
              <v:shape style="position:absolute;left:1871;top:7599;width:726;height:664" coordorigin="1871,7599" coordsize="726,664" path="m1871,8262l2597,8262,2597,7599,1871,7599,1871,8262xe" filled="true" fillcolor="#ffffff" stroked="false">
                <v:path arrowok="t"/>
                <v:fill type="solid"/>
              </v:shape>
            </v:group>
            <v:group style="position:absolute;left:1871;top:8272;width:726;height:354" coordorigin="1871,8272" coordsize="726,354">
              <v:shape style="position:absolute;left:1871;top:8272;width:726;height:354" coordorigin="1871,8272" coordsize="726,354" path="m1871,8625l2597,8625,2597,8272,1871,8272,1871,8625xe" filled="true" fillcolor="#ffffff" stroked="false">
                <v:path arrowok="t"/>
                <v:fill type="solid"/>
              </v:shape>
            </v:group>
            <w10:wrap type="none"/>
          </v:group>
        </w:pict>
      </w:r>
      <w:r>
        <w:rPr/>
        <w:pict>
          <v:group style="position:absolute;margin-left:93.559998pt;margin-top:566.859985pt;width:36.3pt;height:11.7pt;mso-position-horizontal-relative:page;mso-position-vertical-relative:page;z-index:-904096" coordorigin="1871,11337" coordsize="726,234">
            <v:shape style="position:absolute;left:1871;top:11337;width:726;height:234" coordorigin="1871,11337" coordsize="726,234" path="m1871,11571l2597,11571,2597,11337,1871,11337,1871,1157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2274" w:hRule="exact"/>
        </w:trPr>
        <w:tc>
          <w:tcPr>
            <w:tcW w:w="73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57"/>
              <w:jc w:val="both"/>
              <w:rPr>
                <w:rFonts w:ascii="宋体" w:hAnsi="宋体" w:cs="宋体" w:eastAsia="宋体" w:hint="default"/>
                <w:sz w:val="18"/>
                <w:szCs w:val="18"/>
              </w:rPr>
            </w:pPr>
            <w:r>
              <w:rPr>
                <w:rFonts w:ascii="宋体" w:hAnsi="宋体" w:cs="宋体" w:eastAsia="宋体" w:hint="default"/>
                <w:spacing w:val="45"/>
                <w:sz w:val="18"/>
                <w:szCs w:val="18"/>
              </w:rPr>
              <w:t>人参产</w:t>
            </w:r>
            <w:r>
              <w:rPr>
                <w:rFonts w:ascii="宋体" w:hAnsi="宋体" w:cs="宋体" w:eastAsia="宋体" w:hint="default"/>
                <w:spacing w:val="-22"/>
                <w:sz w:val="18"/>
                <w:szCs w:val="18"/>
              </w:rPr>
              <w:t> </w:t>
            </w:r>
            <w:r>
              <w:rPr>
                <w:rFonts w:ascii="宋体" w:hAnsi="宋体" w:cs="宋体" w:eastAsia="宋体" w:hint="default"/>
                <w:spacing w:val="45"/>
                <w:sz w:val="18"/>
                <w:szCs w:val="18"/>
              </w:rPr>
              <w:t>品系列</w:t>
            </w:r>
            <w:r>
              <w:rPr>
                <w:rFonts w:ascii="宋体" w:hAnsi="宋体" w:cs="宋体" w:eastAsia="宋体" w:hint="default"/>
                <w:spacing w:val="-22"/>
                <w:sz w:val="18"/>
                <w:szCs w:val="18"/>
              </w:rPr>
              <w:t> </w:t>
            </w:r>
            <w:r>
              <w:rPr>
                <w:rFonts w:ascii="宋体" w:hAnsi="宋体" w:cs="宋体" w:eastAsia="宋体" w:hint="default"/>
                <w:spacing w:val="45"/>
                <w:sz w:val="18"/>
                <w:szCs w:val="18"/>
              </w:rPr>
              <w:t>化项目</w:t>
            </w:r>
            <w:r>
              <w:rPr>
                <w:rFonts w:ascii="宋体" w:hAnsi="宋体" w:cs="宋体" w:eastAsia="宋体" w:hint="default"/>
                <w:spacing w:val="-22"/>
                <w:sz w:val="18"/>
                <w:szCs w:val="18"/>
              </w:rPr>
              <w:t> </w:t>
            </w:r>
            <w:r>
              <w:rPr>
                <w:rFonts w:ascii="宋体" w:hAnsi="宋体" w:cs="宋体" w:eastAsia="宋体" w:hint="default"/>
                <w:sz w:val="18"/>
                <w:szCs w:val="18"/>
              </w:rPr>
            </w:r>
          </w:p>
          <w:p>
            <w:pPr>
              <w:pStyle w:val="TableParagraph"/>
              <w:spacing w:line="319" w:lineRule="auto" w:before="19"/>
              <w:ind w:left="22" w:right="-57"/>
              <w:jc w:val="left"/>
              <w:rPr>
                <w:rFonts w:ascii="宋体" w:hAnsi="宋体" w:cs="宋体" w:eastAsia="宋体" w:hint="default"/>
                <w:sz w:val="18"/>
                <w:szCs w:val="18"/>
              </w:rPr>
            </w:pPr>
            <w:r>
              <w:rPr>
                <w:rFonts w:ascii="宋体" w:hAnsi="宋体" w:cs="宋体" w:eastAsia="宋体" w:hint="default"/>
                <w:spacing w:val="45"/>
                <w:sz w:val="18"/>
                <w:szCs w:val="18"/>
              </w:rPr>
              <w:t>（通化</w:t>
            </w:r>
            <w:r>
              <w:rPr>
                <w:rFonts w:ascii="宋体" w:hAnsi="宋体" w:cs="宋体" w:eastAsia="宋体" w:hint="default"/>
                <w:spacing w:val="-22"/>
                <w:sz w:val="18"/>
                <w:szCs w:val="18"/>
              </w:rPr>
              <w:t> </w:t>
            </w:r>
            <w:r>
              <w:rPr>
                <w:rFonts w:ascii="宋体" w:hAnsi="宋体" w:cs="宋体" w:eastAsia="宋体" w:hint="default"/>
                <w:spacing w:val="11"/>
                <w:sz w:val="18"/>
                <w:szCs w:val="18"/>
              </w:rPr>
              <w:t>厂区）</w:t>
            </w:r>
            <w:r>
              <w:rPr>
                <w:rFonts w:ascii="宋体" w:hAnsi="宋体" w:cs="宋体" w:eastAsia="宋体" w:hint="default"/>
                <w:spacing w:val="11"/>
                <w:sz w:val="18"/>
                <w:szCs w:val="18"/>
              </w:rPr>
              <w:t>-</w:t>
            </w:r>
            <w:r>
              <w:rPr>
                <w:rFonts w:ascii="宋体" w:hAnsi="宋体" w:cs="宋体" w:eastAsia="宋体" w:hint="default"/>
                <w:sz w:val="18"/>
                <w:szCs w:val="18"/>
              </w:rPr>
              <w:t> </w:t>
            </w:r>
            <w:r>
              <w:rPr>
                <w:rFonts w:ascii="宋体" w:hAnsi="宋体" w:cs="宋体" w:eastAsia="宋体" w:hint="default"/>
                <w:spacing w:val="45"/>
                <w:sz w:val="18"/>
                <w:szCs w:val="18"/>
              </w:rPr>
              <w:t>改扩建</w:t>
            </w:r>
            <w:r>
              <w:rPr>
                <w:rFonts w:ascii="宋体" w:hAnsi="宋体" w:cs="宋体" w:eastAsia="宋体" w:hint="default"/>
                <w:spacing w:val="-22"/>
                <w:sz w:val="18"/>
                <w:szCs w:val="18"/>
              </w:rPr>
              <w:t> </w:t>
            </w:r>
            <w:r>
              <w:rPr>
                <w:rFonts w:ascii="宋体" w:hAnsi="宋体" w:cs="宋体" w:eastAsia="宋体" w:hint="default"/>
                <w:sz w:val="18"/>
                <w:szCs w:val="18"/>
              </w:rPr>
              <w:t>工程</w:t>
            </w:r>
          </w:p>
        </w:tc>
        <w:tc>
          <w:tcPr>
            <w:tcW w:w="7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77"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597,933.</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3,605,72</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2.33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4,128,95</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6.02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74,700.0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2274" w:hRule="exact"/>
        </w:trPr>
        <w:tc>
          <w:tcPr>
            <w:tcW w:w="73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57"/>
              <w:jc w:val="both"/>
              <w:rPr>
                <w:rFonts w:ascii="宋体" w:hAnsi="宋体" w:cs="宋体" w:eastAsia="宋体" w:hint="default"/>
                <w:sz w:val="18"/>
                <w:szCs w:val="18"/>
              </w:rPr>
            </w:pPr>
            <w:r>
              <w:rPr>
                <w:rFonts w:ascii="宋体" w:hAnsi="宋体" w:cs="宋体" w:eastAsia="宋体" w:hint="default"/>
                <w:spacing w:val="45"/>
                <w:sz w:val="18"/>
                <w:szCs w:val="18"/>
              </w:rPr>
              <w:t>人参产</w:t>
            </w:r>
            <w:r>
              <w:rPr>
                <w:rFonts w:ascii="宋体" w:hAnsi="宋体" w:cs="宋体" w:eastAsia="宋体" w:hint="default"/>
                <w:spacing w:val="-22"/>
                <w:sz w:val="18"/>
                <w:szCs w:val="18"/>
              </w:rPr>
              <w:t> </w:t>
            </w:r>
            <w:r>
              <w:rPr>
                <w:rFonts w:ascii="宋体" w:hAnsi="宋体" w:cs="宋体" w:eastAsia="宋体" w:hint="default"/>
                <w:spacing w:val="45"/>
                <w:sz w:val="18"/>
                <w:szCs w:val="18"/>
              </w:rPr>
              <w:t>品系列</w:t>
            </w:r>
            <w:r>
              <w:rPr>
                <w:rFonts w:ascii="宋体" w:hAnsi="宋体" w:cs="宋体" w:eastAsia="宋体" w:hint="default"/>
                <w:spacing w:val="-22"/>
                <w:sz w:val="18"/>
                <w:szCs w:val="18"/>
              </w:rPr>
              <w:t> </w:t>
            </w:r>
            <w:r>
              <w:rPr>
                <w:rFonts w:ascii="宋体" w:hAnsi="宋体" w:cs="宋体" w:eastAsia="宋体" w:hint="default"/>
                <w:spacing w:val="45"/>
                <w:sz w:val="18"/>
                <w:szCs w:val="18"/>
              </w:rPr>
              <w:t>化项目</w:t>
            </w:r>
            <w:r>
              <w:rPr>
                <w:rFonts w:ascii="宋体" w:hAnsi="宋体" w:cs="宋体" w:eastAsia="宋体" w:hint="default"/>
                <w:spacing w:val="-22"/>
                <w:sz w:val="18"/>
                <w:szCs w:val="18"/>
              </w:rPr>
              <w:t> </w:t>
            </w:r>
            <w:r>
              <w:rPr>
                <w:rFonts w:ascii="宋体" w:hAnsi="宋体" w:cs="宋体" w:eastAsia="宋体" w:hint="default"/>
                <w:sz w:val="18"/>
                <w:szCs w:val="18"/>
              </w:rPr>
            </w:r>
          </w:p>
          <w:p>
            <w:pPr>
              <w:pStyle w:val="TableParagraph"/>
              <w:spacing w:line="319" w:lineRule="auto" w:before="19"/>
              <w:ind w:left="22" w:right="-57"/>
              <w:jc w:val="left"/>
              <w:rPr>
                <w:rFonts w:ascii="宋体" w:hAnsi="宋体" w:cs="宋体" w:eastAsia="宋体" w:hint="default"/>
                <w:sz w:val="18"/>
                <w:szCs w:val="18"/>
              </w:rPr>
            </w:pPr>
            <w:r>
              <w:rPr>
                <w:rFonts w:ascii="宋体" w:hAnsi="宋体" w:cs="宋体" w:eastAsia="宋体" w:hint="default"/>
                <w:spacing w:val="45"/>
                <w:sz w:val="18"/>
                <w:szCs w:val="18"/>
              </w:rPr>
              <w:t>（磐石</w:t>
            </w:r>
            <w:r>
              <w:rPr>
                <w:rFonts w:ascii="宋体" w:hAnsi="宋体" w:cs="宋体" w:eastAsia="宋体" w:hint="default"/>
                <w:spacing w:val="-22"/>
                <w:sz w:val="18"/>
                <w:szCs w:val="18"/>
              </w:rPr>
              <w:t> </w:t>
            </w:r>
            <w:r>
              <w:rPr>
                <w:rFonts w:ascii="宋体" w:hAnsi="宋体" w:cs="宋体" w:eastAsia="宋体" w:hint="default"/>
                <w:spacing w:val="11"/>
                <w:sz w:val="18"/>
                <w:szCs w:val="18"/>
              </w:rPr>
              <w:t>厂区）</w:t>
            </w:r>
            <w:r>
              <w:rPr>
                <w:rFonts w:ascii="宋体" w:hAnsi="宋体" w:cs="宋体" w:eastAsia="宋体" w:hint="default"/>
                <w:spacing w:val="11"/>
                <w:sz w:val="18"/>
                <w:szCs w:val="18"/>
              </w:rPr>
              <w:t>-</w:t>
            </w:r>
            <w:r>
              <w:rPr>
                <w:rFonts w:ascii="宋体" w:hAnsi="宋体" w:cs="宋体" w:eastAsia="宋体" w:hint="default"/>
                <w:sz w:val="18"/>
                <w:szCs w:val="18"/>
              </w:rPr>
              <w:t> </w:t>
            </w:r>
            <w:r>
              <w:rPr>
                <w:rFonts w:ascii="宋体" w:hAnsi="宋体" w:cs="宋体" w:eastAsia="宋体" w:hint="default"/>
                <w:spacing w:val="45"/>
                <w:sz w:val="18"/>
                <w:szCs w:val="18"/>
              </w:rPr>
              <w:t>改扩建</w:t>
            </w:r>
            <w:r>
              <w:rPr>
                <w:rFonts w:ascii="宋体" w:hAnsi="宋体" w:cs="宋体" w:eastAsia="宋体" w:hint="default"/>
                <w:spacing w:val="-22"/>
                <w:sz w:val="18"/>
                <w:szCs w:val="18"/>
              </w:rPr>
              <w:t> </w:t>
            </w:r>
            <w:r>
              <w:rPr>
                <w:rFonts w:ascii="宋体" w:hAnsi="宋体" w:cs="宋体" w:eastAsia="宋体" w:hint="default"/>
                <w:sz w:val="18"/>
                <w:szCs w:val="18"/>
              </w:rPr>
              <w:t>工程</w:t>
            </w:r>
          </w:p>
        </w:tc>
        <w:tc>
          <w:tcPr>
            <w:tcW w:w="7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486,240,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73" w:right="0"/>
              <w:jc w:val="center"/>
              <w:rPr>
                <w:rFonts w:ascii="Times New Roman" w:hAnsi="Times New Roman" w:cs="Times New Roman" w:eastAsia="Times New Roman" w:hint="default"/>
                <w:sz w:val="18"/>
                <w:szCs w:val="18"/>
              </w:rPr>
            </w:pPr>
            <w:r>
              <w:rPr>
                <w:rFonts w:ascii="Times New Roman"/>
                <w:sz w:val="18"/>
              </w:rPr>
              <w:t>907.54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22,267,1</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01.57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29,588,2</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75.51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1,714,65</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2.48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50,140,7</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24.60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2274" w:hRule="exact"/>
        </w:trPr>
        <w:tc>
          <w:tcPr>
            <w:tcW w:w="73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57"/>
              <w:jc w:val="both"/>
              <w:rPr>
                <w:rFonts w:ascii="宋体" w:hAnsi="宋体" w:cs="宋体" w:eastAsia="宋体" w:hint="default"/>
                <w:sz w:val="18"/>
                <w:szCs w:val="18"/>
              </w:rPr>
            </w:pPr>
            <w:r>
              <w:rPr>
                <w:rFonts w:ascii="宋体" w:hAnsi="宋体" w:cs="宋体" w:eastAsia="宋体" w:hint="default"/>
                <w:spacing w:val="45"/>
                <w:sz w:val="18"/>
                <w:szCs w:val="18"/>
              </w:rPr>
              <w:t>人参产</w:t>
            </w:r>
            <w:r>
              <w:rPr>
                <w:rFonts w:ascii="宋体" w:hAnsi="宋体" w:cs="宋体" w:eastAsia="宋体" w:hint="default"/>
                <w:spacing w:val="-22"/>
                <w:sz w:val="18"/>
                <w:szCs w:val="18"/>
              </w:rPr>
              <w:t> </w:t>
            </w:r>
            <w:r>
              <w:rPr>
                <w:rFonts w:ascii="宋体" w:hAnsi="宋体" w:cs="宋体" w:eastAsia="宋体" w:hint="default"/>
                <w:spacing w:val="45"/>
                <w:sz w:val="18"/>
                <w:szCs w:val="18"/>
              </w:rPr>
              <w:t>品系列</w:t>
            </w:r>
            <w:r>
              <w:rPr>
                <w:rFonts w:ascii="宋体" w:hAnsi="宋体" w:cs="宋体" w:eastAsia="宋体" w:hint="default"/>
                <w:spacing w:val="-22"/>
                <w:sz w:val="18"/>
                <w:szCs w:val="18"/>
              </w:rPr>
              <w:t> </w:t>
            </w:r>
            <w:r>
              <w:rPr>
                <w:rFonts w:ascii="宋体" w:hAnsi="宋体" w:cs="宋体" w:eastAsia="宋体" w:hint="default"/>
                <w:spacing w:val="45"/>
                <w:sz w:val="18"/>
                <w:szCs w:val="18"/>
              </w:rPr>
              <w:t>化项目</w:t>
            </w:r>
            <w:r>
              <w:rPr>
                <w:rFonts w:ascii="宋体" w:hAnsi="宋体" w:cs="宋体" w:eastAsia="宋体" w:hint="default"/>
                <w:spacing w:val="-22"/>
                <w:sz w:val="18"/>
                <w:szCs w:val="18"/>
              </w:rPr>
              <w:t> </w:t>
            </w:r>
            <w:r>
              <w:rPr>
                <w:rFonts w:ascii="宋体" w:hAnsi="宋体" w:cs="宋体" w:eastAsia="宋体" w:hint="default"/>
                <w:sz w:val="18"/>
                <w:szCs w:val="18"/>
              </w:rPr>
            </w:r>
          </w:p>
          <w:p>
            <w:pPr>
              <w:pStyle w:val="TableParagraph"/>
              <w:spacing w:line="319" w:lineRule="auto" w:before="19"/>
              <w:ind w:left="22" w:right="-57"/>
              <w:jc w:val="left"/>
              <w:rPr>
                <w:rFonts w:ascii="宋体" w:hAnsi="宋体" w:cs="宋体" w:eastAsia="宋体" w:hint="default"/>
                <w:sz w:val="18"/>
                <w:szCs w:val="18"/>
              </w:rPr>
            </w:pPr>
            <w:r>
              <w:rPr>
                <w:rFonts w:ascii="宋体" w:hAnsi="宋体" w:cs="宋体" w:eastAsia="宋体" w:hint="default"/>
                <w:spacing w:val="45"/>
                <w:sz w:val="18"/>
                <w:szCs w:val="18"/>
              </w:rPr>
              <w:t>（延吉</w:t>
            </w:r>
            <w:r>
              <w:rPr>
                <w:rFonts w:ascii="宋体" w:hAnsi="宋体" w:cs="宋体" w:eastAsia="宋体" w:hint="default"/>
                <w:spacing w:val="-22"/>
                <w:sz w:val="18"/>
                <w:szCs w:val="18"/>
              </w:rPr>
              <w:t> </w:t>
            </w:r>
            <w:r>
              <w:rPr>
                <w:rFonts w:ascii="宋体" w:hAnsi="宋体" w:cs="宋体" w:eastAsia="宋体" w:hint="default"/>
                <w:spacing w:val="11"/>
                <w:sz w:val="18"/>
                <w:szCs w:val="18"/>
              </w:rPr>
              <w:t>厂区）</w:t>
            </w:r>
            <w:r>
              <w:rPr>
                <w:rFonts w:ascii="宋体" w:hAnsi="宋体" w:cs="宋体" w:eastAsia="宋体" w:hint="default"/>
                <w:spacing w:val="11"/>
                <w:sz w:val="18"/>
                <w:szCs w:val="18"/>
              </w:rPr>
              <w:t>-</w:t>
            </w:r>
            <w:r>
              <w:rPr>
                <w:rFonts w:ascii="宋体" w:hAnsi="宋体" w:cs="宋体" w:eastAsia="宋体" w:hint="default"/>
                <w:sz w:val="18"/>
                <w:szCs w:val="18"/>
              </w:rPr>
              <w:t> </w:t>
            </w:r>
            <w:r>
              <w:rPr>
                <w:rFonts w:ascii="宋体" w:hAnsi="宋体" w:cs="宋体" w:eastAsia="宋体" w:hint="default"/>
                <w:spacing w:val="45"/>
                <w:sz w:val="18"/>
                <w:szCs w:val="18"/>
              </w:rPr>
              <w:t>改扩建</w:t>
            </w:r>
            <w:r>
              <w:rPr>
                <w:rFonts w:ascii="宋体" w:hAnsi="宋体" w:cs="宋体" w:eastAsia="宋体" w:hint="default"/>
                <w:spacing w:val="-22"/>
                <w:sz w:val="18"/>
                <w:szCs w:val="18"/>
              </w:rPr>
              <w:t> </w:t>
            </w:r>
            <w:r>
              <w:rPr>
                <w:rFonts w:ascii="宋体" w:hAnsi="宋体" w:cs="宋体" w:eastAsia="宋体" w:hint="default"/>
                <w:sz w:val="18"/>
                <w:szCs w:val="18"/>
              </w:rPr>
              <w:t>工程</w:t>
            </w:r>
          </w:p>
        </w:tc>
        <w:tc>
          <w:tcPr>
            <w:tcW w:w="7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510,950,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75"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7,755,65</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7.93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691,787.</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8,447,44</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5.43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650" w:hRule="exact"/>
        </w:trPr>
        <w:tc>
          <w:tcPr>
            <w:tcW w:w="73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pacing w:val="45"/>
                <w:sz w:val="18"/>
                <w:szCs w:val="18"/>
              </w:rPr>
              <w:t>高新医</w:t>
            </w:r>
            <w:r>
              <w:rPr>
                <w:rFonts w:ascii="宋体" w:hAnsi="宋体" w:cs="宋体" w:eastAsia="宋体" w:hint="default"/>
                <w:spacing w:val="-22"/>
                <w:sz w:val="18"/>
                <w:szCs w:val="18"/>
              </w:rPr>
              <w:t> </w:t>
            </w:r>
            <w:r>
              <w:rPr>
                <w:rFonts w:ascii="宋体" w:hAnsi="宋体" w:cs="宋体" w:eastAsia="宋体" w:hint="default"/>
                <w:spacing w:val="45"/>
                <w:sz w:val="18"/>
                <w:szCs w:val="18"/>
              </w:rPr>
              <w:t>药产业</w:t>
            </w:r>
            <w:r>
              <w:rPr>
                <w:rFonts w:ascii="宋体" w:hAnsi="宋体" w:cs="宋体" w:eastAsia="宋体" w:hint="default"/>
                <w:spacing w:val="-22"/>
                <w:sz w:val="18"/>
                <w:szCs w:val="18"/>
              </w:rPr>
              <w:t> </w:t>
            </w:r>
            <w:r>
              <w:rPr>
                <w:rFonts w:ascii="宋体" w:hAnsi="宋体" w:cs="宋体" w:eastAsia="宋体" w:hint="default"/>
                <w:spacing w:val="45"/>
                <w:sz w:val="18"/>
                <w:szCs w:val="18"/>
              </w:rPr>
              <w:t>园建设</w:t>
            </w:r>
            <w:r>
              <w:rPr>
                <w:rFonts w:ascii="宋体" w:hAnsi="宋体" w:cs="宋体" w:eastAsia="宋体" w:hint="default"/>
                <w:spacing w:val="-22"/>
                <w:sz w:val="18"/>
                <w:szCs w:val="18"/>
              </w:rPr>
              <w:t> </w:t>
            </w:r>
            <w:r>
              <w:rPr>
                <w:rFonts w:ascii="宋体" w:hAnsi="宋体" w:cs="宋体" w:eastAsia="宋体" w:hint="default"/>
                <w:spacing w:val="-12"/>
                <w:sz w:val="18"/>
                <w:szCs w:val="18"/>
              </w:rPr>
              <w:t>项目（通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化厂区）</w:t>
            </w:r>
          </w:p>
        </w:tc>
        <w:tc>
          <w:tcPr>
            <w:tcW w:w="7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73"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7,258,66</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95" w:right="0"/>
              <w:jc w:val="left"/>
              <w:rPr>
                <w:rFonts w:ascii="Times New Roman" w:hAnsi="Times New Roman" w:cs="Times New Roman" w:eastAsia="Times New Roman" w:hint="default"/>
                <w:sz w:val="18"/>
                <w:szCs w:val="18"/>
              </w:rPr>
            </w:pPr>
            <w:r>
              <w:rPr>
                <w:rFonts w:ascii="Times New Roman"/>
                <w:sz w:val="18"/>
              </w:rPr>
              <w:t>4.11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20,351,9</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31.51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27,610,5</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95.62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414" w:hRule="exact"/>
        </w:trPr>
        <w:tc>
          <w:tcPr>
            <w:tcW w:w="732"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6" w:lineRule="auto"/>
              <w:ind w:left="22" w:right="-57"/>
              <w:jc w:val="both"/>
              <w:rPr>
                <w:rFonts w:ascii="宋体" w:hAnsi="宋体" w:cs="宋体" w:eastAsia="宋体" w:hint="default"/>
                <w:sz w:val="18"/>
                <w:szCs w:val="18"/>
              </w:rPr>
            </w:pPr>
            <w:r>
              <w:rPr>
                <w:rFonts w:ascii="宋体" w:hAnsi="宋体" w:cs="宋体" w:eastAsia="宋体" w:hint="default"/>
                <w:spacing w:val="45"/>
                <w:sz w:val="18"/>
                <w:szCs w:val="18"/>
              </w:rPr>
              <w:t>中科新</w:t>
            </w:r>
            <w:r>
              <w:rPr>
                <w:rFonts w:ascii="宋体" w:hAnsi="宋体" w:cs="宋体" w:eastAsia="宋体" w:hint="default"/>
                <w:spacing w:val="-22"/>
                <w:sz w:val="18"/>
                <w:szCs w:val="18"/>
              </w:rPr>
              <w:t> </w:t>
            </w:r>
            <w:r>
              <w:rPr>
                <w:rFonts w:ascii="宋体" w:hAnsi="宋体" w:cs="宋体" w:eastAsia="宋体" w:hint="default"/>
                <w:spacing w:val="45"/>
                <w:sz w:val="18"/>
                <w:szCs w:val="18"/>
              </w:rPr>
              <w:t>厂区建</w:t>
            </w:r>
            <w:r>
              <w:rPr>
                <w:rFonts w:ascii="宋体" w:hAnsi="宋体" w:cs="宋体" w:eastAsia="宋体" w:hint="default"/>
                <w:spacing w:val="-22"/>
                <w:sz w:val="18"/>
                <w:szCs w:val="18"/>
              </w:rPr>
              <w:t> </w:t>
            </w:r>
            <w:r>
              <w:rPr>
                <w:rFonts w:ascii="宋体" w:hAnsi="宋体" w:cs="宋体" w:eastAsia="宋体" w:hint="default"/>
                <w:sz w:val="18"/>
                <w:szCs w:val="18"/>
              </w:rPr>
              <w:t>设</w:t>
            </w:r>
          </w:p>
        </w:tc>
        <w:tc>
          <w:tcPr>
            <w:tcW w:w="7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9" w:right="0"/>
              <w:jc w:val="center"/>
              <w:rPr>
                <w:rFonts w:ascii="Times New Roman" w:hAnsi="Times New Roman" w:cs="Times New Roman" w:eastAsia="Times New Roman" w:hint="default"/>
                <w:sz w:val="18"/>
                <w:szCs w:val="18"/>
              </w:rPr>
            </w:pPr>
            <w:r>
              <w:rPr>
                <w:rFonts w:ascii="Times New Roman"/>
                <w:sz w:val="18"/>
              </w:rPr>
              <w:t>427,730,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73" w:right="0"/>
              <w:jc w:val="center"/>
              <w:rPr>
                <w:rFonts w:ascii="Times New Roman" w:hAnsi="Times New Roman" w:cs="Times New Roman" w:eastAsia="Times New Roman" w:hint="default"/>
                <w:sz w:val="18"/>
                <w:szCs w:val="18"/>
              </w:rPr>
            </w:pPr>
            <w:r>
              <w:rPr>
                <w:rFonts w:ascii="Times New Roman"/>
                <w:sz w:val="18"/>
              </w:rPr>
              <w:t>420.00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51" w:right="0"/>
              <w:jc w:val="center"/>
              <w:rPr>
                <w:rFonts w:ascii="Times New Roman" w:hAnsi="Times New Roman" w:cs="Times New Roman" w:eastAsia="Times New Roman" w:hint="default"/>
                <w:sz w:val="18"/>
                <w:szCs w:val="18"/>
              </w:rPr>
            </w:pPr>
            <w:r>
              <w:rPr>
                <w:rFonts w:ascii="Times New Roman"/>
                <w:sz w:val="18"/>
              </w:rPr>
              <w:t>427,730,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85" w:right="0"/>
              <w:jc w:val="center"/>
              <w:rPr>
                <w:rFonts w:ascii="Times New Roman" w:hAnsi="Times New Roman" w:cs="Times New Roman" w:eastAsia="Times New Roman" w:hint="default"/>
                <w:sz w:val="18"/>
                <w:szCs w:val="18"/>
              </w:rPr>
            </w:pPr>
            <w:r>
              <w:rPr>
                <w:rFonts w:ascii="Times New Roman"/>
                <w:sz w:val="18"/>
              </w:rPr>
              <w:t>420.00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50" w:right="0"/>
              <w:jc w:val="center"/>
              <w:rPr>
                <w:rFonts w:ascii="Times New Roman" w:hAnsi="Times New Roman" w:cs="Times New Roman" w:eastAsia="Times New Roman" w:hint="default"/>
                <w:sz w:val="18"/>
                <w:szCs w:val="18"/>
              </w:rPr>
            </w:pPr>
            <w:r>
              <w:rPr>
                <w:rFonts w:ascii="Times New Roman"/>
                <w:sz w:val="18"/>
              </w:rPr>
              <w:t>415,589,</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820.00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12,140,6</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415" w:hRule="exact"/>
        </w:trPr>
        <w:tc>
          <w:tcPr>
            <w:tcW w:w="73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89"/>
              <w:ind w:left="22" w:right="-57"/>
              <w:jc w:val="both"/>
              <w:rPr>
                <w:rFonts w:ascii="宋体" w:hAnsi="宋体" w:cs="宋体" w:eastAsia="宋体" w:hint="default"/>
                <w:sz w:val="18"/>
                <w:szCs w:val="18"/>
              </w:rPr>
            </w:pPr>
            <w:r>
              <w:rPr>
                <w:rFonts w:ascii="宋体" w:hAnsi="宋体" w:cs="宋体" w:eastAsia="宋体" w:hint="default"/>
                <w:spacing w:val="45"/>
                <w:sz w:val="18"/>
                <w:szCs w:val="18"/>
              </w:rPr>
              <w:t>紫鑫高</w:t>
            </w:r>
            <w:r>
              <w:rPr>
                <w:rFonts w:ascii="宋体" w:hAnsi="宋体" w:cs="宋体" w:eastAsia="宋体" w:hint="default"/>
                <w:spacing w:val="-22"/>
                <w:sz w:val="18"/>
                <w:szCs w:val="18"/>
              </w:rPr>
              <w:t> </w:t>
            </w:r>
            <w:r>
              <w:rPr>
                <w:rFonts w:ascii="宋体" w:hAnsi="宋体" w:cs="宋体" w:eastAsia="宋体" w:hint="default"/>
                <w:spacing w:val="45"/>
                <w:sz w:val="18"/>
                <w:szCs w:val="18"/>
              </w:rPr>
              <w:t>科技食</w:t>
            </w:r>
            <w:r>
              <w:rPr>
                <w:rFonts w:ascii="宋体" w:hAnsi="宋体" w:cs="宋体" w:eastAsia="宋体" w:hint="default"/>
                <w:spacing w:val="-22"/>
                <w:sz w:val="18"/>
                <w:szCs w:val="18"/>
              </w:rPr>
              <w:t> </w:t>
            </w:r>
            <w:r>
              <w:rPr>
                <w:rFonts w:ascii="宋体" w:hAnsi="宋体" w:cs="宋体" w:eastAsia="宋体" w:hint="default"/>
                <w:spacing w:val="7"/>
                <w:sz w:val="18"/>
                <w:szCs w:val="18"/>
              </w:rPr>
              <w:t>品</w:t>
            </w:r>
            <w:r>
              <w:rPr>
                <w:rFonts w:ascii="宋体" w:hAnsi="宋体" w:cs="宋体" w:eastAsia="宋体" w:hint="default"/>
                <w:spacing w:val="7"/>
                <w:sz w:val="18"/>
                <w:szCs w:val="18"/>
              </w:rPr>
              <w:t>-</w:t>
            </w:r>
            <w:r>
              <w:rPr>
                <w:rFonts w:ascii="宋体" w:hAnsi="宋体" w:cs="宋体" w:eastAsia="宋体" w:hint="default"/>
                <w:spacing w:val="-75"/>
                <w:sz w:val="18"/>
                <w:szCs w:val="18"/>
              </w:rPr>
              <w:t> </w:t>
            </w:r>
            <w:r>
              <w:rPr>
                <w:rFonts w:ascii="宋体" w:hAnsi="宋体" w:cs="宋体" w:eastAsia="宋体" w:hint="default"/>
                <w:spacing w:val="15"/>
                <w:sz w:val="18"/>
                <w:szCs w:val="18"/>
              </w:rPr>
              <w:t>改扩 </w:t>
            </w:r>
            <w:r>
              <w:rPr>
                <w:rFonts w:ascii="宋体" w:hAnsi="宋体" w:cs="宋体" w:eastAsia="宋体" w:hint="default"/>
                <w:sz w:val="18"/>
                <w:szCs w:val="18"/>
              </w:rPr>
              <w:t>建工程</w:t>
            </w:r>
          </w:p>
        </w:tc>
        <w:tc>
          <w:tcPr>
            <w:tcW w:w="7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61" w:right="0"/>
              <w:jc w:val="left"/>
              <w:rPr>
                <w:rFonts w:ascii="Times New Roman" w:hAnsi="Times New Roman" w:cs="Times New Roman" w:eastAsia="Times New Roman" w:hint="default"/>
                <w:sz w:val="18"/>
                <w:szCs w:val="18"/>
              </w:rPr>
            </w:pPr>
            <w:r>
              <w:rPr>
                <w:rFonts w:ascii="Times New Roman"/>
                <w:sz w:val="18"/>
              </w:rPr>
              <w:t>27,493,5</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86" w:right="0"/>
              <w:jc w:val="left"/>
              <w:rPr>
                <w:rFonts w:ascii="Times New Roman" w:hAnsi="Times New Roman" w:cs="Times New Roman" w:eastAsia="Times New Roman" w:hint="default"/>
                <w:sz w:val="18"/>
                <w:szCs w:val="18"/>
              </w:rPr>
            </w:pPr>
            <w:r>
              <w:rPr>
                <w:rFonts w:ascii="Times New Roman"/>
                <w:sz w:val="18"/>
              </w:rPr>
              <w:t>76.00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110,000.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8,946,20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9.50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9,056,20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9.50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53.23%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414" w:hRule="exact"/>
        </w:trPr>
        <w:tc>
          <w:tcPr>
            <w:tcW w:w="732"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6" w:lineRule="auto"/>
              <w:ind w:left="22" w:right="-57"/>
              <w:jc w:val="both"/>
              <w:rPr>
                <w:rFonts w:ascii="宋体" w:hAnsi="宋体" w:cs="宋体" w:eastAsia="宋体" w:hint="default"/>
                <w:sz w:val="18"/>
                <w:szCs w:val="18"/>
              </w:rPr>
            </w:pPr>
            <w:r>
              <w:rPr>
                <w:rFonts w:ascii="宋体" w:hAnsi="宋体" w:cs="宋体" w:eastAsia="宋体" w:hint="default"/>
                <w:spacing w:val="45"/>
                <w:sz w:val="18"/>
                <w:szCs w:val="18"/>
              </w:rPr>
              <w:t>植物生</w:t>
            </w:r>
            <w:r>
              <w:rPr>
                <w:rFonts w:ascii="宋体" w:hAnsi="宋体" w:cs="宋体" w:eastAsia="宋体" w:hint="default"/>
                <w:spacing w:val="-22"/>
                <w:sz w:val="18"/>
                <w:szCs w:val="18"/>
              </w:rPr>
              <w:t> </w:t>
            </w:r>
            <w:r>
              <w:rPr>
                <w:rFonts w:ascii="宋体" w:hAnsi="宋体" w:cs="宋体" w:eastAsia="宋体" w:hint="default"/>
                <w:spacing w:val="45"/>
                <w:sz w:val="18"/>
                <w:szCs w:val="18"/>
              </w:rPr>
              <w:t>长检测</w:t>
            </w:r>
            <w:r>
              <w:rPr>
                <w:rFonts w:ascii="宋体" w:hAnsi="宋体" w:cs="宋体" w:eastAsia="宋体" w:hint="default"/>
                <w:spacing w:val="-22"/>
                <w:sz w:val="18"/>
                <w:szCs w:val="18"/>
              </w:rPr>
              <w:t> </w:t>
            </w:r>
            <w:r>
              <w:rPr>
                <w:rFonts w:ascii="宋体" w:hAnsi="宋体" w:cs="宋体" w:eastAsia="宋体" w:hint="default"/>
                <w:sz w:val="18"/>
                <w:szCs w:val="18"/>
              </w:rPr>
              <w:t>仪</w:t>
            </w:r>
          </w:p>
        </w:tc>
        <w:tc>
          <w:tcPr>
            <w:tcW w:w="7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657,365.</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657,365.</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657,365.</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94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3" w:right="0"/>
              <w:jc w:val="left"/>
              <w:rPr>
                <w:rFonts w:ascii="Times New Roman" w:hAnsi="Times New Roman" w:cs="Times New Roman" w:eastAsia="Times New Roman" w:hint="default"/>
                <w:sz w:val="18"/>
                <w:szCs w:val="18"/>
              </w:rPr>
            </w:pPr>
            <w:r>
              <w:rPr>
                <w:rFonts w:ascii="Times New Roman"/>
                <w:sz w:val="18"/>
              </w:rPr>
              <w:t>2,328,28</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2,268.98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1" w:right="0"/>
              <w:jc w:val="center"/>
              <w:rPr>
                <w:rFonts w:ascii="Times New Roman" w:hAnsi="Times New Roman" w:cs="Times New Roman" w:eastAsia="Times New Roman" w:hint="default"/>
                <w:sz w:val="18"/>
                <w:szCs w:val="18"/>
              </w:rPr>
            </w:pPr>
            <w:r>
              <w:rPr>
                <w:rFonts w:ascii="Times New Roman"/>
                <w:sz w:val="18"/>
              </w:rPr>
              <w:t>755,189,</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871.45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0" w:right="0"/>
              <w:jc w:val="center"/>
              <w:rPr>
                <w:rFonts w:ascii="Times New Roman" w:hAnsi="Times New Roman" w:cs="Times New Roman" w:eastAsia="Times New Roman" w:hint="default"/>
                <w:sz w:val="18"/>
                <w:szCs w:val="18"/>
              </w:rPr>
            </w:pPr>
            <w:r>
              <w:rPr>
                <w:rFonts w:ascii="Times New Roman"/>
                <w:sz w:val="18"/>
              </w:rPr>
              <w:t>235,924,</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213.73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0" w:right="0"/>
              <w:jc w:val="center"/>
              <w:rPr>
                <w:rFonts w:ascii="Times New Roman" w:hAnsi="Times New Roman" w:cs="Times New Roman" w:eastAsia="Times New Roman" w:hint="default"/>
                <w:sz w:val="18"/>
                <w:szCs w:val="18"/>
              </w:rPr>
            </w:pPr>
            <w:r>
              <w:rPr>
                <w:rFonts w:ascii="Times New Roman"/>
                <w:sz w:val="18"/>
              </w:rPr>
              <w:t>422,130,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281.12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0" w:right="0"/>
              <w:jc w:val="center"/>
              <w:rPr>
                <w:rFonts w:ascii="Times New Roman" w:hAnsi="Times New Roman" w:cs="Times New Roman" w:eastAsia="Times New Roman" w:hint="default"/>
                <w:sz w:val="18"/>
                <w:szCs w:val="18"/>
              </w:rPr>
            </w:pPr>
            <w:r>
              <w:rPr>
                <w:rFonts w:ascii="Times New Roman"/>
                <w:sz w:val="18"/>
              </w:rPr>
              <w:t>568,983,</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804.06</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301"/>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p>
      <w:pPr>
        <w:pStyle w:val="Heading3"/>
        <w:spacing w:line="240" w:lineRule="auto"/>
        <w:ind w:right="0"/>
        <w:jc w:val="left"/>
        <w:rPr>
          <w:b w:val="0"/>
          <w:bCs w:val="0"/>
        </w:rPr>
      </w:pPr>
      <w:bookmarkStart w:name="（3）本期计提在建工程减值准备情况" w:id="276"/>
      <w:bookmarkEnd w:id="276"/>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7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89"/>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BodyText"/>
        <w:spacing w:line="240" w:lineRule="auto" w:before="0"/>
        <w:ind w:left="574" w:right="0"/>
        <w:jc w:val="left"/>
      </w:pPr>
      <w:r>
        <w:rPr/>
        <w:t>（</w:t>
      </w:r>
      <w:r>
        <w:rPr>
          <w:rFonts w:ascii="Times New Roman" w:hAnsi="Times New Roman" w:cs="Times New Roman" w:eastAsia="Times New Roman" w:hint="default"/>
        </w:rPr>
        <w:t>1</w:t>
      </w:r>
      <w:r>
        <w:rPr/>
        <w:t>）期末在建工程中无用于担保、抵押或所有权受限情况。</w:t>
      </w:r>
    </w:p>
    <w:p>
      <w:pPr>
        <w:pStyle w:val="BodyText"/>
        <w:spacing w:line="386" w:lineRule="auto" w:before="177"/>
        <w:ind w:right="0" w:firstLine="420"/>
        <w:jc w:val="left"/>
      </w:pPr>
      <w:r>
        <w:rPr/>
        <w:t>（</w:t>
      </w:r>
      <w:r>
        <w:rPr>
          <w:rFonts w:ascii="Times New Roman" w:hAnsi="Times New Roman" w:cs="Times New Roman" w:eastAsia="Times New Roman" w:hint="default"/>
        </w:rPr>
        <w:t>2</w:t>
      </w:r>
      <w:r>
        <w:rPr/>
        <w:t>）本期转入固定资产和无形资产的在建工程合计金额为</w:t>
      </w:r>
      <w:r>
        <w:rPr>
          <w:rFonts w:ascii="Times New Roman" w:hAnsi="Times New Roman" w:cs="Times New Roman" w:eastAsia="Times New Roman" w:hint="default"/>
        </w:rPr>
        <w:t>422,130,281.12</w:t>
      </w:r>
      <w:r>
        <w:rPr/>
        <w:t>元，其中转入固定资产金 额为</w:t>
      </w:r>
      <w:r>
        <w:rPr>
          <w:rFonts w:ascii="Times New Roman" w:hAnsi="Times New Roman" w:cs="Times New Roman" w:eastAsia="Times New Roman" w:hint="default"/>
        </w:rPr>
        <w:t>353,629,801.52</w:t>
      </w:r>
      <w:r>
        <w:rPr/>
        <w:t>元，转入无形资产金额为</w:t>
      </w:r>
      <w:r>
        <w:rPr>
          <w:rFonts w:ascii="Times New Roman" w:hAnsi="Times New Roman" w:cs="Times New Roman" w:eastAsia="Times New Roman" w:hint="default"/>
        </w:rPr>
        <w:t>68,500,479.60</w:t>
      </w:r>
      <w:r>
        <w:rPr/>
        <w:t>元。</w:t>
      </w:r>
    </w:p>
    <w:p>
      <w:pPr>
        <w:pStyle w:val="Heading3"/>
        <w:spacing w:line="240" w:lineRule="auto" w:before="35"/>
        <w:ind w:right="0"/>
        <w:jc w:val="left"/>
        <w:rPr>
          <w:b w:val="0"/>
          <w:bCs w:val="0"/>
        </w:rPr>
      </w:pPr>
      <w:bookmarkStart w:name="14、生产性生物资产" w:id="277"/>
      <w:bookmarkEnd w:id="277"/>
      <w:r>
        <w:rPr>
          <w:b w:val="0"/>
          <w:bCs w:val="0"/>
        </w:rPr>
      </w:r>
      <w:r>
        <w:rPr>
          <w:rFonts w:ascii="Times New Roman" w:hAnsi="Times New Roman" w:cs="Times New Roman" w:eastAsia="Times New Roman" w:hint="default"/>
        </w:rPr>
        <w:t>14</w:t>
      </w:r>
      <w:r>
        <w:rPr/>
        <w:t>、生产性生物资产</w:t>
      </w:r>
      <w:r>
        <w:rPr>
          <w:b w:val="0"/>
          <w:bCs w:val="0"/>
        </w:rPr>
      </w:r>
    </w:p>
    <w:p>
      <w:pPr>
        <w:pStyle w:val="Heading3"/>
        <w:spacing w:line="240" w:lineRule="auto" w:before="177"/>
        <w:ind w:right="0"/>
        <w:jc w:val="left"/>
        <w:rPr>
          <w:b w:val="0"/>
          <w:bCs w:val="0"/>
        </w:rPr>
      </w:pPr>
      <w:bookmarkStart w:name="（1）采用成本计量模式的生产性生物资产" w:id="278"/>
      <w:bookmarkEnd w:id="278"/>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6"/>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8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34" w:right="0"/>
              <w:jc w:val="left"/>
              <w:rPr>
                <w:rFonts w:ascii="宋体" w:hAnsi="宋体" w:cs="宋体" w:eastAsia="宋体" w:hint="default"/>
                <w:sz w:val="18"/>
                <w:szCs w:val="18"/>
              </w:rPr>
            </w:pPr>
            <w:r>
              <w:rPr>
                <w:rFonts w:ascii="宋体" w:hAnsi="宋体" w:cs="宋体" w:eastAsia="宋体" w:hint="default"/>
                <w:sz w:val="18"/>
                <w:szCs w:val="18"/>
              </w:rPr>
              <w:t>种植业</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41" w:right="0"/>
              <w:jc w:val="left"/>
              <w:rPr>
                <w:rFonts w:ascii="宋体" w:hAnsi="宋体" w:cs="宋体" w:eastAsia="宋体" w:hint="default"/>
                <w:sz w:val="18"/>
                <w:szCs w:val="18"/>
              </w:rPr>
            </w:pPr>
            <w:r>
              <w:rPr>
                <w:rFonts w:ascii="宋体" w:hAnsi="宋体" w:cs="宋体" w:eastAsia="宋体" w:hint="default"/>
                <w:sz w:val="18"/>
                <w:szCs w:val="18"/>
              </w:rPr>
              <w:t>畜牧养殖业</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林业</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23" w:right="0"/>
              <w:jc w:val="left"/>
              <w:rPr>
                <w:rFonts w:ascii="宋体" w:hAnsi="宋体" w:cs="宋体" w:eastAsia="宋体" w:hint="default"/>
                <w:sz w:val="18"/>
                <w:szCs w:val="18"/>
              </w:rPr>
            </w:pPr>
            <w:r>
              <w:rPr>
                <w:rFonts w:ascii="宋体" w:hAnsi="宋体" w:cs="宋体" w:eastAsia="宋体" w:hint="default"/>
                <w:sz w:val="18"/>
                <w:szCs w:val="18"/>
              </w:rPr>
              <w:t>水产业</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34" w:hRule="exact"/>
        </w:trPr>
        <w:tc>
          <w:tcPr>
            <w:tcW w:w="1583" w:type="dxa"/>
            <w:tcBorders>
              <w:top w:val="single" w:sz="4" w:space="0" w:color="000000"/>
              <w:left w:val="single" w:sz="4" w:space="0" w:color="000000"/>
              <w:bottom w:val="nil" w:sz="6" w:space="0" w:color="auto"/>
              <w:right w:val="single" w:sz="13" w:space="0" w:color="E0FFFF"/>
            </w:tcBorders>
            <w:shd w:val="clear" w:color="auto" w:fill="D2D2D2"/>
          </w:tcPr>
          <w:p>
            <w:pPr/>
          </w:p>
        </w:tc>
        <w:tc>
          <w:tcPr>
            <w:tcW w:w="1606" w:type="dxa"/>
            <w:vMerge w:val="restart"/>
            <w:tcBorders>
              <w:top w:val="single" w:sz="4" w:space="0" w:color="000000"/>
              <w:left w:val="single" w:sz="9" w:space="0" w:color="D2D2D2"/>
              <w:right w:val="single" w:sz="4" w:space="0" w:color="000000"/>
            </w:tcBorders>
            <w:shd w:val="clear" w:color="auto" w:fill="E0FFFF"/>
          </w:tcPr>
          <w:p>
            <w:pPr>
              <w:pStyle w:val="TableParagraph"/>
              <w:spacing w:line="240" w:lineRule="auto" w:before="83"/>
              <w:ind w:left="6" w:right="0"/>
              <w:jc w:val="center"/>
              <w:rPr>
                <w:rFonts w:ascii="宋体" w:hAnsi="宋体" w:cs="宋体" w:eastAsia="宋体" w:hint="default"/>
                <w:sz w:val="18"/>
                <w:szCs w:val="18"/>
              </w:rPr>
            </w:pPr>
            <w:r>
              <w:rPr>
                <w:rFonts w:ascii="宋体" w:hAnsi="宋体" w:cs="宋体" w:eastAsia="宋体" w:hint="default"/>
                <w:sz w:val="18"/>
                <w:szCs w:val="18"/>
              </w:rPr>
              <w:t>成熟性生产性生物</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1594" w:type="dxa"/>
            <w:vMerge w:val="restart"/>
            <w:tcBorders>
              <w:top w:val="single" w:sz="4" w:space="0" w:color="000000"/>
              <w:left w:val="single" w:sz="4" w:space="0" w:color="000000"/>
              <w:right w:val="single" w:sz="4" w:space="0" w:color="000000"/>
            </w:tcBorders>
            <w:shd w:val="clear" w:color="auto" w:fill="E0FFFF"/>
          </w:tcPr>
          <w:p>
            <w:pPr/>
          </w:p>
        </w:tc>
        <w:tc>
          <w:tcPr>
            <w:tcW w:w="1594" w:type="dxa"/>
            <w:vMerge w:val="restart"/>
            <w:tcBorders>
              <w:top w:val="single" w:sz="4" w:space="0" w:color="000000"/>
              <w:left w:val="single" w:sz="4" w:space="0" w:color="000000"/>
              <w:right w:val="single" w:sz="4" w:space="0" w:color="000000"/>
            </w:tcBorders>
            <w:shd w:val="clear" w:color="auto" w:fill="E0FFFF"/>
          </w:tcPr>
          <w:p>
            <w:pPr/>
          </w:p>
        </w:tc>
        <w:tc>
          <w:tcPr>
            <w:tcW w:w="1595" w:type="dxa"/>
            <w:vMerge w:val="restart"/>
            <w:tcBorders>
              <w:top w:val="single" w:sz="4" w:space="0" w:color="000000"/>
              <w:left w:val="single" w:sz="4" w:space="0" w:color="000000"/>
              <w:right w:val="single" w:sz="9" w:space="0" w:color="D2D2D2"/>
            </w:tcBorders>
            <w:shd w:val="clear" w:color="auto" w:fill="E0FFFF"/>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468" w:hRule="exact"/>
        </w:trPr>
        <w:tc>
          <w:tcPr>
            <w:tcW w:w="1583" w:type="dxa"/>
            <w:tcBorders>
              <w:top w:val="nil" w:sz="6" w:space="0" w:color="auto"/>
              <w:left w:val="single" w:sz="4" w:space="0" w:color="000000"/>
              <w:bottom w:val="nil" w:sz="6" w:space="0" w:color="auto"/>
              <w:right w:val="single" w:sz="13" w:space="0" w:color="E0FFFF"/>
            </w:tcBorders>
            <w:shd w:val="clear" w:color="auto" w:fill="D2D2D2"/>
          </w:tcPr>
          <w:p>
            <w:pPr/>
          </w:p>
        </w:tc>
        <w:tc>
          <w:tcPr>
            <w:tcW w:w="1606" w:type="dxa"/>
            <w:vMerge/>
            <w:tcBorders>
              <w:left w:val="single" w:sz="9" w:space="0" w:color="D2D2D2"/>
              <w:right w:val="single" w:sz="4" w:space="0" w:color="000000"/>
            </w:tcBorders>
            <w:shd w:val="clear" w:color="auto" w:fill="E0FFFF"/>
          </w:tcPr>
          <w:p>
            <w:pPr/>
          </w:p>
        </w:tc>
        <w:tc>
          <w:tcPr>
            <w:tcW w:w="1594" w:type="dxa"/>
            <w:vMerge/>
            <w:tcBorders>
              <w:left w:val="single" w:sz="4" w:space="0" w:color="000000"/>
              <w:right w:val="single" w:sz="4" w:space="0" w:color="000000"/>
            </w:tcBorders>
            <w:shd w:val="clear" w:color="auto" w:fill="E0FFFF"/>
          </w:tcPr>
          <w:p>
            <w:pPr/>
          </w:p>
        </w:tc>
        <w:tc>
          <w:tcPr>
            <w:tcW w:w="1594" w:type="dxa"/>
            <w:vMerge/>
            <w:tcBorders>
              <w:left w:val="single" w:sz="4" w:space="0" w:color="000000"/>
              <w:right w:val="single" w:sz="4" w:space="0" w:color="000000"/>
            </w:tcBorders>
            <w:shd w:val="clear" w:color="auto" w:fill="E0FFFF"/>
          </w:tcPr>
          <w:p>
            <w:pPr/>
          </w:p>
        </w:tc>
        <w:tc>
          <w:tcPr>
            <w:tcW w:w="1595" w:type="dxa"/>
            <w:vMerge/>
            <w:tcBorders>
              <w:left w:val="single" w:sz="4" w:space="0" w:color="000000"/>
              <w:right w:val="single" w:sz="9" w:space="0" w:color="D2D2D2"/>
            </w:tcBorders>
            <w:shd w:val="clear" w:color="auto" w:fill="E0FFFF"/>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239" w:hRule="exact"/>
        </w:trPr>
        <w:tc>
          <w:tcPr>
            <w:tcW w:w="1583" w:type="dxa"/>
            <w:tcBorders>
              <w:top w:val="nil" w:sz="6" w:space="0" w:color="auto"/>
              <w:left w:val="single" w:sz="4" w:space="0" w:color="000000"/>
              <w:bottom w:val="single" w:sz="4" w:space="0" w:color="000000"/>
              <w:right w:val="single" w:sz="13" w:space="0" w:color="E0FFFF"/>
            </w:tcBorders>
            <w:shd w:val="clear" w:color="auto" w:fill="D2D2D2"/>
          </w:tcPr>
          <w:p>
            <w:pPr/>
          </w:p>
        </w:tc>
        <w:tc>
          <w:tcPr>
            <w:tcW w:w="1606" w:type="dxa"/>
            <w:vMerge/>
            <w:tcBorders>
              <w:left w:val="single" w:sz="9" w:space="0" w:color="D2D2D2"/>
              <w:bottom w:val="single" w:sz="4" w:space="0" w:color="000000"/>
              <w:right w:val="single" w:sz="4" w:space="0" w:color="000000"/>
            </w:tcBorders>
            <w:shd w:val="clear" w:color="auto" w:fill="E0FFFF"/>
          </w:tcPr>
          <w:p>
            <w:pPr/>
          </w:p>
        </w:tc>
        <w:tc>
          <w:tcPr>
            <w:tcW w:w="1594" w:type="dxa"/>
            <w:vMerge/>
            <w:tcBorders>
              <w:left w:val="single" w:sz="4" w:space="0" w:color="000000"/>
              <w:bottom w:val="single" w:sz="4" w:space="0" w:color="000000"/>
              <w:right w:val="single" w:sz="4" w:space="0" w:color="000000"/>
            </w:tcBorders>
            <w:shd w:val="clear" w:color="auto" w:fill="E0FFFF"/>
          </w:tcPr>
          <w:p>
            <w:pPr/>
          </w:p>
        </w:tc>
        <w:tc>
          <w:tcPr>
            <w:tcW w:w="1594" w:type="dxa"/>
            <w:vMerge/>
            <w:tcBorders>
              <w:left w:val="single" w:sz="4" w:space="0" w:color="000000"/>
              <w:bottom w:val="single" w:sz="4" w:space="0" w:color="000000"/>
              <w:right w:val="single" w:sz="4" w:space="0" w:color="000000"/>
            </w:tcBorders>
            <w:shd w:val="clear" w:color="auto" w:fill="E0FFFF"/>
          </w:tcPr>
          <w:p>
            <w:pPr/>
          </w:p>
        </w:tc>
        <w:tc>
          <w:tcPr>
            <w:tcW w:w="1595" w:type="dxa"/>
            <w:vMerge/>
            <w:tcBorders>
              <w:left w:val="single" w:sz="4" w:space="0" w:color="000000"/>
              <w:bottom w:val="single" w:sz="4" w:space="0" w:color="000000"/>
              <w:right w:val="single" w:sz="9" w:space="0" w:color="D2D2D2"/>
            </w:tcBorders>
            <w:shd w:val="clear" w:color="auto" w:fill="E0FFFF"/>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79"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6,415,739.69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自行培育</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6,415,739.69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z w:val="18"/>
              </w:rPr>
              <w:t>641,573.97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641,573.97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641,573.97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78"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1,283,147.94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5,132,591.75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5,774,165.72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40" w:lineRule="auto" w:before="63"/>
        <w:ind w:left="154" w:right="0"/>
        <w:jc w:val="left"/>
        <w:rPr>
          <w:b w:val="0"/>
          <w:bCs w:val="0"/>
        </w:rPr>
      </w:pPr>
      <w:bookmarkStart w:name="（2）采用公允价值计量模式的生产性生物资产" w:id="279"/>
      <w:bookmarkEnd w:id="279"/>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6"/>
        <w:rPr>
          <w:rFonts w:ascii="宋体" w:hAnsi="宋体" w:cs="宋体" w:eastAsia="宋体" w:hint="default"/>
          <w:b/>
          <w:bCs/>
          <w:sz w:val="15"/>
          <w:szCs w:val="1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15、无形资产" w:id="280"/>
      <w:bookmarkEnd w:id="280"/>
      <w:r>
        <w:rPr>
          <w:b w:val="0"/>
          <w:bCs w:val="0"/>
        </w:rPr>
      </w:r>
      <w:r>
        <w:rPr>
          <w:rFonts w:ascii="Times New Roman" w:hAnsi="Times New Roman" w:cs="Times New Roman" w:eastAsia="Times New Roman" w:hint="default"/>
        </w:rPr>
        <w:t>15</w:t>
      </w:r>
      <w:r>
        <w:rPr/>
        <w:t>、无形资产</w:t>
      </w:r>
      <w:r>
        <w:rPr>
          <w:b w:val="0"/>
          <w:bCs w:val="0"/>
        </w:rPr>
      </w:r>
    </w:p>
    <w:p>
      <w:pPr>
        <w:pStyle w:val="Heading3"/>
        <w:spacing w:line="240" w:lineRule="auto" w:before="177"/>
        <w:ind w:left="154" w:right="0"/>
        <w:jc w:val="left"/>
        <w:rPr>
          <w:b w:val="0"/>
          <w:bCs w:val="0"/>
        </w:rPr>
      </w:pPr>
      <w:bookmarkStart w:name="（1）无形资产情况" w:id="281"/>
      <w:bookmarkEnd w:id="281"/>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1173"/>
        <w:gridCol w:w="1207"/>
        <w:gridCol w:w="1196"/>
        <w:gridCol w:w="1197"/>
        <w:gridCol w:w="1195"/>
        <w:gridCol w:w="1197"/>
        <w:gridCol w:w="1196"/>
        <w:gridCol w:w="1195"/>
      </w:tblGrid>
      <w:tr>
        <w:trPr>
          <w:trHeight w:val="478"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5"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88"/>
              <w:ind w:left="220"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88"/>
              <w:ind w:left="143" w:right="0"/>
              <w:jc w:val="left"/>
              <w:rPr>
                <w:rFonts w:ascii="宋体" w:hAnsi="宋体" w:cs="宋体" w:eastAsia="宋体" w:hint="default"/>
                <w:sz w:val="18"/>
                <w:szCs w:val="18"/>
              </w:rPr>
            </w:pPr>
            <w:r>
              <w:rPr>
                <w:rFonts w:ascii="宋体" w:hAnsi="宋体" w:cs="宋体" w:eastAsia="宋体" w:hint="default"/>
                <w:sz w:val="18"/>
                <w:szCs w:val="18"/>
              </w:rPr>
              <w:t>林地使用权</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88"/>
              <w:ind w:left="232"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78"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311,261,825.36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46,789,212.54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9" w:right="0"/>
              <w:jc w:val="left"/>
              <w:rPr>
                <w:rFonts w:ascii="Times New Roman" w:hAnsi="Times New Roman" w:cs="Times New Roman" w:eastAsia="Times New Roman" w:hint="default"/>
                <w:sz w:val="18"/>
                <w:szCs w:val="18"/>
              </w:rPr>
            </w:pPr>
            <w:r>
              <w:rPr>
                <w:rFonts w:ascii="Times New Roman"/>
                <w:sz w:val="18"/>
              </w:rPr>
              <w:t>6,310,000.00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8" w:right="0"/>
              <w:jc w:val="left"/>
              <w:rPr>
                <w:rFonts w:ascii="Times New Roman" w:hAnsi="Times New Roman" w:cs="Times New Roman" w:eastAsia="Times New Roman" w:hint="default"/>
                <w:sz w:val="18"/>
                <w:szCs w:val="18"/>
              </w:rPr>
            </w:pPr>
            <w:r>
              <w:rPr>
                <w:rFonts w:ascii="Times New Roman"/>
                <w:sz w:val="18"/>
              </w:rPr>
              <w:t>1,399,697.16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365,760,735.06</w:t>
            </w:r>
          </w:p>
        </w:tc>
      </w:tr>
      <w:tr>
        <w:trPr>
          <w:trHeight w:val="478"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68,500,479.60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29,798,325.85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8" w:right="0"/>
              <w:jc w:val="left"/>
              <w:rPr>
                <w:rFonts w:ascii="Times New Roman" w:hAnsi="Times New Roman" w:cs="Times New Roman" w:eastAsia="Times New Roman" w:hint="default"/>
                <w:sz w:val="18"/>
                <w:szCs w:val="18"/>
              </w:rPr>
            </w:pPr>
            <w:r>
              <w:rPr>
                <w:rFonts w:ascii="Times New Roman"/>
                <w:sz w:val="18"/>
              </w:rPr>
              <w:t>1,604,082.79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99,902,888.24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478"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68,500,479.60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pacing w:val="-1"/>
                <w:sz w:val="18"/>
              </w:rPr>
              <w:t>1,604,082.79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70,104,562.39</w:t>
            </w:r>
          </w:p>
        </w:tc>
      </w:tr>
      <w:tr>
        <w:trPr>
          <w:trHeight w:val="94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22" w:right="35"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29,798,325.85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29,798,325.85</w:t>
            </w:r>
          </w:p>
        </w:tc>
      </w:tr>
      <w:tr>
        <w:trPr>
          <w:trHeight w:val="94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22" w:right="35"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379,762,304.96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76,587,538.39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6,310,000.00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3,003,779.95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465,663,623.30</w:t>
            </w:r>
          </w:p>
        </w:tc>
      </w:tr>
      <w:tr>
        <w:trPr>
          <w:trHeight w:val="478"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24,856,266.21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25,320,370.37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1,145,147.71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z w:val="18"/>
              </w:rPr>
              <w:t>224,501.44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51,546,285.73</w:t>
            </w:r>
          </w:p>
        </w:tc>
      </w:tr>
      <w:tr>
        <w:trPr>
          <w:trHeight w:val="94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6,958,275.41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5,424,459.81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140,222.16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589,125.52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13,112,082.90</w:t>
            </w:r>
          </w:p>
        </w:tc>
      </w:tr>
      <w:tr>
        <w:trPr>
          <w:trHeight w:val="94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6,958,275.41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5,424,459.81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140,222.16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589,125.52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13,112,082.90</w:t>
            </w:r>
          </w:p>
        </w:tc>
      </w:tr>
      <w:tr>
        <w:trPr>
          <w:trHeight w:val="479"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31,814,541.62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30,744,830.18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1,285,369.87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813,626.96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64,658,368.63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478"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68"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347,947,763.34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45,842,708.21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5,024,630.13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2,190,152.99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8" w:right="0"/>
              <w:jc w:val="left"/>
              <w:rPr>
                <w:rFonts w:ascii="Times New Roman" w:hAnsi="Times New Roman" w:cs="Times New Roman" w:eastAsia="Times New Roman" w:hint="default"/>
                <w:sz w:val="18"/>
                <w:szCs w:val="18"/>
              </w:rPr>
            </w:pPr>
            <w:r>
              <w:rPr>
                <w:rFonts w:ascii="Times New Roman"/>
                <w:sz w:val="18"/>
              </w:rPr>
              <w:t>401,005,254.67</w:t>
            </w:r>
          </w:p>
        </w:tc>
      </w:tr>
      <w:tr>
        <w:trPr>
          <w:trHeight w:val="947"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286,405,559.15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21,468,842.17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5,164,852.29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1,175,195.72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8" w:right="0"/>
              <w:jc w:val="left"/>
              <w:rPr>
                <w:rFonts w:ascii="Times New Roman" w:hAnsi="Times New Roman" w:cs="Times New Roman" w:eastAsia="Times New Roman" w:hint="default"/>
                <w:sz w:val="18"/>
                <w:szCs w:val="18"/>
              </w:rPr>
            </w:pPr>
            <w:r>
              <w:rPr>
                <w:rFonts w:ascii="Times New Roman"/>
                <w:sz w:val="18"/>
              </w:rPr>
              <w:t>314,214,449.33</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line="240" w:lineRule="auto" w:before="11"/>
        <w:rPr>
          <w:rFonts w:ascii="宋体" w:hAnsi="宋体" w:cs="宋体" w:eastAsia="宋体" w:hint="default"/>
          <w:sz w:val="15"/>
          <w:szCs w:val="15"/>
        </w:rPr>
      </w:pPr>
    </w:p>
    <w:p>
      <w:pPr>
        <w:pStyle w:val="Heading3"/>
        <w:spacing w:line="240" w:lineRule="auto"/>
        <w:ind w:right="0"/>
        <w:jc w:val="left"/>
        <w:rPr>
          <w:b w:val="0"/>
          <w:bCs w:val="0"/>
        </w:rPr>
      </w:pPr>
      <w:bookmarkStart w:name="（2）未办妥产权证书的土地使用权情况" w:id="282"/>
      <w:bookmarkEnd w:id="282"/>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BodyText"/>
        <w:spacing w:line="240" w:lineRule="auto" w:before="0"/>
        <w:ind w:right="0"/>
        <w:jc w:val="left"/>
      </w:pPr>
      <w:r>
        <w:rPr/>
        <w:t>（</w:t>
      </w:r>
      <w:r>
        <w:rPr>
          <w:rFonts w:ascii="Times New Roman" w:hAnsi="Times New Roman" w:cs="Times New Roman" w:eastAsia="Times New Roman" w:hint="default"/>
        </w:rPr>
        <w:t>1</w:t>
      </w:r>
      <w:r>
        <w:rPr/>
        <w:t>）本期无形资产摊销金额为</w:t>
      </w:r>
      <w:r>
        <w:rPr>
          <w:rFonts w:ascii="Times New Roman" w:hAnsi="Times New Roman" w:cs="Times New Roman" w:eastAsia="Times New Roman" w:hint="default"/>
        </w:rPr>
        <w:t>1,311.21</w:t>
      </w:r>
      <w:r>
        <w:rPr/>
        <w:t>万元。</w:t>
      </w:r>
    </w:p>
    <w:p>
      <w:pPr>
        <w:pStyle w:val="BodyText"/>
        <w:spacing w:line="240" w:lineRule="auto" w:before="177"/>
        <w:ind w:left="154" w:right="0"/>
        <w:jc w:val="left"/>
      </w:pPr>
      <w:r>
        <w:rPr/>
        <w:t>（</w:t>
      </w:r>
      <w:r>
        <w:rPr>
          <w:rFonts w:ascii="Times New Roman" w:hAnsi="Times New Roman" w:cs="Times New Roman" w:eastAsia="Times New Roman" w:hint="default"/>
        </w:rPr>
        <w:t>2</w:t>
      </w:r>
      <w:r>
        <w:rPr/>
        <w:t>）期末用于抵押的无形资产账面余额为</w:t>
      </w:r>
      <w:r>
        <w:rPr>
          <w:rFonts w:ascii="Times New Roman" w:hAnsi="Times New Roman" w:cs="Times New Roman" w:eastAsia="Times New Roman" w:hint="default"/>
        </w:rPr>
        <w:t>21,610.54</w:t>
      </w:r>
      <w:r>
        <w:rPr/>
        <w:t>万元。</w:t>
      </w:r>
    </w:p>
    <w:p>
      <w:pPr>
        <w:pStyle w:val="BodyText"/>
        <w:spacing w:line="240" w:lineRule="auto" w:before="177"/>
        <w:ind w:right="0"/>
        <w:jc w:val="left"/>
      </w:pPr>
      <w:r>
        <w:rPr/>
        <w:t>（</w:t>
      </w:r>
      <w:r>
        <w:rPr>
          <w:rFonts w:ascii="Times New Roman" w:hAnsi="Times New Roman" w:cs="Times New Roman" w:eastAsia="Times New Roman" w:hint="default"/>
        </w:rPr>
        <w:t>3</w:t>
      </w:r>
      <w:r>
        <w:rPr/>
        <w:t>）本公司通过公司内部开发取得的专有技术资金金额为</w:t>
      </w:r>
      <w:r>
        <w:rPr>
          <w:rFonts w:ascii="Times New Roman" w:hAnsi="Times New Roman" w:cs="Times New Roman" w:eastAsia="Times New Roman" w:hint="default"/>
        </w:rPr>
        <w:t>2,979.83</w:t>
      </w:r>
      <w:r>
        <w:rPr/>
        <w:t>万元。</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16、开发支出" w:id="283"/>
      <w:bookmarkEnd w:id="283"/>
      <w:r>
        <w:rPr>
          <w:b w:val="0"/>
          <w:bCs w:val="0"/>
        </w:rPr>
      </w:r>
      <w:r>
        <w:rPr>
          <w:rFonts w:ascii="Times New Roman" w:hAnsi="Times New Roman" w:cs="Times New Roman" w:eastAsia="Times New Roman" w:hint="default"/>
        </w:rPr>
        <w:t>16</w:t>
      </w:r>
      <w:r>
        <w:rPr/>
        <w:t>、开发支出</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78"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947"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人参基因组</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13,000,000.0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13,000,000.0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88"/>
              <w:ind w:right="106"/>
              <w:jc w:val="center"/>
              <w:rPr>
                <w:rFonts w:ascii="宋体" w:hAnsi="宋体" w:cs="宋体" w:eastAsia="宋体" w:hint="default"/>
                <w:sz w:val="18"/>
                <w:szCs w:val="18"/>
              </w:rPr>
            </w:pPr>
            <w:r>
              <w:rPr>
                <w:rFonts w:ascii="宋体" w:hAnsi="宋体" w:cs="宋体" w:eastAsia="宋体" w:hint="default"/>
                <w:sz w:val="18"/>
                <w:szCs w:val="18"/>
              </w:rPr>
              <w:t>中成药研究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9" w:right="0"/>
              <w:jc w:val="left"/>
              <w:rPr>
                <w:rFonts w:ascii="Times New Roman" w:hAnsi="Times New Roman" w:cs="Times New Roman" w:eastAsia="Times New Roman" w:hint="default"/>
                <w:sz w:val="18"/>
                <w:szCs w:val="18"/>
              </w:rPr>
            </w:pPr>
            <w:r>
              <w:rPr>
                <w:rFonts w:ascii="Times New Roman"/>
                <w:sz w:val="18"/>
              </w:rPr>
              <w:t>443,689.32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400,000.00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843,689.32</w:t>
            </w:r>
          </w:p>
        </w:tc>
      </w:tr>
      <w:tr>
        <w:trPr>
          <w:trHeight w:val="94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基因测序仪</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31,523,567.2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3,479,348.11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16,798,325.8</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14,426,239.4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3,778,350.14</w:t>
            </w:r>
          </w:p>
        </w:tc>
      </w:tr>
      <w:tr>
        <w:trPr>
          <w:trHeight w:val="947"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44,967,256.6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pacing w:val="-1"/>
                <w:sz w:val="18"/>
              </w:rPr>
              <w:t>3,879,348.11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29,798,325.8</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14,426,239.4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4,622,039.46</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Heading3"/>
        <w:spacing w:line="240" w:lineRule="auto"/>
        <w:ind w:right="0"/>
        <w:jc w:val="left"/>
        <w:rPr>
          <w:b w:val="0"/>
          <w:bCs w:val="0"/>
        </w:rPr>
      </w:pPr>
      <w:bookmarkStart w:name="17、商誉" w:id="284"/>
      <w:bookmarkEnd w:id="284"/>
      <w:r>
        <w:rPr>
          <w:b w:val="0"/>
          <w:bCs w:val="0"/>
        </w:rPr>
      </w:r>
      <w:r>
        <w:rPr>
          <w:rFonts w:ascii="Times New Roman" w:hAnsi="Times New Roman" w:cs="Times New Roman" w:eastAsia="Times New Roman" w:hint="default"/>
        </w:rPr>
        <w:t>17</w:t>
      </w:r>
      <w:r>
        <w:rPr/>
        <w:t>、商誉</w:t>
      </w:r>
      <w:r>
        <w:rPr>
          <w:b w:val="0"/>
          <w:bCs w:val="0"/>
        </w:rPr>
      </w:r>
    </w:p>
    <w:p>
      <w:pPr>
        <w:pStyle w:val="Heading3"/>
        <w:spacing w:line="240" w:lineRule="auto" w:before="177"/>
        <w:ind w:left="154" w:right="0"/>
        <w:jc w:val="left"/>
        <w:rPr>
          <w:b w:val="0"/>
          <w:bCs w:val="0"/>
        </w:rPr>
      </w:pPr>
      <w:bookmarkStart w:name="（1）商誉账面原值" w:id="285"/>
      <w:bookmarkEnd w:id="285"/>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4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被投资单位名称</w:t>
            </w:r>
          </w:p>
          <w:p>
            <w:pPr>
              <w:pStyle w:val="TableParagraph"/>
              <w:spacing w:line="460" w:lineRule="atLeast" w:before="8"/>
              <w:ind w:left="48" w:right="47"/>
              <w:jc w:val="center"/>
              <w:rPr>
                <w:rFonts w:ascii="宋体" w:hAnsi="宋体" w:cs="宋体" w:eastAsia="宋体" w:hint="default"/>
                <w:sz w:val="18"/>
                <w:szCs w:val="18"/>
              </w:rPr>
            </w:pPr>
            <w:r>
              <w:rPr>
                <w:rFonts w:ascii="宋体" w:hAnsi="宋体" w:cs="宋体" w:eastAsia="宋体" w:hint="default"/>
                <w:sz w:val="18"/>
                <w:szCs w:val="18"/>
              </w:rPr>
              <w:t>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947"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89"/>
              <w:ind w:left="202" w:right="0"/>
              <w:jc w:val="left"/>
              <w:rPr>
                <w:rFonts w:ascii="宋体" w:hAnsi="宋体" w:cs="宋体" w:eastAsia="宋体" w:hint="default"/>
                <w:sz w:val="18"/>
                <w:szCs w:val="18"/>
              </w:rPr>
            </w:pPr>
            <w:r>
              <w:rPr>
                <w:rFonts w:ascii="宋体" w:hAnsi="宋体" w:cs="宋体" w:eastAsia="宋体" w:hint="default"/>
                <w:sz w:val="18"/>
                <w:szCs w:val="18"/>
              </w:rPr>
              <w:t>非同一控制下</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3,823,945.58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3,823,945.58</w:t>
            </w:r>
          </w:p>
        </w:tc>
      </w:tr>
      <w:tr>
        <w:trPr>
          <w:trHeight w:val="47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3,823,945.58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3,823,945.58</w:t>
            </w:r>
          </w:p>
        </w:tc>
      </w:tr>
    </w:tbl>
    <w:p>
      <w:pPr>
        <w:pStyle w:val="Heading3"/>
        <w:spacing w:line="240" w:lineRule="auto" w:before="63"/>
        <w:ind w:left="154" w:right="0"/>
        <w:jc w:val="left"/>
        <w:rPr>
          <w:b w:val="0"/>
          <w:bCs w:val="0"/>
        </w:rPr>
      </w:pPr>
      <w:bookmarkStart w:name="（2）商誉减值准备" w:id="286"/>
      <w:bookmarkEnd w:id="286"/>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4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89"/>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w:t>
            </w:r>
          </w:p>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477" w:lineRule="auto" w:before="88"/>
        <w:ind w:left="154" w:right="6072"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 其他说明</w:t>
      </w:r>
    </w:p>
    <w:p>
      <w:pPr>
        <w:spacing w:after="0" w:line="47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18、递延所得税资产/递延所得税负债" w:id="287"/>
      <w:bookmarkEnd w:id="287"/>
      <w:r>
        <w:rPr>
          <w:b w:val="0"/>
          <w:bCs w:val="0"/>
        </w:rPr>
      </w: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pStyle w:val="Heading3"/>
        <w:spacing w:line="240" w:lineRule="auto" w:before="177"/>
        <w:ind w:right="0"/>
        <w:jc w:val="left"/>
        <w:rPr>
          <w:b w:val="0"/>
          <w:bCs w:val="0"/>
        </w:rPr>
      </w:pPr>
      <w:bookmarkStart w:name="（1）未经抵销的递延所得税资产" w:id="288"/>
      <w:bookmarkEnd w:id="288"/>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44"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35"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33"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4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7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81,511,370.34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14,828,926.82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45,440,415.33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6,816,062.31</w:t>
            </w:r>
          </w:p>
        </w:tc>
      </w:tr>
      <w:tr>
        <w:trPr>
          <w:trHeight w:val="47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6,168,537.40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1,233,707.48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5,863,581.85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1,172,716.37</w:t>
            </w:r>
          </w:p>
        </w:tc>
      </w:tr>
      <w:tr>
        <w:trPr>
          <w:trHeight w:val="479"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87,679,907.74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16,062,634.30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51,303,997.18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7,988,778.68</w:t>
            </w:r>
          </w:p>
        </w:tc>
      </w:tr>
    </w:tbl>
    <w:p>
      <w:pPr>
        <w:pStyle w:val="Heading3"/>
        <w:spacing w:line="240" w:lineRule="auto" w:before="63"/>
        <w:ind w:left="154" w:right="0"/>
        <w:jc w:val="left"/>
        <w:rPr>
          <w:b w:val="0"/>
          <w:bCs w:val="0"/>
        </w:rPr>
      </w:pPr>
      <w:bookmarkStart w:name="（2）未经抵销的递延所得税负债" w:id="289"/>
      <w:bookmarkEnd w:id="289"/>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78"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78"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3,260,888.88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489,133.33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3,485,777.80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522,866.67</w:t>
            </w:r>
          </w:p>
        </w:tc>
      </w:tr>
      <w:tr>
        <w:trPr>
          <w:trHeight w:val="47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3,260,888.88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489,133.33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3,485,777.80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522,866.67</w:t>
            </w:r>
          </w:p>
        </w:tc>
      </w:tr>
    </w:tbl>
    <w:p>
      <w:pPr>
        <w:pStyle w:val="Heading3"/>
        <w:spacing w:line="240" w:lineRule="auto" w:before="63"/>
        <w:ind w:left="154" w:right="0"/>
        <w:jc w:val="left"/>
        <w:rPr>
          <w:b w:val="0"/>
          <w:bCs w:val="0"/>
        </w:rPr>
      </w:pPr>
      <w:bookmarkStart w:name="（3）未确认递延所得税资产明细" w:id="290"/>
      <w:bookmarkEnd w:id="290"/>
      <w:r>
        <w:rPr>
          <w:b w:val="0"/>
          <w:bCs w:val="0"/>
        </w:rPr>
      </w: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2"/>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7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3,533,096.24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21,199,257.75</w:t>
            </w:r>
          </w:p>
        </w:tc>
      </w:tr>
      <w:tr>
        <w:trPr>
          <w:trHeight w:val="47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122,228,822.25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163,047,523.46</w:t>
            </w:r>
          </w:p>
        </w:tc>
      </w:tr>
      <w:tr>
        <w:trPr>
          <w:trHeight w:val="47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125,761,918.49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184,246,781.21</w:t>
            </w:r>
          </w:p>
        </w:tc>
      </w:tr>
    </w:tbl>
    <w:p>
      <w:pPr>
        <w:pStyle w:val="Heading3"/>
        <w:spacing w:line="240" w:lineRule="auto" w:before="63"/>
        <w:ind w:left="154" w:right="0"/>
        <w:jc w:val="left"/>
        <w:rPr>
          <w:b w:val="0"/>
          <w:bCs w:val="0"/>
        </w:rPr>
      </w:pPr>
      <w:bookmarkStart w:name="（4）未确认递延所得税资产的可抵扣亏损将于以下年度到期" w:id="291"/>
      <w:bookmarkEnd w:id="291"/>
      <w:r>
        <w:rPr>
          <w:b w:val="0"/>
          <w:bCs w:val="0"/>
        </w:rPr>
      </w: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78"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7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8,418,149.58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8,418,149.58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17,800,317.90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18,046,715.73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29,872,393.19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58,513,331.11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39,919,494.10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78,069,327.04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26,218,467.48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122,228,822.25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163,047,523.46</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Heading3"/>
        <w:spacing w:line="240" w:lineRule="auto"/>
        <w:ind w:right="0"/>
        <w:jc w:val="left"/>
        <w:rPr>
          <w:b w:val="0"/>
          <w:bCs w:val="0"/>
        </w:rPr>
      </w:pPr>
      <w:bookmarkStart w:name="19、其他非流动资产" w:id="292"/>
      <w:bookmarkEnd w:id="292"/>
      <w:r>
        <w:rPr>
          <w:b w:val="0"/>
          <w:bCs w:val="0"/>
        </w:rPr>
      </w:r>
      <w:r>
        <w:rPr>
          <w:rFonts w:ascii="Times New Roman" w:hAnsi="Times New Roman" w:cs="Times New Roman" w:eastAsia="Times New Roman" w:hint="default"/>
        </w:rPr>
        <w:t>19</w:t>
      </w:r>
      <w:r>
        <w:rPr/>
        <w:t>、其他非流动资产</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预付工程款项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7,140,089.50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11,004,851.55</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13,629,225.27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20,769,314.77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11,004,851.55</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BodyText"/>
        <w:spacing w:line="240" w:lineRule="auto" w:before="0"/>
        <w:ind w:left="565" w:right="0"/>
        <w:jc w:val="left"/>
      </w:pPr>
      <w:r>
        <w:rPr/>
        <w:t>本期预付账款增加的主要原因为公司购买设备尚未收到货物所致。</w:t>
      </w:r>
    </w:p>
    <w:p>
      <w:pPr>
        <w:spacing w:line="240" w:lineRule="auto" w:before="10"/>
        <w:rPr>
          <w:rFonts w:ascii="宋体" w:hAnsi="宋体" w:cs="宋体" w:eastAsia="宋体" w:hint="default"/>
          <w:sz w:val="14"/>
          <w:szCs w:val="14"/>
        </w:rPr>
      </w:pPr>
    </w:p>
    <w:p>
      <w:pPr>
        <w:pStyle w:val="Heading3"/>
        <w:spacing w:line="240" w:lineRule="auto"/>
        <w:ind w:left="154" w:right="0"/>
        <w:jc w:val="left"/>
        <w:rPr>
          <w:b w:val="0"/>
          <w:bCs w:val="0"/>
        </w:rPr>
      </w:pPr>
      <w:bookmarkStart w:name="20、短期借款" w:id="293"/>
      <w:bookmarkEnd w:id="293"/>
      <w:r>
        <w:rPr>
          <w:b w:val="0"/>
          <w:bCs w:val="0"/>
        </w:rPr>
      </w:r>
      <w:r>
        <w:rPr>
          <w:rFonts w:ascii="Times New Roman" w:hAnsi="Times New Roman" w:cs="Times New Roman" w:eastAsia="Times New Roman" w:hint="default"/>
        </w:rPr>
        <w:t>20</w:t>
      </w:r>
      <w:r>
        <w:rPr/>
        <w:t>、短期借款</w:t>
      </w:r>
      <w:r>
        <w:rPr>
          <w:b w:val="0"/>
          <w:bCs w:val="0"/>
        </w:rPr>
      </w:r>
    </w:p>
    <w:p>
      <w:pPr>
        <w:pStyle w:val="Heading3"/>
        <w:spacing w:line="240" w:lineRule="auto" w:before="177"/>
        <w:ind w:left="154" w:right="0"/>
        <w:jc w:val="left"/>
        <w:rPr>
          <w:b w:val="0"/>
          <w:bCs w:val="0"/>
        </w:rPr>
      </w:pPr>
      <w:bookmarkStart w:name="（1）短期借款分类" w:id="294"/>
      <w:bookmarkEnd w:id="294"/>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7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1,020,000,000.00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581,000,000.00</w:t>
            </w:r>
          </w:p>
        </w:tc>
      </w:tr>
      <w:tr>
        <w:trPr>
          <w:trHeight w:val="47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376,000,000.00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406,000,000.00</w:t>
            </w:r>
          </w:p>
        </w:tc>
      </w:tr>
      <w:tr>
        <w:trPr>
          <w:trHeight w:val="47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1,595,000,000.00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990,000,000.00</w:t>
            </w:r>
          </w:p>
        </w:tc>
      </w:tr>
      <w:tr>
        <w:trPr>
          <w:trHeight w:val="47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2,991,000,000.00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1,977,000,000.00</w:t>
            </w:r>
          </w:p>
        </w:tc>
      </w:tr>
    </w:tbl>
    <w:p>
      <w:pPr>
        <w:spacing w:line="477" w:lineRule="auto" w:before="88"/>
        <w:ind w:left="154" w:right="8952" w:firstLine="0"/>
        <w:jc w:val="left"/>
        <w:rPr>
          <w:rFonts w:ascii="宋体" w:hAnsi="宋体" w:cs="宋体" w:eastAsia="宋体" w:hint="default"/>
          <w:sz w:val="18"/>
          <w:szCs w:val="18"/>
        </w:rPr>
      </w:pPr>
      <w:r>
        <w:rPr>
          <w:rFonts w:ascii="宋体" w:hAnsi="宋体" w:cs="宋体" w:eastAsia="宋体" w:hint="default"/>
          <w:sz w:val="18"/>
          <w:szCs w:val="18"/>
        </w:rPr>
        <w:t>短期借款分类的说明： 无</w:t>
      </w:r>
    </w:p>
    <w:p>
      <w:pPr>
        <w:pStyle w:val="Heading3"/>
        <w:spacing w:line="240" w:lineRule="auto" w:before="29"/>
        <w:ind w:left="154" w:right="0"/>
        <w:jc w:val="left"/>
        <w:rPr>
          <w:b w:val="0"/>
          <w:bCs w:val="0"/>
        </w:rPr>
      </w:pPr>
      <w:bookmarkStart w:name="（2）已逾期未偿还的短期借款情况" w:id="295"/>
      <w:bookmarkEnd w:id="295"/>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6"/>
        <w:rPr>
          <w:rFonts w:ascii="宋体" w:hAnsi="宋体" w:cs="宋体" w:eastAsia="宋体" w:hint="default"/>
          <w:b/>
          <w:bCs/>
          <w:sz w:val="15"/>
          <w:szCs w:val="15"/>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line="240" w:lineRule="auto" w:before="5"/>
        <w:rPr>
          <w:rFonts w:ascii="宋体" w:hAnsi="宋体" w:cs="宋体" w:eastAsia="宋体" w:hint="default"/>
          <w:sz w:val="14"/>
          <w:szCs w:val="1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7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BodyText"/>
        <w:spacing w:line="240" w:lineRule="auto" w:before="0"/>
        <w:ind w:left="565" w:right="0"/>
        <w:jc w:val="left"/>
      </w:pPr>
      <w:r>
        <w:rPr/>
        <w:t>（</w:t>
      </w:r>
      <w:r>
        <w:rPr>
          <w:rFonts w:ascii="Times New Roman" w:hAnsi="Times New Roman" w:cs="Times New Roman" w:eastAsia="Times New Roman" w:hint="default"/>
        </w:rPr>
        <w:t>1</w:t>
      </w:r>
      <w:r>
        <w:rPr/>
        <w:t>）上述质押借款</w:t>
      </w:r>
      <w:r>
        <w:rPr>
          <w:rFonts w:ascii="Times New Roman" w:hAnsi="Times New Roman" w:cs="Times New Roman" w:eastAsia="Times New Roman" w:hint="default"/>
        </w:rPr>
        <w:t>102,000</w:t>
      </w:r>
      <w:r>
        <w:rPr/>
        <w:t>万元分别由本公司大股东敦化市康平投资有限责任公司将其持有的本公司</w:t>
      </w:r>
    </w:p>
    <w:p>
      <w:pPr>
        <w:pStyle w:val="BodyText"/>
        <w:spacing w:line="240" w:lineRule="auto" w:before="177"/>
        <w:ind w:right="0"/>
        <w:jc w:val="left"/>
      </w:pPr>
      <w:r>
        <w:rPr>
          <w:rFonts w:ascii="Times New Roman" w:hAnsi="Times New Roman" w:cs="Times New Roman" w:eastAsia="Times New Roman" w:hint="default"/>
        </w:rPr>
        <w:t>7,000</w:t>
      </w:r>
      <w:r>
        <w:rPr/>
        <w:t>万股质押，本公司存货人参（干品）</w:t>
      </w:r>
      <w:r>
        <w:rPr>
          <w:rFonts w:ascii="Times New Roman" w:hAnsi="Times New Roman" w:cs="Times New Roman" w:eastAsia="Times New Roman" w:hint="default"/>
        </w:rPr>
        <w:t>1,346.58</w:t>
      </w:r>
      <w:r>
        <w:rPr/>
        <w:t>吨提供质押。</w:t>
      </w:r>
    </w:p>
    <w:p>
      <w:pPr>
        <w:pStyle w:val="BodyText"/>
        <w:spacing w:line="386" w:lineRule="auto" w:before="177"/>
        <w:ind w:right="1093" w:firstLine="411"/>
        <w:jc w:val="left"/>
      </w:pPr>
      <w:r>
        <w:rPr>
          <w:spacing w:val="-2"/>
        </w:rPr>
        <w:t>（</w:t>
      </w:r>
      <w:r>
        <w:rPr>
          <w:rFonts w:ascii="Times New Roman" w:hAnsi="Times New Roman" w:cs="Times New Roman" w:eastAsia="Times New Roman" w:hint="default"/>
          <w:spacing w:val="-2"/>
        </w:rPr>
        <w:t>2</w:t>
      </w:r>
      <w:r>
        <w:rPr>
          <w:spacing w:val="-2"/>
        </w:rPr>
        <w:t>）上述抵押借款</w:t>
      </w:r>
      <w:r>
        <w:rPr>
          <w:rFonts w:ascii="Times New Roman" w:hAnsi="Times New Roman" w:cs="Times New Roman" w:eastAsia="Times New Roman" w:hint="default"/>
          <w:spacing w:val="-2"/>
        </w:rPr>
        <w:t>37,600</w:t>
      </w:r>
      <w:r>
        <w:rPr>
          <w:spacing w:val="-2"/>
        </w:rPr>
        <w:t>万元由本公司及子公司吉林紫鑫般若药业有限公司、吉林草还丹药业有限公</w:t>
      </w:r>
      <w:r>
        <w:rPr/>
        <w:t> 司、吉林紫鑫初元药业有限公司、吉林紫鑫高科技功能食品有限公司以房屋产权及土地使用权提供抵押。</w:t>
      </w:r>
    </w:p>
    <w:p>
      <w:pPr>
        <w:pStyle w:val="BodyText"/>
        <w:spacing w:line="240" w:lineRule="auto" w:before="65"/>
        <w:ind w:left="565" w:right="0"/>
        <w:jc w:val="left"/>
      </w:pPr>
      <w:r>
        <w:rPr/>
        <w:t>（</w:t>
      </w:r>
      <w:r>
        <w:rPr>
          <w:rFonts w:ascii="Times New Roman" w:hAnsi="Times New Roman" w:cs="Times New Roman" w:eastAsia="Times New Roman" w:hint="default"/>
        </w:rPr>
        <w:t>3</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日止，上述短期借款中无逾期的借款。</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21、应付票据" w:id="296"/>
      <w:bookmarkEnd w:id="296"/>
      <w:r>
        <w:rPr>
          <w:b w:val="0"/>
          <w:bCs w:val="0"/>
        </w:rPr>
      </w:r>
      <w:r>
        <w:rPr>
          <w:rFonts w:ascii="Times New Roman" w:hAnsi="Times New Roman" w:cs="Times New Roman" w:eastAsia="Times New Roman" w:hint="default"/>
        </w:rPr>
        <w:t>21</w:t>
      </w:r>
      <w:r>
        <w:rPr/>
        <w:t>、应付票据</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7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14"/>
          <w:szCs w:val="14"/>
        </w:rPr>
      </w:pPr>
    </w:p>
    <w:p>
      <w:pPr>
        <w:pStyle w:val="Heading3"/>
        <w:spacing w:line="240" w:lineRule="auto"/>
        <w:ind w:left="154" w:right="0"/>
        <w:jc w:val="left"/>
        <w:rPr>
          <w:b w:val="0"/>
          <w:bCs w:val="0"/>
        </w:rPr>
      </w:pPr>
      <w:bookmarkStart w:name="22、应付账款" w:id="297"/>
      <w:bookmarkEnd w:id="297"/>
      <w:r>
        <w:rPr>
          <w:b w:val="0"/>
          <w:bCs w:val="0"/>
        </w:rPr>
      </w:r>
      <w:r>
        <w:rPr>
          <w:rFonts w:ascii="Times New Roman" w:hAnsi="Times New Roman" w:cs="Times New Roman" w:eastAsia="Times New Roman" w:hint="default"/>
        </w:rPr>
        <w:t>22</w:t>
      </w:r>
      <w:r>
        <w:rPr/>
        <w:t>、应付账款</w:t>
      </w:r>
      <w:r>
        <w:rPr>
          <w:b w:val="0"/>
          <w:bCs w:val="0"/>
        </w:rPr>
      </w:r>
    </w:p>
    <w:p>
      <w:pPr>
        <w:pStyle w:val="Heading3"/>
        <w:spacing w:line="240" w:lineRule="auto" w:before="177"/>
        <w:ind w:left="154" w:right="0"/>
        <w:jc w:val="left"/>
        <w:rPr>
          <w:b w:val="0"/>
          <w:bCs w:val="0"/>
        </w:rPr>
      </w:pPr>
      <w:bookmarkStart w:name="（1）应付账款列示" w:id="298"/>
      <w:bookmarkEnd w:id="298"/>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218,225,898.54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76,316,980.94</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9,447,161.92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12,423,912.53</w:t>
            </w:r>
          </w:p>
        </w:tc>
      </w:tr>
      <w:tr>
        <w:trPr>
          <w:trHeight w:val="47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8,606,030.71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10,604,214.29</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22,184,405.69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14,720,479.10</w:t>
            </w:r>
          </w:p>
        </w:tc>
      </w:tr>
      <w:tr>
        <w:trPr>
          <w:trHeight w:val="47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258,463,496.86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114,065,586.86</w:t>
            </w:r>
          </w:p>
        </w:tc>
      </w:tr>
    </w:tbl>
    <w:p>
      <w:pPr>
        <w:pStyle w:val="Heading3"/>
        <w:spacing w:line="240" w:lineRule="auto" w:before="63"/>
        <w:ind w:left="154" w:right="0"/>
        <w:jc w:val="left"/>
        <w:rPr>
          <w:b w:val="0"/>
          <w:bCs w:val="0"/>
        </w:rPr>
      </w:pPr>
      <w:bookmarkStart w:name="（2）账龄超过1年的重要应付账款" w:id="299"/>
      <w:bookmarkEnd w:id="29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BodyText"/>
        <w:spacing w:line="240" w:lineRule="auto" w:before="0"/>
        <w:ind w:left="574" w:right="0"/>
        <w:jc w:val="left"/>
      </w:pPr>
      <w:r>
        <w:rPr/>
        <w:t>（</w:t>
      </w:r>
      <w:r>
        <w:rPr>
          <w:rFonts w:ascii="Times New Roman" w:hAnsi="Times New Roman" w:cs="Times New Roman" w:eastAsia="Times New Roman" w:hint="default"/>
        </w:rPr>
        <w:t>1</w:t>
      </w:r>
      <w:r>
        <w:rPr/>
        <w:t>）应付账款期末余额中无账龄超过一年的大额应付款项。</w:t>
      </w:r>
    </w:p>
    <w:p>
      <w:pPr>
        <w:pStyle w:val="BodyText"/>
        <w:spacing w:line="386" w:lineRule="auto" w:before="177"/>
        <w:ind w:left="154" w:right="1127" w:firstLine="420"/>
        <w:jc w:val="left"/>
      </w:pPr>
      <w:r>
        <w:rPr/>
        <w:t>（</w:t>
      </w:r>
      <w:r>
        <w:rPr>
          <w:rFonts w:ascii="Times New Roman" w:hAnsi="Times New Roman" w:cs="Times New Roman" w:eastAsia="Times New Roman" w:hint="default"/>
        </w:rPr>
        <w:t>2</w:t>
      </w:r>
      <w:r>
        <w:rPr/>
        <w:t>）期末余额中无持有本公司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以上表决权股份的股东单位或关联方单位的款项；无应付其 他关联方的款项。</w:t>
      </w:r>
    </w:p>
    <w:p>
      <w:pPr>
        <w:pStyle w:val="Heading3"/>
        <w:spacing w:line="240" w:lineRule="auto" w:before="65"/>
        <w:ind w:left="154" w:right="0"/>
        <w:jc w:val="left"/>
        <w:rPr>
          <w:b w:val="0"/>
          <w:bCs w:val="0"/>
        </w:rPr>
      </w:pPr>
      <w:bookmarkStart w:name="23、预收款项" w:id="300"/>
      <w:bookmarkEnd w:id="300"/>
      <w:r>
        <w:rPr>
          <w:b w:val="0"/>
          <w:bCs w:val="0"/>
        </w:rPr>
      </w:r>
      <w:r>
        <w:rPr>
          <w:rFonts w:ascii="Times New Roman" w:hAnsi="Times New Roman" w:cs="Times New Roman" w:eastAsia="Times New Roman" w:hint="default"/>
        </w:rPr>
        <w:t>23</w:t>
      </w:r>
      <w:r>
        <w:rPr/>
        <w:t>、预收款项</w:t>
      </w:r>
      <w:r>
        <w:rPr>
          <w:b w:val="0"/>
          <w:bCs w:val="0"/>
        </w:rPr>
      </w:r>
    </w:p>
    <w:p>
      <w:pPr>
        <w:pStyle w:val="Heading3"/>
        <w:spacing w:line="240" w:lineRule="auto" w:before="177"/>
        <w:ind w:left="154" w:right="0"/>
        <w:jc w:val="left"/>
        <w:rPr>
          <w:b w:val="0"/>
          <w:bCs w:val="0"/>
        </w:rPr>
      </w:pPr>
      <w:bookmarkStart w:name="（1）预收款项列示" w:id="301"/>
      <w:bookmarkEnd w:id="301"/>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6"/>
        <w:rPr>
          <w:rFonts w:ascii="宋体" w:hAnsi="宋体" w:cs="宋体" w:eastAsia="宋体" w:hint="default"/>
          <w:b/>
          <w:bCs/>
          <w:sz w:val="15"/>
          <w:szCs w:val="15"/>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7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58,206,379.26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9,498,455.18</w:t>
            </w:r>
          </w:p>
        </w:tc>
      </w:tr>
      <w:tr>
        <w:trPr>
          <w:trHeight w:val="47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1,960,066.17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242,908.50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121,586.00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27,830.90</w:t>
            </w:r>
          </w:p>
        </w:tc>
      </w:tr>
      <w:tr>
        <w:trPr>
          <w:trHeight w:val="47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60,288,031.43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9,769,194.58</w:t>
            </w:r>
          </w:p>
        </w:tc>
      </w:tr>
    </w:tbl>
    <w:p>
      <w:pPr>
        <w:pStyle w:val="Heading3"/>
        <w:spacing w:line="240" w:lineRule="auto" w:before="63"/>
        <w:ind w:left="154" w:right="0"/>
        <w:jc w:val="left"/>
        <w:rPr>
          <w:b w:val="0"/>
          <w:bCs w:val="0"/>
        </w:rPr>
      </w:pPr>
      <w:bookmarkStart w:name="（2）账龄超过1年的重要预收款项" w:id="302"/>
      <w:bookmarkEnd w:id="30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Heading3"/>
        <w:spacing w:line="240" w:lineRule="auto" w:before="63"/>
        <w:ind w:left="154" w:right="0"/>
        <w:jc w:val="left"/>
        <w:rPr>
          <w:b w:val="0"/>
          <w:bCs w:val="0"/>
        </w:rPr>
      </w:pPr>
      <w:bookmarkStart w:name="（3）期末建造合同形成的已结算未完工项目情况" w:id="303"/>
      <w:bookmarkEnd w:id="303"/>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78"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89"/>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BodyText"/>
        <w:spacing w:line="240" w:lineRule="auto" w:before="0"/>
        <w:ind w:left="574" w:right="0"/>
        <w:jc w:val="left"/>
      </w:pPr>
      <w:r>
        <w:rPr/>
        <w:t>（</w:t>
      </w:r>
      <w:r>
        <w:rPr>
          <w:rFonts w:ascii="Times New Roman" w:hAnsi="Times New Roman" w:cs="Times New Roman" w:eastAsia="Times New Roman" w:hint="default"/>
        </w:rPr>
        <w:t>1</w:t>
      </w:r>
      <w:r>
        <w:rPr/>
        <w:t>）预收款项期末余额中无账龄超过一年的大额预收款项。</w:t>
      </w:r>
    </w:p>
    <w:p>
      <w:pPr>
        <w:pStyle w:val="BodyText"/>
        <w:spacing w:line="386" w:lineRule="auto" w:before="177"/>
        <w:ind w:right="1128" w:firstLine="420"/>
        <w:jc w:val="left"/>
      </w:pPr>
      <w:r>
        <w:rPr/>
        <w:t>（</w:t>
      </w:r>
      <w:r>
        <w:rPr>
          <w:rFonts w:ascii="Times New Roman" w:hAnsi="Times New Roman" w:cs="Times New Roman" w:eastAsia="Times New Roman" w:hint="default"/>
        </w:rPr>
        <w:t>2</w:t>
      </w:r>
      <w:r>
        <w:rPr/>
        <w:t>）期末余额中无持有本公司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以上表决权股份的股东单位或关联方单位的款项；无预收其 他关联方的款项。</w:t>
      </w:r>
    </w:p>
    <w:p>
      <w:pPr>
        <w:pStyle w:val="Heading3"/>
        <w:spacing w:line="240" w:lineRule="auto" w:before="65"/>
        <w:ind w:right="0"/>
        <w:jc w:val="left"/>
        <w:rPr>
          <w:b w:val="0"/>
          <w:bCs w:val="0"/>
        </w:rPr>
      </w:pPr>
      <w:bookmarkStart w:name="24、应付职工薪酬" w:id="304"/>
      <w:bookmarkEnd w:id="304"/>
      <w:r>
        <w:rPr>
          <w:b w:val="0"/>
          <w:bCs w:val="0"/>
        </w:rPr>
      </w:r>
      <w:r>
        <w:rPr>
          <w:rFonts w:ascii="Times New Roman" w:hAnsi="Times New Roman" w:cs="Times New Roman" w:eastAsia="Times New Roman" w:hint="default"/>
        </w:rPr>
        <w:t>24</w:t>
      </w:r>
      <w:r>
        <w:rPr/>
        <w:t>、应付职工薪酬</w:t>
      </w:r>
      <w:r>
        <w:rPr>
          <w:b w:val="0"/>
          <w:bCs w:val="0"/>
        </w:rPr>
      </w:r>
    </w:p>
    <w:p>
      <w:pPr>
        <w:pStyle w:val="Heading3"/>
        <w:spacing w:line="240" w:lineRule="auto" w:before="177"/>
        <w:ind w:left="154" w:right="0"/>
        <w:jc w:val="left"/>
        <w:rPr>
          <w:b w:val="0"/>
          <w:bCs w:val="0"/>
        </w:rPr>
      </w:pPr>
      <w:bookmarkStart w:name="（1）应付职工薪酬列示" w:id="305"/>
      <w:bookmarkEnd w:id="305"/>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7"/>
        <w:rPr>
          <w:rFonts w:ascii="宋体" w:hAnsi="宋体" w:cs="宋体" w:eastAsia="宋体" w:hint="default"/>
          <w:b/>
          <w:bCs/>
          <w:sz w:val="15"/>
          <w:szCs w:val="15"/>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7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451,064.99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2"/>
                <w:sz w:val="18"/>
              </w:rPr>
              <w:t>113,119,403.39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112,165,070.03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1,405,398.35</w:t>
            </w:r>
          </w:p>
        </w:tc>
      </w:tr>
      <w:tr>
        <w:trPr>
          <w:trHeight w:val="947"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9"/>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77,281.10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14,531,715.32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14,527,910.71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81,085.71</w:t>
            </w:r>
          </w:p>
        </w:tc>
      </w:tr>
      <w:tr>
        <w:trPr>
          <w:trHeight w:val="47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33,500.00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33,500.00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528,346.09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127,684,618.71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126,726,480.74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1,486,484.06</w:t>
            </w:r>
          </w:p>
        </w:tc>
      </w:tr>
    </w:tbl>
    <w:p>
      <w:pPr>
        <w:pStyle w:val="Heading3"/>
        <w:spacing w:line="240" w:lineRule="auto" w:before="63"/>
        <w:ind w:left="154" w:right="0"/>
        <w:jc w:val="left"/>
        <w:rPr>
          <w:b w:val="0"/>
          <w:bCs w:val="0"/>
        </w:rPr>
      </w:pPr>
      <w:bookmarkStart w:name="（2）短期薪酬列示" w:id="306"/>
      <w:bookmarkEnd w:id="306"/>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7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94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1,085.60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94,979,818.07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94,099,165.26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881,738.41</w:t>
            </w:r>
          </w:p>
        </w:tc>
      </w:tr>
      <w:tr>
        <w:trPr>
          <w:trHeight w:val="47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2,837,590.74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2,837,590.74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37,159.22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5,530,388.24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5,528,582.44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38,965.02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7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34,377.80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4,647,372.05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4,647,120.23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34,629.62</w:t>
            </w:r>
          </w:p>
        </w:tc>
      </w:tr>
      <w:tr>
        <w:trPr>
          <w:trHeight w:val="47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927.14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506,562.39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506,044.30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1,445.23</w:t>
            </w:r>
          </w:p>
        </w:tc>
      </w:tr>
      <w:tr>
        <w:trPr>
          <w:trHeight w:val="47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1,854.28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376,453.80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375,417.91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2,890.17</w:t>
            </w:r>
          </w:p>
        </w:tc>
      </w:tr>
      <w:tr>
        <w:trPr>
          <w:trHeight w:val="47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38,227.00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5,108,494.34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5,144,530.34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2,191.00</w:t>
            </w:r>
          </w:p>
        </w:tc>
      </w:tr>
      <w:tr>
        <w:trPr>
          <w:trHeight w:val="947"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9"/>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374,593.17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4,663,112.00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4,555,201.25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482,503.92</w:t>
            </w:r>
          </w:p>
        </w:tc>
      </w:tr>
      <w:tr>
        <w:trPr>
          <w:trHeight w:val="47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451,064.99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2"/>
                <w:sz w:val="18"/>
              </w:rPr>
              <w:t>113,119,403.39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112,165,070.03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1,405,398.35</w:t>
            </w:r>
          </w:p>
        </w:tc>
      </w:tr>
    </w:tbl>
    <w:p>
      <w:pPr>
        <w:pStyle w:val="Heading3"/>
        <w:spacing w:line="240" w:lineRule="auto" w:before="63"/>
        <w:ind w:left="154" w:right="0"/>
        <w:jc w:val="left"/>
        <w:rPr>
          <w:b w:val="0"/>
          <w:bCs w:val="0"/>
        </w:rPr>
      </w:pPr>
      <w:bookmarkStart w:name="（3）设定提存计划列示" w:id="307"/>
      <w:bookmarkEnd w:id="307"/>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7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75,701.60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14,038,553.41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14,035,855.30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78,399.71</w:t>
            </w:r>
          </w:p>
        </w:tc>
      </w:tr>
      <w:tr>
        <w:trPr>
          <w:trHeight w:val="47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1,579.50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493,161.91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492,055.41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2,686.00</w:t>
            </w:r>
          </w:p>
        </w:tc>
      </w:tr>
      <w:tr>
        <w:trPr>
          <w:trHeight w:val="47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77,281.10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14,531,715.32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14,527,910.71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81,085.71</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BodyText"/>
        <w:spacing w:line="240" w:lineRule="auto" w:before="0"/>
        <w:ind w:left="565" w:right="0"/>
        <w:jc w:val="left"/>
      </w:pPr>
      <w:r>
        <w:rPr/>
        <w:t>本报告期内不存在欠缴性质的款项。</w:t>
      </w: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25、应交税费" w:id="308"/>
      <w:bookmarkEnd w:id="308"/>
      <w:r>
        <w:rPr>
          <w:b w:val="0"/>
          <w:bCs w:val="0"/>
        </w:rPr>
      </w:r>
      <w:r>
        <w:rPr>
          <w:rFonts w:ascii="Times New Roman" w:hAnsi="Times New Roman" w:cs="Times New Roman" w:eastAsia="Times New Roman" w:hint="default"/>
        </w:rPr>
        <w:t>25</w:t>
      </w:r>
      <w:r>
        <w:rPr/>
        <w:t>、应交税费</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18,784,264.39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5,994,115.62</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30,930,128.12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24,540,207.73</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296,686.01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297,911.86</w:t>
            </w:r>
          </w:p>
        </w:tc>
      </w:tr>
      <w:tr>
        <w:trPr>
          <w:trHeight w:val="47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1,013,222.50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304,453.82</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215,197.83</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1,276,353.40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469,362.56</w:t>
            </w:r>
          </w:p>
        </w:tc>
      </w:tr>
      <w:tr>
        <w:trPr>
          <w:trHeight w:val="47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53,819.72</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588,943.31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180,319.58</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392,612.22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120,213.05</w:t>
            </w:r>
          </w:p>
        </w:tc>
      </w:tr>
      <w:tr>
        <w:trPr>
          <w:trHeight w:val="47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53,282,209.95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32,175,601.77</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26、其他应付款" w:id="309"/>
      <w:bookmarkEnd w:id="309"/>
      <w:r>
        <w:rPr>
          <w:b w:val="0"/>
          <w:bCs w:val="0"/>
        </w:rPr>
      </w:r>
      <w:r>
        <w:rPr>
          <w:rFonts w:ascii="Times New Roman" w:hAnsi="Times New Roman" w:cs="Times New Roman" w:eastAsia="Times New Roman" w:hint="default"/>
        </w:rPr>
        <w:t>26</w:t>
      </w:r>
      <w:r>
        <w:rPr/>
        <w:t>、其他应付款</w:t>
      </w:r>
      <w:r>
        <w:rPr>
          <w:b w:val="0"/>
          <w:bCs w:val="0"/>
        </w:rPr>
      </w:r>
    </w:p>
    <w:p>
      <w:pPr>
        <w:pStyle w:val="Heading3"/>
        <w:spacing w:line="240" w:lineRule="auto" w:before="177"/>
        <w:ind w:left="154" w:right="0"/>
        <w:jc w:val="left"/>
        <w:rPr>
          <w:b w:val="0"/>
          <w:bCs w:val="0"/>
        </w:rPr>
      </w:pPr>
      <w:bookmarkStart w:name="（1）按款项性质列示其他应付款" w:id="310"/>
      <w:bookmarkEnd w:id="310"/>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23,018,536.72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8,439,420.52</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2,864,078.71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3,988,634.07</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676,098.99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566,694.95</w:t>
            </w:r>
          </w:p>
        </w:tc>
      </w:tr>
      <w:tr>
        <w:trPr>
          <w:trHeight w:val="47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614,615.72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57,289.91</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27,173,330.14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13,052,039.45</w:t>
            </w:r>
          </w:p>
        </w:tc>
      </w:tr>
    </w:tbl>
    <w:p>
      <w:pPr>
        <w:pStyle w:val="Heading3"/>
        <w:spacing w:line="240" w:lineRule="auto" w:before="63"/>
        <w:ind w:left="154" w:right="0"/>
        <w:jc w:val="left"/>
        <w:rPr>
          <w:b w:val="0"/>
          <w:bCs w:val="0"/>
        </w:rPr>
      </w:pPr>
      <w:bookmarkStart w:name="（2）账龄超过1年的重要其他应付款" w:id="311"/>
      <w:bookmarkEnd w:id="31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BodyText"/>
        <w:spacing w:line="240" w:lineRule="auto" w:before="0"/>
        <w:ind w:left="574" w:right="0"/>
        <w:jc w:val="left"/>
      </w:pPr>
      <w:r>
        <w:rPr/>
        <w:t>（</w:t>
      </w:r>
      <w:r>
        <w:rPr>
          <w:rFonts w:ascii="Times New Roman" w:hAnsi="Times New Roman" w:cs="Times New Roman" w:eastAsia="Times New Roman" w:hint="default"/>
        </w:rPr>
        <w:t>1</w:t>
      </w:r>
      <w:r>
        <w:rPr/>
        <w:t>）其他应付款期末余额较期初余额增加</w:t>
      </w:r>
      <w:r>
        <w:rPr>
          <w:rFonts w:ascii="Times New Roman" w:hAnsi="Times New Roman" w:cs="Times New Roman" w:eastAsia="Times New Roman" w:hint="default"/>
        </w:rPr>
        <w:t>108.19%</w:t>
      </w:r>
      <w:r>
        <w:rPr/>
        <w:t>，主要是公司发生的相关往来款尚未支付所致。</w:t>
      </w:r>
    </w:p>
    <w:p>
      <w:pPr>
        <w:pStyle w:val="BodyText"/>
        <w:spacing w:line="386" w:lineRule="auto" w:before="177"/>
        <w:ind w:left="154" w:right="1127" w:firstLine="420"/>
        <w:jc w:val="left"/>
      </w:pPr>
      <w:r>
        <w:rPr/>
        <w:t>（</w:t>
      </w:r>
      <w:r>
        <w:rPr>
          <w:rFonts w:ascii="Times New Roman" w:hAnsi="Times New Roman" w:cs="Times New Roman" w:eastAsia="Times New Roman" w:hint="default"/>
        </w:rPr>
        <w:t>2</w:t>
      </w:r>
      <w:r>
        <w:rPr/>
        <w:t>）期末余额中无持有本公司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以上表决权股份的股东单位或关联方单位的款项；无应付其 他关联方的款项。</w:t>
      </w:r>
    </w:p>
    <w:p>
      <w:pPr>
        <w:pStyle w:val="Heading3"/>
        <w:spacing w:line="240" w:lineRule="auto" w:before="65"/>
        <w:ind w:left="154" w:right="0"/>
        <w:jc w:val="left"/>
        <w:rPr>
          <w:b w:val="0"/>
          <w:bCs w:val="0"/>
        </w:rPr>
      </w:pPr>
      <w:bookmarkStart w:name="27、一年内到期的非流动负债" w:id="312"/>
      <w:bookmarkEnd w:id="312"/>
      <w:r>
        <w:rPr>
          <w:b w:val="0"/>
          <w:bCs w:val="0"/>
        </w:rPr>
      </w:r>
      <w:r>
        <w:rPr>
          <w:rFonts w:ascii="Times New Roman" w:hAnsi="Times New Roman" w:cs="Times New Roman" w:eastAsia="Times New Roman" w:hint="default"/>
        </w:rPr>
        <w:t>27</w:t>
      </w:r>
      <w:r>
        <w:rPr/>
        <w:t>、一年内到期的非流动负债</w:t>
      </w:r>
      <w:r>
        <w:rPr>
          <w:b w:val="0"/>
          <w:bCs w:val="0"/>
        </w:rPr>
      </w:r>
    </w:p>
    <w:p>
      <w:pPr>
        <w:spacing w:line="240" w:lineRule="auto" w:before="6"/>
        <w:rPr>
          <w:rFonts w:ascii="宋体" w:hAnsi="宋体" w:cs="宋体" w:eastAsia="宋体" w:hint="default"/>
          <w:b/>
          <w:bCs/>
          <w:sz w:val="15"/>
          <w:szCs w:val="15"/>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7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7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78,131,336.21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78,631,336.21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500,000.00</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Heading3"/>
        <w:spacing w:line="240" w:lineRule="auto"/>
        <w:ind w:right="0"/>
        <w:jc w:val="left"/>
        <w:rPr>
          <w:b w:val="0"/>
          <w:bCs w:val="0"/>
        </w:rPr>
      </w:pPr>
      <w:bookmarkStart w:name="28、长期借款" w:id="313"/>
      <w:bookmarkEnd w:id="313"/>
      <w:r>
        <w:rPr>
          <w:b w:val="0"/>
          <w:bCs w:val="0"/>
        </w:rPr>
      </w:r>
      <w:r>
        <w:rPr>
          <w:rFonts w:ascii="Times New Roman" w:hAnsi="Times New Roman" w:cs="Times New Roman" w:eastAsia="Times New Roman" w:hint="default"/>
        </w:rPr>
        <w:t>28</w:t>
      </w:r>
      <w:r>
        <w:rPr/>
        <w:t>、长期借款</w:t>
      </w:r>
      <w:r>
        <w:rPr>
          <w:b w:val="0"/>
          <w:bCs w:val="0"/>
        </w:rPr>
      </w:r>
    </w:p>
    <w:p>
      <w:pPr>
        <w:pStyle w:val="Heading3"/>
        <w:spacing w:line="240" w:lineRule="auto" w:before="177"/>
        <w:ind w:left="154" w:right="0"/>
        <w:jc w:val="left"/>
        <w:rPr>
          <w:b w:val="0"/>
          <w:bCs w:val="0"/>
        </w:rPr>
      </w:pPr>
      <w:bookmarkStart w:name="（1）长期借款分类" w:id="314"/>
      <w:bookmarkEnd w:id="314"/>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7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130,000,000.00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330,000,000.00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032" w:right="0"/>
              <w:jc w:val="left"/>
              <w:rPr>
                <w:rFonts w:ascii="Times New Roman" w:hAnsi="Times New Roman" w:cs="Times New Roman" w:eastAsia="Times New Roman" w:hint="default"/>
                <w:sz w:val="18"/>
                <w:szCs w:val="18"/>
              </w:rPr>
            </w:pPr>
            <w:r>
              <w:rPr>
                <w:rFonts w:ascii="Times New Roman"/>
                <w:sz w:val="18"/>
              </w:rPr>
              <w:t>197,000,000.00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498,500,000.00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199,000,000.00</w:t>
            </w:r>
          </w:p>
        </w:tc>
      </w:tr>
      <w:tr>
        <w:trPr>
          <w:trHeight w:val="47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958,500,000.00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396,000,000.00</w:t>
            </w:r>
          </w:p>
        </w:tc>
      </w:tr>
    </w:tbl>
    <w:p>
      <w:pPr>
        <w:spacing w:before="88"/>
        <w:ind w:left="154" w:right="0" w:firstLine="0"/>
        <w:jc w:val="both"/>
        <w:rPr>
          <w:rFonts w:ascii="宋体" w:hAnsi="宋体" w:cs="宋体" w:eastAsia="宋体" w:hint="default"/>
          <w:sz w:val="18"/>
          <w:szCs w:val="18"/>
        </w:rPr>
      </w:pPr>
      <w:r>
        <w:rPr>
          <w:rFonts w:ascii="宋体" w:hAnsi="宋体" w:cs="宋体" w:eastAsia="宋体" w:hint="default"/>
          <w:sz w:val="18"/>
          <w:szCs w:val="18"/>
        </w:rPr>
        <w:t>长期借款分类的说明：</w:t>
      </w:r>
    </w:p>
    <w:p>
      <w:pPr>
        <w:spacing w:line="240" w:lineRule="auto" w:before="11"/>
        <w:rPr>
          <w:rFonts w:ascii="宋体" w:hAnsi="宋体" w:cs="宋体" w:eastAsia="宋体" w:hint="default"/>
          <w:sz w:val="15"/>
          <w:szCs w:val="15"/>
        </w:rPr>
      </w:pPr>
    </w:p>
    <w:p>
      <w:pPr>
        <w:pStyle w:val="BodyText"/>
        <w:spacing w:line="240" w:lineRule="auto" w:before="0"/>
        <w:ind w:left="565" w:right="0"/>
        <w:jc w:val="left"/>
      </w:pPr>
      <w:r>
        <w:rPr/>
        <w:t>（</w:t>
      </w:r>
      <w:r>
        <w:rPr>
          <w:rFonts w:ascii="Times New Roman" w:hAnsi="Times New Roman" w:cs="Times New Roman" w:eastAsia="Times New Roman" w:hint="default"/>
        </w:rPr>
        <w:t>1</w:t>
      </w:r>
      <w:r>
        <w:rPr/>
        <w:t>）本公司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29</w:t>
      </w:r>
      <w:r>
        <w:rPr/>
        <w:t>日与中国工商银行股份有限公司柳河支行签订的编号为</w:t>
      </w:r>
      <w:r>
        <w:rPr>
          <w:rFonts w:ascii="Times New Roman" w:hAnsi="Times New Roman" w:cs="Times New Roman" w:eastAsia="Times New Roman" w:hint="default"/>
        </w:rPr>
        <w:t>0080600008-2016</w:t>
      </w:r>
      <w:r>
        <w:rPr/>
        <w:t>年</w:t>
      </w:r>
    </w:p>
    <w:p>
      <w:pPr>
        <w:pStyle w:val="BodyText"/>
        <w:spacing w:line="393" w:lineRule="auto" w:before="177"/>
        <w:ind w:right="1130"/>
        <w:jc w:val="both"/>
      </w:pPr>
      <w:r>
        <w:rPr/>
        <w:t>（柳河）字</w:t>
      </w:r>
      <w:r>
        <w:rPr>
          <w:rFonts w:ascii="Times New Roman" w:hAnsi="Times New Roman" w:cs="Times New Roman" w:eastAsia="Times New Roman" w:hint="default"/>
        </w:rPr>
        <w:t>00002</w:t>
      </w:r>
      <w:r>
        <w:rPr/>
        <w:t>号固定资产借款合同，以及编号为</w:t>
      </w:r>
      <w:r>
        <w:rPr>
          <w:rFonts w:ascii="Times New Roman" w:hAnsi="Times New Roman" w:cs="Times New Roman" w:eastAsia="Times New Roman" w:hint="default"/>
        </w:rPr>
        <w:t>0080600008-2016</w:t>
      </w:r>
      <w:r>
        <w:rPr/>
        <w:t>年柳河（抵）字</w:t>
      </w:r>
      <w:r>
        <w:rPr>
          <w:rFonts w:ascii="Times New Roman" w:hAnsi="Times New Roman" w:cs="Times New Roman" w:eastAsia="Times New Roman" w:hint="default"/>
        </w:rPr>
        <w:t>0001</w:t>
      </w:r>
      <w:r>
        <w:rPr/>
        <w:t>号和吉林紫鑫禺</w:t>
      </w:r>
      <w:r>
        <w:rPr>
          <w:spacing w:val="-99"/>
        </w:rPr>
        <w:t> </w:t>
      </w:r>
      <w:r>
        <w:rPr>
          <w:spacing w:val="-2"/>
        </w:rPr>
        <w:t>拙药业有限公司与中国工商银行股份有限公司柳河支行签订的编号为</w:t>
      </w:r>
      <w:r>
        <w:rPr>
          <w:rFonts w:ascii="Times New Roman" w:hAnsi="Times New Roman" w:cs="Times New Roman" w:eastAsia="Times New Roman" w:hint="default"/>
          <w:spacing w:val="-2"/>
        </w:rPr>
        <w:t>0080600008-2016</w:t>
      </w:r>
      <w:r>
        <w:rPr>
          <w:spacing w:val="-2"/>
        </w:rPr>
        <w:t>年柳河（抵）字</w:t>
      </w:r>
      <w:r>
        <w:rPr>
          <w:rFonts w:ascii="Times New Roman" w:hAnsi="Times New Roman" w:cs="Times New Roman" w:eastAsia="Times New Roman" w:hint="default"/>
          <w:spacing w:val="-2"/>
        </w:rPr>
        <w:t>0002</w:t>
      </w:r>
      <w:r>
        <w:rPr>
          <w:rFonts w:ascii="Times New Roman" w:hAnsi="Times New Roman" w:cs="Times New Roman" w:eastAsia="Times New Roman" w:hint="default"/>
          <w:spacing w:val="-35"/>
        </w:rPr>
        <w:t> </w:t>
      </w:r>
      <w:r>
        <w:rPr>
          <w:spacing w:val="-1"/>
        </w:rPr>
        <w:t>号最高额抵押合同中规定，本公司以房屋和土地使用权以及吉林紫鑫禺拙药业有限公司的房屋和土地进行</w:t>
      </w:r>
      <w:r>
        <w:rPr>
          <w:spacing w:val="-81"/>
        </w:rPr>
        <w:t> </w:t>
      </w:r>
      <w:r>
        <w:rPr>
          <w:spacing w:val="-81"/>
        </w:rPr>
      </w:r>
      <w:r>
        <w:rPr/>
        <w:t>抵押向中国工商银行股份有限公司柳河支行借款</w:t>
      </w:r>
      <w:r>
        <w:rPr>
          <w:rFonts w:ascii="Times New Roman" w:hAnsi="Times New Roman" w:cs="Times New Roman" w:eastAsia="Times New Roman" w:hint="default"/>
        </w:rPr>
        <w:t>3</w:t>
      </w:r>
      <w:r>
        <w:rPr/>
        <w:t>亿元，借款期限为</w:t>
      </w:r>
      <w:r>
        <w:rPr>
          <w:rFonts w:ascii="Times New Roman" w:hAnsi="Times New Roman" w:cs="Times New Roman" w:eastAsia="Times New Roman" w:hint="default"/>
        </w:rPr>
        <w:t>7</w:t>
      </w:r>
      <w:r>
        <w:rPr/>
        <w:t>年。</w:t>
      </w:r>
    </w:p>
    <w:p>
      <w:pPr>
        <w:pStyle w:val="BodyText"/>
        <w:spacing w:line="240" w:lineRule="auto" w:before="28"/>
        <w:ind w:left="565" w:right="0"/>
        <w:jc w:val="left"/>
      </w:pPr>
      <w:r>
        <w:rPr/>
        <w:t>本公司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日与吉林磐石农村商业银行股份有限公司签订借款合同，约定借款金额</w:t>
      </w:r>
      <w:r>
        <w:rPr>
          <w:rFonts w:ascii="Times New Roman" w:hAnsi="Times New Roman" w:cs="Times New Roman" w:eastAsia="Times New Roman" w:hint="default"/>
        </w:rPr>
        <w:t>1.5</w:t>
      </w:r>
      <w:r>
        <w:rPr/>
        <w:t>亿元，</w:t>
      </w:r>
    </w:p>
    <w:p>
      <w:pPr>
        <w:pStyle w:val="BodyText"/>
        <w:spacing w:line="240" w:lineRule="auto" w:before="177"/>
        <w:ind w:right="0"/>
        <w:jc w:val="both"/>
      </w:pPr>
      <w:r>
        <w:rPr>
          <w:rFonts w:ascii="Times New Roman" w:hAnsi="Times New Roman" w:cs="Times New Roman" w:eastAsia="Times New Roman" w:hint="default"/>
          <w:spacing w:val="4"/>
        </w:rPr>
        <w:t>2017</w:t>
      </w:r>
      <w:r>
        <w:rPr>
          <w:spacing w:val="4"/>
        </w:rPr>
        <w:t>年到账</w:t>
      </w:r>
      <w:r>
        <w:rPr>
          <w:rFonts w:ascii="Times New Roman" w:hAnsi="Times New Roman" w:cs="Times New Roman" w:eastAsia="Times New Roman" w:hint="default"/>
          <w:spacing w:val="4"/>
        </w:rPr>
        <w:t>1.3</w:t>
      </w:r>
      <w:r>
        <w:rPr>
          <w:spacing w:val="4"/>
        </w:rPr>
        <w:t>亿元，借款期限为</w:t>
      </w:r>
      <w:r>
        <w:rPr>
          <w:rFonts w:ascii="Times New Roman" w:hAnsi="Times New Roman" w:cs="Times New Roman" w:eastAsia="Times New Roman" w:hint="default"/>
          <w:spacing w:val="4"/>
        </w:rPr>
        <w:t>2</w:t>
      </w:r>
      <w:r>
        <w:rPr>
          <w:spacing w:val="4"/>
        </w:rPr>
        <w:t>年。上述借款由敦化市康平投资有限责任公司以其持有的本公司股权</w:t>
      </w:r>
    </w:p>
    <w:p>
      <w:pPr>
        <w:pStyle w:val="BodyText"/>
        <w:spacing w:line="386" w:lineRule="auto" w:before="177"/>
        <w:ind w:left="565" w:right="0" w:hanging="412"/>
        <w:jc w:val="left"/>
      </w:pPr>
      <w:r>
        <w:rPr>
          <w:rFonts w:ascii="Times New Roman" w:hAnsi="Times New Roman" w:cs="Times New Roman" w:eastAsia="Times New Roman" w:hint="default"/>
        </w:rPr>
        <w:t>1,000</w:t>
      </w:r>
      <w:r>
        <w:rPr/>
        <w:t>万股份份额为本公司银行借款提供质押，同时以其信用为本公司承担保证责任。 </w:t>
      </w:r>
      <w:r>
        <w:rPr>
          <w:spacing w:val="3"/>
        </w:rPr>
        <w:t>本公司全资子公司吉林紫鑫红石种养殖有限公司</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5</w:t>
      </w:r>
      <w:r>
        <w:rPr>
          <w:spacing w:val="3"/>
        </w:rPr>
        <w:t>日与吉林银行股份有限公司通化柳河支</w:t>
      </w:r>
    </w:p>
    <w:p>
      <w:pPr>
        <w:pStyle w:val="BodyText"/>
        <w:spacing w:line="386" w:lineRule="auto" w:before="35"/>
        <w:ind w:right="0"/>
        <w:jc w:val="left"/>
      </w:pPr>
      <w:r>
        <w:rPr>
          <w:spacing w:val="3"/>
        </w:rPr>
        <w:t>行签订编号为吉林银行通化柳河支行</w:t>
      </w:r>
      <w:r>
        <w:rPr>
          <w:rFonts w:ascii="Times New Roman" w:hAnsi="Times New Roman" w:cs="Times New Roman" w:eastAsia="Times New Roman" w:hint="default"/>
          <w:spacing w:val="3"/>
        </w:rPr>
        <w:t>2016</w:t>
      </w:r>
      <w:r>
        <w:rPr>
          <w:spacing w:val="3"/>
        </w:rPr>
        <w:t>年流借字第</w:t>
      </w:r>
      <w:r>
        <w:rPr>
          <w:rFonts w:ascii="Times New Roman" w:hAnsi="Times New Roman" w:cs="Times New Roman" w:eastAsia="Times New Roman" w:hint="default"/>
          <w:spacing w:val="3"/>
        </w:rPr>
        <w:t>002</w:t>
      </w:r>
      <w:r>
        <w:rPr>
          <w:spacing w:val="3"/>
        </w:rPr>
        <w:t>号人民币借款合同，约定借款金额为人民币</w:t>
      </w:r>
      <w:r>
        <w:rPr>
          <w:rFonts w:ascii="Times New Roman" w:hAnsi="Times New Roman" w:cs="Times New Roman" w:eastAsia="Times New Roman" w:hint="default"/>
          <w:spacing w:val="3"/>
        </w:rPr>
        <w:t>2</w:t>
      </w:r>
      <w:r>
        <w:rPr>
          <w:spacing w:val="3"/>
        </w:rPr>
        <w:t>亿</w:t>
      </w:r>
      <w:r>
        <w:rPr>
          <w:spacing w:val="-85"/>
        </w:rPr>
        <w:t> </w:t>
      </w:r>
      <w:r>
        <w:rPr/>
        <w:t>元，借款期限为</w:t>
      </w:r>
      <w:r>
        <w:rPr>
          <w:rFonts w:ascii="Times New Roman" w:hAnsi="Times New Roman" w:cs="Times New Roman" w:eastAsia="Times New Roman" w:hint="default"/>
        </w:rPr>
        <w:t>3</w:t>
      </w:r>
      <w:r>
        <w:rPr/>
        <w:t>年。上述借款由本公司作为信用担保承担保证责任。</w:t>
      </w:r>
    </w:p>
    <w:p>
      <w:pPr>
        <w:pStyle w:val="BodyText"/>
        <w:spacing w:line="386" w:lineRule="auto" w:before="35"/>
        <w:ind w:right="1132" w:firstLine="411"/>
        <w:jc w:val="both"/>
      </w:pPr>
      <w:r>
        <w:rPr>
          <w:spacing w:val="22"/>
        </w:rPr>
        <w:t>本公司全资子公司吉林草还丹药业有限公司</w:t>
      </w:r>
      <w:r>
        <w:rPr>
          <w:spacing w:val="-7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7"/>
        </w:rPr>
        <w:t> </w:t>
      </w:r>
      <w:r>
        <w:rPr/>
        <w:t>年</w:t>
      </w:r>
      <w:r>
        <w:rPr>
          <w:spacing w:val="-80"/>
        </w:rPr>
        <w:t> </w:t>
      </w:r>
      <w:r>
        <w:rPr>
          <w:rFonts w:ascii="Times New Roman" w:hAnsi="Times New Roman" w:cs="Times New Roman" w:eastAsia="Times New Roman" w:hint="default"/>
        </w:rPr>
        <w:t>6</w:t>
      </w:r>
      <w:r>
        <w:rPr>
          <w:rFonts w:ascii="Times New Roman" w:hAnsi="Times New Roman" w:cs="Times New Roman" w:eastAsia="Times New Roman" w:hint="default"/>
          <w:spacing w:val="-27"/>
        </w:rPr>
        <w:t> </w:t>
      </w:r>
      <w:r>
        <w:rPr/>
        <w:t>月</w:t>
      </w:r>
      <w:r>
        <w:rPr>
          <w:spacing w:val="-80"/>
        </w:rPr>
        <w:t> </w:t>
      </w:r>
      <w:r>
        <w:rPr>
          <w:rFonts w:ascii="Times New Roman" w:hAnsi="Times New Roman" w:cs="Times New Roman" w:eastAsia="Times New Roman" w:hint="default"/>
        </w:rPr>
        <w:t>28</w:t>
      </w:r>
      <w:r>
        <w:rPr>
          <w:rFonts w:ascii="Times New Roman" w:hAnsi="Times New Roman" w:cs="Times New Roman" w:eastAsia="Times New Roman" w:hint="default"/>
          <w:spacing w:val="-27"/>
        </w:rPr>
        <w:t> </w:t>
      </w:r>
      <w:r>
        <w:rPr>
          <w:spacing w:val="22"/>
        </w:rPr>
        <w:t>日与敦化农村商业银行签订编号为</w:t>
      </w:r>
      <w:r>
        <w:rPr/>
        <w:t> </w:t>
      </w:r>
      <w:r>
        <w:rPr>
          <w:rFonts w:ascii="Times New Roman" w:hAnsi="Times New Roman" w:cs="Times New Roman" w:eastAsia="Times New Roman" w:hint="default"/>
          <w:spacing w:val="-1"/>
        </w:rPr>
        <w:t>201706281701</w:t>
      </w:r>
      <w:r>
        <w:rPr>
          <w:spacing w:val="-1"/>
        </w:rPr>
        <w:t>借款合同和编号为</w:t>
      </w:r>
      <w:r>
        <w:rPr>
          <w:rFonts w:ascii="Times New Roman" w:hAnsi="Times New Roman" w:cs="Times New Roman" w:eastAsia="Times New Roman" w:hint="default"/>
          <w:spacing w:val="-1"/>
        </w:rPr>
        <w:t>201706281701</w:t>
      </w:r>
      <w:r>
        <w:rPr>
          <w:spacing w:val="-1"/>
        </w:rPr>
        <w:t>抵押合同中约定，以吉林紫鑫高科技功能食品有限公司的房</w:t>
      </w:r>
      <w:r>
        <w:rPr>
          <w:spacing w:val="-72"/>
        </w:rPr>
        <w:t> </w:t>
      </w:r>
      <w:r>
        <w:rPr>
          <w:spacing w:val="-72"/>
        </w:rPr>
      </w:r>
      <w:r>
        <w:rPr/>
        <w:t>屋土地使用权抵押向敦化农村商业银行借款</w:t>
      </w:r>
      <w:r>
        <w:rPr>
          <w:rFonts w:ascii="Times New Roman" w:hAnsi="Times New Roman" w:cs="Times New Roman" w:eastAsia="Times New Roman" w:hint="default"/>
        </w:rPr>
        <w:t>3000</w:t>
      </w:r>
      <w:r>
        <w:rPr/>
        <w:t>万元，借款期限</w:t>
      </w:r>
      <w:r>
        <w:rPr>
          <w:rFonts w:ascii="Times New Roman" w:hAnsi="Times New Roman" w:cs="Times New Roman" w:eastAsia="Times New Roman" w:hint="default"/>
        </w:rPr>
        <w:t>2</w:t>
      </w:r>
      <w:r>
        <w:rPr/>
        <w:t>年。</w:t>
      </w:r>
    </w:p>
    <w:p>
      <w:pPr>
        <w:pStyle w:val="BodyText"/>
        <w:spacing w:line="386" w:lineRule="auto" w:before="35"/>
        <w:ind w:right="1132" w:firstLine="411"/>
        <w:jc w:val="both"/>
      </w:pPr>
      <w:r>
        <w:rPr/>
        <w:t>本公司全资子公司吉林紫鑫般若药业有限公司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日与吉林银行通化新华支行签订编号为吉 </w:t>
      </w:r>
      <w:r>
        <w:rPr>
          <w:spacing w:val="-1"/>
        </w:rPr>
        <w:t>林银行通化新华支行</w:t>
      </w:r>
      <w:r>
        <w:rPr>
          <w:rFonts w:ascii="Times New Roman" w:hAnsi="Times New Roman" w:cs="Times New Roman" w:eastAsia="Times New Roman" w:hint="default"/>
          <w:spacing w:val="-1"/>
        </w:rPr>
        <w:t>2017</w:t>
      </w:r>
      <w:r>
        <w:rPr>
          <w:spacing w:val="-1"/>
        </w:rPr>
        <w:t>年流借字第</w:t>
      </w:r>
      <w:r>
        <w:rPr>
          <w:rFonts w:ascii="Times New Roman" w:hAnsi="Times New Roman" w:cs="Times New Roman" w:eastAsia="Times New Roman" w:hint="default"/>
          <w:spacing w:val="-1"/>
        </w:rPr>
        <w:t>092501</w:t>
      </w:r>
      <w:r>
        <w:rPr>
          <w:spacing w:val="-1"/>
        </w:rPr>
        <w:t>号借款合同，约定借款金额</w:t>
      </w:r>
      <w:r>
        <w:rPr>
          <w:rFonts w:ascii="Times New Roman" w:hAnsi="Times New Roman" w:cs="Times New Roman" w:eastAsia="Times New Roman" w:hint="default"/>
          <w:spacing w:val="-1"/>
        </w:rPr>
        <w:t>2</w:t>
      </w:r>
      <w:r>
        <w:rPr>
          <w:spacing w:val="-1"/>
        </w:rPr>
        <w:t>亿元，借款期限</w:t>
      </w:r>
      <w:r>
        <w:rPr>
          <w:rFonts w:ascii="Times New Roman" w:hAnsi="Times New Roman" w:cs="Times New Roman" w:eastAsia="Times New Roman" w:hint="default"/>
          <w:spacing w:val="-1"/>
        </w:rPr>
        <w:t>3</w:t>
      </w:r>
      <w:r>
        <w:rPr>
          <w:spacing w:val="-1"/>
        </w:rPr>
        <w:t>年。上述借款由</w:t>
      </w:r>
      <w:r>
        <w:rPr>
          <w:spacing w:val="-82"/>
        </w:rPr>
        <w:t> </w:t>
      </w:r>
      <w:r>
        <w:rPr>
          <w:spacing w:val="-82"/>
        </w:rPr>
      </w:r>
      <w:r>
        <w:rPr/>
        <w:t>本公司作为信用担保承担保证责任。</w:t>
      </w:r>
    </w:p>
    <w:p>
      <w:pPr>
        <w:pStyle w:val="BodyText"/>
        <w:spacing w:line="240" w:lineRule="auto" w:before="65"/>
        <w:ind w:left="565" w:right="0"/>
        <w:jc w:val="left"/>
      </w:pPr>
      <w:r>
        <w:rPr/>
        <w:t>（</w:t>
      </w: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日止，上述长期借款中无逾期的借款。</w:t>
      </w:r>
    </w:p>
    <w:p>
      <w:pPr>
        <w:spacing w:line="240" w:lineRule="auto" w:before="6"/>
        <w:rPr>
          <w:rFonts w:ascii="宋体" w:hAnsi="宋体" w:cs="宋体" w:eastAsia="宋体" w:hint="default"/>
          <w:sz w:val="15"/>
          <w:szCs w:val="15"/>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其他说明，包括利率区间：</w:t>
      </w:r>
    </w:p>
    <w:p>
      <w:pPr>
        <w:spacing w:line="240" w:lineRule="auto" w:before="11"/>
        <w:rPr>
          <w:rFonts w:ascii="宋体" w:hAnsi="宋体" w:cs="宋体" w:eastAsia="宋体" w:hint="default"/>
          <w:sz w:val="15"/>
          <w:szCs w:val="15"/>
        </w:rPr>
      </w:pPr>
    </w:p>
    <w:p>
      <w:pPr>
        <w:pStyle w:val="Heading3"/>
        <w:spacing w:line="240" w:lineRule="auto"/>
        <w:ind w:left="154" w:right="0"/>
        <w:jc w:val="both"/>
        <w:rPr>
          <w:b w:val="0"/>
          <w:bCs w:val="0"/>
        </w:rPr>
      </w:pPr>
      <w:bookmarkStart w:name="29、长期应付款" w:id="315"/>
      <w:bookmarkEnd w:id="315"/>
      <w:r>
        <w:rPr>
          <w:b w:val="0"/>
          <w:bCs w:val="0"/>
        </w:rPr>
      </w:r>
      <w:r>
        <w:rPr>
          <w:rFonts w:ascii="Times New Roman" w:hAnsi="Times New Roman" w:cs="Times New Roman" w:eastAsia="Times New Roman" w:hint="default"/>
        </w:rPr>
        <w:t>29</w:t>
      </w:r>
      <w:r>
        <w:rPr/>
        <w:t>、长期应付款</w:t>
      </w:r>
      <w:r>
        <w:rPr>
          <w:b w:val="0"/>
          <w:bCs w:val="0"/>
        </w:rPr>
      </w:r>
    </w:p>
    <w:p>
      <w:pPr>
        <w:pStyle w:val="Heading3"/>
        <w:spacing w:line="240" w:lineRule="auto" w:before="177"/>
        <w:ind w:left="154" w:right="0"/>
        <w:jc w:val="both"/>
        <w:rPr>
          <w:b w:val="0"/>
          <w:bCs w:val="0"/>
        </w:rPr>
      </w:pPr>
      <w:bookmarkStart w:name="（1）按款项性质列示长期应付款" w:id="316"/>
      <w:bookmarkEnd w:id="316"/>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6"/>
        <w:rPr>
          <w:rFonts w:ascii="宋体" w:hAnsi="宋体" w:cs="宋体" w:eastAsia="宋体" w:hint="default"/>
          <w:b/>
          <w:bCs/>
          <w:sz w:val="15"/>
          <w:szCs w:val="15"/>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应付融资租赁款</w:t>
            </w:r>
            <w:r>
              <w:rPr>
                <w:rFonts w:ascii="Times New Roman" w:hAnsi="Times New Roman" w:cs="Times New Roman" w:eastAsia="Times New Roman" w:hint="default"/>
                <w:sz w:val="18"/>
                <w:szCs w:val="18"/>
              </w:rPr>
              <w:t>-</w:t>
            </w:r>
            <w:r>
              <w:rPr>
                <w:rFonts w:ascii="宋体" w:hAnsi="宋体" w:cs="宋体" w:eastAsia="宋体" w:hint="default"/>
                <w:sz w:val="18"/>
                <w:szCs w:val="18"/>
              </w:rPr>
              <w:t>本金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120,108,585.05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157,199,162.51</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应付融资租赁款</w:t>
            </w:r>
            <w:r>
              <w:rPr>
                <w:rFonts w:ascii="Times New Roman" w:hAnsi="Times New Roman" w:cs="Times New Roman" w:eastAsia="Times New Roman" w:hint="default"/>
                <w:sz w:val="18"/>
                <w:szCs w:val="18"/>
              </w:rPr>
              <w:t>-</w:t>
            </w:r>
            <w:r>
              <w:rPr>
                <w:rFonts w:ascii="宋体" w:hAnsi="宋体" w:cs="宋体" w:eastAsia="宋体" w:hint="default"/>
                <w:sz w:val="18"/>
                <w:szCs w:val="18"/>
              </w:rPr>
              <w:t>未确认融资租赁费用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6,317,281.30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15,230,229.15</w:t>
            </w:r>
          </w:p>
        </w:tc>
      </w:tr>
      <w:tr>
        <w:trPr>
          <w:trHeight w:val="47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tabs>
                <w:tab w:pos="472" w:val="left" w:leader="none"/>
              </w:tabs>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113,791,303.75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141,968,933.36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Heading3"/>
        <w:spacing w:line="240" w:lineRule="auto"/>
        <w:ind w:right="0"/>
        <w:jc w:val="left"/>
        <w:rPr>
          <w:b w:val="0"/>
          <w:bCs w:val="0"/>
        </w:rPr>
      </w:pPr>
      <w:bookmarkStart w:name="30、专项应付款" w:id="317"/>
      <w:bookmarkEnd w:id="317"/>
      <w:r>
        <w:rPr>
          <w:b w:val="0"/>
          <w:bCs w:val="0"/>
        </w:rPr>
      </w:r>
      <w:r>
        <w:rPr>
          <w:rFonts w:ascii="Times New Roman" w:hAnsi="Times New Roman" w:cs="Times New Roman" w:eastAsia="Times New Roman" w:hint="default"/>
        </w:rPr>
        <w:t>30</w:t>
      </w:r>
      <w:r>
        <w:rPr/>
        <w:t>、专项应付款</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7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94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调整改造项目转贷</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480,000.00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340,000.00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480,000.00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340,000.00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BodyText"/>
        <w:spacing w:line="386" w:lineRule="auto" w:before="0"/>
        <w:ind w:left="154" w:right="1132" w:firstLine="420"/>
        <w:jc w:val="both"/>
      </w:pPr>
      <w:r>
        <w:rPr/>
        <w:t>根据通化市财政局文件通市财建</w:t>
      </w:r>
      <w:r>
        <w:rPr>
          <w:rFonts w:ascii="Times New Roman" w:hAnsi="Times New Roman" w:cs="Times New Roman" w:eastAsia="Times New Roman" w:hint="default"/>
        </w:rPr>
        <w:t>[2004]61</w:t>
      </w:r>
      <w:r>
        <w:rPr/>
        <w:t>号《关于下达</w:t>
      </w:r>
      <w:r>
        <w:rPr>
          <w:rFonts w:ascii="Times New Roman" w:hAnsi="Times New Roman" w:cs="Times New Roman" w:eastAsia="Times New Roman" w:hint="default"/>
        </w:rPr>
        <w:t>2004</w:t>
      </w:r>
      <w:r>
        <w:rPr/>
        <w:t>年东北老工业基地调整改造国债转贷支出 计划的通知》，</w:t>
      </w:r>
      <w:r>
        <w:rPr>
          <w:rFonts w:ascii="Times New Roman" w:hAnsi="Times New Roman" w:cs="Times New Roman" w:eastAsia="Times New Roman" w:hint="default"/>
        </w:rPr>
        <w:t>2005</w:t>
      </w:r>
      <w:r>
        <w:rPr/>
        <w:t>年柳河县财政局拨入本公司</w:t>
      </w:r>
      <w:r>
        <w:rPr>
          <w:rFonts w:ascii="Times New Roman" w:hAnsi="Times New Roman" w:cs="Times New Roman" w:eastAsia="Times New Roman" w:hint="default"/>
        </w:rPr>
        <w:t>160</w:t>
      </w:r>
      <w:r>
        <w:rPr/>
        <w:t>万元中央国债地方转贷资金，专项用于东北地区等老</w:t>
      </w:r>
      <w:r>
        <w:rPr>
          <w:spacing w:val="-32"/>
        </w:rPr>
        <w:t> </w:t>
      </w:r>
      <w:r>
        <w:rPr>
          <w:spacing w:val="-32"/>
        </w:rPr>
      </w:r>
      <w:r>
        <w:rPr/>
        <w:t>工业基地调整改造项目建设，本期偿还上述转贷资金</w:t>
      </w:r>
      <w:r>
        <w:rPr>
          <w:rFonts w:ascii="Times New Roman" w:hAnsi="Times New Roman" w:cs="Times New Roman" w:eastAsia="Times New Roman" w:hint="default"/>
        </w:rPr>
        <w:t>14</w:t>
      </w:r>
      <w:r>
        <w:rPr/>
        <w:t>万元。</w:t>
      </w:r>
    </w:p>
    <w:p>
      <w:pPr>
        <w:pStyle w:val="Heading3"/>
        <w:spacing w:line="240" w:lineRule="auto" w:before="35"/>
        <w:ind w:left="154" w:right="0"/>
        <w:jc w:val="left"/>
        <w:rPr>
          <w:b w:val="0"/>
          <w:bCs w:val="0"/>
        </w:rPr>
      </w:pPr>
      <w:bookmarkStart w:name="31、递延收益" w:id="318"/>
      <w:bookmarkEnd w:id="318"/>
      <w:r>
        <w:rPr>
          <w:b w:val="0"/>
          <w:bCs w:val="0"/>
        </w:rPr>
      </w:r>
      <w:r>
        <w:rPr>
          <w:rFonts w:ascii="Times New Roman" w:hAnsi="Times New Roman" w:cs="Times New Roman" w:eastAsia="Times New Roman" w:hint="default"/>
        </w:rPr>
        <w:t>31</w:t>
      </w:r>
      <w:r>
        <w:rPr/>
        <w:t>、递延收益</w:t>
      </w:r>
      <w:r>
        <w:rPr>
          <w:b w:val="0"/>
          <w:bCs w:val="0"/>
        </w:rPr>
      </w:r>
    </w:p>
    <w:p>
      <w:pPr>
        <w:spacing w:line="240" w:lineRule="auto" w:before="6"/>
        <w:rPr>
          <w:rFonts w:ascii="宋体" w:hAnsi="宋体" w:cs="宋体" w:eastAsia="宋体" w:hint="default"/>
          <w:b/>
          <w:bCs/>
          <w:sz w:val="15"/>
          <w:szCs w:val="15"/>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7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7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176,298,946.05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6,550,000.00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6,783,584.12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176,065,361.93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委托合作款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2,821,200.00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2,821,200.00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5"/>
              <w:jc w:val="center"/>
              <w:rPr>
                <w:rFonts w:ascii="宋体" w:hAnsi="宋体" w:cs="宋体" w:eastAsia="宋体" w:hint="default"/>
                <w:sz w:val="18"/>
                <w:szCs w:val="18"/>
              </w:rPr>
            </w:pPr>
            <w:r>
              <w:rPr>
                <w:rFonts w:ascii="宋体" w:hAnsi="宋体" w:cs="宋体" w:eastAsia="宋体" w:hint="default"/>
                <w:sz w:val="18"/>
                <w:szCs w:val="18"/>
              </w:rPr>
              <w:t>合作单位无偿投入</w:t>
            </w:r>
          </w:p>
        </w:tc>
      </w:tr>
      <w:tr>
        <w:trPr>
          <w:trHeight w:val="94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未实现售后租回损</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23,999,325.52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9,133,127.87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14,866,197.65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203,119,471.57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6,550,000.00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15,916,711.99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193,752,759.58</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line="240" w:lineRule="auto" w:before="5"/>
        <w:rPr>
          <w:rFonts w:ascii="宋体" w:hAnsi="宋体" w:cs="宋体" w:eastAsia="宋体" w:hint="default"/>
          <w:sz w:val="14"/>
          <w:szCs w:val="1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4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89"/>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w:t>
            </w:r>
          </w:p>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451"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94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无偿划拨土</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73,902,512.5</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85" w:right="0"/>
              <w:jc w:val="left"/>
              <w:rPr>
                <w:rFonts w:ascii="Times New Roman" w:hAnsi="Times New Roman" w:cs="Times New Roman" w:eastAsia="Times New Roman" w:hint="default"/>
                <w:sz w:val="18"/>
                <w:szCs w:val="18"/>
              </w:rPr>
            </w:pPr>
            <w:r>
              <w:rPr>
                <w:rFonts w:ascii="Times New Roman"/>
                <w:sz w:val="18"/>
              </w:rPr>
              <w:t>1,531,658.28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72,370,854.2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4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9"/>
              <w:ind w:left="22" w:right="129"/>
              <w:jc w:val="left"/>
              <w:rPr>
                <w:rFonts w:ascii="宋体" w:hAnsi="宋体" w:cs="宋体" w:eastAsia="宋体" w:hint="default"/>
                <w:sz w:val="18"/>
                <w:szCs w:val="18"/>
              </w:rPr>
            </w:pPr>
            <w:r>
              <w:rPr>
                <w:rFonts w:ascii="宋体" w:hAnsi="宋体" w:cs="宋体" w:eastAsia="宋体" w:hint="default"/>
                <w:sz w:val="18"/>
                <w:szCs w:val="18"/>
              </w:rPr>
              <w:t>关于城镇保 证住房专项</w:t>
            </w:r>
          </w:p>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5" w:right="0"/>
              <w:jc w:val="center"/>
              <w:rPr>
                <w:rFonts w:ascii="Times New Roman" w:hAnsi="Times New Roman" w:cs="Times New Roman" w:eastAsia="Times New Roman" w:hint="default"/>
                <w:sz w:val="18"/>
                <w:szCs w:val="18"/>
              </w:rPr>
            </w:pPr>
            <w:r>
              <w:rPr>
                <w:rFonts w:ascii="Times New Roman"/>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2" w:right="0"/>
              <w:jc w:val="center"/>
              <w:rPr>
                <w:rFonts w:ascii="Times New Roman" w:hAnsi="Times New Roman" w:cs="Times New Roman" w:eastAsia="Times New Roman" w:hint="default"/>
                <w:sz w:val="18"/>
                <w:szCs w:val="18"/>
              </w:rPr>
            </w:pPr>
            <w:r>
              <w:rPr>
                <w:rFonts w:ascii="Times New Roman"/>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88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129"/>
              <w:jc w:val="both"/>
              <w:rPr>
                <w:rFonts w:ascii="宋体" w:hAnsi="宋体" w:cs="宋体" w:eastAsia="宋体" w:hint="default"/>
                <w:sz w:val="18"/>
                <w:szCs w:val="18"/>
              </w:rPr>
            </w:pPr>
            <w:r>
              <w:rPr>
                <w:rFonts w:ascii="宋体" w:hAnsi="宋体" w:cs="宋体" w:eastAsia="宋体" w:hint="default"/>
                <w:sz w:val="18"/>
                <w:szCs w:val="18"/>
              </w:rPr>
              <w:t>固体制剂及 口服液生产 线升级改造</w:t>
            </w:r>
          </w:p>
          <w:p>
            <w:pPr>
              <w:pStyle w:val="TableParagraph"/>
              <w:spacing w:line="240" w:lineRule="auto" w:before="54"/>
              <w:ind w:left="22" w:right="0"/>
              <w:jc w:val="both"/>
              <w:rPr>
                <w:rFonts w:ascii="宋体" w:hAnsi="宋体" w:cs="宋体" w:eastAsia="宋体" w:hint="default"/>
                <w:sz w:val="18"/>
                <w:szCs w:val="18"/>
              </w:rPr>
            </w:pPr>
            <w:r>
              <w:rPr>
                <w:rFonts w:ascii="宋体" w:hAnsi="宋体" w:cs="宋体" w:eastAsia="宋体" w:hint="default"/>
                <w:sz w:val="18"/>
                <w:szCs w:val="18"/>
              </w:rPr>
              <w:t>项目资金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360,000.00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360,000.00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基础项目建</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4,170,285.38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490,621.72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3,679,663.66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4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128"/>
              <w:jc w:val="left"/>
              <w:rPr>
                <w:rFonts w:ascii="宋体" w:hAnsi="宋体" w:cs="宋体" w:eastAsia="宋体" w:hint="default"/>
                <w:sz w:val="18"/>
                <w:szCs w:val="18"/>
              </w:rPr>
            </w:pPr>
            <w:r>
              <w:rPr>
                <w:rFonts w:ascii="宋体" w:hAnsi="宋体" w:cs="宋体" w:eastAsia="宋体" w:hint="default"/>
                <w:sz w:val="18"/>
                <w:szCs w:val="18"/>
              </w:rPr>
              <w:t>东北老工业 基地基建投</w:t>
            </w:r>
          </w:p>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资</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14,663,476.2</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886,958.00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13,776,518.2</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5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9"/>
              <w:ind w:left="22" w:right="129"/>
              <w:jc w:val="both"/>
              <w:rPr>
                <w:rFonts w:ascii="宋体" w:hAnsi="宋体" w:cs="宋体" w:eastAsia="宋体" w:hint="default"/>
                <w:sz w:val="18"/>
                <w:szCs w:val="18"/>
              </w:rPr>
            </w:pPr>
            <w:r>
              <w:rPr>
                <w:rFonts w:ascii="宋体" w:hAnsi="宋体" w:cs="宋体" w:eastAsia="宋体" w:hint="default"/>
                <w:sz w:val="18"/>
                <w:szCs w:val="18"/>
              </w:rPr>
              <w:t>紫鑫般若药 业有限公司 污水深度处 理与中水回</w:t>
            </w:r>
          </w:p>
          <w:p>
            <w:pPr>
              <w:pStyle w:val="TableParagraph"/>
              <w:spacing w:line="240" w:lineRule="auto" w:before="54"/>
              <w:ind w:left="22" w:right="0"/>
              <w:jc w:val="both"/>
              <w:rPr>
                <w:rFonts w:ascii="宋体" w:hAnsi="宋体" w:cs="宋体" w:eastAsia="宋体" w:hint="default"/>
                <w:sz w:val="18"/>
                <w:szCs w:val="18"/>
              </w:rPr>
            </w:pPr>
            <w:r>
              <w:rPr>
                <w:rFonts w:ascii="宋体" w:hAnsi="宋体" w:cs="宋体" w:eastAsia="宋体" w:hint="default"/>
                <w:sz w:val="18"/>
                <w:szCs w:val="18"/>
              </w:rPr>
              <w:t>用工程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359,299.99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326,699.99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465" w:lineRule="auto" w:before="88"/>
              <w:ind w:left="22" w:right="41"/>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益心丸等微 丸、</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更年宁等水 丸和水蜜丸 等大小蜜丸</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能力</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4,322,499.86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3,657,499.86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81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22"/>
              <w:jc w:val="left"/>
              <w:rPr>
                <w:rFonts w:ascii="宋体" w:hAnsi="宋体" w:cs="宋体" w:eastAsia="宋体" w:hint="default"/>
                <w:sz w:val="18"/>
                <w:szCs w:val="18"/>
              </w:rPr>
            </w:pPr>
            <w:r>
              <w:rPr>
                <w:rFonts w:ascii="宋体" w:hAnsi="宋体" w:cs="宋体" w:eastAsia="宋体" w:hint="default"/>
                <w:sz w:val="18"/>
                <w:szCs w:val="18"/>
              </w:rPr>
              <w:t>人参皂苷精 </w:t>
            </w:r>
            <w:r>
              <w:rPr>
                <w:rFonts w:ascii="宋体" w:hAnsi="宋体" w:cs="宋体" w:eastAsia="宋体" w:hint="default"/>
                <w:spacing w:val="-13"/>
                <w:sz w:val="18"/>
                <w:szCs w:val="18"/>
              </w:rPr>
              <w:t>致提取物、针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剂生产项目 及中分子肝 素制剂新药</w:t>
            </w:r>
          </w:p>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研究</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14,000,000.0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17,700,000.0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医药产业发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19" w:right="0"/>
              <w:jc w:val="left"/>
              <w:rPr>
                <w:rFonts w:ascii="Times New Roman" w:hAnsi="Times New Roman" w:cs="Times New Roman" w:eastAsia="Times New Roman" w:hint="default"/>
                <w:sz w:val="18"/>
                <w:szCs w:val="18"/>
              </w:rPr>
            </w:pPr>
            <w:r>
              <w:rPr>
                <w:rFonts w:ascii="Times New Roman"/>
                <w:sz w:val="18"/>
              </w:rPr>
              <w:t>400,000.00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10.120003pt;margin-top:319.699982pt;width:52.75pt;height:35.1pt;mso-position-horizontal-relative:page;mso-position-vertical-relative:page;z-index:-904072" coordorigin="2202,6394" coordsize="1055,702">
            <v:shape style="position:absolute;left:2202;top:6394;width:1055;height:702" coordorigin="2202,6394" coordsize="1055,702" path="m2202,7096l3257,7096,3257,6394,2202,6394,2202,709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47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展专项资金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4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9"/>
              <w:ind w:left="22" w:right="129"/>
              <w:jc w:val="left"/>
              <w:rPr>
                <w:rFonts w:ascii="宋体" w:hAnsi="宋体" w:cs="宋体" w:eastAsia="宋体" w:hint="default"/>
                <w:sz w:val="18"/>
                <w:szCs w:val="18"/>
              </w:rPr>
            </w:pPr>
            <w:r>
              <w:rPr>
                <w:rFonts w:ascii="宋体" w:hAnsi="宋体" w:cs="宋体" w:eastAsia="宋体" w:hint="default"/>
                <w:sz w:val="18"/>
                <w:szCs w:val="18"/>
              </w:rPr>
              <w:t>生物核酸综 合检测分析</w:t>
            </w:r>
          </w:p>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系统开发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660,593.00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59,232.00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601,361.00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88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129"/>
              <w:jc w:val="both"/>
              <w:rPr>
                <w:rFonts w:ascii="宋体" w:hAnsi="宋体" w:cs="宋体" w:eastAsia="宋体" w:hint="default"/>
                <w:sz w:val="18"/>
                <w:szCs w:val="18"/>
              </w:rPr>
            </w:pPr>
            <w:r>
              <w:rPr>
                <w:rFonts w:ascii="宋体" w:hAnsi="宋体" w:cs="宋体" w:eastAsia="宋体" w:hint="default"/>
                <w:sz w:val="18"/>
                <w:szCs w:val="18"/>
              </w:rPr>
              <w:t>柳河县住房 和城乡建设 局廉租房建</w:t>
            </w:r>
          </w:p>
          <w:p>
            <w:pPr>
              <w:pStyle w:val="TableParagraph"/>
              <w:spacing w:line="240" w:lineRule="auto" w:before="54"/>
              <w:ind w:left="22" w:right="0"/>
              <w:jc w:val="both"/>
              <w:rPr>
                <w:rFonts w:ascii="宋体" w:hAnsi="宋体" w:cs="宋体" w:eastAsia="宋体" w:hint="default"/>
                <w:sz w:val="18"/>
                <w:szCs w:val="18"/>
              </w:rPr>
            </w:pPr>
            <w:r>
              <w:rPr>
                <w:rFonts w:ascii="宋体" w:hAnsi="宋体" w:cs="宋体" w:eastAsia="宋体" w:hint="default"/>
                <w:sz w:val="18"/>
                <w:szCs w:val="18"/>
              </w:rPr>
              <w:t>设资金专户</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1,350,000.00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88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463" w:lineRule="auto" w:before="88"/>
              <w:ind w:left="22" w:right="-50"/>
              <w:jc w:val="left"/>
              <w:rPr>
                <w:rFonts w:ascii="宋体" w:hAnsi="宋体" w:cs="宋体" w:eastAsia="宋体" w:hint="default"/>
                <w:sz w:val="18"/>
                <w:szCs w:val="18"/>
              </w:rPr>
            </w:pPr>
            <w:r>
              <w:rPr>
                <w:rFonts w:ascii="宋体" w:hAnsi="宋体" w:cs="宋体" w:eastAsia="宋体" w:hint="default"/>
                <w:sz w:val="18"/>
                <w:szCs w:val="18"/>
              </w:rPr>
              <w:t>化学</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类新 药米格列奈 钙的临床研</w:t>
            </w:r>
          </w:p>
          <w:p>
            <w:pPr>
              <w:pStyle w:val="TableParagraph"/>
              <w:spacing w:line="240" w:lineRule="auto" w:before="65"/>
              <w:ind w:left="22" w:right="-50"/>
              <w:jc w:val="left"/>
              <w:rPr>
                <w:rFonts w:ascii="宋体" w:hAnsi="宋体" w:cs="宋体" w:eastAsia="宋体" w:hint="default"/>
                <w:sz w:val="18"/>
                <w:szCs w:val="18"/>
              </w:rPr>
            </w:pPr>
            <w:r>
              <w:rPr>
                <w:rFonts w:ascii="宋体" w:hAnsi="宋体" w:cs="宋体" w:eastAsia="宋体" w:hint="default"/>
                <w:sz w:val="18"/>
                <w:szCs w:val="18"/>
              </w:rPr>
              <w:t>究项目（</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产业转型升</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级项目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3,150,000.00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z w:val="18"/>
              </w:rPr>
              <w:t>140,000.00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3,010,000.00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环境保护专</w:t>
            </w: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项治理资金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4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23"/>
              <w:jc w:val="left"/>
              <w:rPr>
                <w:rFonts w:ascii="宋体" w:hAnsi="宋体" w:cs="宋体" w:eastAsia="宋体" w:hint="default"/>
                <w:sz w:val="18"/>
                <w:szCs w:val="18"/>
              </w:rPr>
            </w:pPr>
            <w:r>
              <w:rPr>
                <w:rFonts w:ascii="宋体" w:hAnsi="宋体" w:cs="宋体" w:eastAsia="宋体" w:hint="default"/>
                <w:sz w:val="18"/>
                <w:szCs w:val="18"/>
              </w:rPr>
              <w:t>口服液制剂 车间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GMP</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改</w:t>
            </w:r>
          </w:p>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造</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4,176,000.00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208,800.00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3,967,200.00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5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468" w:lineRule="auto" w:before="89"/>
              <w:ind w:left="22" w:right="129"/>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支生物发酵 蜜环菌脑心 舒产业化项</w:t>
            </w:r>
          </w:p>
          <w:p>
            <w:pPr>
              <w:pStyle w:val="TableParagraph"/>
              <w:spacing w:line="240" w:lineRule="auto" w:before="61"/>
              <w:ind w:left="22" w:right="0"/>
              <w:jc w:val="both"/>
              <w:rPr>
                <w:rFonts w:ascii="宋体" w:hAnsi="宋体" w:cs="宋体" w:eastAsia="宋体" w:hint="default"/>
                <w:sz w:val="18"/>
                <w:szCs w:val="18"/>
              </w:rPr>
            </w:pPr>
            <w:r>
              <w:rPr>
                <w:rFonts w:ascii="宋体" w:hAnsi="宋体" w:cs="宋体" w:eastAsia="宋体" w:hint="default"/>
                <w:sz w:val="18"/>
                <w:szCs w:val="18"/>
              </w:rPr>
              <w:t>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4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88"/>
              <w:ind w:left="22" w:right="129"/>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瓶人参酵素</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饮料产业化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3,845,339.87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355,280.04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3,490,059.83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基础设施建</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22,924,499.7</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1,054,000.08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21,870,499.6</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4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年加工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p>
          <w:p>
            <w:pPr>
              <w:pStyle w:val="TableParagraph"/>
              <w:spacing w:line="468" w:lineRule="exact" w:before="54"/>
              <w:ind w:left="22" w:right="129"/>
              <w:jc w:val="left"/>
              <w:rPr>
                <w:rFonts w:ascii="宋体" w:hAnsi="宋体" w:cs="宋体" w:eastAsia="宋体" w:hint="default"/>
                <w:sz w:val="18"/>
                <w:szCs w:val="18"/>
              </w:rPr>
            </w:pPr>
            <w:r>
              <w:rPr>
                <w:rFonts w:ascii="宋体" w:hAnsi="宋体" w:cs="宋体" w:eastAsia="宋体" w:hint="default"/>
                <w:sz w:val="18"/>
                <w:szCs w:val="18"/>
              </w:rPr>
              <w:t>吨人参系列 化制品项目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695,999.87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32,000.04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663,999.83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4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人参加工</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451"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GMP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项目建 设奖金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838,039.58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49,833.96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788,205.62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22"/>
              <w:jc w:val="left"/>
              <w:rPr>
                <w:rFonts w:ascii="宋体" w:hAnsi="宋体" w:cs="宋体" w:eastAsia="宋体" w:hint="default"/>
                <w:sz w:val="18"/>
                <w:szCs w:val="18"/>
              </w:rPr>
            </w:pPr>
            <w:r>
              <w:rPr>
                <w:rFonts w:ascii="宋体" w:hAnsi="宋体" w:cs="宋体" w:eastAsia="宋体" w:hint="default"/>
                <w:sz w:val="18"/>
                <w:szCs w:val="18"/>
              </w:rPr>
              <w:t>人参果蔬发 </w:t>
            </w:r>
            <w:r>
              <w:rPr>
                <w:rFonts w:ascii="宋体" w:hAnsi="宋体" w:cs="宋体" w:eastAsia="宋体" w:hint="default"/>
                <w:spacing w:val="-13"/>
                <w:sz w:val="18"/>
                <w:szCs w:val="18"/>
              </w:rPr>
              <w:t>酵饮料、人参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果蔬发酵咀 嚼片项目专</w:t>
            </w:r>
          </w:p>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项资金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现代农业发</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展引导资金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2,550,000.00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2,550,000.00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8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9"/>
              <w:ind w:left="22" w:right="129"/>
              <w:jc w:val="both"/>
              <w:rPr>
                <w:rFonts w:ascii="宋体" w:hAnsi="宋体" w:cs="宋体" w:eastAsia="宋体" w:hint="default"/>
                <w:sz w:val="18"/>
                <w:szCs w:val="18"/>
              </w:rPr>
            </w:pPr>
            <w:r>
              <w:rPr>
                <w:rFonts w:ascii="宋体" w:hAnsi="宋体" w:cs="宋体" w:eastAsia="宋体" w:hint="default"/>
                <w:sz w:val="18"/>
                <w:szCs w:val="18"/>
              </w:rPr>
              <w:t>人参蜜片生 产控制系统 升级改造项</w:t>
            </w:r>
          </w:p>
          <w:p>
            <w:pPr>
              <w:pStyle w:val="TableParagraph"/>
              <w:spacing w:line="240" w:lineRule="auto" w:before="54"/>
              <w:ind w:left="22" w:right="0"/>
              <w:jc w:val="both"/>
              <w:rPr>
                <w:rFonts w:ascii="宋体" w:hAnsi="宋体" w:cs="宋体" w:eastAsia="宋体" w:hint="default"/>
                <w:sz w:val="18"/>
                <w:szCs w:val="18"/>
              </w:rPr>
            </w:pPr>
            <w:r>
              <w:rPr>
                <w:rFonts w:ascii="宋体" w:hAnsi="宋体" w:cs="宋体" w:eastAsia="宋体" w:hint="default"/>
                <w:sz w:val="18"/>
                <w:szCs w:val="18"/>
              </w:rPr>
              <w:t>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4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468" w:lineRule="exact" w:before="54"/>
              <w:ind w:left="22" w:right="129"/>
              <w:jc w:val="left"/>
              <w:rPr>
                <w:rFonts w:ascii="宋体" w:hAnsi="宋体" w:cs="宋体" w:eastAsia="宋体" w:hint="default"/>
                <w:sz w:val="18"/>
                <w:szCs w:val="18"/>
              </w:rPr>
            </w:pPr>
            <w:r>
              <w:rPr>
                <w:rFonts w:ascii="宋体" w:hAnsi="宋体" w:cs="宋体" w:eastAsia="宋体" w:hint="default"/>
                <w:sz w:val="18"/>
                <w:szCs w:val="18"/>
              </w:rPr>
              <w:t>瓶暴贝口服 液项目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4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129"/>
              <w:jc w:val="left"/>
              <w:rPr>
                <w:rFonts w:ascii="宋体" w:hAnsi="宋体" w:cs="宋体" w:eastAsia="宋体" w:hint="default"/>
                <w:sz w:val="18"/>
                <w:szCs w:val="18"/>
              </w:rPr>
            </w:pPr>
            <w:r>
              <w:rPr>
                <w:rFonts w:ascii="宋体" w:hAnsi="宋体" w:cs="宋体" w:eastAsia="宋体" w:hint="default"/>
                <w:sz w:val="18"/>
                <w:szCs w:val="18"/>
              </w:rPr>
              <w:t>人参加工接 续产业发展</w:t>
            </w:r>
          </w:p>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项目资金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3,350,400.00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139,600.00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3,210,800.00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4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敦化市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p>
          <w:p>
            <w:pPr>
              <w:pStyle w:val="TableParagraph"/>
              <w:spacing w:line="468" w:lineRule="exact" w:before="54"/>
              <w:ind w:left="22" w:right="129"/>
              <w:jc w:val="left"/>
              <w:rPr>
                <w:rFonts w:ascii="宋体" w:hAnsi="宋体" w:cs="宋体" w:eastAsia="宋体" w:hint="default"/>
                <w:sz w:val="18"/>
                <w:szCs w:val="18"/>
              </w:rPr>
            </w:pPr>
            <w:r>
              <w:rPr>
                <w:rFonts w:ascii="宋体" w:hAnsi="宋体" w:cs="宋体" w:eastAsia="宋体" w:hint="default"/>
                <w:sz w:val="18"/>
                <w:szCs w:val="18"/>
              </w:rPr>
              <w:t>生晒参加工 扩建项目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4,032,000.00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176,298,946.</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86" w:right="0"/>
              <w:jc w:val="left"/>
              <w:rPr>
                <w:rFonts w:ascii="Times New Roman" w:hAnsi="Times New Roman" w:cs="Times New Roman" w:eastAsia="Times New Roman" w:hint="default"/>
                <w:sz w:val="18"/>
                <w:szCs w:val="18"/>
              </w:rPr>
            </w:pPr>
            <w:r>
              <w:rPr>
                <w:rFonts w:ascii="Times New Roman"/>
                <w:sz w:val="18"/>
              </w:rPr>
              <w:t>6,550,000.00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6,383,584.12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19" w:right="0"/>
              <w:jc w:val="left"/>
              <w:rPr>
                <w:rFonts w:ascii="Times New Roman" w:hAnsi="Times New Roman" w:cs="Times New Roman" w:eastAsia="Times New Roman" w:hint="default"/>
                <w:sz w:val="18"/>
                <w:szCs w:val="18"/>
              </w:rPr>
            </w:pPr>
            <w:r>
              <w:rPr>
                <w:rFonts w:ascii="Times New Roman"/>
                <w:sz w:val="18"/>
              </w:rPr>
              <w:t>400,000.00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176,065,361.</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32、股本" w:id="319"/>
      <w:bookmarkEnd w:id="319"/>
      <w:r>
        <w:rPr>
          <w:b w:val="0"/>
          <w:bCs w:val="0"/>
        </w:rPr>
      </w:r>
      <w:r>
        <w:rPr>
          <w:rFonts w:ascii="Times New Roman" w:hAnsi="Times New Roman" w:cs="Times New Roman" w:eastAsia="Times New Roman" w:hint="default"/>
        </w:rPr>
        <w:t>32</w:t>
      </w:r>
      <w:r>
        <w:rPr/>
        <w:t>、股本</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1184"/>
        <w:gridCol w:w="1196"/>
        <w:gridCol w:w="1196"/>
        <w:gridCol w:w="1197"/>
        <w:gridCol w:w="1195"/>
        <w:gridCol w:w="1197"/>
        <w:gridCol w:w="1196"/>
        <w:gridCol w:w="1195"/>
      </w:tblGrid>
      <w:tr>
        <w:trPr>
          <w:trHeight w:val="244"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35"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9"/>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33"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4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39"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1,280,759,826.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w:t>
            </w:r>
          </w:p>
        </w:tc>
        <w:tc>
          <w:tcPr>
            <w:tcW w:w="1196"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1,280,759,826.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w:t>
            </w:r>
          </w:p>
        </w:tc>
      </w:tr>
      <w:tr>
        <w:trPr>
          <w:trHeight w:val="468"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239"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Heading3"/>
        <w:spacing w:line="240" w:lineRule="auto"/>
        <w:ind w:right="0"/>
        <w:jc w:val="left"/>
        <w:rPr>
          <w:b w:val="0"/>
          <w:bCs w:val="0"/>
        </w:rPr>
      </w:pPr>
      <w:bookmarkStart w:name="33、资本公积" w:id="320"/>
      <w:bookmarkEnd w:id="320"/>
      <w:r>
        <w:rPr>
          <w:b w:val="0"/>
          <w:bCs w:val="0"/>
        </w:rPr>
      </w:r>
      <w:r>
        <w:rPr>
          <w:rFonts w:ascii="Times New Roman" w:hAnsi="Times New Roman" w:cs="Times New Roman" w:eastAsia="Times New Roman" w:hint="default"/>
        </w:rPr>
        <w:t>33</w:t>
      </w:r>
      <w:r>
        <w:rPr/>
        <w:t>、资本公积</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7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8"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23" w:right="0"/>
              <w:jc w:val="left"/>
              <w:rPr>
                <w:rFonts w:ascii="Times New Roman" w:hAnsi="Times New Roman" w:cs="Times New Roman" w:eastAsia="Times New Roman" w:hint="default"/>
                <w:sz w:val="18"/>
                <w:szCs w:val="18"/>
              </w:rPr>
            </w:pPr>
            <w:r>
              <w:rPr>
                <w:rFonts w:ascii="Times New Roman"/>
                <w:sz w:val="18"/>
              </w:rPr>
              <w:t>1,518,466,401.74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20" w:right="0"/>
              <w:jc w:val="left"/>
              <w:rPr>
                <w:rFonts w:ascii="Times New Roman" w:hAnsi="Times New Roman" w:cs="Times New Roman" w:eastAsia="Times New Roman" w:hint="default"/>
                <w:sz w:val="18"/>
                <w:szCs w:val="18"/>
              </w:rPr>
            </w:pPr>
            <w:r>
              <w:rPr>
                <w:rFonts w:ascii="Times New Roman"/>
                <w:sz w:val="18"/>
              </w:rPr>
              <w:t>1,533,658,810.16</w:t>
            </w:r>
          </w:p>
        </w:tc>
      </w:tr>
      <w:tr>
        <w:trPr>
          <w:trHeight w:val="478"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）投资者投入的资本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23" w:right="0"/>
              <w:jc w:val="left"/>
              <w:rPr>
                <w:rFonts w:ascii="Times New Roman" w:hAnsi="Times New Roman" w:cs="Times New Roman" w:eastAsia="Times New Roman" w:hint="default"/>
                <w:sz w:val="18"/>
                <w:szCs w:val="18"/>
              </w:rPr>
            </w:pPr>
            <w:r>
              <w:rPr>
                <w:rFonts w:ascii="Times New Roman"/>
                <w:sz w:val="18"/>
              </w:rPr>
              <w:t>1,518,466,401.74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16,861,049.65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1,668,641.23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20" w:right="0"/>
              <w:jc w:val="left"/>
              <w:rPr>
                <w:rFonts w:ascii="Times New Roman" w:hAnsi="Times New Roman" w:cs="Times New Roman" w:eastAsia="Times New Roman" w:hint="default"/>
                <w:sz w:val="18"/>
                <w:szCs w:val="18"/>
              </w:rPr>
            </w:pPr>
            <w:r>
              <w:rPr>
                <w:rFonts w:ascii="Times New Roman"/>
                <w:sz w:val="18"/>
              </w:rPr>
              <w:t>1,533,658,810.16</w:t>
            </w:r>
          </w:p>
        </w:tc>
      </w:tr>
      <w:tr>
        <w:trPr>
          <w:trHeight w:val="947"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89"/>
              <w:ind w:left="22" w:right="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）同一控制下企业合</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并的影响</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23" w:right="0"/>
              <w:jc w:val="left"/>
              <w:rPr>
                <w:rFonts w:ascii="Times New Roman" w:hAnsi="Times New Roman" w:cs="Times New Roman" w:eastAsia="Times New Roman" w:hint="default"/>
                <w:sz w:val="18"/>
                <w:szCs w:val="18"/>
              </w:rPr>
            </w:pPr>
            <w:r>
              <w:rPr>
                <w:rFonts w:ascii="Times New Roman"/>
                <w:sz w:val="18"/>
              </w:rPr>
              <w:t>1,518,466,401.74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16,861,049.65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1,668,641.23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20" w:right="0"/>
              <w:jc w:val="left"/>
              <w:rPr>
                <w:rFonts w:ascii="Times New Roman" w:hAnsi="Times New Roman" w:cs="Times New Roman" w:eastAsia="Times New Roman" w:hint="default"/>
                <w:sz w:val="18"/>
                <w:szCs w:val="18"/>
              </w:rPr>
            </w:pPr>
            <w:r>
              <w:rPr>
                <w:rFonts w:ascii="Times New Roman"/>
                <w:sz w:val="18"/>
              </w:rPr>
              <w:t>1,533,658,810.16</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1"/>
        <w:rPr>
          <w:rFonts w:ascii="宋体" w:hAnsi="宋体" w:cs="宋体" w:eastAsia="宋体" w:hint="default"/>
          <w:sz w:val="15"/>
          <w:szCs w:val="15"/>
        </w:rPr>
      </w:pPr>
    </w:p>
    <w:p>
      <w:pPr>
        <w:pStyle w:val="BodyText"/>
        <w:spacing w:line="386" w:lineRule="auto" w:before="0"/>
        <w:ind w:right="1130" w:firstLine="420"/>
        <w:jc w:val="both"/>
      </w:pPr>
      <w:r>
        <w:rPr/>
        <w:t>根据本公司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日与敦化市康平投资有限责任公司签定</w:t>
      </w:r>
      <w:r>
        <w:rPr>
          <w:rFonts w:ascii="Times New Roman" w:hAnsi="Times New Roman" w:cs="Times New Roman" w:eastAsia="Times New Roman" w:hint="default"/>
        </w:rPr>
        <w:t>“</w:t>
      </w:r>
      <w:r>
        <w:rPr/>
        <w:t>关于代替紫鑫药业承担民事赔偿协 </w:t>
      </w:r>
      <w:r>
        <w:rPr>
          <w:spacing w:val="-2"/>
          <w:w w:val="100"/>
        </w:rPr>
        <w:t>议书</w:t>
      </w:r>
      <w:r>
        <w:rPr>
          <w:rFonts w:ascii="Times New Roman" w:hAnsi="Times New Roman" w:cs="Times New Roman" w:eastAsia="Times New Roman" w:hint="default"/>
          <w:spacing w:val="-2"/>
          <w:w w:val="100"/>
        </w:rPr>
        <w:t>”</w:t>
      </w:r>
      <w:r>
        <w:rPr>
          <w:spacing w:val="-2"/>
          <w:w w:val="100"/>
        </w:rPr>
        <w:t>，针对本公司</w:t>
      </w:r>
      <w:r>
        <w:rPr>
          <w:rFonts w:ascii="Times New Roman" w:hAnsi="Times New Roman" w:cs="Times New Roman" w:eastAsia="Times New Roman" w:hint="default"/>
          <w:spacing w:val="-2"/>
          <w:w w:val="100"/>
        </w:rPr>
        <w:t>2017</w:t>
      </w:r>
      <w:r>
        <w:rPr>
          <w:spacing w:val="-2"/>
          <w:w w:val="100"/>
        </w:rPr>
        <w:t>年</w:t>
      </w:r>
      <w:r>
        <w:rPr>
          <w:rFonts w:ascii="Times New Roman" w:hAnsi="Times New Roman" w:cs="Times New Roman" w:eastAsia="Times New Roman" w:hint="default"/>
          <w:spacing w:val="-2"/>
          <w:w w:val="100"/>
        </w:rPr>
        <w:t>12</w:t>
      </w:r>
      <w:r>
        <w:rPr>
          <w:spacing w:val="-2"/>
          <w:w w:val="100"/>
        </w:rPr>
        <w:t>月</w:t>
      </w:r>
      <w:r>
        <w:rPr>
          <w:rFonts w:ascii="Times New Roman" w:hAnsi="Times New Roman" w:cs="Times New Roman" w:eastAsia="Times New Roman" w:hint="default"/>
          <w:spacing w:val="-2"/>
          <w:w w:val="100"/>
        </w:rPr>
        <w:t>29</w:t>
      </w:r>
      <w:r>
        <w:rPr>
          <w:spacing w:val="-2"/>
          <w:w w:val="100"/>
        </w:rPr>
        <w:t>日公告的</w:t>
      </w:r>
      <w:r>
        <w:rPr>
          <w:rFonts w:ascii="Times New Roman" w:hAnsi="Times New Roman" w:cs="Times New Roman" w:eastAsia="Times New Roman" w:hint="default"/>
          <w:spacing w:val="-2"/>
          <w:w w:val="100"/>
        </w:rPr>
        <w:t>“</w:t>
      </w:r>
      <w:r>
        <w:rPr>
          <w:spacing w:val="-2"/>
          <w:w w:val="100"/>
        </w:rPr>
        <w:t>关于涉及诉讼的进展公告暨诉讼完结公告</w:t>
      </w:r>
      <w:r>
        <w:rPr>
          <w:rFonts w:ascii="Times New Roman" w:hAnsi="Times New Roman" w:cs="Times New Roman" w:eastAsia="Times New Roman" w:hint="default"/>
          <w:spacing w:val="-2"/>
          <w:w w:val="100"/>
        </w:rPr>
        <w:t>”</w:t>
      </w:r>
      <w:r>
        <w:rPr>
          <w:spacing w:val="-2"/>
          <w:w w:val="100"/>
        </w:rPr>
        <w:t>的诉讼事项涉所承担</w:t>
      </w:r>
      <w:r>
        <w:rPr>
          <w:spacing w:val="-100"/>
          <w:w w:val="100"/>
        </w:rPr>
        <w:t> </w:t>
      </w:r>
      <w:r>
        <w:rPr/>
        <w:t>的赔偿金额</w:t>
      </w:r>
      <w:r>
        <w:rPr>
          <w:rFonts w:ascii="Times New Roman" w:hAnsi="Times New Roman" w:cs="Times New Roman" w:eastAsia="Times New Roman" w:hint="default"/>
        </w:rPr>
        <w:t>16,861,049.65</w:t>
      </w:r>
      <w:r>
        <w:rPr/>
        <w:t>元均由大股东敦化市康平投资有限责任公司承担，敦化市康平投资有限责任公司</w:t>
      </w:r>
      <w:r>
        <w:rPr>
          <w:spacing w:val="-80"/>
        </w:rPr>
        <w:t> </w:t>
      </w:r>
      <w:r>
        <w:rPr>
          <w:spacing w:val="-80"/>
        </w:rPr>
      </w:r>
      <w:r>
        <w:rPr/>
        <w:t>代替本公司向投资人承担相关的民事赔偿责任，本公司接受大股东的捐赠计入资本公积。</w:t>
      </w:r>
    </w:p>
    <w:p>
      <w:pPr>
        <w:pStyle w:val="BodyText"/>
        <w:spacing w:line="386" w:lineRule="auto" w:before="65"/>
        <w:ind w:right="1129" w:firstLine="420"/>
        <w:jc w:val="both"/>
      </w:pPr>
      <w:r>
        <w:rPr>
          <w:spacing w:val="-3"/>
        </w:rPr>
        <w:t>根据本公司的经营调整，本期分别出资收购子公司吉林紫鑫敦化医药药材有限公司</w:t>
      </w:r>
      <w:r>
        <w:rPr>
          <w:rFonts w:ascii="Times New Roman" w:hAnsi="Times New Roman" w:cs="Times New Roman" w:eastAsia="Times New Roman" w:hint="default"/>
          <w:spacing w:val="-3"/>
        </w:rPr>
        <w:t>1%</w:t>
      </w:r>
      <w:r>
        <w:rPr>
          <w:spacing w:val="-3"/>
        </w:rPr>
        <w:t>股权以及北方环</w:t>
      </w:r>
      <w:r>
        <w:rPr/>
        <w:t> 境能源交易所有限公司</w:t>
      </w:r>
      <w:r>
        <w:rPr>
          <w:rFonts w:ascii="Times New Roman" w:hAnsi="Times New Roman" w:cs="Times New Roman" w:eastAsia="Times New Roman" w:hint="default"/>
        </w:rPr>
        <w:t>14.97%</w:t>
      </w:r>
      <w:r>
        <w:rPr/>
        <w:t>的少数股权，收购后分别持有吉林紫鑫敦化医药药材有限公司</w:t>
      </w:r>
      <w:r>
        <w:rPr>
          <w:rFonts w:ascii="Times New Roman" w:hAnsi="Times New Roman" w:cs="Times New Roman" w:eastAsia="Times New Roman" w:hint="default"/>
        </w:rPr>
        <w:t>100%</w:t>
      </w:r>
      <w:r>
        <w:rPr/>
        <w:t>股权，</w:t>
      </w:r>
      <w:r>
        <w:rPr>
          <w:spacing w:val="-12"/>
        </w:rPr>
        <w:t> </w:t>
      </w:r>
      <w:r>
        <w:rPr>
          <w:spacing w:val="-1"/>
        </w:rPr>
        <w:t>持有北方环境能源交易所有限公司</w:t>
      </w:r>
      <w:r>
        <w:rPr>
          <w:rFonts w:ascii="Times New Roman" w:hAnsi="Times New Roman" w:cs="Times New Roman" w:eastAsia="Times New Roman" w:hint="default"/>
          <w:spacing w:val="-1"/>
        </w:rPr>
        <w:t>97.97%</w:t>
      </w:r>
      <w:r>
        <w:rPr>
          <w:spacing w:val="-1"/>
        </w:rPr>
        <w:t>股权。按照购入时点支付的价款与标的公司账面净资产享有份额</w:t>
      </w:r>
      <w:r>
        <w:rPr>
          <w:spacing w:val="-97"/>
        </w:rPr>
        <w:t> </w:t>
      </w:r>
      <w:r>
        <w:rPr>
          <w:spacing w:val="-97"/>
        </w:rPr>
      </w:r>
      <w:r>
        <w:rPr/>
        <w:t>之间的差异冲减资本公积。</w:t>
      </w:r>
    </w:p>
    <w:p>
      <w:pPr>
        <w:pStyle w:val="Heading3"/>
        <w:spacing w:line="240" w:lineRule="auto" w:before="65"/>
        <w:ind w:left="154" w:right="0"/>
        <w:jc w:val="left"/>
        <w:rPr>
          <w:b w:val="0"/>
          <w:bCs w:val="0"/>
        </w:rPr>
      </w:pPr>
      <w:bookmarkStart w:name="34、其他综合收益" w:id="321"/>
      <w:bookmarkEnd w:id="321"/>
      <w:r>
        <w:rPr>
          <w:b w:val="0"/>
          <w:bCs w:val="0"/>
        </w:rPr>
      </w:r>
      <w:r>
        <w:rPr>
          <w:rFonts w:ascii="Times New Roman" w:hAnsi="Times New Roman" w:cs="Times New Roman" w:eastAsia="Times New Roman" w:hint="default"/>
        </w:rPr>
        <w:t>34</w:t>
      </w:r>
      <w:r>
        <w:rPr/>
        <w:t>、其他综合收益</w:t>
      </w:r>
      <w:r>
        <w:rPr>
          <w:b w:val="0"/>
          <w:bCs w:val="0"/>
        </w:rPr>
      </w:r>
    </w:p>
    <w:p>
      <w:pPr>
        <w:spacing w:line="240" w:lineRule="auto" w:before="6"/>
        <w:rPr>
          <w:rFonts w:ascii="宋体" w:hAnsi="宋体" w:cs="宋体" w:eastAsia="宋体" w:hint="default"/>
          <w:b/>
          <w:bCs/>
          <w:sz w:val="15"/>
          <w:szCs w:val="15"/>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8"/>
      </w:tblGrid>
      <w:tr>
        <w:trPr>
          <w:trHeight w:val="479"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946"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2" w:right="0"/>
              <w:jc w:val="left"/>
              <w:rPr>
                <w:rFonts w:ascii="宋体" w:hAnsi="宋体" w:cs="宋体" w:eastAsia="宋体" w:hint="default"/>
                <w:sz w:val="18"/>
                <w:szCs w:val="18"/>
              </w:rPr>
            </w:pPr>
            <w:r>
              <w:rPr>
                <w:rFonts w:ascii="宋体" w:hAnsi="宋体" w:cs="宋体" w:eastAsia="宋体" w:hint="default"/>
                <w:sz w:val="18"/>
                <w:szCs w:val="18"/>
              </w:rPr>
              <w:t>本期所得</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税前发生</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9" w:right="0"/>
              <w:jc w:val="left"/>
              <w:rPr>
                <w:rFonts w:ascii="宋体" w:hAnsi="宋体" w:cs="宋体" w:eastAsia="宋体" w:hint="default"/>
                <w:sz w:val="18"/>
                <w:szCs w:val="18"/>
              </w:rPr>
            </w:pPr>
            <w:r>
              <w:rPr>
                <w:rFonts w:ascii="宋体" w:hAnsi="宋体" w:cs="宋体" w:eastAsia="宋体" w:hint="default"/>
                <w:sz w:val="18"/>
                <w:szCs w:val="18"/>
              </w:rPr>
              <w:t>减：前期计入</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pacing w:val="-5"/>
                <w:sz w:val="18"/>
                <w:szCs w:val="18"/>
              </w:rPr>
              <w:t>减：所得税</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2" w:right="0"/>
              <w:jc w:val="left"/>
              <w:rPr>
                <w:rFonts w:ascii="宋体" w:hAnsi="宋体" w:cs="宋体" w:eastAsia="宋体" w:hint="default"/>
                <w:sz w:val="18"/>
                <w:szCs w:val="18"/>
              </w:rPr>
            </w:pPr>
            <w:r>
              <w:rPr>
                <w:rFonts w:ascii="宋体" w:hAnsi="宋体" w:cs="宋体" w:eastAsia="宋体" w:hint="default"/>
                <w:sz w:val="18"/>
                <w:szCs w:val="18"/>
              </w:rPr>
              <w:t>税后归属</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1" w:right="0"/>
              <w:jc w:val="left"/>
              <w:rPr>
                <w:rFonts w:ascii="宋体" w:hAnsi="宋体" w:cs="宋体" w:eastAsia="宋体" w:hint="default"/>
                <w:sz w:val="18"/>
                <w:szCs w:val="18"/>
              </w:rPr>
            </w:pPr>
            <w:r>
              <w:rPr>
                <w:rFonts w:ascii="宋体" w:hAnsi="宋体" w:cs="宋体" w:eastAsia="宋体" w:hint="default"/>
                <w:sz w:val="18"/>
                <w:szCs w:val="18"/>
              </w:rPr>
              <w:t>税后归属</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于少数股</w:t>
            </w:r>
          </w:p>
        </w:tc>
        <w:tc>
          <w:tcPr>
            <w:tcW w:w="79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6"/>
      </w:tblGrid>
      <w:tr>
        <w:trPr>
          <w:trHeight w:val="478"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9" w:right="0"/>
              <w:jc w:val="left"/>
              <w:rPr>
                <w:rFonts w:ascii="宋体" w:hAnsi="宋体" w:cs="宋体" w:eastAsia="宋体" w:hint="default"/>
                <w:sz w:val="18"/>
                <w:szCs w:val="18"/>
              </w:rPr>
            </w:pPr>
            <w:r>
              <w:rPr>
                <w:rFonts w:ascii="宋体" w:hAnsi="宋体" w:cs="宋体" w:eastAsia="宋体" w:hint="default"/>
                <w:sz w:val="18"/>
                <w:szCs w:val="18"/>
              </w:rPr>
              <w:t>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东</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947"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4,546,565.83</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782,597.27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782,597.27</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5,329,163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w:t>
            </w:r>
          </w:p>
        </w:tc>
      </w:tr>
      <w:tr>
        <w:trPr>
          <w:trHeight w:val="239" w:hRule="exact"/>
        </w:trPr>
        <w:tc>
          <w:tcPr>
            <w:tcW w:w="2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98" w:right="0"/>
              <w:jc w:val="left"/>
              <w:rPr>
                <w:rFonts w:ascii="Times New Roman" w:hAnsi="Times New Roman" w:cs="Times New Roman" w:eastAsia="Times New Roman" w:hint="default"/>
                <w:sz w:val="18"/>
                <w:szCs w:val="18"/>
              </w:rPr>
            </w:pPr>
            <w:r>
              <w:rPr>
                <w:rFonts w:ascii="Times New Roman"/>
                <w:sz w:val="18"/>
              </w:rPr>
              <w:t>9,432.51</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1" w:right="0"/>
              <w:jc w:val="left"/>
              <w:rPr>
                <w:rFonts w:ascii="Times New Roman" w:hAnsi="Times New Roman" w:cs="Times New Roman" w:eastAsia="Times New Roman" w:hint="default"/>
                <w:sz w:val="18"/>
                <w:szCs w:val="18"/>
              </w:rPr>
            </w:pPr>
            <w:r>
              <w:rPr>
                <w:rFonts w:ascii="Times New Roman"/>
                <w:sz w:val="18"/>
              </w:rPr>
              <w:t>748,863.93</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2" w:right="0"/>
              <w:jc w:val="left"/>
              <w:rPr>
                <w:rFonts w:ascii="Times New Roman" w:hAnsi="Times New Roman" w:cs="Times New Roman" w:eastAsia="Times New Roman" w:hint="default"/>
                <w:sz w:val="18"/>
                <w:szCs w:val="18"/>
              </w:rPr>
            </w:pPr>
            <w:r>
              <w:rPr>
                <w:rFonts w:ascii="Times New Roman"/>
                <w:sz w:val="18"/>
              </w:rPr>
              <w:t>748,863.93</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758,296.4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w:t>
            </w:r>
          </w:p>
        </w:tc>
      </w:tr>
      <w:tr>
        <w:trPr>
          <w:trHeight w:val="468"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239"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946"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4,537,133.32</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33,733.34</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33,733.34</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4,570,866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w:t>
            </w:r>
          </w:p>
        </w:tc>
      </w:tr>
      <w:tr>
        <w:trPr>
          <w:trHeight w:val="947"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4,546,565.83</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782,597.27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782,597.27</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5,329,163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1"/>
        <w:rPr>
          <w:rFonts w:ascii="宋体" w:hAnsi="宋体" w:cs="宋体" w:eastAsia="宋体" w:hint="default"/>
          <w:sz w:val="15"/>
          <w:szCs w:val="15"/>
        </w:rPr>
      </w:pPr>
    </w:p>
    <w:p>
      <w:pPr>
        <w:pStyle w:val="Heading3"/>
        <w:spacing w:line="240" w:lineRule="auto"/>
        <w:ind w:right="0"/>
        <w:jc w:val="left"/>
        <w:rPr>
          <w:b w:val="0"/>
          <w:bCs w:val="0"/>
        </w:rPr>
      </w:pPr>
      <w:bookmarkStart w:name="35、盈余公积" w:id="322"/>
      <w:bookmarkEnd w:id="322"/>
      <w:r>
        <w:rPr>
          <w:b w:val="0"/>
          <w:bCs w:val="0"/>
        </w:rPr>
      </w:r>
      <w:r>
        <w:rPr>
          <w:rFonts w:ascii="Times New Roman" w:hAnsi="Times New Roman" w:cs="Times New Roman" w:eastAsia="Times New Roman" w:hint="default"/>
        </w:rPr>
        <w:t>35</w:t>
      </w:r>
      <w:r>
        <w:rPr/>
        <w:t>、盈余公积</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7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79,720,106.94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1,687,204.06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81,407,311.00</w:t>
            </w:r>
          </w:p>
        </w:tc>
      </w:tr>
      <w:tr>
        <w:trPr>
          <w:trHeight w:val="47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79,720,106.94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1,687,204.06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81,407,311.00</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11"/>
        <w:rPr>
          <w:rFonts w:ascii="宋体" w:hAnsi="宋体" w:cs="宋体" w:eastAsia="宋体" w:hint="default"/>
          <w:sz w:val="15"/>
          <w:szCs w:val="15"/>
        </w:rPr>
      </w:pPr>
    </w:p>
    <w:p>
      <w:pPr>
        <w:pStyle w:val="Heading3"/>
        <w:spacing w:line="240" w:lineRule="auto"/>
        <w:ind w:left="154" w:right="0"/>
        <w:jc w:val="left"/>
        <w:rPr>
          <w:b w:val="0"/>
          <w:bCs w:val="0"/>
        </w:rPr>
      </w:pPr>
      <w:bookmarkStart w:name="36、未分配利润" w:id="323"/>
      <w:bookmarkEnd w:id="323"/>
      <w:r>
        <w:rPr>
          <w:b w:val="0"/>
          <w:bCs w:val="0"/>
        </w:rPr>
      </w:r>
      <w:r>
        <w:rPr>
          <w:rFonts w:ascii="Times New Roman" w:hAnsi="Times New Roman" w:cs="Times New Roman" w:eastAsia="Times New Roman" w:hint="default"/>
        </w:rPr>
        <w:t>36</w:t>
      </w:r>
      <w:r>
        <w:rPr/>
        <w:t>、未分配利润</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78"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78"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859,775,586.94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702,343,578.04</w:t>
            </w:r>
          </w:p>
        </w:tc>
      </w:tr>
      <w:tr>
        <w:trPr>
          <w:trHeight w:val="478"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371,577,386.43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163,166,427.53</w:t>
            </w:r>
          </w:p>
        </w:tc>
      </w:tr>
      <w:tr>
        <w:trPr>
          <w:trHeight w:val="478"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1,687,204.06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5,734,418.63</w:t>
            </w:r>
          </w:p>
        </w:tc>
      </w:tr>
      <w:tr>
        <w:trPr>
          <w:trHeight w:val="478"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1,229,665,769.31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859,775,586.94</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line="240" w:lineRule="auto" w:before="10"/>
        <w:rPr>
          <w:rFonts w:ascii="宋体" w:hAnsi="宋体" w:cs="宋体" w:eastAsia="宋体" w:hint="default"/>
          <w:sz w:val="17"/>
          <w:szCs w:val="17"/>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line="240" w:lineRule="auto" w:before="9"/>
        <w:rPr>
          <w:rFonts w:ascii="宋体" w:hAnsi="宋体" w:cs="宋体" w:eastAsia="宋体" w:hint="default"/>
          <w:sz w:val="16"/>
          <w:szCs w:val="1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line="240" w:lineRule="auto" w:before="10"/>
        <w:rPr>
          <w:rFonts w:ascii="宋体" w:hAnsi="宋体" w:cs="宋体" w:eastAsia="宋体" w:hint="default"/>
          <w:sz w:val="16"/>
          <w:szCs w:val="1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line="240" w:lineRule="auto" w:before="9"/>
        <w:rPr>
          <w:rFonts w:ascii="宋体" w:hAnsi="宋体" w:cs="宋体" w:eastAsia="宋体" w:hint="default"/>
          <w:sz w:val="16"/>
          <w:szCs w:val="1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line="240" w:lineRule="auto" w:before="9"/>
        <w:rPr>
          <w:rFonts w:ascii="宋体" w:hAnsi="宋体" w:cs="宋体" w:eastAsia="宋体" w:hint="default"/>
          <w:sz w:val="16"/>
          <w:szCs w:val="1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37、营业收入和营业成本" w:id="324"/>
      <w:bookmarkEnd w:id="324"/>
      <w:r>
        <w:rPr>
          <w:b w:val="0"/>
          <w:bCs w:val="0"/>
        </w:rPr>
      </w:r>
      <w:r>
        <w:rPr>
          <w:rFonts w:ascii="Times New Roman" w:hAnsi="Times New Roman" w:cs="Times New Roman" w:eastAsia="Times New Roman" w:hint="default"/>
        </w:rPr>
        <w:t>37</w:t>
      </w:r>
      <w:r>
        <w:rPr/>
        <w:t>、营业收入和营业成本</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44"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35"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33"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4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7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pacing w:val="-1"/>
                <w:sz w:val="18"/>
              </w:rPr>
              <w:t>1,269,077,154.22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264,481,208.25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798,706,255.86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213,849,017.21</w:t>
            </w:r>
          </w:p>
        </w:tc>
      </w:tr>
      <w:tr>
        <w:trPr>
          <w:trHeight w:val="47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58,153,685.05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5,095,488.78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20,809,291.48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48,150.16</w:t>
            </w:r>
          </w:p>
        </w:tc>
      </w:tr>
      <w:tr>
        <w:trPr>
          <w:trHeight w:val="479"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1,327,230,839.27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269,576,697.03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819,515,547.34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213,897,167.37</w:t>
            </w:r>
          </w:p>
        </w:tc>
      </w:tr>
    </w:tbl>
    <w:p>
      <w:pPr>
        <w:pStyle w:val="Heading3"/>
        <w:spacing w:line="240" w:lineRule="auto" w:before="63"/>
        <w:ind w:left="154" w:right="0"/>
        <w:jc w:val="left"/>
        <w:rPr>
          <w:b w:val="0"/>
          <w:bCs w:val="0"/>
        </w:rPr>
      </w:pPr>
      <w:bookmarkStart w:name="38、税金及附加" w:id="325"/>
      <w:bookmarkEnd w:id="325"/>
      <w:r>
        <w:rPr>
          <w:b w:val="0"/>
          <w:bCs w:val="0"/>
        </w:rPr>
      </w:r>
      <w:r>
        <w:rPr>
          <w:rFonts w:ascii="Times New Roman" w:hAnsi="Times New Roman" w:cs="Times New Roman" w:eastAsia="Times New Roman" w:hint="default"/>
        </w:rPr>
        <w:t>38</w:t>
      </w:r>
      <w:r>
        <w:rPr/>
        <w:t>、税金及附加</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7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3,684,931.62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2,726,850.98</w:t>
            </w:r>
          </w:p>
        </w:tc>
      </w:tr>
      <w:tr>
        <w:trPr>
          <w:trHeight w:val="47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2,105,040.95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1,587,182.26</w:t>
            </w:r>
          </w:p>
        </w:tc>
      </w:tr>
      <w:tr>
        <w:trPr>
          <w:trHeight w:val="47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7,340,977.77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4,649,995.65</w:t>
            </w:r>
          </w:p>
        </w:tc>
      </w:tr>
      <w:tr>
        <w:trPr>
          <w:trHeight w:val="47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4,778,509.80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2,288,375.31</w:t>
            </w:r>
          </w:p>
        </w:tc>
      </w:tr>
      <w:tr>
        <w:trPr>
          <w:trHeight w:val="47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1,621,615.02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151,286.76</w:t>
            </w:r>
          </w:p>
        </w:tc>
      </w:tr>
      <w:tr>
        <w:trPr>
          <w:trHeight w:val="47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489,912.12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1,453,428.27</w:t>
            </w:r>
          </w:p>
        </w:tc>
      </w:tr>
      <w:tr>
        <w:trPr>
          <w:trHeight w:val="479"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1,403,215.46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1,058,121.54</w:t>
            </w:r>
          </w:p>
        </w:tc>
      </w:tr>
      <w:tr>
        <w:trPr>
          <w:trHeight w:val="47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21,424,202.74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13,915,240.77</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Heading3"/>
        <w:spacing w:line="240" w:lineRule="auto"/>
        <w:ind w:right="0"/>
        <w:jc w:val="left"/>
        <w:rPr>
          <w:b w:val="0"/>
          <w:bCs w:val="0"/>
        </w:rPr>
      </w:pPr>
      <w:bookmarkStart w:name="39、销售费用" w:id="326"/>
      <w:bookmarkEnd w:id="326"/>
      <w:r>
        <w:rPr>
          <w:b w:val="0"/>
          <w:bCs w:val="0"/>
        </w:rPr>
      </w:r>
      <w:r>
        <w:rPr>
          <w:rFonts w:ascii="Times New Roman" w:hAnsi="Times New Roman" w:cs="Times New Roman" w:eastAsia="Times New Roman" w:hint="default"/>
        </w:rPr>
        <w:t>39</w:t>
      </w:r>
      <w:r>
        <w:rPr/>
        <w:t>、销售费用</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7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20,758,325.00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26,320,588.24</w:t>
            </w: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20,460,239.40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11,431,348.77</w:t>
            </w:r>
          </w:p>
        </w:tc>
      </w:tr>
      <w:tr>
        <w:trPr>
          <w:trHeight w:val="47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2,990,410.05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520,390.97</w:t>
            </w: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212,798.06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795,258.02</w:t>
            </w: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26,082,034.07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10,152,241.63</w:t>
            </w:r>
          </w:p>
        </w:tc>
      </w:tr>
      <w:tr>
        <w:trPr>
          <w:trHeight w:val="47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广告及宣传费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58,131,432.16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32,854,226.96</w:t>
            </w: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29,624,079.83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9,908,237.38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7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033" w:right="0"/>
              <w:jc w:val="left"/>
              <w:rPr>
                <w:rFonts w:ascii="Times New Roman" w:hAnsi="Times New Roman" w:cs="Times New Roman" w:eastAsia="Times New Roman" w:hint="default"/>
                <w:sz w:val="18"/>
                <w:szCs w:val="18"/>
              </w:rPr>
            </w:pPr>
            <w:r>
              <w:rPr>
                <w:rFonts w:ascii="Times New Roman"/>
                <w:sz w:val="18"/>
              </w:rPr>
              <w:t>158,259,318.57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91,982,291.97</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Heading3"/>
        <w:spacing w:line="240" w:lineRule="auto"/>
        <w:ind w:right="0"/>
        <w:jc w:val="left"/>
        <w:rPr>
          <w:b w:val="0"/>
          <w:bCs w:val="0"/>
        </w:rPr>
      </w:pPr>
      <w:bookmarkStart w:name="40、管理费用" w:id="327"/>
      <w:bookmarkEnd w:id="327"/>
      <w:r>
        <w:rPr>
          <w:b w:val="0"/>
          <w:bCs w:val="0"/>
        </w:rPr>
      </w:r>
      <w:r>
        <w:rPr>
          <w:rFonts w:ascii="Times New Roman" w:hAnsi="Times New Roman" w:cs="Times New Roman" w:eastAsia="Times New Roman" w:hint="default"/>
        </w:rPr>
        <w:t>40</w:t>
      </w:r>
      <w:r>
        <w:rPr/>
        <w:t>、管理费用</w:t>
      </w:r>
      <w:r>
        <w:rPr>
          <w:b w:val="0"/>
          <w:bCs w:val="0"/>
        </w:rPr>
      </w:r>
    </w:p>
    <w:p>
      <w:pPr>
        <w:spacing w:line="240" w:lineRule="auto" w:before="2"/>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7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67,734,565.80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47,766,042.00</w:t>
            </w:r>
          </w:p>
        </w:tc>
      </w:tr>
      <w:tr>
        <w:trPr>
          <w:trHeight w:val="47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5,665,013.98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5,633,364.83</w:t>
            </w: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30,589,556.25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24,832,957.32</w:t>
            </w: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4,098,553.18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3,510,243.75</w:t>
            </w:r>
          </w:p>
        </w:tc>
      </w:tr>
      <w:tr>
        <w:trPr>
          <w:trHeight w:val="47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4,332,195.34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4,151,423.42</w:t>
            </w: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545,248.23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2,639,976.61</w:t>
            </w: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研究与开发费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41,029,315.36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14,935,853.70</w:t>
            </w:r>
          </w:p>
        </w:tc>
      </w:tr>
      <w:tr>
        <w:trPr>
          <w:trHeight w:val="47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56,730,028.93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46,049,662.49</w:t>
            </w: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1,591,511.47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2,824,880.31</w:t>
            </w: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33,309,910.23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29,697,726.92</w:t>
            </w:r>
          </w:p>
        </w:tc>
      </w:tr>
      <w:tr>
        <w:trPr>
          <w:trHeight w:val="47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245,625,898.77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182,042,131.35</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Heading3"/>
        <w:spacing w:line="240" w:lineRule="auto"/>
        <w:ind w:right="0"/>
        <w:jc w:val="left"/>
        <w:rPr>
          <w:b w:val="0"/>
          <w:bCs w:val="0"/>
        </w:rPr>
      </w:pPr>
      <w:bookmarkStart w:name="41、财务费用" w:id="328"/>
      <w:bookmarkEnd w:id="328"/>
      <w:r>
        <w:rPr>
          <w:b w:val="0"/>
          <w:bCs w:val="0"/>
        </w:rPr>
      </w:r>
      <w:r>
        <w:rPr>
          <w:rFonts w:ascii="Times New Roman" w:hAnsi="Times New Roman" w:cs="Times New Roman" w:eastAsia="Times New Roman" w:hint="default"/>
        </w:rPr>
        <w:t>41</w:t>
      </w:r>
      <w:r>
        <w:rPr/>
        <w:t>、财务费用</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7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190,353,434.32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156,227,510.92</w:t>
            </w: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1,914,655.79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1,377,838.28</w:t>
            </w: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1,955,327.05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547,009.44</w:t>
            </w:r>
          </w:p>
        </w:tc>
      </w:tr>
      <w:tr>
        <w:trPr>
          <w:trHeight w:val="47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5,809,702.21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196,203,807.79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155,396,682.08</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Heading3"/>
        <w:spacing w:line="240" w:lineRule="auto"/>
        <w:ind w:right="0"/>
        <w:jc w:val="left"/>
        <w:rPr>
          <w:b w:val="0"/>
          <w:bCs w:val="0"/>
        </w:rPr>
      </w:pPr>
      <w:bookmarkStart w:name="42、资产减值损失" w:id="329"/>
      <w:bookmarkEnd w:id="329"/>
      <w:r>
        <w:rPr>
          <w:b w:val="0"/>
          <w:bCs w:val="0"/>
        </w:rPr>
      </w:r>
      <w:r>
        <w:rPr>
          <w:rFonts w:ascii="Times New Roman" w:hAnsi="Times New Roman" w:cs="Times New Roman" w:eastAsia="Times New Roman" w:hint="default"/>
        </w:rPr>
        <w:t>42</w:t>
      </w:r>
      <w:r>
        <w:rPr/>
        <w:t>、资产减值损失</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18,273,133.18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11,484,007.96</w:t>
            </w:r>
          </w:p>
        </w:tc>
      </w:tr>
      <w:tr>
        <w:trPr>
          <w:trHeight w:val="47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18,273,133.18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11,484,007.96</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Heading3"/>
        <w:spacing w:line="240" w:lineRule="auto"/>
        <w:ind w:right="0"/>
        <w:jc w:val="left"/>
        <w:rPr>
          <w:b w:val="0"/>
          <w:bCs w:val="0"/>
        </w:rPr>
      </w:pPr>
      <w:bookmarkStart w:name="43、投资收益" w:id="330"/>
      <w:bookmarkEnd w:id="330"/>
      <w:r>
        <w:rPr>
          <w:b w:val="0"/>
          <w:bCs w:val="0"/>
        </w:rPr>
      </w:r>
      <w:r>
        <w:rPr>
          <w:rFonts w:ascii="Times New Roman" w:hAnsi="Times New Roman" w:cs="Times New Roman" w:eastAsia="Times New Roman" w:hint="default"/>
        </w:rPr>
        <w:t>43</w:t>
      </w:r>
      <w:r>
        <w:rPr/>
        <w:t>、投资收益</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78"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9"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9,800,000.00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9,800,000.00</w:t>
            </w:r>
          </w:p>
        </w:tc>
      </w:tr>
      <w:tr>
        <w:trPr>
          <w:trHeight w:val="478"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9,800,000.00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9,800,000.00</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Heading3"/>
        <w:spacing w:line="240" w:lineRule="auto"/>
        <w:ind w:right="0"/>
        <w:jc w:val="left"/>
        <w:rPr>
          <w:b w:val="0"/>
          <w:bCs w:val="0"/>
        </w:rPr>
      </w:pPr>
      <w:bookmarkStart w:name="44、其他收益" w:id="331"/>
      <w:bookmarkEnd w:id="331"/>
      <w:r>
        <w:rPr>
          <w:b w:val="0"/>
          <w:bCs w:val="0"/>
        </w:rPr>
      </w:r>
      <w:r>
        <w:rPr>
          <w:rFonts w:ascii="Times New Roman" w:hAnsi="Times New Roman" w:cs="Times New Roman" w:eastAsia="Times New Roman" w:hint="default"/>
        </w:rPr>
        <w:t>44</w:t>
      </w:r>
      <w:r>
        <w:rPr/>
        <w:t>、其他收益</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7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递延收益摊销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6,383,584.12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企业扶持资金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22,400,000.00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176,506.69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品牌奖励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710,000.00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税收优惠补助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2,308,393.43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企业发展引导资金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2,430,000.00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创新奖励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172,277.30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吉林省疾病防控中心拨付补助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830,000.00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研发合作政府拨付补助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750,000.00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桑麻口服液质量标准提升补助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专利补助资金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211,430.00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财政补助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400,000.00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商务厅给付费用补助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24,100.00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tabs>
                <w:tab w:pos="563" w:val="left" w:leader="none"/>
              </w:tabs>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36,896,291.54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40" w:lineRule="auto" w:before="63"/>
        <w:ind w:left="154" w:right="0"/>
        <w:jc w:val="left"/>
        <w:rPr>
          <w:b w:val="0"/>
          <w:bCs w:val="0"/>
        </w:rPr>
      </w:pPr>
      <w:bookmarkStart w:name="45、营业外收入" w:id="332"/>
      <w:bookmarkEnd w:id="332"/>
      <w:r>
        <w:rPr>
          <w:b w:val="0"/>
          <w:bCs w:val="0"/>
        </w:rPr>
      </w:r>
      <w:r>
        <w:rPr>
          <w:rFonts w:ascii="Times New Roman" w:hAnsi="Times New Roman" w:cs="Times New Roman" w:eastAsia="Times New Roman" w:hint="default"/>
        </w:rPr>
        <w:t>45</w:t>
      </w:r>
      <w:r>
        <w:rPr/>
        <w:t>、营业外收入</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78"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0"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78"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479"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35,107,267.63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109,047.00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其中：处置固定资产利得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109,047.00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81,052.99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4,179,766.74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81,052.99</w:t>
            </w:r>
          </w:p>
        </w:tc>
      </w:tr>
      <w:tr>
        <w:trPr>
          <w:trHeight w:val="478"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81,052.99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39,396,081.37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81,052.99</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line="240" w:lineRule="auto" w:before="5"/>
        <w:rPr>
          <w:rFonts w:ascii="宋体" w:hAnsi="宋体" w:cs="宋体" w:eastAsia="宋体" w:hint="default"/>
          <w:sz w:val="14"/>
          <w:szCs w:val="1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46"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75" w:right="0"/>
              <w:jc w:val="left"/>
              <w:rPr>
                <w:rFonts w:ascii="宋体" w:hAnsi="宋体" w:cs="宋体" w:eastAsia="宋体" w:hint="default"/>
                <w:sz w:val="18"/>
                <w:szCs w:val="18"/>
              </w:rPr>
            </w:pPr>
            <w:r>
              <w:rPr>
                <w:rFonts w:ascii="宋体" w:hAnsi="宋体" w:cs="宋体" w:eastAsia="宋体" w:hint="default"/>
                <w:sz w:val="18"/>
                <w:szCs w:val="18"/>
              </w:rPr>
              <w:t>补贴是否影</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是否特殊补</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本期发生金</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上期发生金</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9"/>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94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其他资源勘</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探信息资金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科技创新专</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250,000.00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科技成果转</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化与扩散</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7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115,205.00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7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92,478.00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4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9"/>
              <w:ind w:left="22" w:right="131"/>
              <w:jc w:val="left"/>
              <w:rPr>
                <w:rFonts w:ascii="宋体" w:hAnsi="宋体" w:cs="宋体" w:eastAsia="宋体" w:hint="default"/>
                <w:sz w:val="18"/>
                <w:szCs w:val="18"/>
              </w:rPr>
            </w:pPr>
            <w:r>
              <w:rPr>
                <w:rFonts w:ascii="宋体" w:hAnsi="宋体" w:cs="宋体" w:eastAsia="宋体" w:hint="default"/>
                <w:sz w:val="18"/>
                <w:szCs w:val="18"/>
              </w:rPr>
              <w:t>其他支持中 小企业发展</w:t>
            </w:r>
          </w:p>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和管理资金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4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其他支持中</w:t>
            </w:r>
          </w:p>
          <w:p>
            <w:pPr>
              <w:pStyle w:val="TableParagraph"/>
              <w:spacing w:line="460" w:lineRule="atLeast" w:before="8"/>
              <w:ind w:left="22" w:right="131"/>
              <w:jc w:val="left"/>
              <w:rPr>
                <w:rFonts w:ascii="宋体" w:hAnsi="宋体" w:cs="宋体" w:eastAsia="宋体" w:hint="default"/>
                <w:sz w:val="18"/>
                <w:szCs w:val="18"/>
              </w:rPr>
            </w:pPr>
            <w:r>
              <w:rPr>
                <w:rFonts w:ascii="宋体" w:hAnsi="宋体" w:cs="宋体" w:eastAsia="宋体" w:hint="default"/>
                <w:sz w:val="18"/>
                <w:szCs w:val="18"/>
              </w:rPr>
              <w:t>小企业发展 和管理资金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4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131"/>
              <w:jc w:val="left"/>
              <w:rPr>
                <w:rFonts w:ascii="宋体" w:hAnsi="宋体" w:cs="宋体" w:eastAsia="宋体" w:hint="default"/>
                <w:sz w:val="18"/>
                <w:szCs w:val="18"/>
              </w:rPr>
            </w:pPr>
            <w:r>
              <w:rPr>
                <w:rFonts w:ascii="宋体" w:hAnsi="宋体" w:cs="宋体" w:eastAsia="宋体" w:hint="default"/>
                <w:sz w:val="18"/>
                <w:szCs w:val="18"/>
              </w:rPr>
              <w:t>其他支持中 小企业发展</w:t>
            </w:r>
          </w:p>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和管理资金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11,776,000.0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无偿划拨土</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地</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1,531,658.29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4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基础项目建</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490,621.72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4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东北老工业</w:t>
            </w:r>
          </w:p>
          <w:p>
            <w:pPr>
              <w:pStyle w:val="TableParagraph"/>
              <w:spacing w:line="460" w:lineRule="atLeast" w:before="8"/>
              <w:ind w:left="22" w:right="131"/>
              <w:jc w:val="left"/>
              <w:rPr>
                <w:rFonts w:ascii="宋体" w:hAnsi="宋体" w:cs="宋体" w:eastAsia="宋体" w:hint="default"/>
                <w:sz w:val="18"/>
                <w:szCs w:val="18"/>
              </w:rPr>
            </w:pPr>
            <w:r>
              <w:rPr>
                <w:rFonts w:ascii="宋体" w:hAnsi="宋体" w:cs="宋体" w:eastAsia="宋体" w:hint="default"/>
                <w:sz w:val="18"/>
                <w:szCs w:val="18"/>
              </w:rPr>
              <w:t>基地基建投 资</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886,958.00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企业发展奖</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160,000.00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88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131"/>
              <w:jc w:val="both"/>
              <w:rPr>
                <w:rFonts w:ascii="宋体" w:hAnsi="宋体" w:cs="宋体" w:eastAsia="宋体" w:hint="default"/>
                <w:sz w:val="18"/>
                <w:szCs w:val="18"/>
              </w:rPr>
            </w:pPr>
            <w:r>
              <w:rPr>
                <w:rFonts w:ascii="宋体" w:hAnsi="宋体" w:cs="宋体" w:eastAsia="宋体" w:hint="default"/>
                <w:sz w:val="18"/>
                <w:szCs w:val="18"/>
              </w:rPr>
              <w:t>紫鑫般若污 水深度处理 与中水回用</w:t>
            </w:r>
          </w:p>
          <w:p>
            <w:pPr>
              <w:pStyle w:val="TableParagraph"/>
              <w:spacing w:line="240" w:lineRule="auto" w:before="54"/>
              <w:ind w:left="22" w:right="0"/>
              <w:jc w:val="both"/>
              <w:rPr>
                <w:rFonts w:ascii="宋体" w:hAnsi="宋体" w:cs="宋体" w:eastAsia="宋体" w:hint="default"/>
                <w:sz w:val="18"/>
                <w:szCs w:val="18"/>
              </w:rPr>
            </w:pPr>
            <w:r>
              <w:rPr>
                <w:rFonts w:ascii="宋体" w:hAnsi="宋体" w:cs="宋体" w:eastAsia="宋体" w:hint="default"/>
                <w:sz w:val="18"/>
                <w:szCs w:val="18"/>
              </w:rPr>
              <w:t>工程</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22,100.01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4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9"/>
              <w:ind w:left="22" w:right="131"/>
              <w:jc w:val="left"/>
              <w:rPr>
                <w:rFonts w:ascii="宋体" w:hAnsi="宋体" w:cs="宋体" w:eastAsia="宋体" w:hint="default"/>
                <w:sz w:val="18"/>
                <w:szCs w:val="18"/>
              </w:rPr>
            </w:pPr>
            <w:r>
              <w:rPr>
                <w:rFonts w:ascii="宋体" w:hAnsi="宋体" w:cs="宋体" w:eastAsia="宋体" w:hint="default"/>
                <w:sz w:val="18"/>
                <w:szCs w:val="18"/>
              </w:rPr>
              <w:t>东北老工业 基地调整改</w:t>
            </w:r>
          </w:p>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造项目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665,000.04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4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吉林市企业</w:t>
            </w:r>
          </w:p>
          <w:p>
            <w:pPr>
              <w:pStyle w:val="TableParagraph"/>
              <w:spacing w:line="460" w:lineRule="atLeast" w:before="8"/>
              <w:ind w:left="22" w:right="131"/>
              <w:jc w:val="left"/>
              <w:rPr>
                <w:rFonts w:ascii="宋体" w:hAnsi="宋体" w:cs="宋体" w:eastAsia="宋体" w:hint="default"/>
                <w:sz w:val="18"/>
                <w:szCs w:val="18"/>
              </w:rPr>
            </w:pPr>
            <w:r>
              <w:rPr>
                <w:rFonts w:ascii="宋体" w:hAnsi="宋体" w:cs="宋体" w:eastAsia="宋体" w:hint="default"/>
                <w:sz w:val="18"/>
                <w:szCs w:val="18"/>
              </w:rPr>
              <w:t>家协会升规 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企业发展奖</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170,000.00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4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9"/>
              <w:ind w:left="22" w:right="131"/>
              <w:jc w:val="left"/>
              <w:rPr>
                <w:rFonts w:ascii="宋体" w:hAnsi="宋体" w:cs="宋体" w:eastAsia="宋体" w:hint="default"/>
                <w:sz w:val="18"/>
                <w:szCs w:val="18"/>
              </w:rPr>
            </w:pPr>
            <w:r>
              <w:rPr>
                <w:rFonts w:ascii="宋体" w:hAnsi="宋体" w:cs="宋体" w:eastAsia="宋体" w:hint="default"/>
                <w:sz w:val="18"/>
                <w:szCs w:val="18"/>
              </w:rPr>
              <w:t>生物核酸综 合检测分析</w:t>
            </w:r>
          </w:p>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系统开发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139,407.00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4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131"/>
              <w:jc w:val="left"/>
              <w:rPr>
                <w:rFonts w:ascii="宋体" w:hAnsi="宋体" w:cs="宋体" w:eastAsia="宋体" w:hint="default"/>
                <w:sz w:val="18"/>
                <w:szCs w:val="18"/>
              </w:rPr>
            </w:pPr>
            <w:r>
              <w:rPr>
                <w:rFonts w:ascii="宋体" w:hAnsi="宋体" w:cs="宋体" w:eastAsia="宋体" w:hint="default"/>
                <w:sz w:val="18"/>
                <w:szCs w:val="18"/>
              </w:rPr>
              <w:t>口服液制剂 技改扶持资</w:t>
            </w:r>
          </w:p>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产业转型升</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级项目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140,000.00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省级经济结</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构战略调整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47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引导资金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4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9"/>
              <w:ind w:left="22" w:right="131"/>
              <w:jc w:val="left"/>
              <w:rPr>
                <w:rFonts w:ascii="宋体" w:hAnsi="宋体" w:cs="宋体" w:eastAsia="宋体" w:hint="default"/>
                <w:sz w:val="18"/>
                <w:szCs w:val="18"/>
              </w:rPr>
            </w:pPr>
            <w:r>
              <w:rPr>
                <w:rFonts w:ascii="宋体" w:hAnsi="宋体" w:cs="宋体" w:eastAsia="宋体" w:hint="default"/>
                <w:sz w:val="18"/>
                <w:szCs w:val="18"/>
              </w:rPr>
              <w:t>敦化财政局 经济机构引</w:t>
            </w:r>
          </w:p>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导资金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4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131"/>
              <w:jc w:val="left"/>
              <w:rPr>
                <w:rFonts w:ascii="宋体" w:hAnsi="宋体" w:cs="宋体" w:eastAsia="宋体" w:hint="default"/>
                <w:sz w:val="18"/>
                <w:szCs w:val="18"/>
              </w:rPr>
            </w:pPr>
            <w:r>
              <w:rPr>
                <w:rFonts w:ascii="宋体" w:hAnsi="宋体" w:cs="宋体" w:eastAsia="宋体" w:hint="default"/>
                <w:sz w:val="18"/>
                <w:szCs w:val="18"/>
              </w:rPr>
              <w:t>人参加工连 续产业发展</w:t>
            </w:r>
          </w:p>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项目款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7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800,800.00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7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57,600.00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7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216,000.00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企业稳岗补</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33,700.00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7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4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468" w:lineRule="exact" w:before="55"/>
              <w:ind w:left="22" w:right="131"/>
              <w:jc w:val="left"/>
              <w:rPr>
                <w:rFonts w:ascii="宋体" w:hAnsi="宋体" w:cs="宋体" w:eastAsia="宋体" w:hint="default"/>
                <w:sz w:val="18"/>
                <w:szCs w:val="18"/>
              </w:rPr>
            </w:pPr>
            <w:r>
              <w:rPr>
                <w:rFonts w:ascii="宋体" w:hAnsi="宋体" w:cs="宋体" w:eastAsia="宋体" w:hint="default"/>
                <w:sz w:val="18"/>
                <w:szCs w:val="18"/>
              </w:rPr>
              <w:t>瓶人参酵素 饮料产业化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355,280.04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基地设施建</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1,054,000.09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4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年加工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p>
          <w:p>
            <w:pPr>
              <w:pStyle w:val="TableParagraph"/>
              <w:spacing w:line="468" w:lineRule="exact" w:before="54"/>
              <w:ind w:left="22" w:right="131"/>
              <w:jc w:val="left"/>
              <w:rPr>
                <w:rFonts w:ascii="宋体" w:hAnsi="宋体" w:cs="宋体" w:eastAsia="宋体" w:hint="default"/>
                <w:sz w:val="18"/>
                <w:szCs w:val="18"/>
              </w:rPr>
            </w:pPr>
            <w:r>
              <w:rPr>
                <w:rFonts w:ascii="宋体" w:hAnsi="宋体" w:cs="宋体" w:eastAsia="宋体" w:hint="default"/>
                <w:sz w:val="18"/>
                <w:szCs w:val="18"/>
              </w:rPr>
              <w:t>吨人参系列 化制品项目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32,000.04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4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人参加工</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451" w:lineRule="auto"/>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GMP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项目建 设奖金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49,833.96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企业稳岗补</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32,194.44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7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19,531.00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4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专利申请补</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09" w:right="0"/>
              <w:jc w:val="left"/>
              <w:rPr>
                <w:rFonts w:ascii="Times New Roman" w:hAnsi="Times New Roman" w:cs="Times New Roman" w:eastAsia="Times New Roman" w:hint="default"/>
                <w:sz w:val="18"/>
                <w:szCs w:val="18"/>
              </w:rPr>
            </w:pPr>
            <w:r>
              <w:rPr>
                <w:rFonts w:ascii="Times New Roman"/>
                <w:sz w:val="18"/>
              </w:rPr>
              <w:t>48,500.00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7"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35,107,267.6</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Times New Roman" w:hAnsi="Times New Roman" w:cs="Times New Roman" w:eastAsia="Times New Roman" w:hint="default"/>
                <w:sz w:val="18"/>
                <w:szCs w:val="18"/>
              </w:rPr>
            </w:pPr>
            <w:r>
              <w:rPr>
                <w:rFonts w:ascii="Times New Roman"/>
                <w:sz w:val="18"/>
              </w:rPr>
              <w:t>--</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Heading3"/>
        <w:spacing w:line="240" w:lineRule="auto"/>
        <w:ind w:right="0"/>
        <w:jc w:val="left"/>
        <w:rPr>
          <w:b w:val="0"/>
          <w:bCs w:val="0"/>
        </w:rPr>
      </w:pPr>
      <w:bookmarkStart w:name="46、营业外支出" w:id="333"/>
      <w:bookmarkEnd w:id="333"/>
      <w:r>
        <w:rPr>
          <w:b w:val="0"/>
          <w:bCs w:val="0"/>
        </w:rPr>
      </w:r>
      <w:r>
        <w:rPr>
          <w:rFonts w:ascii="Times New Roman" w:hAnsi="Times New Roman" w:cs="Times New Roman" w:eastAsia="Times New Roman" w:hint="default"/>
        </w:rPr>
        <w:t>46</w:t>
      </w:r>
      <w:r>
        <w:rPr/>
        <w:t>、营业外支出</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239"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计入当期非经常性损益的金</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468"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239"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79"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726,728.96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67,800.00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726,728.96</w:t>
            </w:r>
          </w:p>
        </w:tc>
      </w:tr>
      <w:tr>
        <w:trPr>
          <w:trHeight w:val="47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其中：公益性捐赠支出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678,728.96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678,728.96</w:t>
            </w:r>
          </w:p>
        </w:tc>
      </w:tr>
      <w:tr>
        <w:trPr>
          <w:trHeight w:val="47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675.25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675.25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非正常损失项目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8,345,178.80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8,345,178.80</w:t>
            </w:r>
          </w:p>
        </w:tc>
      </w:tr>
      <w:tr>
        <w:trPr>
          <w:trHeight w:val="47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17,256,728.29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1,306.12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17,256,728.29</w:t>
            </w:r>
          </w:p>
        </w:tc>
      </w:tr>
      <w:tr>
        <w:trPr>
          <w:trHeight w:val="479"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26,328,636.05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69,781.37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26,328,636.05</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Heading3"/>
        <w:spacing w:line="240" w:lineRule="auto"/>
        <w:ind w:right="0"/>
        <w:jc w:val="left"/>
        <w:rPr>
          <w:b w:val="0"/>
          <w:bCs w:val="0"/>
        </w:rPr>
      </w:pPr>
      <w:bookmarkStart w:name="47、所得税费用" w:id="334"/>
      <w:bookmarkEnd w:id="334"/>
      <w:r>
        <w:rPr>
          <w:b w:val="0"/>
          <w:bCs w:val="0"/>
        </w:rPr>
      </w:r>
      <w:r>
        <w:rPr>
          <w:rFonts w:ascii="Times New Roman" w:hAnsi="Times New Roman" w:cs="Times New Roman" w:eastAsia="Times New Roman" w:hint="default"/>
        </w:rPr>
        <w:t>47</w:t>
      </w:r>
      <w:r>
        <w:rPr/>
        <w:t>、所得税费用</w:t>
      </w:r>
      <w:r>
        <w:rPr>
          <w:b w:val="0"/>
          <w:bCs w:val="0"/>
        </w:rPr>
      </w:r>
    </w:p>
    <w:p>
      <w:pPr>
        <w:pStyle w:val="Heading3"/>
        <w:spacing w:line="240" w:lineRule="auto" w:before="177"/>
        <w:ind w:left="154" w:right="0"/>
        <w:jc w:val="left"/>
        <w:rPr>
          <w:b w:val="0"/>
          <w:bCs w:val="0"/>
        </w:rPr>
      </w:pPr>
      <w:bookmarkStart w:name="（1）所得税费用表" w:id="335"/>
      <w:bookmarkEnd w:id="33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7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74,915,831.03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35,424,372.06</w:t>
            </w:r>
          </w:p>
        </w:tc>
      </w:tr>
      <w:tr>
        <w:trPr>
          <w:trHeight w:val="47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-8,012,864.51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1,826,175.52</w:t>
            </w:r>
          </w:p>
        </w:tc>
      </w:tr>
      <w:tr>
        <w:trPr>
          <w:trHeight w:val="47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66,902,966.52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37,250,547.58</w:t>
            </w:r>
          </w:p>
        </w:tc>
      </w:tr>
    </w:tbl>
    <w:p>
      <w:pPr>
        <w:pStyle w:val="Heading3"/>
        <w:spacing w:line="240" w:lineRule="auto" w:before="63"/>
        <w:ind w:left="154" w:right="0"/>
        <w:jc w:val="left"/>
        <w:rPr>
          <w:b w:val="0"/>
          <w:bCs w:val="0"/>
        </w:rPr>
      </w:pPr>
      <w:bookmarkStart w:name="（2）会计利润与所得税费用调整过程" w:id="336"/>
      <w:bookmarkEnd w:id="33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78"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78"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438,316,489.67</w:t>
            </w:r>
          </w:p>
        </w:tc>
      </w:tr>
      <w:tr>
        <w:trPr>
          <w:trHeight w:val="478"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65,747,473.44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9"/>
      </w:tblGrid>
      <w:tr>
        <w:trPr>
          <w:trHeight w:val="478"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14,296,503.31</w:t>
            </w:r>
          </w:p>
        </w:tc>
      </w:tr>
      <w:tr>
        <w:trPr>
          <w:trHeight w:val="478"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4,880,144.10</w:t>
            </w:r>
          </w:p>
        </w:tc>
      </w:tr>
      <w:tr>
        <w:trPr>
          <w:trHeight w:val="478"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-48,277,378.67</w:t>
            </w:r>
          </w:p>
        </w:tc>
      </w:tr>
      <w:tr>
        <w:trPr>
          <w:trHeight w:val="478"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11,690,949.94</w:t>
            </w:r>
          </w:p>
        </w:tc>
      </w:tr>
      <w:tr>
        <w:trPr>
          <w:trHeight w:val="478"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1,310,589.41</w:t>
            </w:r>
          </w:p>
        </w:tc>
      </w:tr>
      <w:tr>
        <w:trPr>
          <w:trHeight w:val="946"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25,267,549.50</w:t>
            </w:r>
          </w:p>
        </w:tc>
      </w:tr>
      <w:tr>
        <w:trPr>
          <w:trHeight w:val="478"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-8,012,864.51</w:t>
            </w:r>
          </w:p>
        </w:tc>
      </w:tr>
      <w:tr>
        <w:trPr>
          <w:trHeight w:val="479"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66,902,966.52</w:t>
            </w:r>
          </w:p>
        </w:tc>
      </w:tr>
    </w:tbl>
    <w:p>
      <w:pPr>
        <w:spacing w:line="429" w:lineRule="auto" w:before="88"/>
        <w:ind w:left="153" w:right="8488" w:firstLine="0"/>
        <w:jc w:val="left"/>
        <w:rPr>
          <w:rFonts w:ascii="宋体" w:hAnsi="宋体" w:cs="宋体" w:eastAsia="宋体" w:hint="default"/>
          <w:sz w:val="18"/>
          <w:szCs w:val="18"/>
        </w:rPr>
      </w:pPr>
      <w:r>
        <w:rPr>
          <w:rFonts w:ascii="宋体" w:hAnsi="宋体" w:cs="宋体" w:eastAsia="宋体" w:hint="default"/>
          <w:sz w:val="18"/>
          <w:szCs w:val="18"/>
        </w:rPr>
        <w:t>其他说明 </w:t>
      </w:r>
      <w:bookmarkStart w:name="48、其他综合收益" w:id="337"/>
      <w:bookmarkEnd w:id="337"/>
      <w:r>
        <w:rPr>
          <w:rFonts w:ascii="宋体" w:hAnsi="宋体" w:cs="宋体" w:eastAsia="宋体" w:hint="default"/>
          <w:sz w:val="18"/>
          <w:szCs w:val="18"/>
        </w:rPr>
      </w: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p>
    <w:p>
      <w:pPr>
        <w:pStyle w:val="Heading3"/>
        <w:spacing w:line="240" w:lineRule="auto" w:before="65"/>
        <w:ind w:left="154" w:right="0"/>
        <w:jc w:val="left"/>
        <w:rPr>
          <w:b w:val="0"/>
          <w:bCs w:val="0"/>
        </w:rPr>
      </w:pPr>
      <w:bookmarkStart w:name="49、现金流量表项目" w:id="338"/>
      <w:bookmarkEnd w:id="338"/>
      <w:r>
        <w:rPr>
          <w:b w:val="0"/>
          <w:bCs w:val="0"/>
        </w:rPr>
      </w:r>
      <w:r>
        <w:rPr>
          <w:rFonts w:ascii="Times New Roman" w:hAnsi="Times New Roman" w:cs="Times New Roman" w:eastAsia="Times New Roman" w:hint="default"/>
        </w:rPr>
        <w:t>49</w:t>
      </w:r>
      <w:r>
        <w:rPr/>
        <w:t>、现金流量表项目</w:t>
      </w:r>
      <w:r>
        <w:rPr>
          <w:b w:val="0"/>
          <w:bCs w:val="0"/>
        </w:rPr>
      </w:r>
    </w:p>
    <w:p>
      <w:pPr>
        <w:pStyle w:val="Heading3"/>
        <w:spacing w:line="240" w:lineRule="auto" w:before="177"/>
        <w:ind w:right="0"/>
        <w:jc w:val="left"/>
        <w:rPr>
          <w:b w:val="0"/>
          <w:bCs w:val="0"/>
        </w:rPr>
      </w:pPr>
      <w:bookmarkStart w:name="（1）收到的其他与经营活动有关的现金" w:id="339"/>
      <w:bookmarkEnd w:id="33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36,934,927.32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65,672,008.44</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1,914,655.79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1,377,838.28</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4,069,484.21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5,452,251.88</w:t>
            </w:r>
          </w:p>
        </w:tc>
      </w:tr>
      <w:tr>
        <w:trPr>
          <w:trHeight w:val="47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101,224.74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539,687.28</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43,020,292.06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73,041,785.88</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1"/>
        <w:rPr>
          <w:rFonts w:ascii="宋体" w:hAnsi="宋体" w:cs="宋体" w:eastAsia="宋体" w:hint="default"/>
          <w:sz w:val="15"/>
          <w:szCs w:val="15"/>
        </w:rPr>
      </w:pPr>
    </w:p>
    <w:p>
      <w:pPr>
        <w:pStyle w:val="Heading3"/>
        <w:spacing w:line="240" w:lineRule="auto"/>
        <w:ind w:left="154" w:right="0"/>
        <w:jc w:val="left"/>
        <w:rPr>
          <w:b w:val="0"/>
          <w:bCs w:val="0"/>
        </w:rPr>
      </w:pPr>
      <w:bookmarkStart w:name="（2）支付的其他与经营活动有关的现金" w:id="340"/>
      <w:bookmarkEnd w:id="34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各项销售费用合计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145,443,690.59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85,784,582.34</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各项管理费用合计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78,675,150.33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78,847,546.72</w:t>
            </w:r>
          </w:p>
        </w:tc>
      </w:tr>
      <w:tr>
        <w:trPr>
          <w:trHeight w:val="47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12,879,036.27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37,202,456.39</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7,120,000.00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财务费用合计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2,284,228.55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547,009.44</w:t>
            </w:r>
          </w:p>
        </w:tc>
      </w:tr>
      <w:tr>
        <w:trPr>
          <w:trHeight w:val="47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246,402,105.74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202,381,594.89</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1"/>
        <w:rPr>
          <w:rFonts w:ascii="宋体" w:hAnsi="宋体" w:cs="宋体" w:eastAsia="宋体" w:hint="default"/>
          <w:sz w:val="15"/>
          <w:szCs w:val="15"/>
        </w:rPr>
      </w:pPr>
    </w:p>
    <w:p>
      <w:pPr>
        <w:pStyle w:val="Heading3"/>
        <w:spacing w:line="240" w:lineRule="auto"/>
        <w:ind w:left="154" w:right="0"/>
        <w:jc w:val="left"/>
        <w:rPr>
          <w:b w:val="0"/>
          <w:bCs w:val="0"/>
        </w:rPr>
      </w:pPr>
      <w:bookmarkStart w:name="（3）收到的其他与筹资活动有关的现金" w:id="341"/>
      <w:bookmarkEnd w:id="341"/>
      <w:r>
        <w:rPr>
          <w:b w:val="0"/>
          <w:bCs w:val="0"/>
        </w:rPr>
      </w:r>
      <w:r>
        <w:rPr/>
        <w:t>（</w:t>
      </w:r>
      <w:r>
        <w:rPr>
          <w:rFonts w:ascii="Times New Roman" w:hAnsi="Times New Roman" w:cs="Times New Roman" w:eastAsia="Times New Roman" w:hint="default"/>
        </w:rPr>
        <w:t>3</w:t>
      </w:r>
      <w:r>
        <w:rPr/>
        <w:t>）收到的其他与筹资活动有关的现金</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售后回租融资租赁业务收到资金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85,250,000.00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141,750,000.00</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定期存款用于质押不属于现金等价物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140,000,000.00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225,250,000.00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141,750,000.00</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1"/>
        <w:rPr>
          <w:rFonts w:ascii="宋体" w:hAnsi="宋体" w:cs="宋体" w:eastAsia="宋体" w:hint="default"/>
          <w:sz w:val="15"/>
          <w:szCs w:val="15"/>
        </w:rPr>
      </w:pPr>
    </w:p>
    <w:p>
      <w:pPr>
        <w:pStyle w:val="Heading3"/>
        <w:spacing w:line="240" w:lineRule="auto"/>
        <w:ind w:left="154" w:right="0"/>
        <w:jc w:val="left"/>
        <w:rPr>
          <w:b w:val="0"/>
          <w:bCs w:val="0"/>
        </w:rPr>
      </w:pPr>
      <w:bookmarkStart w:name="（4）支付的其他与筹资活动有关的现金" w:id="342"/>
      <w:bookmarkEnd w:id="342"/>
      <w:r>
        <w:rPr>
          <w:b w:val="0"/>
          <w:bCs w:val="0"/>
        </w:rPr>
      </w: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售后回租融资租赁业务偿还本金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68,396,249.76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3,754,000.00</w:t>
            </w:r>
          </w:p>
        </w:tc>
      </w:tr>
      <w:tr>
        <w:trPr>
          <w:trHeight w:val="47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支付融资租赁发生的咨询费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5,687,500.00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偿还政府拨付的款项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400,000.00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定向增发保证金归还</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16,000,000.00</w:t>
            </w:r>
          </w:p>
        </w:tc>
      </w:tr>
      <w:tr>
        <w:trPr>
          <w:trHeight w:val="47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定向增发登记费用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1,247,388.53</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定期存款用于质押不属于现金等价物</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140,000,000.00</w:t>
            </w:r>
          </w:p>
        </w:tc>
      </w:tr>
      <w:tr>
        <w:trPr>
          <w:trHeight w:val="47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74,483,749.76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161,001,388.53</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1"/>
        <w:rPr>
          <w:rFonts w:ascii="宋体" w:hAnsi="宋体" w:cs="宋体" w:eastAsia="宋体" w:hint="default"/>
          <w:sz w:val="15"/>
          <w:szCs w:val="15"/>
        </w:rPr>
      </w:pPr>
    </w:p>
    <w:p>
      <w:pPr>
        <w:pStyle w:val="Heading3"/>
        <w:spacing w:line="240" w:lineRule="auto"/>
        <w:ind w:left="154" w:right="0"/>
        <w:jc w:val="left"/>
        <w:rPr>
          <w:b w:val="0"/>
          <w:bCs w:val="0"/>
        </w:rPr>
      </w:pPr>
      <w:bookmarkStart w:name="50、现金流量表补充资料" w:id="343"/>
      <w:bookmarkEnd w:id="343"/>
      <w:r>
        <w:rPr>
          <w:b w:val="0"/>
          <w:bCs w:val="0"/>
        </w:rPr>
      </w:r>
      <w:r>
        <w:rPr>
          <w:rFonts w:ascii="Times New Roman" w:hAnsi="Times New Roman" w:cs="Times New Roman" w:eastAsia="Times New Roman" w:hint="default"/>
        </w:rPr>
        <w:t>50</w:t>
      </w:r>
      <w:r>
        <w:rPr/>
        <w:t>、现金流量表补充资料</w:t>
      </w:r>
      <w:r>
        <w:rPr>
          <w:b w:val="0"/>
          <w:bCs w:val="0"/>
        </w:rPr>
      </w:r>
    </w:p>
    <w:p>
      <w:pPr>
        <w:pStyle w:val="Heading3"/>
        <w:spacing w:line="240" w:lineRule="auto" w:before="177"/>
        <w:ind w:right="0"/>
        <w:jc w:val="left"/>
        <w:rPr>
          <w:b w:val="0"/>
          <w:bCs w:val="0"/>
        </w:rPr>
      </w:pPr>
      <w:bookmarkStart w:name="（1）现金流量表补充资料" w:id="344"/>
      <w:bookmarkEnd w:id="344"/>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w:t>
            </w:r>
          </w:p>
        </w:tc>
      </w:tr>
      <w:tr>
        <w:trPr>
          <w:trHeight w:val="47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pacing w:val="-1"/>
                <w:sz w:val="18"/>
              </w:rPr>
              <w:t>371,413,523.15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pacing w:val="-1"/>
                <w:sz w:val="18"/>
              </w:rPr>
              <w:t>162,673,778.26</w:t>
            </w:r>
          </w:p>
        </w:tc>
      </w:tr>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18,273,133.18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11,484,007.96</w:t>
            </w:r>
          </w:p>
        </w:tc>
      </w:tr>
      <w:tr>
        <w:trPr>
          <w:trHeight w:val="47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89,551,503.03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66,258,587.26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238.72998pt;width:151.25pt;height:24.55pt;mso-position-horizontal-relative:page;mso-position-vertical-relative:page;z-index:-904048" coordorigin="4467,4775" coordsize="3025,491">
            <v:group style="position:absolute;left:4478;top:4786;width:2;height:468" coordorigin="4478,4786" coordsize="2,468">
              <v:shape style="position:absolute;left:4478;top:4786;width:2;height:468" coordorigin="4478,4786" coordsize="0,468" path="m4478,4786l4478,5254e" filled="false" stroked="true" strokeweight="1.140pt" strokecolor="#ffffff">
                <v:path arrowok="t"/>
              </v:shape>
            </v:group>
            <v:group style="position:absolute;left:4490;top:4786;width:3002;height:468" coordorigin="4490,4786" coordsize="3002,468">
              <v:shape style="position:absolute;left:4490;top:4786;width:3002;height:468" coordorigin="4490,4786" coordsize="3002,468" path="m4490,5254l7491,5254,7491,4786,4490,4786,4490,5254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1995" w:right="0"/>
              <w:jc w:val="left"/>
              <w:rPr>
                <w:rFonts w:ascii="Times New Roman" w:hAnsi="Times New Roman" w:cs="Times New Roman" w:eastAsia="Times New Roman" w:hint="default"/>
                <w:sz w:val="18"/>
                <w:szCs w:val="18"/>
              </w:rPr>
            </w:pPr>
            <w:r>
              <w:rPr>
                <w:rFonts w:ascii="Times New Roman"/>
                <w:sz w:val="18"/>
              </w:rPr>
              <w:t>13,112,082.90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9,124,356.89</w:t>
            </w:r>
          </w:p>
        </w:tc>
      </w:tr>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112,855.00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7,658.75</w:t>
            </w:r>
          </w:p>
        </w:tc>
      </w:tr>
      <w:tr>
        <w:trPr>
          <w:trHeight w:val="94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w w:val="95"/>
                <w:sz w:val="18"/>
              </w:rPr>
              <w:t>-108,371.75</w:t>
            </w:r>
            <w:r>
              <w:rPr>
                <w:rFonts w:ascii="Times New Roman"/>
                <w:sz w:val="18"/>
              </w:rPr>
            </w:r>
          </w:p>
        </w:tc>
      </w:tr>
      <w:tr>
        <w:trPr>
          <w:trHeight w:val="47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1899" w:right="0"/>
              <w:jc w:val="left"/>
              <w:rPr>
                <w:rFonts w:ascii="Times New Roman" w:hAnsi="Times New Roman" w:cs="Times New Roman" w:eastAsia="Times New Roman" w:hint="default"/>
                <w:sz w:val="18"/>
                <w:szCs w:val="18"/>
              </w:rPr>
            </w:pPr>
            <w:r>
              <w:rPr>
                <w:rFonts w:ascii="Times New Roman"/>
                <w:sz w:val="18"/>
              </w:rPr>
              <w:t>196,040,934.32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149,811,771.23</w:t>
            </w:r>
          </w:p>
        </w:tc>
      </w:tr>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2019" w:right="0"/>
              <w:jc w:val="left"/>
              <w:rPr>
                <w:rFonts w:ascii="Times New Roman" w:hAnsi="Times New Roman" w:cs="Times New Roman" w:eastAsia="Times New Roman" w:hint="default"/>
                <w:sz w:val="18"/>
                <w:szCs w:val="18"/>
              </w:rPr>
            </w:pPr>
            <w:r>
              <w:rPr>
                <w:rFonts w:ascii="Times New Roman"/>
                <w:sz w:val="18"/>
              </w:rPr>
              <w:t>-9,800,000.00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-9,800,000.00</w:t>
            </w:r>
          </w:p>
        </w:tc>
      </w:tr>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88"/>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981" w:right="0"/>
              <w:jc w:val="left"/>
              <w:rPr>
                <w:rFonts w:ascii="Times New Roman" w:hAnsi="Times New Roman" w:cs="Times New Roman" w:eastAsia="Times New Roman" w:hint="default"/>
                <w:sz w:val="18"/>
                <w:szCs w:val="18"/>
              </w:rPr>
            </w:pPr>
            <w:r>
              <w:rPr>
                <w:rFonts w:ascii="Times New Roman"/>
                <w:sz w:val="18"/>
              </w:rPr>
              <w:t>-8,073,855.62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w w:val="95"/>
                <w:sz w:val="18"/>
              </w:rPr>
              <w:t>-301,450.28</w:t>
            </w:r>
            <w:r>
              <w:rPr>
                <w:rFonts w:ascii="Times New Roman"/>
                <w:sz w:val="18"/>
              </w:rPr>
            </w:r>
          </w:p>
        </w:tc>
      </w:tr>
      <w:tr>
        <w:trPr>
          <w:trHeight w:val="47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1704" w:right="0"/>
              <w:jc w:val="left"/>
              <w:rPr>
                <w:rFonts w:ascii="Times New Roman" w:hAnsi="Times New Roman" w:cs="Times New Roman" w:eastAsia="Times New Roman" w:hint="default"/>
                <w:sz w:val="18"/>
                <w:szCs w:val="18"/>
              </w:rPr>
            </w:pPr>
            <w:r>
              <w:rPr>
                <w:rFonts w:ascii="Times New Roman"/>
                <w:sz w:val="18"/>
              </w:rPr>
              <w:t>-2,148,732,974.77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-590,342,251.65</w:t>
            </w:r>
          </w:p>
        </w:tc>
      </w:tr>
      <w:tr>
        <w:trPr>
          <w:trHeight w:val="94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929" w:right="0"/>
              <w:jc w:val="left"/>
              <w:rPr>
                <w:rFonts w:ascii="Times New Roman" w:hAnsi="Times New Roman" w:cs="Times New Roman" w:eastAsia="Times New Roman" w:hint="default"/>
                <w:sz w:val="18"/>
                <w:szCs w:val="18"/>
              </w:rPr>
            </w:pPr>
            <w:r>
              <w:rPr>
                <w:rFonts w:ascii="Times New Roman"/>
                <w:sz w:val="18"/>
              </w:rPr>
              <w:t>-98,853,401.98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-109,856,321.76</w:t>
            </w:r>
          </w:p>
        </w:tc>
      </w:tr>
      <w:tr>
        <w:trPr>
          <w:trHeight w:val="94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899" w:right="0"/>
              <w:jc w:val="left"/>
              <w:rPr>
                <w:rFonts w:ascii="Times New Roman" w:hAnsi="Times New Roman" w:cs="Times New Roman" w:eastAsia="Times New Roman" w:hint="default"/>
                <w:sz w:val="18"/>
                <w:szCs w:val="18"/>
              </w:rPr>
            </w:pPr>
            <w:r>
              <w:rPr>
                <w:rFonts w:ascii="Times New Roman"/>
                <w:sz w:val="18"/>
              </w:rPr>
              <w:t>256,437,466.59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79,165,583.74</w:t>
            </w:r>
          </w:p>
        </w:tc>
      </w:tr>
      <w:tr>
        <w:trPr>
          <w:trHeight w:val="47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1704" w:right="0"/>
              <w:jc w:val="left"/>
              <w:rPr>
                <w:rFonts w:ascii="Times New Roman" w:hAnsi="Times New Roman" w:cs="Times New Roman" w:eastAsia="Times New Roman" w:hint="default"/>
                <w:sz w:val="18"/>
                <w:szCs w:val="18"/>
              </w:rPr>
            </w:pPr>
            <w:r>
              <w:rPr>
                <w:rFonts w:ascii="Times New Roman"/>
                <w:sz w:val="18"/>
              </w:rPr>
              <w:t>-1,320,518,734.20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-231,882,651.35</w:t>
            </w:r>
          </w:p>
        </w:tc>
      </w:tr>
      <w:tr>
        <w:trPr>
          <w:trHeight w:val="239"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451" w:lineRule="auto" w:before="88"/>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468"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239"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7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1899" w:right="0"/>
              <w:jc w:val="left"/>
              <w:rPr>
                <w:rFonts w:ascii="Times New Roman" w:hAnsi="Times New Roman" w:cs="Times New Roman" w:eastAsia="Times New Roman" w:hint="default"/>
                <w:sz w:val="18"/>
                <w:szCs w:val="18"/>
              </w:rPr>
            </w:pPr>
            <w:r>
              <w:rPr>
                <w:rFonts w:ascii="Times New Roman"/>
                <w:sz w:val="18"/>
              </w:rPr>
              <w:t>861,763,621.70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902,084,236.00</w:t>
            </w:r>
          </w:p>
        </w:tc>
      </w:tr>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1899" w:right="0"/>
              <w:jc w:val="left"/>
              <w:rPr>
                <w:rFonts w:ascii="Times New Roman" w:hAnsi="Times New Roman" w:cs="Times New Roman" w:eastAsia="Times New Roman" w:hint="default"/>
                <w:sz w:val="18"/>
                <w:szCs w:val="18"/>
              </w:rPr>
            </w:pPr>
            <w:r>
              <w:rPr>
                <w:rFonts w:ascii="Times New Roman"/>
                <w:sz w:val="18"/>
              </w:rPr>
              <w:t>902,084,236.00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706,753,820.33</w:t>
            </w:r>
          </w:p>
        </w:tc>
      </w:tr>
      <w:tr>
        <w:trPr>
          <w:trHeight w:val="47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1929" w:right="0"/>
              <w:jc w:val="left"/>
              <w:rPr>
                <w:rFonts w:ascii="Times New Roman" w:hAnsi="Times New Roman" w:cs="Times New Roman" w:eastAsia="Times New Roman" w:hint="default"/>
                <w:sz w:val="18"/>
                <w:szCs w:val="18"/>
              </w:rPr>
            </w:pPr>
            <w:r>
              <w:rPr>
                <w:rFonts w:ascii="Times New Roman"/>
                <w:sz w:val="18"/>
              </w:rPr>
              <w:t>-40,320,614.30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195,330,415.67</w:t>
            </w:r>
          </w:p>
        </w:tc>
      </w:tr>
    </w:tbl>
    <w:p>
      <w:pPr>
        <w:pStyle w:val="Heading3"/>
        <w:spacing w:line="240" w:lineRule="auto" w:before="63"/>
        <w:ind w:left="154" w:right="0"/>
        <w:jc w:val="left"/>
        <w:rPr>
          <w:b w:val="0"/>
          <w:bCs w:val="0"/>
        </w:rPr>
      </w:pPr>
      <w:bookmarkStart w:name="（2）现金和现金等价物的构成" w:id="345"/>
      <w:bookmarkEnd w:id="345"/>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861,763,621.70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902,084,236.00</w:t>
            </w:r>
          </w:p>
        </w:tc>
      </w:tr>
      <w:tr>
        <w:trPr>
          <w:trHeight w:val="47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135,061.75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47,000.34</w:t>
            </w:r>
          </w:p>
        </w:tc>
      </w:tr>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861,628,559.95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902,037,235.66</w:t>
            </w:r>
          </w:p>
        </w:tc>
      </w:tr>
      <w:tr>
        <w:trPr>
          <w:trHeight w:val="47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861,763,621.70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902,084,236.00</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Heading2"/>
        <w:spacing w:line="240" w:lineRule="auto" w:before="26"/>
        <w:ind w:right="0"/>
        <w:jc w:val="left"/>
        <w:rPr>
          <w:b w:val="0"/>
          <w:bCs w:val="0"/>
        </w:rPr>
      </w:pPr>
      <w:bookmarkStart w:name="八、合并范围的变更" w:id="346"/>
      <w:bookmarkEnd w:id="346"/>
      <w:r>
        <w:rPr>
          <w:b w:val="0"/>
          <w:bCs w:val="0"/>
        </w:rPr>
      </w:r>
      <w:r>
        <w:rPr/>
        <w:t>八、合并范围的变更</w:t>
      </w:r>
      <w:r>
        <w:rPr>
          <w:b w:val="0"/>
          <w:bCs w:val="0"/>
        </w:rPr>
      </w:r>
    </w:p>
    <w:p>
      <w:pPr>
        <w:pStyle w:val="Heading3"/>
        <w:spacing w:line="240" w:lineRule="auto" w:before="177"/>
        <w:ind w:right="0"/>
        <w:jc w:val="left"/>
        <w:rPr>
          <w:b w:val="0"/>
          <w:bCs w:val="0"/>
        </w:rPr>
      </w:pPr>
      <w:bookmarkStart w:name="1、其他" w:id="347"/>
      <w:bookmarkEnd w:id="347"/>
      <w:r>
        <w:rPr>
          <w:b w:val="0"/>
          <w:bCs w:val="0"/>
        </w:rPr>
      </w:r>
      <w:r>
        <w:rPr>
          <w:rFonts w:ascii="Times New Roman" w:hAnsi="Times New Roman" w:cs="Times New Roman" w:eastAsia="Times New Roman" w:hint="default"/>
        </w:rPr>
        <w:t>1</w:t>
      </w:r>
      <w:r>
        <w:rPr/>
        <w:t>、其他</w:t>
      </w:r>
      <w:r>
        <w:rPr>
          <w:b w:val="0"/>
          <w:bCs w:val="0"/>
        </w:rPr>
      </w:r>
    </w:p>
    <w:p>
      <w:pPr>
        <w:pStyle w:val="Heading3"/>
        <w:spacing w:line="240" w:lineRule="auto" w:before="177"/>
        <w:ind w:left="576" w:right="0"/>
        <w:jc w:val="left"/>
        <w:rPr>
          <w:b w:val="0"/>
          <w:bCs w:val="0"/>
        </w:rPr>
      </w:pPr>
      <w:r>
        <w:rPr/>
        <w:t>其他合并范围变更情况</w:t>
      </w:r>
      <w:r>
        <w:rPr>
          <w:b w:val="0"/>
          <w:bCs w:val="0"/>
        </w:rPr>
      </w:r>
    </w:p>
    <w:p>
      <w:pPr>
        <w:spacing w:line="240" w:lineRule="auto" w:before="13"/>
        <w:rPr>
          <w:rFonts w:ascii="宋体" w:hAnsi="宋体" w:cs="宋体" w:eastAsia="宋体" w:hint="default"/>
          <w:b/>
          <w:bCs/>
          <w:sz w:val="9"/>
          <w:szCs w:val="9"/>
        </w:rPr>
      </w:pPr>
    </w:p>
    <w:tbl>
      <w:tblPr>
        <w:tblW w:w="0" w:type="auto"/>
        <w:jc w:val="left"/>
        <w:tblInd w:w="137" w:type="dxa"/>
        <w:tblLayout w:type="fixed"/>
        <w:tblCellMar>
          <w:top w:w="0" w:type="dxa"/>
          <w:left w:w="0" w:type="dxa"/>
          <w:bottom w:w="0" w:type="dxa"/>
          <w:right w:w="0" w:type="dxa"/>
        </w:tblCellMar>
        <w:tblLook w:val="01E0"/>
      </w:tblPr>
      <w:tblGrid>
        <w:gridCol w:w="3855"/>
        <w:gridCol w:w="1254"/>
        <w:gridCol w:w="1286"/>
        <w:gridCol w:w="1223"/>
        <w:gridCol w:w="2040"/>
      </w:tblGrid>
      <w:tr>
        <w:trPr>
          <w:trHeight w:val="511" w:hRule="exact"/>
        </w:trPr>
        <w:tc>
          <w:tcPr>
            <w:tcW w:w="3855" w:type="dxa"/>
            <w:vMerge w:val="restart"/>
            <w:tcBorders>
              <w:top w:val="single" w:sz="6" w:space="0" w:color="000000"/>
              <w:left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54" w:type="dxa"/>
            <w:vMerge w:val="restart"/>
            <w:tcBorders>
              <w:top w:val="single" w:sz="6" w:space="0" w:color="000000"/>
              <w:left w:val="single" w:sz="6" w:space="0" w:color="000000"/>
              <w:right w:val="single" w:sz="6" w:space="0" w:color="000000"/>
            </w:tcBorders>
          </w:tcPr>
          <w:p>
            <w:pPr>
              <w:pStyle w:val="TableParagraph"/>
              <w:spacing w:line="240" w:lineRule="auto" w:before="99"/>
              <w:ind w:left="34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510"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left="7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2040" w:type="dxa"/>
            <w:vMerge w:val="restart"/>
            <w:tcBorders>
              <w:top w:val="single" w:sz="6" w:space="0" w:color="000000"/>
              <w:left w:val="single" w:sz="6" w:space="0" w:color="000000"/>
              <w:right w:val="nil" w:sz="6" w:space="0" w:color="auto"/>
            </w:tcBorders>
          </w:tcPr>
          <w:p>
            <w:pPr>
              <w:pStyle w:val="TableParagraph"/>
              <w:spacing w:line="240" w:lineRule="auto" w:before="99"/>
              <w:ind w:left="651"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508" w:hRule="exact"/>
        </w:trPr>
        <w:tc>
          <w:tcPr>
            <w:tcW w:w="3855" w:type="dxa"/>
            <w:vMerge/>
            <w:tcBorders>
              <w:left w:val="single" w:sz="6" w:space="0" w:color="000000"/>
              <w:bottom w:val="single" w:sz="12" w:space="0" w:color="000000"/>
              <w:right w:val="single" w:sz="6" w:space="0" w:color="000000"/>
            </w:tcBorders>
          </w:tcPr>
          <w:p>
            <w:pPr/>
          </w:p>
        </w:tc>
        <w:tc>
          <w:tcPr>
            <w:tcW w:w="1254" w:type="dxa"/>
            <w:vMerge/>
            <w:tcBorders>
              <w:left w:val="single" w:sz="6" w:space="0" w:color="000000"/>
              <w:bottom w:val="single" w:sz="12" w:space="0" w:color="000000"/>
              <w:right w:val="single" w:sz="6" w:space="0" w:color="000000"/>
            </w:tcBorders>
          </w:tcPr>
          <w:p>
            <w:pPr/>
          </w:p>
        </w:tc>
        <w:tc>
          <w:tcPr>
            <w:tcW w:w="12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2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423"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040" w:type="dxa"/>
            <w:vMerge/>
            <w:tcBorders>
              <w:left w:val="single" w:sz="6" w:space="0" w:color="000000"/>
              <w:bottom w:val="single" w:sz="12" w:space="0" w:color="000000"/>
              <w:right w:val="nil" w:sz="6" w:space="0" w:color="auto"/>
            </w:tcBorders>
          </w:tcPr>
          <w:p>
            <w:pPr/>
          </w:p>
        </w:tc>
      </w:tr>
      <w:tr>
        <w:trPr>
          <w:trHeight w:val="509" w:hRule="exact"/>
        </w:trPr>
        <w:tc>
          <w:tcPr>
            <w:tcW w:w="38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吉林紫鑫参工堂生物科技有限公司</w:t>
            </w:r>
          </w:p>
        </w:tc>
        <w:tc>
          <w:tcPr>
            <w:tcW w:w="1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梅河口</w:t>
            </w:r>
          </w:p>
        </w:tc>
        <w:tc>
          <w:tcPr>
            <w:tcW w:w="12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100.00</w:t>
            </w:r>
          </w:p>
        </w:tc>
        <w:tc>
          <w:tcPr>
            <w:tcW w:w="1223" w:type="dxa"/>
            <w:tcBorders>
              <w:top w:val="single" w:sz="12" w:space="0" w:color="000000"/>
              <w:left w:val="single" w:sz="6" w:space="0" w:color="000000"/>
              <w:bottom w:val="single" w:sz="12" w:space="0" w:color="000000"/>
              <w:right w:val="single" w:sz="6" w:space="0" w:color="000000"/>
            </w:tcBorders>
          </w:tcPr>
          <w:p>
            <w:pPr/>
          </w:p>
        </w:tc>
        <w:tc>
          <w:tcPr>
            <w:tcW w:w="20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8"/>
              <w:ind w:right="7"/>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08" w:hRule="exact"/>
        </w:trPr>
        <w:tc>
          <w:tcPr>
            <w:tcW w:w="38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吉林紫鑫汪清药业有限公司</w:t>
            </w:r>
          </w:p>
        </w:tc>
        <w:tc>
          <w:tcPr>
            <w:tcW w:w="1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汪清</w:t>
            </w:r>
          </w:p>
        </w:tc>
        <w:tc>
          <w:tcPr>
            <w:tcW w:w="12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100.00</w:t>
            </w:r>
          </w:p>
        </w:tc>
        <w:tc>
          <w:tcPr>
            <w:tcW w:w="1223" w:type="dxa"/>
            <w:tcBorders>
              <w:top w:val="single" w:sz="12" w:space="0" w:color="000000"/>
              <w:left w:val="single" w:sz="6" w:space="0" w:color="000000"/>
              <w:bottom w:val="single" w:sz="12" w:space="0" w:color="000000"/>
              <w:right w:val="single" w:sz="6" w:space="0" w:color="000000"/>
            </w:tcBorders>
          </w:tcPr>
          <w:p>
            <w:pPr/>
          </w:p>
        </w:tc>
        <w:tc>
          <w:tcPr>
            <w:tcW w:w="20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8"/>
              <w:ind w:right="7"/>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976" w:hRule="exact"/>
        </w:trPr>
        <w:tc>
          <w:tcPr>
            <w:tcW w:w="38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left="2" w:right="0"/>
              <w:jc w:val="left"/>
              <w:rPr>
                <w:rFonts w:ascii="Times New Roman" w:hAnsi="Times New Roman" w:cs="Times New Roman" w:eastAsia="Times New Roman" w:hint="default"/>
                <w:sz w:val="18"/>
                <w:szCs w:val="18"/>
              </w:rPr>
            </w:pPr>
            <w:r>
              <w:rPr>
                <w:rFonts w:ascii="Times New Roman"/>
                <w:sz w:val="18"/>
              </w:rPr>
              <w:t>Zixin Pharmaceuticals USA</w:t>
            </w:r>
            <w:r>
              <w:rPr>
                <w:rFonts w:ascii="Times New Roman"/>
                <w:spacing w:val="-6"/>
                <w:sz w:val="18"/>
              </w:rPr>
              <w:t> </w:t>
            </w:r>
            <w:r>
              <w:rPr>
                <w:rFonts w:ascii="Times New Roman"/>
                <w:sz w:val="18"/>
              </w:rPr>
              <w:t>CORP</w:t>
            </w:r>
          </w:p>
        </w:tc>
        <w:tc>
          <w:tcPr>
            <w:tcW w:w="1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美国普罗维登</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斯市</w:t>
            </w:r>
          </w:p>
        </w:tc>
        <w:tc>
          <w:tcPr>
            <w:tcW w:w="12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100.00</w:t>
            </w:r>
          </w:p>
        </w:tc>
        <w:tc>
          <w:tcPr>
            <w:tcW w:w="1223" w:type="dxa"/>
            <w:tcBorders>
              <w:top w:val="single" w:sz="12" w:space="0" w:color="000000"/>
              <w:left w:val="single" w:sz="6" w:space="0" w:color="000000"/>
              <w:bottom w:val="single" w:sz="12" w:space="0" w:color="000000"/>
              <w:right w:val="single" w:sz="6" w:space="0" w:color="000000"/>
            </w:tcBorders>
          </w:tcPr>
          <w:p>
            <w:pPr/>
          </w:p>
        </w:tc>
        <w:tc>
          <w:tcPr>
            <w:tcW w:w="20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8"/>
              <w:ind w:right="7"/>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09" w:hRule="exact"/>
        </w:trPr>
        <w:tc>
          <w:tcPr>
            <w:tcW w:w="38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吉林省众创碳资产管理有限公司</w:t>
            </w:r>
          </w:p>
        </w:tc>
        <w:tc>
          <w:tcPr>
            <w:tcW w:w="1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长春</w:t>
            </w:r>
          </w:p>
        </w:tc>
        <w:tc>
          <w:tcPr>
            <w:tcW w:w="1286" w:type="dxa"/>
            <w:tcBorders>
              <w:top w:val="single" w:sz="12" w:space="0" w:color="000000"/>
              <w:left w:val="single" w:sz="6" w:space="0" w:color="000000"/>
              <w:bottom w:val="single" w:sz="12" w:space="0" w:color="000000"/>
              <w:right w:val="single" w:sz="6" w:space="0" w:color="000000"/>
            </w:tcBorders>
          </w:tcPr>
          <w:p>
            <w:pPr/>
          </w:p>
        </w:tc>
        <w:tc>
          <w:tcPr>
            <w:tcW w:w="12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left="356" w:right="0"/>
              <w:jc w:val="left"/>
              <w:rPr>
                <w:rFonts w:ascii="Times New Roman" w:hAnsi="Times New Roman" w:cs="Times New Roman" w:eastAsia="Times New Roman" w:hint="default"/>
                <w:sz w:val="18"/>
                <w:szCs w:val="18"/>
              </w:rPr>
            </w:pPr>
            <w:r>
              <w:rPr>
                <w:rFonts w:ascii="Times New Roman"/>
                <w:sz w:val="18"/>
              </w:rPr>
              <w:t>100.00</w:t>
            </w:r>
          </w:p>
        </w:tc>
        <w:tc>
          <w:tcPr>
            <w:tcW w:w="20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8"/>
              <w:ind w:right="7"/>
              <w:jc w:val="center"/>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98" w:lineRule="auto" w:before="63"/>
        <w:ind w:left="154" w:right="1132" w:firstLine="420"/>
        <w:jc w:val="both"/>
      </w:pPr>
      <w:r>
        <w:rPr>
          <w:spacing w:val="3"/>
        </w:rPr>
        <w:t>本公司本年度通过现金出资注册成立全资子公司吉林紫鑫参工堂生物科技有限公司以及吉林紫鑫汪</w:t>
      </w:r>
      <w:r>
        <w:rPr/>
        <w:t> 清药业有限公司、</w:t>
      </w:r>
      <w:r>
        <w:rPr>
          <w:rFonts w:ascii="Times New Roman" w:hAnsi="Times New Roman" w:cs="Times New Roman" w:eastAsia="Times New Roman" w:hint="default"/>
        </w:rPr>
        <w:t>Zixin pharmaceuticals USA</w:t>
      </w:r>
      <w:r>
        <w:rPr>
          <w:rFonts w:ascii="Times New Roman" w:hAnsi="Times New Roman" w:cs="Times New Roman" w:eastAsia="Times New Roman" w:hint="default"/>
          <w:spacing w:val="-33"/>
        </w:rPr>
        <w:t> </w:t>
      </w:r>
      <w:r>
        <w:rPr>
          <w:rFonts w:ascii="Times New Roman" w:hAnsi="Times New Roman" w:cs="Times New Roman" w:eastAsia="Times New Roman" w:hint="default"/>
        </w:rPr>
        <w:t>CORP</w:t>
      </w:r>
      <w:r>
        <w:rPr/>
        <w:t>；所属子公司北方环境能源交易所有限公司通过现金出 资注册成立子公司吉林省众创碳资产管理有限公司。</w:t>
      </w:r>
    </w:p>
    <w:p>
      <w:pPr>
        <w:pStyle w:val="BodyText"/>
        <w:spacing w:line="388" w:lineRule="auto" w:before="54"/>
        <w:ind w:left="154" w:right="1131" w:firstLine="420"/>
        <w:jc w:val="left"/>
        <w:rPr>
          <w:rFonts w:ascii="宋体" w:hAnsi="宋体" w:cs="宋体" w:eastAsia="宋体" w:hint="default"/>
          <w:sz w:val="24"/>
          <w:szCs w:val="24"/>
        </w:rPr>
      </w:pPr>
      <w:r>
        <w:rPr>
          <w:spacing w:val="-1"/>
        </w:rPr>
        <w:t>本期不再纳入合并范围的子公司：子公司吉林紫鑫初元药业有限公司全资子公司延边盛鑫人参制品有</w:t>
      </w:r>
      <w:r>
        <w:rPr/>
        <w:t> 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日注销，仅将其</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1-4</w:t>
      </w:r>
      <w:r>
        <w:rPr/>
        <w:t>月份的利润表及现金流量表纳入合并范围。 </w:t>
      </w:r>
      <w:bookmarkStart w:name="九、在其他主体中的权益" w:id="348"/>
      <w:bookmarkEnd w:id="348"/>
      <w:r>
        <w:rPr/>
      </w:r>
      <w:r>
        <w:rPr>
          <w:rFonts w:ascii="宋体" w:hAnsi="宋体" w:cs="宋体" w:eastAsia="宋体" w:hint="default"/>
          <w:b/>
          <w:bCs/>
          <w:sz w:val="24"/>
          <w:szCs w:val="24"/>
        </w:rPr>
        <w:t>九、在其他主体中的权益</w:t>
      </w:r>
      <w:r>
        <w:rPr>
          <w:rFonts w:ascii="宋体" w:hAnsi="宋体" w:cs="宋体" w:eastAsia="宋体" w:hint="default"/>
          <w:sz w:val="24"/>
          <w:szCs w:val="24"/>
        </w:rPr>
      </w:r>
    </w:p>
    <w:p>
      <w:pPr>
        <w:pStyle w:val="Heading3"/>
        <w:spacing w:line="240" w:lineRule="auto" w:before="28"/>
        <w:ind w:left="154" w:right="0"/>
        <w:jc w:val="left"/>
        <w:rPr>
          <w:b w:val="0"/>
          <w:bCs w:val="0"/>
        </w:rPr>
      </w:pPr>
      <w:bookmarkStart w:name="1、在子公司中的权益" w:id="349"/>
      <w:bookmarkEnd w:id="349"/>
      <w:r>
        <w:rPr>
          <w:b w:val="0"/>
          <w:bCs w:val="0"/>
        </w:rPr>
      </w:r>
      <w:r>
        <w:rPr>
          <w:rFonts w:ascii="Times New Roman" w:hAnsi="Times New Roman" w:cs="Times New Roman" w:eastAsia="Times New Roman" w:hint="default"/>
        </w:rPr>
        <w:t>1</w:t>
      </w:r>
      <w:r>
        <w:rPr/>
        <w:t>、在子公司中的权益</w:t>
      </w:r>
      <w:r>
        <w:rPr>
          <w:b w:val="0"/>
          <w:bCs w:val="0"/>
        </w:rPr>
      </w:r>
    </w:p>
    <w:p>
      <w:pPr>
        <w:pStyle w:val="Heading3"/>
        <w:spacing w:line="240" w:lineRule="auto" w:before="177"/>
        <w:ind w:left="154" w:right="0"/>
        <w:jc w:val="left"/>
        <w:rPr>
          <w:b w:val="0"/>
          <w:bCs w:val="0"/>
        </w:rPr>
      </w:pPr>
      <w:bookmarkStart w:name="（1）企业集团的构成" w:id="350"/>
      <w:bookmarkEnd w:id="350"/>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78"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78"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94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吉林草还丹药业</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敦化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敦化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药品生产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94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吉林紫鑫敦化医</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药药材有限公司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敦化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敦化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药品销售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94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吉林紫鑫初元药</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延吉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延吉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药品生产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94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宋体" w:hAnsi="宋体" w:cs="宋体" w:eastAsia="宋体" w:hint="default"/>
                <w:sz w:val="18"/>
                <w:szCs w:val="18"/>
              </w:rPr>
            </w:pPr>
            <w:r>
              <w:rPr>
                <w:rFonts w:ascii="宋体" w:hAnsi="宋体" w:cs="宋体" w:eastAsia="宋体" w:hint="default"/>
                <w:sz w:val="18"/>
                <w:szCs w:val="18"/>
              </w:rPr>
              <w:t>吉林紫鑫般若药</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磐石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磐石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药品生产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吉林紫鑫禺拙药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通化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通化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药品生产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7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吉林紫鑫红石种</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养殖有限公司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柳河县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柳河县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中药材种植销售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94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吉林紫鑫人参销</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柳河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人参销售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94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吉林紫鑫人参研</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人参产品研发及</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94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吉林紫鑫药物研</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究有限公司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药品研发及技术</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4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15"/>
              <w:ind w:left="22" w:right="77"/>
              <w:jc w:val="left"/>
              <w:rPr>
                <w:rFonts w:ascii="宋体" w:hAnsi="宋体" w:cs="宋体" w:eastAsia="宋体" w:hint="default"/>
                <w:sz w:val="18"/>
                <w:szCs w:val="18"/>
              </w:rPr>
            </w:pPr>
            <w:r>
              <w:rPr>
                <w:rFonts w:ascii="宋体" w:hAnsi="宋体" w:cs="宋体" w:eastAsia="宋体" w:hint="default"/>
                <w:sz w:val="18"/>
                <w:szCs w:val="18"/>
              </w:rPr>
              <w:t>吉林中科紫鑫科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72"/>
              <w:jc w:val="left"/>
              <w:rPr>
                <w:rFonts w:ascii="宋体" w:hAnsi="宋体" w:cs="宋体" w:eastAsia="宋体" w:hint="default"/>
                <w:sz w:val="18"/>
                <w:szCs w:val="18"/>
              </w:rPr>
            </w:pPr>
            <w:r>
              <w:rPr>
                <w:rFonts w:ascii="宋体" w:hAnsi="宋体" w:cs="宋体" w:eastAsia="宋体" w:hint="default"/>
                <w:sz w:val="18"/>
                <w:szCs w:val="18"/>
              </w:rPr>
              <w:t>研发、设备生产 及销售，专利权</w:t>
            </w:r>
          </w:p>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的转让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4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15"/>
              <w:ind w:left="22" w:right="77"/>
              <w:jc w:val="left"/>
              <w:rPr>
                <w:rFonts w:ascii="宋体" w:hAnsi="宋体" w:cs="宋体" w:eastAsia="宋体" w:hint="default"/>
                <w:sz w:val="18"/>
                <w:szCs w:val="18"/>
              </w:rPr>
            </w:pPr>
            <w:r>
              <w:rPr>
                <w:rFonts w:ascii="宋体" w:hAnsi="宋体" w:cs="宋体" w:eastAsia="宋体" w:hint="default"/>
                <w:sz w:val="18"/>
                <w:szCs w:val="18"/>
              </w:rPr>
              <w:t>北方环境能源交 易所有限公司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72"/>
              <w:jc w:val="left"/>
              <w:rPr>
                <w:rFonts w:ascii="宋体" w:hAnsi="宋体" w:cs="宋体" w:eastAsia="宋体" w:hint="default"/>
                <w:sz w:val="18"/>
                <w:szCs w:val="18"/>
              </w:rPr>
            </w:pPr>
            <w:r>
              <w:rPr>
                <w:rFonts w:ascii="宋体" w:hAnsi="宋体" w:cs="宋体" w:eastAsia="宋体" w:hint="default"/>
                <w:sz w:val="18"/>
                <w:szCs w:val="18"/>
              </w:rPr>
              <w:t>从事节能减排、 环境保护等方面</w:t>
            </w:r>
          </w:p>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的相关交易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15"/>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94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吉林紫鑫金桂药</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通化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通化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药品生产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4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吉林紫鑫高科技</w:t>
            </w:r>
          </w:p>
          <w:p>
            <w:pPr>
              <w:pStyle w:val="TableParagraph"/>
              <w:spacing w:line="460" w:lineRule="atLeast" w:before="8"/>
              <w:ind w:left="22" w:right="77"/>
              <w:jc w:val="left"/>
              <w:rPr>
                <w:rFonts w:ascii="宋体" w:hAnsi="宋体" w:cs="宋体" w:eastAsia="宋体" w:hint="default"/>
                <w:sz w:val="18"/>
                <w:szCs w:val="18"/>
              </w:rPr>
            </w:pPr>
            <w:r>
              <w:rPr>
                <w:rFonts w:ascii="宋体" w:hAnsi="宋体" w:cs="宋体" w:eastAsia="宋体" w:hint="default"/>
                <w:sz w:val="18"/>
                <w:szCs w:val="18"/>
              </w:rPr>
              <w:t>功能食品有限公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敦化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敦化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15"/>
              <w:ind w:left="22" w:right="72"/>
              <w:jc w:val="left"/>
              <w:rPr>
                <w:rFonts w:ascii="宋体" w:hAnsi="宋体" w:cs="宋体" w:eastAsia="宋体" w:hint="default"/>
                <w:sz w:val="18"/>
                <w:szCs w:val="18"/>
              </w:rPr>
            </w:pPr>
            <w:r>
              <w:rPr>
                <w:rFonts w:ascii="宋体" w:hAnsi="宋体" w:cs="宋体" w:eastAsia="宋体" w:hint="default"/>
                <w:sz w:val="18"/>
                <w:szCs w:val="18"/>
              </w:rPr>
              <w:t>保健品生产及销 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94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Times New Roman" w:hAnsi="Times New Roman" w:cs="Times New Roman" w:eastAsia="Times New Roman" w:hint="default"/>
                <w:sz w:val="18"/>
                <w:szCs w:val="18"/>
              </w:rPr>
            </w:pPr>
            <w:r>
              <w:rPr>
                <w:rFonts w:ascii="Times New Roman"/>
                <w:sz w:val="18"/>
              </w:rPr>
              <w:t>Fytagoras </w:t>
            </w:r>
            <w:r>
              <w:rPr>
                <w:rFonts w:ascii="Times New Roman"/>
                <w:spacing w:val="-7"/>
                <w:sz w:val="18"/>
              </w:rPr>
              <w:t>B.V.</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投资、研发、生</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14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16"/>
              <w:ind w:left="22" w:right="77"/>
              <w:jc w:val="left"/>
              <w:rPr>
                <w:rFonts w:ascii="宋体" w:hAnsi="宋体" w:cs="宋体" w:eastAsia="宋体" w:hint="default"/>
                <w:sz w:val="18"/>
                <w:szCs w:val="18"/>
              </w:rPr>
            </w:pPr>
            <w:r>
              <w:rPr>
                <w:rFonts w:ascii="宋体" w:hAnsi="宋体" w:cs="宋体" w:eastAsia="宋体" w:hint="default"/>
                <w:sz w:val="18"/>
                <w:szCs w:val="18"/>
              </w:rPr>
              <w:t>北京中科紫鑫科 技有限责任公司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9"/>
              <w:ind w:left="22" w:right="72"/>
              <w:jc w:val="left"/>
              <w:rPr>
                <w:rFonts w:ascii="宋体" w:hAnsi="宋体" w:cs="宋体" w:eastAsia="宋体" w:hint="default"/>
                <w:sz w:val="18"/>
                <w:szCs w:val="18"/>
              </w:rPr>
            </w:pPr>
            <w:r>
              <w:rPr>
                <w:rFonts w:ascii="宋体" w:hAnsi="宋体" w:cs="宋体" w:eastAsia="宋体" w:hint="default"/>
                <w:sz w:val="18"/>
                <w:szCs w:val="18"/>
              </w:rPr>
              <w:t>研发、设备生产 及销售，专利权</w:t>
            </w:r>
          </w:p>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的转让</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4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15"/>
              <w:ind w:left="22" w:right="77"/>
              <w:jc w:val="left"/>
              <w:rPr>
                <w:rFonts w:ascii="宋体" w:hAnsi="宋体" w:cs="宋体" w:eastAsia="宋体" w:hint="default"/>
                <w:sz w:val="18"/>
                <w:szCs w:val="18"/>
              </w:rPr>
            </w:pPr>
            <w:r>
              <w:rPr>
                <w:rFonts w:ascii="宋体" w:hAnsi="宋体" w:cs="宋体" w:eastAsia="宋体" w:hint="default"/>
                <w:sz w:val="18"/>
                <w:szCs w:val="18"/>
              </w:rPr>
              <w:t>敦化市中科紫鑫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22" w:right="0"/>
              <w:jc w:val="left"/>
              <w:rPr>
                <w:rFonts w:ascii="宋体" w:hAnsi="宋体" w:cs="宋体" w:eastAsia="宋体" w:hint="default"/>
                <w:sz w:val="18"/>
                <w:szCs w:val="18"/>
              </w:rPr>
            </w:pPr>
            <w:r>
              <w:rPr>
                <w:rFonts w:ascii="宋体" w:hAnsi="宋体" w:cs="宋体" w:eastAsia="宋体" w:hint="default"/>
                <w:sz w:val="18"/>
                <w:szCs w:val="18"/>
              </w:rPr>
              <w:t>敦化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22" w:right="0"/>
              <w:jc w:val="left"/>
              <w:rPr>
                <w:rFonts w:ascii="宋体" w:hAnsi="宋体" w:cs="宋体" w:eastAsia="宋体" w:hint="default"/>
                <w:sz w:val="18"/>
                <w:szCs w:val="18"/>
              </w:rPr>
            </w:pPr>
            <w:r>
              <w:rPr>
                <w:rFonts w:ascii="宋体" w:hAnsi="宋体" w:cs="宋体" w:eastAsia="宋体" w:hint="default"/>
                <w:sz w:val="18"/>
                <w:szCs w:val="18"/>
              </w:rPr>
              <w:t>敦化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研发、设备生产</w:t>
            </w:r>
          </w:p>
          <w:p>
            <w:pPr>
              <w:pStyle w:val="TableParagraph"/>
              <w:spacing w:line="470" w:lineRule="atLeast"/>
              <w:ind w:left="22" w:right="72"/>
              <w:jc w:val="left"/>
              <w:rPr>
                <w:rFonts w:ascii="宋体" w:hAnsi="宋体" w:cs="宋体" w:eastAsia="宋体" w:hint="default"/>
                <w:sz w:val="18"/>
                <w:szCs w:val="18"/>
              </w:rPr>
            </w:pPr>
            <w:r>
              <w:rPr>
                <w:rFonts w:ascii="宋体" w:hAnsi="宋体" w:cs="宋体" w:eastAsia="宋体" w:hint="default"/>
                <w:sz w:val="18"/>
                <w:szCs w:val="18"/>
              </w:rPr>
              <w:t>及销售，专利权 的转让</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9"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香港中科紫鑫科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投资管理、生产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7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加工、科技研发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4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16"/>
              <w:ind w:left="22" w:right="77"/>
              <w:jc w:val="left"/>
              <w:rPr>
                <w:rFonts w:ascii="宋体" w:hAnsi="宋体" w:cs="宋体" w:eastAsia="宋体" w:hint="default"/>
                <w:sz w:val="18"/>
                <w:szCs w:val="18"/>
              </w:rPr>
            </w:pPr>
            <w:r>
              <w:rPr>
                <w:rFonts w:ascii="宋体" w:hAnsi="宋体" w:cs="宋体" w:eastAsia="宋体" w:hint="default"/>
                <w:sz w:val="18"/>
                <w:szCs w:val="18"/>
              </w:rPr>
              <w:t>吉林紫鑫黍生农 业发展有限公司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2" w:right="0"/>
              <w:jc w:val="left"/>
              <w:rPr>
                <w:rFonts w:ascii="宋体" w:hAnsi="宋体" w:cs="宋体" w:eastAsia="宋体" w:hint="default"/>
                <w:sz w:val="18"/>
                <w:szCs w:val="18"/>
              </w:rPr>
            </w:pPr>
            <w:r>
              <w:rPr>
                <w:rFonts w:ascii="宋体" w:hAnsi="宋体" w:cs="宋体" w:eastAsia="宋体" w:hint="default"/>
                <w:sz w:val="18"/>
                <w:szCs w:val="18"/>
              </w:rPr>
              <w:t>磐石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2" w:right="0"/>
              <w:jc w:val="left"/>
              <w:rPr>
                <w:rFonts w:ascii="宋体" w:hAnsi="宋体" w:cs="宋体" w:eastAsia="宋体" w:hint="default"/>
                <w:sz w:val="18"/>
                <w:szCs w:val="18"/>
              </w:rPr>
            </w:pPr>
            <w:r>
              <w:rPr>
                <w:rFonts w:ascii="宋体" w:hAnsi="宋体" w:cs="宋体" w:eastAsia="宋体" w:hint="default"/>
                <w:sz w:val="18"/>
                <w:szCs w:val="18"/>
              </w:rPr>
              <w:t>磐石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9"/>
              <w:ind w:left="22" w:right="72"/>
              <w:jc w:val="left"/>
              <w:rPr>
                <w:rFonts w:ascii="宋体" w:hAnsi="宋体" w:cs="宋体" w:eastAsia="宋体" w:hint="default"/>
                <w:sz w:val="18"/>
                <w:szCs w:val="18"/>
              </w:rPr>
            </w:pPr>
            <w:r>
              <w:rPr>
                <w:rFonts w:ascii="宋体" w:hAnsi="宋体" w:cs="宋体" w:eastAsia="宋体" w:hint="default"/>
                <w:sz w:val="18"/>
                <w:szCs w:val="18"/>
              </w:rPr>
              <w:t>粮食作物、经济 作物、种植、加</w:t>
            </w:r>
          </w:p>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工、销售等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4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77"/>
              <w:jc w:val="left"/>
              <w:rPr>
                <w:rFonts w:ascii="宋体" w:hAnsi="宋体" w:cs="宋体" w:eastAsia="宋体" w:hint="default"/>
                <w:sz w:val="18"/>
                <w:szCs w:val="18"/>
              </w:rPr>
            </w:pPr>
            <w:r>
              <w:rPr>
                <w:rFonts w:ascii="宋体" w:hAnsi="宋体" w:cs="宋体" w:eastAsia="宋体" w:hint="default"/>
                <w:sz w:val="18"/>
                <w:szCs w:val="18"/>
              </w:rPr>
              <w:t>吉林紫鑫参工堂 生物科技有限公</w:t>
            </w:r>
          </w:p>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梅河口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梅河口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植物提取物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94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吉林紫鑫汪清药</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汪清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汪清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医药生产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4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sz w:val="18"/>
              </w:rPr>
              <w:t>Zixin</w:t>
            </w:r>
          </w:p>
          <w:p>
            <w:pPr>
              <w:pStyle w:val="TableParagraph"/>
              <w:spacing w:line="460" w:lineRule="atLeast" w:before="8"/>
              <w:ind w:left="22" w:right="157"/>
              <w:jc w:val="left"/>
              <w:rPr>
                <w:rFonts w:ascii="Times New Roman" w:hAnsi="Times New Roman" w:cs="Times New Roman" w:eastAsia="Times New Roman" w:hint="default"/>
                <w:sz w:val="18"/>
                <w:szCs w:val="18"/>
              </w:rPr>
            </w:pPr>
            <w:r>
              <w:rPr>
                <w:rFonts w:ascii="Times New Roman"/>
                <w:sz w:val="18"/>
              </w:rPr>
              <w:t>Pharmaceuticals</w:t>
            </w:r>
            <w:r>
              <w:rPr>
                <w:rFonts w:ascii="Times New Roman"/>
                <w:w w:val="99"/>
                <w:sz w:val="18"/>
              </w:rPr>
              <w:t> </w:t>
            </w:r>
            <w:r>
              <w:rPr>
                <w:rFonts w:ascii="Times New Roman"/>
                <w:sz w:val="18"/>
              </w:rPr>
              <w:t>USA</w:t>
            </w:r>
            <w:r>
              <w:rPr>
                <w:rFonts w:ascii="Times New Roman"/>
                <w:spacing w:val="-12"/>
                <w:sz w:val="18"/>
              </w:rPr>
              <w:t> </w:t>
            </w:r>
            <w:r>
              <w:rPr>
                <w:rFonts w:ascii="Times New Roman"/>
                <w:sz w:val="18"/>
              </w:rPr>
              <w:t>CORP</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2" w:right="0"/>
              <w:jc w:val="left"/>
              <w:rPr>
                <w:rFonts w:ascii="宋体" w:hAnsi="宋体" w:cs="宋体" w:eastAsia="宋体" w:hint="default"/>
                <w:sz w:val="18"/>
                <w:szCs w:val="18"/>
              </w:rPr>
            </w:pPr>
            <w:r>
              <w:rPr>
                <w:rFonts w:ascii="宋体" w:hAnsi="宋体" w:cs="宋体" w:eastAsia="宋体" w:hint="default"/>
                <w:sz w:val="18"/>
                <w:szCs w:val="18"/>
              </w:rPr>
              <w:t>普罗维登斯市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美国新药及测序</w:t>
            </w:r>
          </w:p>
          <w:p>
            <w:pPr>
              <w:pStyle w:val="TableParagraph"/>
              <w:spacing w:line="460" w:lineRule="atLeast" w:before="8"/>
              <w:ind w:left="22" w:right="72"/>
              <w:jc w:val="left"/>
              <w:rPr>
                <w:rFonts w:ascii="宋体" w:hAnsi="宋体" w:cs="宋体" w:eastAsia="宋体" w:hint="default"/>
                <w:sz w:val="18"/>
                <w:szCs w:val="18"/>
              </w:rPr>
            </w:pPr>
            <w:r>
              <w:rPr>
                <w:rFonts w:ascii="宋体" w:hAnsi="宋体" w:cs="宋体" w:eastAsia="宋体" w:hint="default"/>
                <w:sz w:val="18"/>
                <w:szCs w:val="18"/>
              </w:rPr>
              <w:t>仪投资、开发与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94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吉林省众创碳资</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产管理有限公司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碳资产管理、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477" w:lineRule="auto" w:before="88"/>
        <w:ind w:left="153" w:right="2833"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477" w:lineRule="auto" w:before="54"/>
        <w:ind w:left="154" w:right="769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pStyle w:val="Heading3"/>
        <w:spacing w:line="240" w:lineRule="auto" w:before="29"/>
        <w:ind w:left="154" w:right="0"/>
        <w:jc w:val="left"/>
        <w:rPr>
          <w:b w:val="0"/>
          <w:bCs w:val="0"/>
        </w:rPr>
      </w:pPr>
      <w:bookmarkStart w:name="（2）重要的非全资子公司" w:id="351"/>
      <w:bookmarkEnd w:id="351"/>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6"/>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946"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本期归属于少数股东的</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本期向少数股东宣告分</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95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宋体" w:hAnsi="宋体" w:cs="宋体" w:eastAsia="宋体" w:hint="default"/>
                <w:sz w:val="18"/>
                <w:szCs w:val="18"/>
              </w:rPr>
            </w:pPr>
            <w:r>
              <w:rPr>
                <w:rFonts w:ascii="宋体" w:hAnsi="宋体" w:cs="宋体" w:eastAsia="宋体" w:hint="default"/>
                <w:sz w:val="18"/>
                <w:szCs w:val="18"/>
              </w:rPr>
              <w:t>北方环境能源交易所有</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21"/>
              <w:jc w:val="right"/>
              <w:rPr>
                <w:rFonts w:ascii="Times New Roman" w:hAnsi="Times New Roman" w:cs="Times New Roman" w:eastAsia="Times New Roman" w:hint="default"/>
                <w:sz w:val="18"/>
                <w:szCs w:val="18"/>
              </w:rPr>
            </w:pPr>
            <w:r>
              <w:rPr>
                <w:rFonts w:ascii="Times New Roman"/>
                <w:sz w:val="18"/>
              </w:rPr>
              <w:t>2.03%</w:t>
            </w:r>
          </w:p>
        </w:tc>
        <w:tc>
          <w:tcPr>
            <w:tcW w:w="191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167" w:right="0"/>
              <w:jc w:val="left"/>
              <w:rPr>
                <w:rFonts w:ascii="Times New Roman" w:hAnsi="Times New Roman" w:cs="Times New Roman" w:eastAsia="Times New Roman" w:hint="default"/>
                <w:sz w:val="18"/>
                <w:szCs w:val="18"/>
              </w:rPr>
            </w:pPr>
            <w:r>
              <w:rPr>
                <w:rFonts w:ascii="Times New Roman"/>
                <w:sz w:val="18"/>
              </w:rPr>
              <w:t>96,893.11</w:t>
            </w:r>
          </w:p>
        </w:tc>
        <w:tc>
          <w:tcPr>
            <w:tcW w:w="1913" w:type="dxa"/>
            <w:tcBorders>
              <w:top w:val="single" w:sz="6"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20"/>
              <w:jc w:val="right"/>
              <w:rPr>
                <w:rFonts w:ascii="Times New Roman" w:hAnsi="Times New Roman" w:cs="Times New Roman" w:eastAsia="Times New Roman" w:hint="default"/>
                <w:sz w:val="18"/>
                <w:szCs w:val="18"/>
              </w:rPr>
            </w:pPr>
            <w:r>
              <w:rPr>
                <w:rFonts w:ascii="Times New Roman"/>
                <w:spacing w:val="-1"/>
                <w:sz w:val="18"/>
              </w:rPr>
              <w:t>1,741,734.79</w:t>
            </w:r>
          </w:p>
        </w:tc>
      </w:tr>
    </w:tbl>
    <w:p>
      <w:pPr>
        <w:spacing w:line="477" w:lineRule="auto" w:before="88"/>
        <w:ind w:left="154" w:right="643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pStyle w:val="Heading2"/>
        <w:spacing w:line="240" w:lineRule="auto" w:before="5"/>
        <w:ind w:left="154" w:right="0"/>
        <w:jc w:val="left"/>
        <w:rPr>
          <w:b w:val="0"/>
          <w:bCs w:val="0"/>
        </w:rPr>
      </w:pPr>
      <w:bookmarkStart w:name="十、与金融工具相关的风险" w:id="352"/>
      <w:bookmarkEnd w:id="352"/>
      <w:r>
        <w:rPr>
          <w:b w:val="0"/>
          <w:bCs w:val="0"/>
        </w:rPr>
      </w:r>
      <w:r>
        <w:rPr/>
        <w:t>十、与金融工具相关的风险</w:t>
      </w:r>
      <w:r>
        <w:rPr>
          <w:b w:val="0"/>
          <w:bCs w:val="0"/>
        </w:rPr>
      </w:r>
    </w:p>
    <w:p>
      <w:pPr>
        <w:pStyle w:val="BodyText"/>
        <w:spacing w:line="240" w:lineRule="auto" w:before="177"/>
        <w:ind w:left="574" w:right="0"/>
        <w:jc w:val="left"/>
      </w:pPr>
      <w:r>
        <w:rPr/>
        <w:t>本公司在经营过程中面临各种金融风险，如信用风险、市场风险和流动性风险等。公司董事会全面负</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责风险管理目标和政策的确定，并对风险管理目标和政策承担最终责任，但是董事会已授权本公司总经理</w:t>
      </w:r>
      <w:r>
        <w:rPr>
          <w:spacing w:val="-81"/>
        </w:rPr>
        <w:t> </w:t>
      </w:r>
      <w:r>
        <w:rPr>
          <w:spacing w:val="-81"/>
        </w:rPr>
      </w:r>
      <w:r>
        <w:rPr>
          <w:spacing w:val="-1"/>
        </w:rPr>
        <w:t>办公室设计和实施能确保风险管理目标和政策得以有效执行的程序。董事会通过总经理办公室递交的报告</w:t>
      </w:r>
      <w:r>
        <w:rPr>
          <w:spacing w:val="-81"/>
        </w:rPr>
        <w:t> </w:t>
      </w:r>
      <w:r>
        <w:rPr>
          <w:spacing w:val="-81"/>
        </w:rPr>
      </w:r>
      <w:r>
        <w:rPr>
          <w:spacing w:val="-1"/>
        </w:rPr>
        <w:t>来审查已执行程序的有效性以及风险管理目标和政策的合理性。本公司的内部审计师也会审计风险管理的</w:t>
      </w:r>
      <w:r>
        <w:rPr>
          <w:spacing w:val="-81"/>
        </w:rPr>
        <w:t> </w:t>
      </w:r>
      <w:r>
        <w:rPr>
          <w:spacing w:val="-81"/>
        </w:rPr>
      </w:r>
      <w:r>
        <w:rPr>
          <w:spacing w:val="-1"/>
        </w:rPr>
        <w:t>政策和程序，并且将有关发现汇报给审计委员会。本公司风险管理的总体目标是在不过度影响公司竞争力</w:t>
      </w:r>
      <w:r>
        <w:rPr>
          <w:spacing w:val="-81"/>
        </w:rPr>
        <w:t> </w:t>
      </w:r>
      <w:r>
        <w:rPr>
          <w:spacing w:val="-81"/>
        </w:rPr>
      </w:r>
      <w:r>
        <w:rPr/>
        <w:t>和应变力的情况下，制定尽可能降低风险的风险管理政策。</w:t>
      </w:r>
    </w:p>
    <w:p>
      <w:pPr>
        <w:pStyle w:val="BodyText"/>
        <w:spacing w:line="408" w:lineRule="auto"/>
        <w:ind w:left="573" w:right="0"/>
        <w:jc w:val="left"/>
      </w:pPr>
      <w:r>
        <w:rPr/>
        <w:t>（一）信用风险 </w:t>
      </w:r>
      <w:r>
        <w:rPr>
          <w:spacing w:val="-1"/>
        </w:rPr>
        <w:t>信用风险是指金融工具的一方不履行义务，造成另一方发生财务损失的风险。本公司主要面临赊销导</w:t>
      </w:r>
    </w:p>
    <w:p>
      <w:pPr>
        <w:pStyle w:val="BodyText"/>
        <w:spacing w:line="408" w:lineRule="auto"/>
        <w:ind w:right="1131"/>
        <w:jc w:val="both"/>
      </w:pPr>
      <w:r>
        <w:rPr>
          <w:spacing w:val="-1"/>
        </w:rPr>
        <w:t>致的客户信用风险。在签订新合同之前，本公司会对新客户的信用风险进行评估，包括外部信用评级和在</w:t>
      </w:r>
      <w:r>
        <w:rPr>
          <w:spacing w:val="-83"/>
        </w:rPr>
        <w:t> </w:t>
      </w:r>
      <w:r>
        <w:rPr>
          <w:spacing w:val="-83"/>
        </w:rPr>
      </w:r>
      <w:r>
        <w:rPr>
          <w:spacing w:val="-1"/>
        </w:rPr>
        <w:t>某些情况下的银行资信证明（当此信息可获取时）。公司对每一客户均设置了赊销限额，该限额为无需获</w:t>
      </w:r>
      <w:r>
        <w:rPr>
          <w:spacing w:val="-86"/>
        </w:rPr>
        <w:t> </w:t>
      </w:r>
      <w:r>
        <w:rPr>
          <w:spacing w:val="-86"/>
        </w:rPr>
      </w:r>
      <w:r>
        <w:rPr/>
        <w:t>得额外批准的最大额度。</w:t>
      </w:r>
    </w:p>
    <w:p>
      <w:pPr>
        <w:pStyle w:val="BodyText"/>
        <w:spacing w:line="400" w:lineRule="auto"/>
        <w:ind w:right="1117" w:firstLine="420"/>
        <w:jc w:val="left"/>
      </w:pPr>
      <w:r>
        <w:rPr/>
        <w:t>公司通过对已有客户信用评级的季度监控以及应收账款账龄分析的月度审核来确保公司的整体信用 风险在可控的范围内。在监控客户的信用风险时，按照客户的信用特征对其分组。被评为</w:t>
      </w:r>
      <w:r>
        <w:rPr>
          <w:rFonts w:ascii="Times New Roman" w:hAnsi="Times New Roman" w:cs="Times New Roman" w:eastAsia="Times New Roman" w:hint="default"/>
        </w:rPr>
        <w:t>“</w:t>
      </w:r>
      <w:r>
        <w:rPr/>
        <w:t>高风险</w:t>
      </w:r>
      <w:r>
        <w:rPr>
          <w:rFonts w:ascii="Times New Roman" w:hAnsi="Times New Roman" w:cs="Times New Roman" w:eastAsia="Times New Roman" w:hint="default"/>
        </w:rPr>
        <w:t>”</w:t>
      </w:r>
      <w:r>
        <w:rPr/>
        <w:t>级别的 </w:t>
      </w:r>
      <w:r>
        <w:rPr>
          <w:spacing w:val="-1"/>
        </w:rPr>
        <w:t>客户会放在受限制客户名单里，并且只有在额外批准的前提下，公司才可在未来期间内对其赊销，否则必</w:t>
      </w:r>
      <w:r>
        <w:rPr>
          <w:spacing w:val="-83"/>
        </w:rPr>
        <w:t> </w:t>
      </w:r>
      <w:r>
        <w:rPr>
          <w:spacing w:val="-83"/>
        </w:rPr>
      </w:r>
      <w:r>
        <w:rPr/>
        <w:t>须要求其提前支付相应款项。</w:t>
      </w:r>
    </w:p>
    <w:p>
      <w:pPr>
        <w:pStyle w:val="BodyText"/>
        <w:spacing w:line="408" w:lineRule="auto" w:before="52"/>
        <w:ind w:left="574" w:right="1092"/>
        <w:jc w:val="left"/>
      </w:pPr>
      <w:r>
        <w:rPr/>
        <w:t>（二）市场风险 金融工具的市场风险，是指金融工具的公允价值或未来现金流量因市场价格变动而发生波动的风险，</w:t>
      </w:r>
    </w:p>
    <w:p>
      <w:pPr>
        <w:pStyle w:val="BodyText"/>
        <w:spacing w:line="240" w:lineRule="auto"/>
        <w:ind w:left="154" w:right="0"/>
        <w:jc w:val="both"/>
      </w:pPr>
      <w:r>
        <w:rPr/>
        <w:t>包括汇率风险、利率风险和其他价格风险。</w:t>
      </w:r>
    </w:p>
    <w:p>
      <w:pPr>
        <w:spacing w:line="240" w:lineRule="auto" w:before="10"/>
        <w:rPr>
          <w:rFonts w:ascii="宋体" w:hAnsi="宋体" w:cs="宋体" w:eastAsia="宋体" w:hint="default"/>
          <w:sz w:val="14"/>
          <w:szCs w:val="14"/>
        </w:rPr>
      </w:pPr>
    </w:p>
    <w:p>
      <w:pPr>
        <w:pStyle w:val="BodyText"/>
        <w:spacing w:line="403" w:lineRule="auto" w:before="0"/>
        <w:ind w:right="0" w:firstLine="420"/>
        <w:jc w:val="left"/>
      </w:pPr>
      <w:r>
        <w:rPr/>
        <w:t>（三）流动性风险 </w:t>
      </w:r>
      <w:r>
        <w:rPr>
          <w:spacing w:val="-1"/>
        </w:rPr>
        <w:t>流动风险，是指企业在履行以交付现金或其他金融资产的方式结算的义务时发生资金短缺的风险。本公司</w:t>
      </w:r>
      <w:r>
        <w:rPr>
          <w:spacing w:val="-81"/>
        </w:rPr>
        <w:t> </w:t>
      </w:r>
      <w:r>
        <w:rPr>
          <w:spacing w:val="-81"/>
        </w:rPr>
      </w:r>
      <w:r>
        <w:rPr>
          <w:spacing w:val="-1"/>
        </w:rPr>
        <w:t>的政策是确保拥有充足的现金以偿还到期债务。流动性风险由本公司的财务部门集中控制。财务部门通过</w:t>
      </w:r>
      <w:r>
        <w:rPr>
          <w:spacing w:val="-81"/>
        </w:rPr>
        <w:t> </w:t>
      </w:r>
      <w:r>
        <w:rPr>
          <w:spacing w:val="-81"/>
        </w:rPr>
      </w:r>
      <w:r>
        <w:rPr>
          <w:spacing w:val="-1"/>
        </w:rPr>
        <w:t>监控现金余额、可随时变现的有价证券以及对未来</w:t>
      </w:r>
      <w:r>
        <w:rPr>
          <w:rFonts w:ascii="Times New Roman" w:hAnsi="Times New Roman" w:cs="Times New Roman" w:eastAsia="Times New Roman" w:hint="default"/>
          <w:spacing w:val="-1"/>
        </w:rPr>
        <w:t>12</w:t>
      </w:r>
      <w:r>
        <w:rPr>
          <w:spacing w:val="-1"/>
        </w:rPr>
        <w:t>个月现金流量的滚动预测，确保公司在所有合理预测</w:t>
      </w:r>
      <w:r>
        <w:rPr>
          <w:spacing w:val="-82"/>
        </w:rPr>
        <w:t> </w:t>
      </w:r>
      <w:r>
        <w:rPr>
          <w:spacing w:val="-82"/>
        </w:rPr>
      </w:r>
      <w:r>
        <w:rPr/>
        <w:t>的情况下拥有充足的资金偿还债务。</w:t>
      </w:r>
    </w:p>
    <w:p>
      <w:pPr>
        <w:pStyle w:val="Heading2"/>
        <w:spacing w:line="240" w:lineRule="auto" w:before="27"/>
        <w:ind w:right="0"/>
        <w:jc w:val="both"/>
        <w:rPr>
          <w:b w:val="0"/>
          <w:bCs w:val="0"/>
        </w:rPr>
      </w:pPr>
      <w:bookmarkStart w:name="十一、关联方及关联交易" w:id="353"/>
      <w:bookmarkEnd w:id="353"/>
      <w:r>
        <w:rPr>
          <w:b w:val="0"/>
          <w:bCs w:val="0"/>
        </w:rPr>
      </w:r>
      <w:r>
        <w:rPr/>
        <w:t>十一、关联方及关联交易</w:t>
      </w:r>
      <w:r>
        <w:rPr>
          <w:b w:val="0"/>
          <w:bCs w:val="0"/>
        </w:rPr>
      </w:r>
    </w:p>
    <w:p>
      <w:pPr>
        <w:pStyle w:val="Heading3"/>
        <w:spacing w:line="240" w:lineRule="auto" w:before="177"/>
        <w:ind w:right="0"/>
        <w:jc w:val="both"/>
        <w:rPr>
          <w:b w:val="0"/>
          <w:bCs w:val="0"/>
        </w:rPr>
      </w:pPr>
      <w:bookmarkStart w:name="1、本企业的母公司情况" w:id="354"/>
      <w:bookmarkEnd w:id="354"/>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946"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母公司对本企业的</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母公司对本企业的</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表决权比例</w:t>
            </w:r>
          </w:p>
        </w:tc>
      </w:tr>
      <w:tr>
        <w:trPr>
          <w:trHeight w:val="947"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敦化市康平投资有</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敦化市胜利南大街</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07" w:right="0"/>
              <w:jc w:val="left"/>
              <w:rPr>
                <w:rFonts w:ascii="Times New Roman" w:hAnsi="Times New Roman" w:cs="Times New Roman" w:eastAsia="Times New Roman" w:hint="default"/>
                <w:sz w:val="18"/>
                <w:szCs w:val="18"/>
              </w:rPr>
            </w:pPr>
            <w:r>
              <w:rPr>
                <w:rFonts w:ascii="Times New Roman"/>
                <w:sz w:val="18"/>
              </w:rPr>
              <w:t>39.27%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06" w:right="0"/>
              <w:jc w:val="left"/>
              <w:rPr>
                <w:rFonts w:ascii="Times New Roman" w:hAnsi="Times New Roman" w:cs="Times New Roman" w:eastAsia="Times New Roman" w:hint="default"/>
                <w:sz w:val="18"/>
                <w:szCs w:val="18"/>
              </w:rPr>
            </w:pPr>
            <w:r>
              <w:rPr>
                <w:rFonts w:ascii="Times New Roman"/>
                <w:sz w:val="18"/>
              </w:rPr>
              <w:t>39.27%</w:t>
            </w:r>
          </w:p>
        </w:tc>
      </w:tr>
    </w:tbl>
    <w:p>
      <w:pPr>
        <w:spacing w:line="477" w:lineRule="auto" w:before="88"/>
        <w:ind w:left="154" w:right="7692"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本企业最终控制方是郭春生及其家族。</w:t>
      </w:r>
    </w:p>
    <w:p>
      <w:pPr>
        <w:spacing w:after="0" w:line="47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spacing w:line="429" w:lineRule="auto" w:before="0"/>
        <w:ind w:left="153" w:right="6253" w:firstLine="0"/>
        <w:jc w:val="left"/>
        <w:rPr>
          <w:rFonts w:ascii="宋体" w:hAnsi="宋体" w:cs="宋体" w:eastAsia="宋体" w:hint="default"/>
          <w:sz w:val="21"/>
          <w:szCs w:val="21"/>
        </w:rPr>
      </w:pPr>
      <w:r>
        <w:rPr/>
        <w:pict>
          <v:shape style="position:absolute;margin-left:56.459999pt;margin-top:67.063644pt;width:479.2pt;height:120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3"/>
                    <w:gridCol w:w="4786"/>
                  </w:tblGrid>
                  <w:tr>
                    <w:trPr>
                      <w:trHeight w:val="47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7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长春农村商业银行股份有限公司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其他股权投资</w:t>
                        </w:r>
                      </w:p>
                    </w:tc>
                  </w:tr>
                  <w:tr>
                    <w:trPr>
                      <w:trHeight w:val="47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敦化市华韵工贸有限责任公司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7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华盖信诚医疗健康投资成都合伙企业（有限合伙）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其他投资</w:t>
                        </w:r>
                      </w:p>
                    </w:tc>
                  </w:tr>
                  <w:tr>
                    <w:trPr>
                      <w:trHeight w:val="47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云南金土地医药投资有限责任公司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bl>
                <w:p>
                  <w:pPr/>
                </w:p>
              </w:txbxContent>
            </v:textbox>
            <w10:wrap type="none"/>
          </v:shape>
        </w:pict>
      </w:r>
      <w:bookmarkStart w:name="2、本企业的子公司情况" w:id="355"/>
      <w:bookmarkEnd w:id="35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本企业子公司的情况详见附注七、在其他主体中的权益。 </w:t>
      </w:r>
      <w:bookmarkStart w:name="3、其他关联方情况" w:id="356"/>
      <w:bookmarkEnd w:id="356"/>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1"/>
          <w:szCs w:val="21"/>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Heading3"/>
        <w:spacing w:line="240" w:lineRule="auto"/>
        <w:ind w:right="0"/>
        <w:jc w:val="left"/>
        <w:rPr>
          <w:b w:val="0"/>
          <w:bCs w:val="0"/>
        </w:rPr>
      </w:pPr>
      <w:bookmarkStart w:name="4、关联交易情况" w:id="357"/>
      <w:bookmarkEnd w:id="357"/>
      <w:r>
        <w:rPr>
          <w:b w:val="0"/>
          <w:bCs w:val="0"/>
        </w:rPr>
      </w:r>
      <w:r>
        <w:rPr>
          <w:rFonts w:ascii="Times New Roman" w:hAnsi="Times New Roman" w:cs="Times New Roman" w:eastAsia="Times New Roman" w:hint="default"/>
        </w:rPr>
        <w:t>4</w:t>
      </w:r>
      <w:r>
        <w:rPr/>
        <w:t>、关联交易情况</w:t>
      </w:r>
      <w:r>
        <w:rPr>
          <w:b w:val="0"/>
          <w:bCs w:val="0"/>
        </w:rPr>
      </w:r>
    </w:p>
    <w:p>
      <w:pPr>
        <w:pStyle w:val="Heading3"/>
        <w:spacing w:line="240" w:lineRule="auto" w:before="177"/>
        <w:ind w:left="154" w:right="0"/>
        <w:jc w:val="left"/>
        <w:rPr>
          <w:b w:val="0"/>
          <w:bCs w:val="0"/>
        </w:rPr>
      </w:pPr>
      <w:bookmarkStart w:name="（1）其他关联交易" w:id="358"/>
      <w:bookmarkEnd w:id="358"/>
      <w:r>
        <w:rPr>
          <w:b w:val="0"/>
          <w:bCs w:val="0"/>
        </w:rPr>
      </w:r>
      <w:r>
        <w:rPr/>
        <w:t>（</w:t>
      </w:r>
      <w:r>
        <w:rPr>
          <w:rFonts w:ascii="Times New Roman" w:hAnsi="Times New Roman" w:cs="Times New Roman" w:eastAsia="Times New Roman" w:hint="default"/>
        </w:rPr>
        <w:t>1</w:t>
      </w:r>
      <w:r>
        <w:rPr/>
        <w:t>）其他关联交易</w:t>
      </w:r>
      <w:r>
        <w:rPr>
          <w:b w:val="0"/>
          <w:bCs w:val="0"/>
        </w:rPr>
      </w:r>
    </w:p>
    <w:p>
      <w:pPr>
        <w:pStyle w:val="BodyText"/>
        <w:spacing w:line="240" w:lineRule="auto" w:before="177"/>
        <w:ind w:left="574" w:right="0"/>
        <w:jc w:val="left"/>
      </w:pPr>
      <w:r>
        <w:rPr/>
        <w:t>（</w:t>
      </w:r>
      <w:r>
        <w:rPr>
          <w:rFonts w:ascii="Times New Roman" w:hAnsi="Times New Roman" w:cs="Times New Roman" w:eastAsia="Times New Roman" w:hint="default"/>
        </w:rPr>
        <w:t>1</w:t>
      </w:r>
      <w:r>
        <w:rPr/>
        <w:t>）存在控制关系且已纳入本公司合并报表范围的子公司，其相互间交易及母子公司交易已作抵销。</w:t>
      </w:r>
    </w:p>
    <w:p>
      <w:pPr>
        <w:pStyle w:val="BodyText"/>
        <w:spacing w:line="386" w:lineRule="auto" w:before="177"/>
        <w:ind w:left="574" w:right="4872"/>
        <w:jc w:val="left"/>
      </w:pPr>
      <w:r>
        <w:rPr/>
        <w:t>（</w:t>
      </w:r>
      <w:r>
        <w:rPr>
          <w:rFonts w:ascii="Times New Roman" w:hAnsi="Times New Roman" w:cs="Times New Roman" w:eastAsia="Times New Roman" w:hint="default"/>
        </w:rPr>
        <w:t>2</w:t>
      </w:r>
      <w:r>
        <w:rPr/>
        <w:t>）购销商品、提供和接受劳务的关联交易 本期本公司不存在购销商品、提供和接受劳务的关联交易。</w:t>
      </w:r>
    </w:p>
    <w:p>
      <w:pPr>
        <w:pStyle w:val="BodyText"/>
        <w:spacing w:line="386" w:lineRule="auto" w:before="65"/>
        <w:ind w:left="574" w:right="2194"/>
        <w:jc w:val="left"/>
      </w:pPr>
      <w:r>
        <w:rPr/>
        <w:pict>
          <v:shape style="position:absolute;margin-left:56.34pt;margin-top:46.893661pt;width:478.65pt;height:102.8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06"/>
                    <w:gridCol w:w="1559"/>
                    <w:gridCol w:w="1702"/>
                    <w:gridCol w:w="1560"/>
                    <w:gridCol w:w="2408"/>
                  </w:tblGrid>
                  <w:tr>
                    <w:trPr>
                      <w:trHeight w:val="511" w:hRule="exact"/>
                    </w:trPr>
                    <w:tc>
                      <w:tcPr>
                        <w:tcW w:w="23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left="411" w:right="0"/>
                          <w:jc w:val="left"/>
                          <w:rPr>
                            <w:rFonts w:ascii="宋体" w:hAnsi="宋体" w:cs="宋体" w:eastAsia="宋体" w:hint="default"/>
                            <w:sz w:val="18"/>
                            <w:szCs w:val="18"/>
                          </w:rPr>
                        </w:pPr>
                        <w:r>
                          <w:rPr>
                            <w:rFonts w:ascii="宋体" w:hAnsi="宋体" w:cs="宋体" w:eastAsia="宋体" w:hint="default"/>
                            <w:sz w:val="18"/>
                            <w:szCs w:val="18"/>
                          </w:rPr>
                          <w:t>保证金额</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left="392" w:right="0"/>
                          <w:jc w:val="left"/>
                          <w:rPr>
                            <w:rFonts w:ascii="宋体" w:hAnsi="宋体" w:cs="宋体" w:eastAsia="宋体" w:hint="default"/>
                            <w:sz w:val="18"/>
                            <w:szCs w:val="18"/>
                          </w:rPr>
                        </w:pPr>
                        <w:r>
                          <w:rPr>
                            <w:rFonts w:ascii="宋体" w:hAnsi="宋体" w:cs="宋体" w:eastAsia="宋体" w:hint="default"/>
                            <w:sz w:val="18"/>
                            <w:szCs w:val="18"/>
                          </w:rPr>
                          <w:t>保证起始日</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left="321" w:right="0"/>
                          <w:jc w:val="left"/>
                          <w:rPr>
                            <w:rFonts w:ascii="宋体" w:hAnsi="宋体" w:cs="宋体" w:eastAsia="宋体" w:hint="default"/>
                            <w:sz w:val="18"/>
                            <w:szCs w:val="18"/>
                          </w:rPr>
                        </w:pPr>
                        <w:r>
                          <w:rPr>
                            <w:rFonts w:ascii="宋体" w:hAnsi="宋体" w:cs="宋体" w:eastAsia="宋体" w:hint="default"/>
                            <w:sz w:val="18"/>
                            <w:szCs w:val="18"/>
                          </w:rPr>
                          <w:t>保证到期日</w:t>
                        </w:r>
                      </w:p>
                    </w:tc>
                    <w:tc>
                      <w:tcPr>
                        <w:tcW w:w="240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9"/>
                          <w:ind w:right="6"/>
                          <w:jc w:val="center"/>
                          <w:rPr>
                            <w:rFonts w:ascii="宋体" w:hAnsi="宋体" w:cs="宋体" w:eastAsia="宋体" w:hint="default"/>
                            <w:sz w:val="18"/>
                            <w:szCs w:val="18"/>
                          </w:rPr>
                        </w:pPr>
                        <w:r>
                          <w:rPr>
                            <w:rFonts w:ascii="宋体" w:hAnsi="宋体" w:cs="宋体" w:eastAsia="宋体" w:hint="default"/>
                            <w:sz w:val="18"/>
                            <w:szCs w:val="18"/>
                          </w:rPr>
                          <w:t>保证是否已履行完毕</w:t>
                        </w:r>
                      </w:p>
                    </w:tc>
                  </w:tr>
                  <w:tr>
                    <w:trPr>
                      <w:trHeight w:val="508" w:hRule="exact"/>
                    </w:trPr>
                    <w:tc>
                      <w:tcPr>
                        <w:tcW w:w="2306" w:type="dxa"/>
                        <w:vMerge w:val="restart"/>
                        <w:tcBorders>
                          <w:top w:val="single" w:sz="12" w:space="0" w:color="000000"/>
                          <w:left w:val="single" w:sz="6" w:space="0" w:color="000000"/>
                          <w:right w:val="single" w:sz="6" w:space="0" w:color="000000"/>
                        </w:tcBorders>
                      </w:tcPr>
                      <w:p>
                        <w:pPr>
                          <w:pStyle w:val="TableParagraph"/>
                          <w:spacing w:line="477" w:lineRule="auto" w:before="88"/>
                          <w:ind w:left="2" w:right="4"/>
                          <w:jc w:val="left"/>
                          <w:rPr>
                            <w:rFonts w:ascii="宋体" w:hAnsi="宋体" w:cs="宋体" w:eastAsia="宋体" w:hint="default"/>
                            <w:sz w:val="18"/>
                            <w:szCs w:val="18"/>
                          </w:rPr>
                        </w:pPr>
                        <w:r>
                          <w:rPr>
                            <w:rFonts w:ascii="宋体" w:hAnsi="宋体" w:cs="宋体" w:eastAsia="宋体" w:hint="default"/>
                            <w:spacing w:val="9"/>
                            <w:sz w:val="18"/>
                            <w:szCs w:val="18"/>
                          </w:rPr>
                          <w:t>敦化市康平投资有限责任公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left="416" w:right="0"/>
                          <w:jc w:val="left"/>
                          <w:rPr>
                            <w:rFonts w:ascii="Times New Roman" w:hAnsi="Times New Roman" w:cs="Times New Roman" w:eastAsia="Times New Roman" w:hint="default"/>
                            <w:sz w:val="18"/>
                            <w:szCs w:val="18"/>
                          </w:rPr>
                        </w:pPr>
                        <w:r>
                          <w:rPr>
                            <w:rFonts w:ascii="Times New Roman"/>
                            <w:sz w:val="18"/>
                          </w:rPr>
                          <w:t>150,000,000.00</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z w:val="18"/>
                          </w:rPr>
                          <w:t>2017-11-8</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z w:val="18"/>
                          </w:rPr>
                          <w:t>2019-11-7</w:t>
                        </w:r>
                      </w:p>
                    </w:tc>
                    <w:tc>
                      <w:tcPr>
                        <w:tcW w:w="240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8"/>
                          <w:ind w:right="6"/>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2306" w:type="dxa"/>
                        <w:vMerge/>
                        <w:tcBorders>
                          <w:left w:val="single" w:sz="6" w:space="0" w:color="000000"/>
                          <w:bottom w:val="single" w:sz="12" w:space="0" w:color="000000"/>
                          <w:right w:val="single" w:sz="6" w:space="0" w:color="000000"/>
                        </w:tcBorders>
                      </w:tcPr>
                      <w:p>
                        <w:pP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left="416" w:right="0"/>
                          <w:jc w:val="left"/>
                          <w:rPr>
                            <w:rFonts w:ascii="Times New Roman" w:hAnsi="Times New Roman" w:cs="Times New Roman" w:eastAsia="Times New Roman" w:hint="default"/>
                            <w:sz w:val="18"/>
                            <w:szCs w:val="18"/>
                          </w:rPr>
                        </w:pPr>
                        <w:r>
                          <w:rPr>
                            <w:rFonts w:ascii="Times New Roman"/>
                            <w:sz w:val="18"/>
                          </w:rPr>
                          <w:t>200,000,000.00</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z w:val="18"/>
                          </w:rPr>
                          <w:t>2017-11-27</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3"/>
                          <w:jc w:val="right"/>
                          <w:rPr>
                            <w:rFonts w:ascii="Times New Roman" w:hAnsi="Times New Roman" w:cs="Times New Roman" w:eastAsia="Times New Roman" w:hint="default"/>
                            <w:sz w:val="18"/>
                            <w:szCs w:val="18"/>
                          </w:rPr>
                        </w:pPr>
                        <w:r>
                          <w:rPr>
                            <w:rFonts w:ascii="Times New Roman"/>
                            <w:sz w:val="18"/>
                          </w:rPr>
                          <w:t>2018-11-26</w:t>
                        </w:r>
                      </w:p>
                    </w:tc>
                    <w:tc>
                      <w:tcPr>
                        <w:tcW w:w="240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8"/>
                          <w:ind w:right="6"/>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8" w:hRule="exact"/>
                    </w:trPr>
                    <w:tc>
                      <w:tcPr>
                        <w:tcW w:w="2306" w:type="dxa"/>
                        <w:tcBorders>
                          <w:top w:val="single" w:sz="12" w:space="0" w:color="000000"/>
                          <w:left w:val="single" w:sz="6" w:space="0" w:color="000000"/>
                          <w:bottom w:val="single" w:sz="12" w:space="0" w:color="000000"/>
                          <w:right w:val="single" w:sz="6" w:space="0" w:color="000000"/>
                        </w:tcBorders>
                      </w:tcPr>
                      <w:p>
                        <w:pPr>
                          <w:pStyle w:val="TableParagraph"/>
                          <w:tabs>
                            <w:tab w:pos="1029" w:val="left" w:leader="none"/>
                          </w:tabs>
                          <w:spacing w:line="240" w:lineRule="auto" w:before="88"/>
                          <w:ind w:left="63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left="416" w:right="0"/>
                          <w:jc w:val="left"/>
                          <w:rPr>
                            <w:rFonts w:ascii="Times New Roman" w:hAnsi="Times New Roman" w:cs="Times New Roman" w:eastAsia="Times New Roman" w:hint="default"/>
                            <w:sz w:val="18"/>
                            <w:szCs w:val="18"/>
                          </w:rPr>
                        </w:pPr>
                        <w:r>
                          <w:rPr>
                            <w:rFonts w:ascii="Times New Roman"/>
                            <w:sz w:val="18"/>
                          </w:rPr>
                          <w:t>350,000,000.00</w:t>
                        </w:r>
                      </w:p>
                    </w:tc>
                    <w:tc>
                      <w:tcPr>
                        <w:tcW w:w="1702" w:type="dxa"/>
                        <w:tcBorders>
                          <w:top w:val="single" w:sz="12" w:space="0" w:color="000000"/>
                          <w:left w:val="single" w:sz="6" w:space="0" w:color="000000"/>
                          <w:bottom w:val="single" w:sz="12" w:space="0" w:color="000000"/>
                          <w:right w:val="single" w:sz="6" w:space="0" w:color="000000"/>
                        </w:tcBorders>
                      </w:tcPr>
                      <w:p>
                        <w:pPr/>
                      </w:p>
                    </w:tc>
                    <w:tc>
                      <w:tcPr>
                        <w:tcW w:w="1560"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nil" w:sz="6" w:space="0" w:color="auto"/>
                        </w:tcBorders>
                      </w:tcPr>
                      <w:p>
                        <w:pPr/>
                      </w:p>
                    </w:tc>
                  </w:tr>
                </w:tbl>
                <w:p>
                  <w:pPr/>
                </w:p>
              </w:txbxContent>
            </v:textbox>
            <w10:wrap type="none"/>
          </v:shape>
        </w:pict>
      </w:r>
      <w:r>
        <w:rPr/>
        <w:t>（</w:t>
      </w:r>
      <w:r>
        <w:rPr>
          <w:rFonts w:ascii="Times New Roman" w:hAnsi="Times New Roman" w:cs="Times New Roman" w:eastAsia="Times New Roman" w:hint="default"/>
        </w:rPr>
        <w:t>3</w:t>
      </w:r>
      <w:r>
        <w:rPr/>
        <w:t>）关联方担保情况 敦化市康平投资有限责任公司以其信用为公司保证取得贷款</w:t>
      </w:r>
      <w:r>
        <w:rPr>
          <w:rFonts w:ascii="Times New Roman" w:hAnsi="Times New Roman" w:cs="Times New Roman" w:eastAsia="Times New Roman" w:hint="default"/>
        </w:rPr>
        <w:t>35,000</w:t>
      </w:r>
      <w:r>
        <w:rPr/>
        <w:t>万元，具体明细如下：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386" w:lineRule="auto" w:before="35"/>
        <w:ind w:right="1235" w:firstLine="420"/>
        <w:jc w:val="left"/>
      </w:pPr>
      <w:r>
        <w:rPr>
          <w:spacing w:val="5"/>
        </w:rPr>
        <w:t>敦化市康平投资有限责任公司以其持有的本公司股权</w:t>
      </w:r>
      <w:r>
        <w:rPr>
          <w:rFonts w:ascii="Times New Roman" w:hAnsi="Times New Roman" w:cs="Times New Roman" w:eastAsia="Times New Roman" w:hint="default"/>
          <w:spacing w:val="5"/>
        </w:rPr>
        <w:t>8,000</w:t>
      </w:r>
      <w:r>
        <w:rPr>
          <w:spacing w:val="5"/>
        </w:rPr>
        <w:t>万元股份份额为本公司银行借款提供质</w:t>
      </w:r>
      <w:r>
        <w:rPr/>
        <w:t> 押，质押期限按照借款实际到期日为准。</w:t>
      </w:r>
    </w:p>
    <w:p>
      <w:pPr>
        <w:pStyle w:val="BodyText"/>
        <w:spacing w:line="240" w:lineRule="auto" w:before="65"/>
        <w:ind w:left="573" w:right="0"/>
        <w:jc w:val="left"/>
      </w:pPr>
      <w:r>
        <w:rPr/>
        <w:t>（</w:t>
      </w:r>
      <w:r>
        <w:rPr>
          <w:rFonts w:ascii="Times New Roman" w:hAnsi="Times New Roman" w:cs="Times New Roman" w:eastAsia="Times New Roman" w:hint="default"/>
        </w:rPr>
        <w:t>4</w:t>
      </w:r>
      <w:r>
        <w:rPr/>
        <w:t>）关键管理人员薪酬</w:t>
      </w:r>
    </w:p>
    <w:p>
      <w:pPr>
        <w:spacing w:line="240" w:lineRule="auto" w:before="9"/>
        <w:rPr>
          <w:rFonts w:ascii="宋体" w:hAnsi="宋体" w:cs="宋体" w:eastAsia="宋体" w:hint="default"/>
          <w:sz w:val="8"/>
          <w:szCs w:val="8"/>
        </w:rPr>
      </w:pPr>
    </w:p>
    <w:tbl>
      <w:tblPr>
        <w:tblW w:w="0" w:type="auto"/>
        <w:jc w:val="left"/>
        <w:tblInd w:w="144" w:type="dxa"/>
        <w:tblLayout w:type="fixed"/>
        <w:tblCellMar>
          <w:top w:w="0" w:type="dxa"/>
          <w:left w:w="0" w:type="dxa"/>
          <w:bottom w:w="0" w:type="dxa"/>
          <w:right w:w="0" w:type="dxa"/>
        </w:tblCellMar>
        <w:tblLook w:val="01E0"/>
      </w:tblPr>
      <w:tblGrid>
        <w:gridCol w:w="3688"/>
        <w:gridCol w:w="2904"/>
        <w:gridCol w:w="2907"/>
      </w:tblGrid>
      <w:tr>
        <w:trPr>
          <w:trHeight w:val="513" w:hRule="exact"/>
        </w:trPr>
        <w:tc>
          <w:tcPr>
            <w:tcW w:w="368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0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07"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9"/>
              <w:ind w:right="7"/>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09" w:hRule="exact"/>
        </w:trPr>
        <w:tc>
          <w:tcPr>
            <w:tcW w:w="3688"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88"/>
              <w:ind w:left="-1"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2904"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1,541,560.46</w:t>
            </w:r>
          </w:p>
        </w:tc>
        <w:tc>
          <w:tcPr>
            <w:tcW w:w="2907" w:type="dxa"/>
            <w:tcBorders>
              <w:top w:val="single" w:sz="12" w:space="0" w:color="000000"/>
              <w:left w:val="single" w:sz="8"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1,671,812.00</w:t>
            </w:r>
          </w:p>
        </w:tc>
      </w:tr>
    </w:tbl>
    <w:p>
      <w:pPr>
        <w:pStyle w:val="BodyText"/>
        <w:spacing w:line="240" w:lineRule="auto" w:before="63"/>
        <w:ind w:left="574" w:right="0"/>
        <w:jc w:val="left"/>
      </w:pPr>
      <w:r>
        <w:rPr/>
        <w:t>（</w:t>
      </w:r>
      <w:r>
        <w:rPr>
          <w:rFonts w:ascii="Times New Roman" w:hAnsi="Times New Roman" w:cs="Times New Roman" w:eastAsia="Times New Roman" w:hint="default"/>
        </w:rPr>
        <w:t>5</w:t>
      </w:r>
      <w:r>
        <w:rPr/>
        <w:t>）除上述关联交易外，本公司本期不存在其他关联方交易。</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Heading2"/>
        <w:spacing w:line="240" w:lineRule="auto" w:before="26"/>
        <w:ind w:right="0"/>
        <w:jc w:val="left"/>
        <w:rPr>
          <w:b w:val="0"/>
          <w:bCs w:val="0"/>
        </w:rPr>
      </w:pPr>
      <w:bookmarkStart w:name="十二、股份支付" w:id="359"/>
      <w:bookmarkEnd w:id="359"/>
      <w:r>
        <w:rPr>
          <w:b w:val="0"/>
          <w:bCs w:val="0"/>
        </w:rPr>
      </w:r>
      <w:r>
        <w:rPr/>
        <w:t>十二、股份支付</w:t>
      </w:r>
      <w:r>
        <w:rPr>
          <w:b w:val="0"/>
          <w:bCs w:val="0"/>
        </w:rPr>
      </w:r>
    </w:p>
    <w:p>
      <w:pPr>
        <w:pStyle w:val="Heading3"/>
        <w:spacing w:line="240" w:lineRule="auto" w:before="177"/>
        <w:ind w:right="0"/>
        <w:jc w:val="left"/>
        <w:rPr>
          <w:b w:val="0"/>
          <w:bCs w:val="0"/>
        </w:rPr>
      </w:pPr>
      <w:bookmarkStart w:name="1、其他" w:id="360"/>
      <w:bookmarkEnd w:id="360"/>
      <w:r>
        <w:rPr>
          <w:b w:val="0"/>
          <w:bCs w:val="0"/>
        </w:rPr>
      </w:r>
      <w:r>
        <w:rPr>
          <w:rFonts w:ascii="Times New Roman" w:hAnsi="Times New Roman" w:cs="Times New Roman" w:eastAsia="Times New Roman" w:hint="default"/>
        </w:rPr>
        <w:t>1</w:t>
      </w:r>
      <w:r>
        <w:rPr/>
        <w:t>、其他</w:t>
      </w:r>
      <w:r>
        <w:rPr>
          <w:b w:val="0"/>
          <w:bCs w:val="0"/>
        </w:rPr>
      </w:r>
    </w:p>
    <w:p>
      <w:pPr>
        <w:pStyle w:val="BodyText"/>
        <w:spacing w:line="240" w:lineRule="auto" w:before="177"/>
        <w:ind w:left="573" w:right="0"/>
        <w:jc w:val="left"/>
      </w:pPr>
      <w:r>
        <w:rPr/>
        <w:t>本报告期本公司无股份支付情况。</w:t>
      </w:r>
    </w:p>
    <w:p>
      <w:pPr>
        <w:pStyle w:val="Heading2"/>
        <w:spacing w:line="240" w:lineRule="auto" w:before="170"/>
        <w:ind w:right="0"/>
        <w:jc w:val="left"/>
        <w:rPr>
          <w:b w:val="0"/>
          <w:bCs w:val="0"/>
        </w:rPr>
      </w:pPr>
      <w:bookmarkStart w:name="十三、承诺及或有事项" w:id="361"/>
      <w:bookmarkEnd w:id="361"/>
      <w:r>
        <w:rPr>
          <w:b w:val="0"/>
          <w:bCs w:val="0"/>
        </w:rPr>
      </w:r>
      <w:r>
        <w:rPr/>
        <w:t>十三、承诺及或有事项</w:t>
      </w:r>
      <w:r>
        <w:rPr>
          <w:b w:val="0"/>
          <w:bCs w:val="0"/>
        </w:rPr>
      </w:r>
    </w:p>
    <w:p>
      <w:pPr>
        <w:pStyle w:val="Heading3"/>
        <w:spacing w:line="240" w:lineRule="auto" w:before="177"/>
        <w:ind w:right="0"/>
        <w:jc w:val="left"/>
        <w:rPr>
          <w:b w:val="0"/>
          <w:bCs w:val="0"/>
        </w:rPr>
      </w:pPr>
      <w:bookmarkStart w:name="1、或有事项" w:id="362"/>
      <w:bookmarkEnd w:id="362"/>
      <w:r>
        <w:rPr>
          <w:b w:val="0"/>
          <w:bCs w:val="0"/>
        </w:rPr>
      </w:r>
      <w:r>
        <w:rPr>
          <w:rFonts w:ascii="Times New Roman" w:hAnsi="Times New Roman" w:cs="Times New Roman" w:eastAsia="Times New Roman" w:hint="default"/>
        </w:rPr>
        <w:t>1</w:t>
      </w:r>
      <w:r>
        <w:rPr/>
        <w:t>、或有事项</w:t>
      </w:r>
      <w:r>
        <w:rPr>
          <w:b w:val="0"/>
          <w:bCs w:val="0"/>
        </w:rPr>
      </w:r>
    </w:p>
    <w:p>
      <w:pPr>
        <w:spacing w:line="386" w:lineRule="auto" w:before="177"/>
        <w:ind w:left="573" w:right="0" w:hanging="420"/>
        <w:jc w:val="left"/>
        <w:rPr>
          <w:rFonts w:ascii="宋体" w:hAnsi="宋体" w:cs="宋体" w:eastAsia="宋体" w:hint="default"/>
          <w:sz w:val="21"/>
          <w:szCs w:val="21"/>
        </w:rPr>
      </w:pPr>
      <w:bookmarkStart w:name="（1）资产负债表日存在的重要或有事项" w:id="363"/>
      <w:bookmarkEnd w:id="36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pacing w:val="2"/>
          <w:sz w:val="21"/>
          <w:szCs w:val="21"/>
        </w:rPr>
        <w:t>截至本财务报表签发日</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，本公司无其他影响对本财务报表阅读和理解的重大或有事</w:t>
      </w:r>
      <w:r>
        <w:rPr>
          <w:rFonts w:ascii="宋体" w:hAnsi="宋体" w:cs="宋体" w:eastAsia="宋体" w:hint="default"/>
          <w:sz w:val="21"/>
          <w:szCs w:val="21"/>
        </w:rPr>
      </w:r>
    </w:p>
    <w:p>
      <w:pPr>
        <w:pStyle w:val="BodyText"/>
        <w:spacing w:line="240" w:lineRule="auto" w:before="35"/>
        <w:ind w:right="0"/>
        <w:jc w:val="left"/>
      </w:pPr>
      <w:r>
        <w:rPr/>
        <w:t>项。</w:t>
      </w:r>
    </w:p>
    <w:p>
      <w:pPr>
        <w:spacing w:line="240" w:lineRule="auto" w:before="10"/>
        <w:rPr>
          <w:rFonts w:ascii="宋体" w:hAnsi="宋体" w:cs="宋体" w:eastAsia="宋体" w:hint="default"/>
          <w:sz w:val="14"/>
          <w:szCs w:val="14"/>
        </w:rPr>
      </w:pPr>
    </w:p>
    <w:p>
      <w:pPr>
        <w:pStyle w:val="Heading3"/>
        <w:spacing w:line="240" w:lineRule="auto"/>
        <w:ind w:left="154" w:right="0"/>
        <w:jc w:val="left"/>
        <w:rPr>
          <w:b w:val="0"/>
          <w:bCs w:val="0"/>
        </w:rPr>
      </w:pPr>
      <w:bookmarkStart w:name="（2）公司没有需要披露的重要或有事项，也应予以说明" w:id="364"/>
      <w:bookmarkEnd w:id="364"/>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6"/>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1"/>
        <w:rPr>
          <w:rFonts w:ascii="宋体" w:hAnsi="宋体" w:cs="宋体" w:eastAsia="宋体" w:hint="default"/>
          <w:sz w:val="15"/>
          <w:szCs w:val="15"/>
        </w:rPr>
      </w:pPr>
    </w:p>
    <w:p>
      <w:pPr>
        <w:pStyle w:val="Heading3"/>
        <w:spacing w:line="240" w:lineRule="auto"/>
        <w:ind w:right="0"/>
        <w:jc w:val="left"/>
        <w:rPr>
          <w:b w:val="0"/>
          <w:bCs w:val="0"/>
        </w:rPr>
      </w:pPr>
      <w:bookmarkStart w:name="2、其他" w:id="365"/>
      <w:bookmarkEnd w:id="365"/>
      <w:r>
        <w:rPr>
          <w:b w:val="0"/>
          <w:bCs w:val="0"/>
        </w:rPr>
      </w:r>
      <w:r>
        <w:rPr>
          <w:rFonts w:ascii="Times New Roman" w:hAnsi="Times New Roman" w:cs="Times New Roman" w:eastAsia="Times New Roman" w:hint="default"/>
        </w:rPr>
        <w:t>2</w:t>
      </w:r>
      <w:r>
        <w:rPr/>
        <w:t>、其他</w:t>
      </w:r>
      <w:r>
        <w:rPr>
          <w:b w:val="0"/>
          <w:bCs w:val="0"/>
        </w:rPr>
      </w:r>
    </w:p>
    <w:p>
      <w:pPr>
        <w:pStyle w:val="BodyText"/>
        <w:spacing w:line="240" w:lineRule="auto" w:before="177"/>
        <w:ind w:left="567" w:right="0"/>
        <w:jc w:val="left"/>
      </w:pPr>
      <w:r>
        <w:rPr/>
        <w:t>截至本财务报表签发日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w:t>
      </w:r>
      <w:r>
        <w:rPr>
          <w:rFonts w:ascii="Times New Roman" w:hAnsi="Times New Roman" w:cs="Times New Roman" w:eastAsia="Times New Roman" w:hint="default"/>
        </w:rPr>
        <w:t>)</w:t>
      </w:r>
      <w:r>
        <w:rPr/>
        <w:t>，本公司无影响对本财务报表阅读和理解的重大承诺事项。</w:t>
      </w:r>
    </w:p>
    <w:p>
      <w:pPr>
        <w:pStyle w:val="Heading2"/>
        <w:spacing w:line="240" w:lineRule="auto" w:before="154"/>
        <w:ind w:left="154" w:right="0"/>
        <w:jc w:val="left"/>
        <w:rPr>
          <w:b w:val="0"/>
          <w:bCs w:val="0"/>
        </w:rPr>
      </w:pPr>
      <w:bookmarkStart w:name="十四、资产负债表日后事项" w:id="366"/>
      <w:bookmarkEnd w:id="366"/>
      <w:r>
        <w:rPr>
          <w:b w:val="0"/>
          <w:bCs w:val="0"/>
        </w:rPr>
      </w:r>
      <w:r>
        <w:rPr/>
        <w:t>十四、资产负债表日后事项</w:t>
      </w:r>
      <w:r>
        <w:rPr>
          <w:b w:val="0"/>
          <w:bCs w:val="0"/>
        </w:rPr>
      </w:r>
    </w:p>
    <w:p>
      <w:pPr>
        <w:spacing w:line="386" w:lineRule="auto" w:before="177"/>
        <w:ind w:left="574" w:right="0" w:hanging="420"/>
        <w:jc w:val="left"/>
        <w:rPr>
          <w:rFonts w:ascii="宋体" w:hAnsi="宋体" w:cs="宋体" w:eastAsia="宋体" w:hint="default"/>
          <w:sz w:val="21"/>
          <w:szCs w:val="21"/>
        </w:rPr>
      </w:pPr>
      <w:bookmarkStart w:name="1、其他资产负债表日后事项说明" w:id="367"/>
      <w:bookmarkEnd w:id="36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r>
        <w:rPr>
          <w:rFonts w:ascii="宋体" w:hAnsi="宋体" w:cs="宋体" w:eastAsia="宋体" w:hint="default"/>
          <w:spacing w:val="-2"/>
          <w:sz w:val="21"/>
          <w:szCs w:val="21"/>
        </w:rPr>
        <w:t>截至本财务报表签发日</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，本公司无影响对本财务报表阅读和理解的资产负债表日后事</w:t>
      </w:r>
    </w:p>
    <w:p>
      <w:pPr>
        <w:spacing w:line="381" w:lineRule="auto" w:before="36"/>
        <w:ind w:left="153" w:right="8584" w:firstLine="0"/>
        <w:jc w:val="left"/>
        <w:rPr>
          <w:rFonts w:ascii="宋体" w:hAnsi="宋体" w:cs="宋体" w:eastAsia="宋体" w:hint="default"/>
          <w:sz w:val="21"/>
          <w:szCs w:val="21"/>
        </w:rPr>
      </w:pPr>
      <w:r>
        <w:rPr>
          <w:rFonts w:ascii="宋体" w:hAnsi="宋体" w:cs="宋体" w:eastAsia="宋体" w:hint="default"/>
          <w:sz w:val="21"/>
          <w:szCs w:val="21"/>
        </w:rPr>
        <w:t>项。 </w:t>
      </w:r>
      <w:bookmarkStart w:name="十五、其他重要事项" w:id="368"/>
      <w:bookmarkEnd w:id="368"/>
      <w:r>
        <w:rPr>
          <w:rFonts w:ascii="宋体" w:hAnsi="宋体" w:cs="宋体" w:eastAsia="宋体" w:hint="default"/>
          <w:sz w:val="21"/>
          <w:szCs w:val="21"/>
        </w:rPr>
      </w:r>
      <w:r>
        <w:rPr>
          <w:rFonts w:ascii="宋体" w:hAnsi="宋体" w:cs="宋体" w:eastAsia="宋体" w:hint="default"/>
          <w:b/>
          <w:bCs/>
          <w:sz w:val="24"/>
          <w:szCs w:val="24"/>
        </w:rPr>
        <w:t>十五、其他重要事项</w:t>
      </w:r>
      <w:r>
        <w:rPr>
          <w:rFonts w:ascii="宋体" w:hAnsi="宋体" w:cs="宋体" w:eastAsia="宋体" w:hint="default"/>
          <w:b/>
          <w:bCs/>
          <w:w w:val="99"/>
          <w:sz w:val="24"/>
          <w:szCs w:val="24"/>
        </w:rPr>
        <w:t> </w:t>
      </w:r>
      <w:bookmarkStart w:name="1、其他" w:id="369"/>
      <w:bookmarkEnd w:id="36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40"/>
        <w:ind w:left="573" w:right="0"/>
        <w:jc w:val="left"/>
      </w:pPr>
      <w:r>
        <w:rPr/>
        <w:t>截至本财务报表签发日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w:t>
      </w:r>
      <w:r>
        <w:rPr>
          <w:rFonts w:ascii="Times New Roman" w:hAnsi="Times New Roman" w:cs="Times New Roman" w:eastAsia="Times New Roman" w:hint="default"/>
        </w:rPr>
        <w:t>)</w:t>
      </w:r>
      <w:r>
        <w:rPr/>
        <w:t>，本公司无影响对本财务报表阅读和理解的其他重大事项。</w:t>
      </w:r>
    </w:p>
    <w:p>
      <w:pPr>
        <w:pStyle w:val="Heading2"/>
        <w:spacing w:line="240" w:lineRule="auto" w:before="154"/>
        <w:ind w:right="0"/>
        <w:jc w:val="left"/>
        <w:rPr>
          <w:b w:val="0"/>
          <w:bCs w:val="0"/>
        </w:rPr>
      </w:pPr>
      <w:bookmarkStart w:name="十六、母公司财务报表主要项目注释" w:id="370"/>
      <w:bookmarkEnd w:id="370"/>
      <w:r>
        <w:rPr>
          <w:b w:val="0"/>
          <w:bCs w:val="0"/>
        </w:rPr>
      </w:r>
      <w:r>
        <w:rPr/>
        <w:t>十六、母公司财务报表主要项目注释</w:t>
      </w:r>
      <w:r>
        <w:rPr>
          <w:b w:val="0"/>
          <w:bCs w:val="0"/>
        </w:rPr>
      </w:r>
    </w:p>
    <w:p>
      <w:pPr>
        <w:pStyle w:val="Heading3"/>
        <w:spacing w:line="240" w:lineRule="auto" w:before="177"/>
        <w:ind w:right="0"/>
        <w:jc w:val="left"/>
        <w:rPr>
          <w:b w:val="0"/>
          <w:bCs w:val="0"/>
        </w:rPr>
      </w:pPr>
      <w:bookmarkStart w:name="1、应收账款" w:id="371"/>
      <w:bookmarkEnd w:id="371"/>
      <w:r>
        <w:rPr>
          <w:b w:val="0"/>
          <w:bCs w:val="0"/>
        </w:rPr>
      </w:r>
      <w:r>
        <w:rPr>
          <w:rFonts w:ascii="Times New Roman" w:hAnsi="Times New Roman" w:cs="Times New Roman" w:eastAsia="Times New Roman" w:hint="default"/>
        </w:rPr>
        <w:t>1</w:t>
      </w:r>
      <w:r>
        <w:rPr/>
        <w:t>、应收账款</w:t>
      </w:r>
      <w:r>
        <w:rPr>
          <w:b w:val="0"/>
          <w:bCs w:val="0"/>
        </w:rPr>
      </w:r>
    </w:p>
    <w:p>
      <w:pPr>
        <w:pStyle w:val="Heading3"/>
        <w:spacing w:line="240" w:lineRule="auto" w:before="177"/>
        <w:ind w:right="0"/>
        <w:jc w:val="left"/>
        <w:rPr>
          <w:b w:val="0"/>
          <w:bCs w:val="0"/>
        </w:rPr>
      </w:pPr>
      <w:bookmarkStart w:name="（1）应收账款分类披露" w:id="372"/>
      <w:bookmarkEnd w:id="37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6"/>
        <w:rPr>
          <w:rFonts w:ascii="宋体" w:hAnsi="宋体" w:cs="宋体" w:eastAsia="宋体" w:hint="default"/>
          <w:b/>
          <w:bCs/>
          <w:sz w:val="15"/>
          <w:szCs w:val="15"/>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78"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39"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39"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36"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32"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86"/>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86"/>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86"/>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39"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239"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947"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合计提坏账准备的</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63" w:right="0"/>
              <w:jc w:val="center"/>
              <w:rPr>
                <w:rFonts w:ascii="Times New Roman" w:hAnsi="Times New Roman" w:cs="Times New Roman" w:eastAsia="Times New Roman" w:hint="default"/>
                <w:sz w:val="18"/>
                <w:szCs w:val="18"/>
              </w:rPr>
            </w:pPr>
            <w:r>
              <w:rPr>
                <w:rFonts w:ascii="Times New Roman"/>
                <w:sz w:val="18"/>
              </w:rPr>
              <w:t>452,902,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00" w:right="0"/>
              <w:jc w:val="center"/>
              <w:rPr>
                <w:rFonts w:ascii="Times New Roman" w:hAnsi="Times New Roman" w:cs="Times New Roman" w:eastAsia="Times New Roman" w:hint="default"/>
                <w:sz w:val="18"/>
                <w:szCs w:val="18"/>
              </w:rPr>
            </w:pPr>
            <w:r>
              <w:rPr>
                <w:rFonts w:ascii="Times New Roman"/>
                <w:sz w:val="18"/>
              </w:rPr>
              <w:t>420.17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8" w:right="0"/>
              <w:jc w:val="left"/>
              <w:rPr>
                <w:rFonts w:ascii="Times New Roman" w:hAnsi="Times New Roman" w:cs="Times New Roman" w:eastAsia="Times New Roman" w:hint="default"/>
                <w:sz w:val="18"/>
                <w:szCs w:val="18"/>
              </w:rPr>
            </w:pPr>
            <w:r>
              <w:rPr>
                <w:rFonts w:ascii="Times New Roman"/>
                <w:sz w:val="18"/>
              </w:rPr>
              <w:t>38,508,8</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37.10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65" w:right="0"/>
              <w:jc w:val="left"/>
              <w:rPr>
                <w:rFonts w:ascii="Times New Roman" w:hAnsi="Times New Roman" w:cs="Times New Roman" w:eastAsia="Times New Roman" w:hint="default"/>
                <w:sz w:val="18"/>
                <w:szCs w:val="18"/>
              </w:rPr>
            </w:pPr>
            <w:r>
              <w:rPr>
                <w:rFonts w:ascii="Times New Roman"/>
                <w:sz w:val="18"/>
              </w:rPr>
              <w:t>8.50%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7" w:right="0"/>
              <w:jc w:val="left"/>
              <w:rPr>
                <w:rFonts w:ascii="Times New Roman" w:hAnsi="Times New Roman" w:cs="Times New Roman" w:eastAsia="Times New Roman" w:hint="default"/>
                <w:sz w:val="18"/>
                <w:szCs w:val="18"/>
              </w:rPr>
            </w:pPr>
            <w:r>
              <w:rPr>
                <w:rFonts w:ascii="Times New Roman"/>
                <w:sz w:val="18"/>
              </w:rPr>
              <w:t>414,393,5</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83.07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5" w:right="0"/>
              <w:jc w:val="left"/>
              <w:rPr>
                <w:rFonts w:ascii="Times New Roman" w:hAnsi="Times New Roman" w:cs="Times New Roman" w:eastAsia="Times New Roman" w:hint="default"/>
                <w:sz w:val="18"/>
                <w:szCs w:val="18"/>
              </w:rPr>
            </w:pPr>
            <w:r>
              <w:rPr>
                <w:rFonts w:ascii="Times New Roman"/>
                <w:sz w:val="18"/>
              </w:rPr>
              <w:t>603,991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,292.20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7" w:right="0"/>
              <w:jc w:val="left"/>
              <w:rPr>
                <w:rFonts w:ascii="Times New Roman" w:hAnsi="Times New Roman" w:cs="Times New Roman" w:eastAsia="Times New Roman" w:hint="default"/>
                <w:sz w:val="18"/>
                <w:szCs w:val="18"/>
              </w:rPr>
            </w:pPr>
            <w:r>
              <w:rPr>
                <w:rFonts w:ascii="Times New Roman"/>
                <w:sz w:val="18"/>
              </w:rPr>
              <w:t>27,711,57</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66" w:right="0"/>
              <w:jc w:val="left"/>
              <w:rPr>
                <w:rFonts w:ascii="Times New Roman" w:hAnsi="Times New Roman" w:cs="Times New Roman" w:eastAsia="Times New Roman" w:hint="default"/>
                <w:sz w:val="18"/>
                <w:szCs w:val="18"/>
              </w:rPr>
            </w:pPr>
            <w:r>
              <w:rPr>
                <w:rFonts w:ascii="Times New Roman"/>
                <w:sz w:val="18"/>
              </w:rPr>
              <w:t>0.14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35" w:right="0"/>
              <w:jc w:val="left"/>
              <w:rPr>
                <w:rFonts w:ascii="Times New Roman" w:hAnsi="Times New Roman" w:cs="Times New Roman" w:eastAsia="Times New Roman" w:hint="default"/>
                <w:sz w:val="18"/>
                <w:szCs w:val="18"/>
              </w:rPr>
            </w:pPr>
            <w:r>
              <w:rPr>
                <w:rFonts w:ascii="Times New Roman"/>
                <w:sz w:val="18"/>
              </w:rPr>
              <w:t>4.59%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8" w:right="0"/>
              <w:jc w:val="left"/>
              <w:rPr>
                <w:rFonts w:ascii="Times New Roman" w:hAnsi="Times New Roman" w:cs="Times New Roman" w:eastAsia="Times New Roman" w:hint="default"/>
                <w:sz w:val="18"/>
                <w:szCs w:val="18"/>
              </w:rPr>
            </w:pPr>
            <w:r>
              <w:rPr>
                <w:rFonts w:ascii="Times New Roman"/>
                <w:sz w:val="18"/>
              </w:rPr>
              <w:t>576,279,72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2.06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478"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6" w:right="0"/>
              <w:jc w:val="center"/>
              <w:rPr>
                <w:rFonts w:ascii="Times New Roman" w:hAnsi="Times New Roman" w:cs="Times New Roman" w:eastAsia="Times New Roman" w:hint="default"/>
                <w:sz w:val="18"/>
                <w:szCs w:val="18"/>
              </w:rPr>
            </w:pPr>
            <w:r>
              <w:rPr>
                <w:rFonts w:ascii="Times New Roman"/>
                <w:sz w:val="18"/>
              </w:rPr>
              <w:t>452,902,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12" w:right="0"/>
              <w:jc w:val="center"/>
              <w:rPr>
                <w:rFonts w:ascii="Times New Roman" w:hAnsi="Times New Roman" w:cs="Times New Roman" w:eastAsia="Times New Roman" w:hint="default"/>
                <w:sz w:val="18"/>
                <w:szCs w:val="18"/>
              </w:rPr>
            </w:pPr>
            <w:r>
              <w:rPr>
                <w:rFonts w:ascii="Times New Roman"/>
                <w:sz w:val="18"/>
              </w:rPr>
              <w:t>420.17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8" w:right="0"/>
              <w:jc w:val="left"/>
              <w:rPr>
                <w:rFonts w:ascii="Times New Roman" w:hAnsi="Times New Roman" w:cs="Times New Roman" w:eastAsia="Times New Roman" w:hint="default"/>
                <w:sz w:val="18"/>
                <w:szCs w:val="18"/>
              </w:rPr>
            </w:pPr>
            <w:r>
              <w:rPr>
                <w:rFonts w:ascii="Times New Roman"/>
                <w:sz w:val="18"/>
              </w:rPr>
              <w:t>38,508,8</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37.10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5" w:right="0"/>
              <w:jc w:val="left"/>
              <w:rPr>
                <w:rFonts w:ascii="Times New Roman" w:hAnsi="Times New Roman" w:cs="Times New Roman" w:eastAsia="Times New Roman" w:hint="default"/>
                <w:sz w:val="18"/>
                <w:szCs w:val="18"/>
              </w:rPr>
            </w:pPr>
            <w:r>
              <w:rPr>
                <w:rFonts w:ascii="Times New Roman"/>
                <w:sz w:val="18"/>
              </w:rPr>
              <w:t>8.50%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7" w:right="0"/>
              <w:jc w:val="left"/>
              <w:rPr>
                <w:rFonts w:ascii="Times New Roman" w:hAnsi="Times New Roman" w:cs="Times New Roman" w:eastAsia="Times New Roman" w:hint="default"/>
                <w:sz w:val="18"/>
                <w:szCs w:val="18"/>
              </w:rPr>
            </w:pPr>
            <w:r>
              <w:rPr>
                <w:rFonts w:ascii="Times New Roman"/>
                <w:sz w:val="18"/>
              </w:rPr>
              <w:t>414,393,5</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83.07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5" w:right="0"/>
              <w:jc w:val="left"/>
              <w:rPr>
                <w:rFonts w:ascii="Times New Roman" w:hAnsi="Times New Roman" w:cs="Times New Roman" w:eastAsia="Times New Roman" w:hint="default"/>
                <w:sz w:val="18"/>
                <w:szCs w:val="18"/>
              </w:rPr>
            </w:pPr>
            <w:r>
              <w:rPr>
                <w:rFonts w:ascii="Times New Roman"/>
                <w:sz w:val="18"/>
              </w:rPr>
              <w:t>603,991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,292.20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7" w:right="0"/>
              <w:jc w:val="left"/>
              <w:rPr>
                <w:rFonts w:ascii="Times New Roman" w:hAnsi="Times New Roman" w:cs="Times New Roman" w:eastAsia="Times New Roman" w:hint="default"/>
                <w:sz w:val="18"/>
                <w:szCs w:val="18"/>
              </w:rPr>
            </w:pPr>
            <w:r>
              <w:rPr>
                <w:rFonts w:ascii="Times New Roman"/>
                <w:sz w:val="18"/>
              </w:rPr>
              <w:t>27,711,57</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66" w:right="0"/>
              <w:jc w:val="left"/>
              <w:rPr>
                <w:rFonts w:ascii="Times New Roman" w:hAnsi="Times New Roman" w:cs="Times New Roman" w:eastAsia="Times New Roman" w:hint="default"/>
                <w:sz w:val="18"/>
                <w:szCs w:val="18"/>
              </w:rPr>
            </w:pPr>
            <w:r>
              <w:rPr>
                <w:rFonts w:ascii="Times New Roman"/>
                <w:sz w:val="18"/>
              </w:rPr>
              <w:t>0.14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5" w:right="0"/>
              <w:jc w:val="left"/>
              <w:rPr>
                <w:rFonts w:ascii="Times New Roman" w:hAnsi="Times New Roman" w:cs="Times New Roman" w:eastAsia="Times New Roman" w:hint="default"/>
                <w:sz w:val="18"/>
                <w:szCs w:val="18"/>
              </w:rPr>
            </w:pPr>
            <w:r>
              <w:rPr>
                <w:rFonts w:ascii="Times New Roman"/>
                <w:sz w:val="18"/>
              </w:rPr>
              <w:t>4.59%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8" w:right="0"/>
              <w:jc w:val="left"/>
              <w:rPr>
                <w:rFonts w:ascii="Times New Roman" w:hAnsi="Times New Roman" w:cs="Times New Roman" w:eastAsia="Times New Roman" w:hint="default"/>
                <w:sz w:val="18"/>
                <w:szCs w:val="18"/>
              </w:rPr>
            </w:pPr>
            <w:r>
              <w:rPr>
                <w:rFonts w:ascii="Times New Roman"/>
                <w:sz w:val="18"/>
              </w:rPr>
              <w:t>576,279,72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2.06</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240" w:lineRule="auto" w:before="10"/>
        <w:rPr>
          <w:rFonts w:ascii="宋体" w:hAnsi="宋体" w:cs="宋体" w:eastAsia="宋体" w:hint="default"/>
          <w:sz w:val="17"/>
          <w:szCs w:val="17"/>
        </w:rPr>
      </w:pPr>
    </w:p>
    <w:p>
      <w:pPr>
        <w:spacing w:line="451"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7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44"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35"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233"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50"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473"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78"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315,057,645.16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18,903,458.71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6.00%</w:t>
            </w:r>
          </w:p>
        </w:tc>
      </w:tr>
      <w:tr>
        <w:trPr>
          <w:trHeight w:val="479"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68,956,900.15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5,516,552.01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8.00%</w:t>
            </w:r>
          </w:p>
        </w:tc>
      </w:tr>
      <w:tr>
        <w:trPr>
          <w:trHeight w:val="478"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25,101,842.15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2,510,184.22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10.00%</w:t>
            </w:r>
          </w:p>
        </w:tc>
      </w:tr>
      <w:tr>
        <w:trPr>
          <w:trHeight w:val="478"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19,464,302.20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3,892,860.44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20.00%</w:t>
            </w:r>
          </w:p>
        </w:tc>
      </w:tr>
      <w:tr>
        <w:trPr>
          <w:trHeight w:val="479"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11,985,693.61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3,595,708.08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30.00%</w:t>
            </w:r>
          </w:p>
        </w:tc>
      </w:tr>
      <w:tr>
        <w:trPr>
          <w:trHeight w:val="478"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8,180,147.28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4,090,073.64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50.00%</w:t>
            </w:r>
          </w:p>
        </w:tc>
      </w:tr>
      <w:tr>
        <w:trPr>
          <w:trHeight w:val="479"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448,746,530.55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38,508,837.10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8.58%</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line="240" w:lineRule="auto" w:before="11"/>
        <w:rPr>
          <w:rFonts w:ascii="宋体" w:hAnsi="宋体" w:cs="宋体" w:eastAsia="宋体" w:hint="default"/>
          <w:sz w:val="15"/>
          <w:szCs w:val="15"/>
        </w:rPr>
      </w:pPr>
    </w:p>
    <w:p>
      <w:pPr>
        <w:pStyle w:val="BodyText"/>
        <w:spacing w:line="240" w:lineRule="auto" w:before="0"/>
        <w:ind w:left="574" w:right="0"/>
        <w:jc w:val="left"/>
      </w:pPr>
      <w:r>
        <w:rPr/>
        <w:t>（</w:t>
      </w:r>
      <w:r>
        <w:rPr>
          <w:rFonts w:ascii="Times New Roman" w:hAnsi="Times New Roman" w:cs="Times New Roman" w:eastAsia="Times New Roman" w:hint="default"/>
        </w:rPr>
        <w:t>1</w:t>
      </w:r>
      <w:r>
        <w:rPr/>
        <w:t>）应收关联方账款情况</w:t>
      </w:r>
    </w:p>
    <w:p>
      <w:pPr>
        <w:spacing w:line="240" w:lineRule="auto" w:before="9"/>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3120"/>
        <w:gridCol w:w="1380"/>
        <w:gridCol w:w="1620"/>
        <w:gridCol w:w="1506"/>
        <w:gridCol w:w="1800"/>
      </w:tblGrid>
      <w:tr>
        <w:trPr>
          <w:trHeight w:val="979" w:hRule="exact"/>
        </w:trPr>
        <w:tc>
          <w:tcPr>
            <w:tcW w:w="31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80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8"/>
              <w:ind w:right="7"/>
              <w:jc w:val="center"/>
              <w:rPr>
                <w:rFonts w:ascii="宋体" w:hAnsi="宋体" w:cs="宋体" w:eastAsia="宋体" w:hint="default"/>
                <w:sz w:val="18"/>
                <w:szCs w:val="18"/>
              </w:rPr>
            </w:pPr>
            <w:r>
              <w:rPr>
                <w:rFonts w:ascii="宋体" w:hAnsi="宋体" w:cs="宋体" w:eastAsia="宋体" w:hint="default"/>
                <w:sz w:val="18"/>
                <w:szCs w:val="18"/>
              </w:rPr>
              <w:t>占应收账款总额的比</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r>
      <w:tr>
        <w:trPr>
          <w:trHeight w:val="508" w:hRule="exact"/>
        </w:trPr>
        <w:tc>
          <w:tcPr>
            <w:tcW w:w="31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吉林紫鑫敦化医药药材有限公司</w:t>
            </w:r>
          </w:p>
        </w:tc>
        <w:tc>
          <w:tcPr>
            <w:tcW w:w="13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2,160,320.16</w:t>
            </w:r>
          </w:p>
        </w:tc>
        <w:tc>
          <w:tcPr>
            <w:tcW w:w="15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8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5"/>
              <w:jc w:val="center"/>
              <w:rPr>
                <w:rFonts w:ascii="Times New Roman" w:hAnsi="Times New Roman" w:cs="Times New Roman" w:eastAsia="Times New Roman" w:hint="default"/>
                <w:sz w:val="18"/>
                <w:szCs w:val="18"/>
              </w:rPr>
            </w:pPr>
            <w:r>
              <w:rPr>
                <w:rFonts w:ascii="Times New Roman"/>
                <w:sz w:val="18"/>
              </w:rPr>
              <w:t>0.36%</w:t>
            </w:r>
          </w:p>
        </w:tc>
      </w:tr>
      <w:tr>
        <w:trPr>
          <w:trHeight w:val="508" w:hRule="exact"/>
        </w:trPr>
        <w:tc>
          <w:tcPr>
            <w:tcW w:w="31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吉林紫鑫人参销售有限公司</w:t>
            </w:r>
          </w:p>
        </w:tc>
        <w:tc>
          <w:tcPr>
            <w:tcW w:w="13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1,995,569.46</w:t>
            </w:r>
          </w:p>
        </w:tc>
        <w:tc>
          <w:tcPr>
            <w:tcW w:w="15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8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5"/>
              <w:jc w:val="center"/>
              <w:rPr>
                <w:rFonts w:ascii="Times New Roman" w:hAnsi="Times New Roman" w:cs="Times New Roman" w:eastAsia="Times New Roman" w:hint="default"/>
                <w:sz w:val="18"/>
                <w:szCs w:val="18"/>
              </w:rPr>
            </w:pPr>
            <w:r>
              <w:rPr>
                <w:rFonts w:ascii="Times New Roman"/>
                <w:sz w:val="18"/>
              </w:rPr>
              <w:t>0.33%</w:t>
            </w:r>
          </w:p>
        </w:tc>
      </w:tr>
      <w:tr>
        <w:trPr>
          <w:trHeight w:val="509" w:hRule="exact"/>
        </w:trPr>
        <w:tc>
          <w:tcPr>
            <w:tcW w:w="31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380" w:type="dxa"/>
            <w:tcBorders>
              <w:top w:val="single" w:sz="12" w:space="0" w:color="000000"/>
              <w:left w:val="single" w:sz="6" w:space="0" w:color="000000"/>
              <w:bottom w:val="single" w:sz="12" w:space="0" w:color="000000"/>
              <w:right w:val="single" w:sz="6" w:space="0" w:color="000000"/>
            </w:tcBorders>
          </w:tcPr>
          <w:p>
            <w:pPr/>
          </w:p>
        </w:tc>
        <w:tc>
          <w:tcPr>
            <w:tcW w:w="1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4,155,889.62</w:t>
            </w:r>
          </w:p>
        </w:tc>
        <w:tc>
          <w:tcPr>
            <w:tcW w:w="1506" w:type="dxa"/>
            <w:tcBorders>
              <w:top w:val="single" w:sz="12" w:space="0" w:color="000000"/>
              <w:left w:val="single" w:sz="6" w:space="0" w:color="000000"/>
              <w:bottom w:val="single" w:sz="12" w:space="0" w:color="000000"/>
              <w:right w:val="single" w:sz="6" w:space="0" w:color="000000"/>
            </w:tcBorders>
          </w:tcPr>
          <w:p>
            <w:pPr/>
          </w:p>
        </w:tc>
        <w:tc>
          <w:tcPr>
            <w:tcW w:w="18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5"/>
              <w:jc w:val="center"/>
              <w:rPr>
                <w:rFonts w:ascii="Times New Roman" w:hAnsi="Times New Roman" w:cs="Times New Roman" w:eastAsia="Times New Roman" w:hint="default"/>
                <w:sz w:val="18"/>
                <w:szCs w:val="18"/>
              </w:rPr>
            </w:pPr>
            <w:r>
              <w:rPr>
                <w:rFonts w:ascii="Times New Roman"/>
                <w:sz w:val="18"/>
              </w:rPr>
              <w:t>0.69%</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240" w:lineRule="auto" w:before="10"/>
        <w:rPr>
          <w:rFonts w:ascii="宋体" w:hAnsi="宋体" w:cs="宋体" w:eastAsia="宋体" w:hint="default"/>
          <w:sz w:val="17"/>
          <w:szCs w:val="17"/>
        </w:rPr>
      </w:pPr>
    </w:p>
    <w:p>
      <w:pPr>
        <w:spacing w:line="451"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after="0" w:line="451"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2）本期计提、收回或转回的坏账准备情况" w:id="373"/>
      <w:bookmarkEnd w:id="37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15"/>
          <w:szCs w:val="15"/>
        </w:rPr>
      </w:pPr>
    </w:p>
    <w:p>
      <w:pPr>
        <w:spacing w:line="477" w:lineRule="auto" w:before="0"/>
        <w:ind w:left="153" w:right="589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本期计提坏账准备金额元；本期收回或转回坏账准备金额元。 其中本期坏账准备收回或转回金额重要的：</w:t>
      </w:r>
    </w:p>
    <w:p>
      <w:pPr>
        <w:spacing w:before="5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78"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Heading3"/>
        <w:spacing w:line="240" w:lineRule="auto" w:before="63"/>
        <w:ind w:left="154" w:right="0"/>
        <w:jc w:val="left"/>
        <w:rPr>
          <w:b w:val="0"/>
          <w:bCs w:val="0"/>
        </w:rPr>
      </w:pPr>
      <w:bookmarkStart w:name="（3）本期实际核销的应收账款情况" w:id="374"/>
      <w:bookmarkEnd w:id="374"/>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78"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line="240" w:lineRule="auto" w:before="5"/>
        <w:rPr>
          <w:rFonts w:ascii="宋体" w:hAnsi="宋体" w:cs="宋体" w:eastAsia="宋体" w:hint="default"/>
          <w:sz w:val="14"/>
          <w:szCs w:val="1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94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center"/>
              <w:rPr>
                <w:rFonts w:ascii="宋体" w:hAnsi="宋体" w:cs="宋体" w:eastAsia="宋体" w:hint="default"/>
                <w:sz w:val="18"/>
                <w:szCs w:val="18"/>
              </w:rPr>
            </w:pPr>
            <w:r>
              <w:rPr>
                <w:rFonts w:ascii="宋体" w:hAnsi="宋体" w:cs="宋体" w:eastAsia="宋体" w:hint="default"/>
                <w:sz w:val="18"/>
                <w:szCs w:val="18"/>
              </w:rPr>
              <w:t>款项是否由关联交</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易产生</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1"/>
        <w:rPr>
          <w:rFonts w:ascii="宋体" w:hAnsi="宋体" w:cs="宋体" w:eastAsia="宋体" w:hint="default"/>
          <w:sz w:val="15"/>
          <w:szCs w:val="15"/>
        </w:rPr>
      </w:pPr>
    </w:p>
    <w:p>
      <w:pPr>
        <w:spacing w:line="386" w:lineRule="auto" w:before="0"/>
        <w:ind w:left="574" w:right="1116" w:hanging="420"/>
        <w:jc w:val="left"/>
        <w:rPr>
          <w:rFonts w:ascii="宋体" w:hAnsi="宋体" w:cs="宋体" w:eastAsia="宋体" w:hint="default"/>
          <w:sz w:val="21"/>
          <w:szCs w:val="21"/>
        </w:rPr>
      </w:pPr>
      <w:bookmarkStart w:name="（4）按欠款方归集的期末余额前五名的应收账款情况" w:id="375"/>
      <w:bookmarkEnd w:id="37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99"/>
          <w:sz w:val="21"/>
          <w:szCs w:val="21"/>
        </w:rPr>
        <w:t> </w:t>
      </w:r>
      <w:r>
        <w:rPr>
          <w:rFonts w:ascii="宋体" w:hAnsi="宋体" w:cs="宋体" w:eastAsia="宋体" w:hint="default"/>
          <w:sz w:val="21"/>
          <w:szCs w:val="21"/>
        </w:rPr>
        <w:t>按欠款方集中度归集的期末余额前五名应收账款汇总金额</w:t>
      </w:r>
      <w:r>
        <w:rPr>
          <w:rFonts w:ascii="Times New Roman" w:hAnsi="Times New Roman" w:cs="Times New Roman" w:eastAsia="Times New Roman" w:hint="default"/>
          <w:sz w:val="21"/>
          <w:szCs w:val="21"/>
        </w:rPr>
        <w:t>134,345,602.50 </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元，占应收账款期末余额合</w:t>
      </w:r>
    </w:p>
    <w:p>
      <w:pPr>
        <w:pStyle w:val="BodyText"/>
        <w:spacing w:line="240" w:lineRule="auto" w:before="36"/>
        <w:ind w:left="154" w:right="0"/>
        <w:jc w:val="left"/>
      </w:pPr>
      <w:r>
        <w:rPr/>
        <w:t>计数的比例</w:t>
      </w:r>
      <w:r>
        <w:rPr>
          <w:rFonts w:ascii="Times New Roman" w:hAnsi="Times New Roman" w:cs="Times New Roman" w:eastAsia="Times New Roman" w:hint="default"/>
        </w:rPr>
        <w:t>29.66%</w:t>
      </w:r>
      <w:r>
        <w:rPr/>
        <w:t>，相应计提的坏账准备期末余额汇总金额</w:t>
      </w:r>
      <w:r>
        <w:rPr>
          <w:rFonts w:ascii="Times New Roman" w:hAnsi="Times New Roman" w:cs="Times New Roman" w:eastAsia="Times New Roman" w:hint="default"/>
        </w:rPr>
        <w:t>8,674,802.32</w:t>
      </w:r>
      <w:r>
        <w:rPr>
          <w:rFonts w:ascii="Times New Roman" w:hAnsi="Times New Roman" w:cs="Times New Roman" w:eastAsia="Times New Roman" w:hint="default"/>
          <w:spacing w:val="29"/>
        </w:rPr>
        <w:t> </w:t>
      </w:r>
      <w:r>
        <w:rPr/>
        <w:t>元。</w:t>
      </w:r>
    </w:p>
    <w:p>
      <w:pPr>
        <w:spacing w:line="386" w:lineRule="auto" w:before="177"/>
        <w:ind w:left="154" w:right="4872" w:firstLine="0"/>
        <w:jc w:val="left"/>
        <w:rPr>
          <w:rFonts w:ascii="宋体" w:hAnsi="宋体" w:cs="宋体" w:eastAsia="宋体" w:hint="default"/>
          <w:sz w:val="21"/>
          <w:szCs w:val="21"/>
        </w:rPr>
      </w:pPr>
      <w:bookmarkStart w:name="（5）因金融资产转移而终止确认的应收账款" w:id="376"/>
      <w:bookmarkEnd w:id="37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b/>
          <w:bCs/>
          <w:w w:val="99"/>
          <w:sz w:val="21"/>
          <w:szCs w:val="21"/>
        </w:rPr>
        <w:t> </w:t>
      </w:r>
      <w:r>
        <w:rPr>
          <w:rFonts w:ascii="宋体" w:hAnsi="宋体" w:cs="宋体" w:eastAsia="宋体" w:hint="default"/>
          <w:sz w:val="21"/>
          <w:szCs w:val="21"/>
        </w:rPr>
        <w:t>本公司本期不存在因金融资产转移而终止确认的应收款项情况。</w:t>
      </w:r>
    </w:p>
    <w:p>
      <w:pPr>
        <w:pStyle w:val="Heading3"/>
        <w:spacing w:line="240" w:lineRule="auto" w:before="65"/>
        <w:ind w:right="0"/>
        <w:jc w:val="left"/>
        <w:rPr>
          <w:b w:val="0"/>
          <w:bCs w:val="0"/>
        </w:rPr>
      </w:pPr>
      <w:bookmarkStart w:name="（6）转移应收账款且继续涉入形成的资产、负债金额" w:id="377"/>
      <w:bookmarkEnd w:id="377"/>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6"/>
        <w:rPr>
          <w:rFonts w:ascii="宋体" w:hAnsi="宋体" w:cs="宋体" w:eastAsia="宋体" w:hint="default"/>
          <w:b/>
          <w:bCs/>
          <w:sz w:val="15"/>
          <w:szCs w:val="15"/>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spacing w:line="408" w:lineRule="auto" w:before="0"/>
        <w:ind w:left="153" w:right="3333" w:firstLine="0"/>
        <w:jc w:val="left"/>
        <w:rPr>
          <w:rFonts w:ascii="宋体" w:hAnsi="宋体" w:cs="宋体" w:eastAsia="宋体" w:hint="default"/>
          <w:sz w:val="18"/>
          <w:szCs w:val="18"/>
        </w:rPr>
      </w:pPr>
      <w:r>
        <w:rPr>
          <w:rFonts w:ascii="宋体" w:hAnsi="宋体" w:cs="宋体" w:eastAsia="宋体" w:hint="default"/>
          <w:sz w:val="21"/>
          <w:szCs w:val="21"/>
        </w:rPr>
        <w:t>应收账款期末余额中无持有本公司</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以上表决权股份的股东单位的欠款。 本公司本期不存在未全部终止确认的被转移的应收账款情况。 </w:t>
      </w:r>
      <w:r>
        <w:rPr>
          <w:rFonts w:ascii="宋体" w:hAnsi="宋体" w:cs="宋体" w:eastAsia="宋体" w:hint="default"/>
          <w:sz w:val="18"/>
          <w:szCs w:val="18"/>
        </w:rPr>
        <w:t>本公司本期不存在以应收款项为标的进行证券化的情况。</w:t>
      </w:r>
    </w:p>
    <w:p>
      <w:pPr>
        <w:pStyle w:val="BodyText"/>
        <w:spacing w:line="240" w:lineRule="auto" w:before="81"/>
        <w:ind w:left="154" w:right="0"/>
        <w:jc w:val="left"/>
      </w:pPr>
      <w:r>
        <w:rPr/>
        <w:t>本公司本期不存在核销与终止确认的应收账款</w:t>
      </w:r>
    </w:p>
    <w:p>
      <w:pPr>
        <w:spacing w:line="240" w:lineRule="auto" w:before="10"/>
        <w:rPr>
          <w:rFonts w:ascii="宋体" w:hAnsi="宋体" w:cs="宋体" w:eastAsia="宋体" w:hint="default"/>
          <w:sz w:val="14"/>
          <w:szCs w:val="14"/>
        </w:rPr>
      </w:pPr>
    </w:p>
    <w:p>
      <w:pPr>
        <w:pStyle w:val="Heading3"/>
        <w:spacing w:line="240" w:lineRule="auto"/>
        <w:ind w:left="154" w:right="0"/>
        <w:jc w:val="left"/>
        <w:rPr>
          <w:b w:val="0"/>
          <w:bCs w:val="0"/>
        </w:rPr>
      </w:pPr>
      <w:bookmarkStart w:name="2、其他应收款" w:id="378"/>
      <w:bookmarkEnd w:id="378"/>
      <w:r>
        <w:rPr>
          <w:b w:val="0"/>
          <w:bCs w:val="0"/>
        </w:rPr>
      </w:r>
      <w:r>
        <w:rPr>
          <w:rFonts w:ascii="Times New Roman" w:hAnsi="Times New Roman" w:cs="Times New Roman" w:eastAsia="Times New Roman" w:hint="default"/>
        </w:rPr>
        <w:t>2</w:t>
      </w:r>
      <w:r>
        <w:rPr/>
        <w:t>、其他应收款</w:t>
      </w:r>
      <w:r>
        <w:rPr>
          <w:b w:val="0"/>
          <w:bCs w:val="0"/>
        </w:rPr>
      </w:r>
    </w:p>
    <w:p>
      <w:pPr>
        <w:pStyle w:val="Heading3"/>
        <w:spacing w:line="240" w:lineRule="auto" w:before="177"/>
        <w:ind w:left="154" w:right="0"/>
        <w:jc w:val="left"/>
        <w:rPr>
          <w:b w:val="0"/>
          <w:bCs w:val="0"/>
        </w:rPr>
      </w:pPr>
      <w:bookmarkStart w:name="（1）其他应收款分类披露" w:id="379"/>
      <w:bookmarkEnd w:id="379"/>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6"/>
        <w:rPr>
          <w:rFonts w:ascii="宋体" w:hAnsi="宋体" w:cs="宋体" w:eastAsia="宋体" w:hint="default"/>
          <w:b/>
          <w:bCs/>
          <w:sz w:val="15"/>
          <w:szCs w:val="15"/>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635"/>
        <w:gridCol w:w="1525"/>
        <w:gridCol w:w="1524"/>
        <w:gridCol w:w="790"/>
        <w:gridCol w:w="1416"/>
        <w:gridCol w:w="1745"/>
        <w:gridCol w:w="932"/>
      </w:tblGrid>
      <w:tr>
        <w:trPr>
          <w:trHeight w:val="47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239"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468" w:hRule="exact"/>
        </w:trPr>
        <w:tc>
          <w:tcPr>
            <w:tcW w:w="1611" w:type="dxa"/>
            <w:vMerge/>
            <w:tcBorders>
              <w:left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right w:val="single" w:sz="4" w:space="0" w:color="000000"/>
            </w:tcBorders>
            <w:shd w:val="clear" w:color="auto" w:fill="D2D2D2"/>
          </w:tcPr>
          <w:p>
            <w:pPr/>
          </w:p>
        </w:tc>
      </w:tr>
      <w:tr>
        <w:trPr>
          <w:trHeight w:val="239"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415"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p>
            <w:pPr>
              <w:pStyle w:val="TableParagraph"/>
              <w:spacing w:line="460" w:lineRule="atLeast" w:before="8"/>
              <w:ind w:left="11" w:right="148"/>
              <w:jc w:val="left"/>
              <w:rPr>
                <w:rFonts w:ascii="宋体" w:hAnsi="宋体" w:cs="宋体" w:eastAsia="宋体" w:hint="default"/>
                <w:sz w:val="18"/>
                <w:szCs w:val="18"/>
              </w:rPr>
            </w:pPr>
            <w:r>
              <w:rPr>
                <w:rFonts w:ascii="宋体" w:hAnsi="宋体" w:cs="宋体" w:eastAsia="宋体" w:hint="default"/>
                <w:sz w:val="18"/>
                <w:szCs w:val="18"/>
              </w:rPr>
              <w:t>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9" w:right="0"/>
              <w:jc w:val="left"/>
              <w:rPr>
                <w:rFonts w:ascii="Times New Roman" w:hAnsi="Times New Roman" w:cs="Times New Roman" w:eastAsia="Times New Roman" w:hint="default"/>
                <w:sz w:val="18"/>
                <w:szCs w:val="18"/>
              </w:rPr>
            </w:pPr>
            <w:r>
              <w:rPr>
                <w:rFonts w:ascii="Times New Roman"/>
                <w:sz w:val="18"/>
              </w:rPr>
              <w:t>3,496,94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2,460.90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Times New Roman" w:hAnsi="Times New Roman" w:cs="Times New Roman" w:eastAsia="Times New Roman" w:hint="default"/>
                <w:sz w:val="18"/>
                <w:szCs w:val="18"/>
              </w:rPr>
            </w:pPr>
            <w:r>
              <w:rPr>
                <w:rFonts w:ascii="Times New Roman"/>
                <w:sz w:val="18"/>
              </w:rPr>
              <w:t>5,640,41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6.46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65" w:right="0"/>
              <w:jc w:val="left"/>
              <w:rPr>
                <w:rFonts w:ascii="Times New Roman" w:hAnsi="Times New Roman" w:cs="Times New Roman" w:eastAsia="Times New Roman" w:hint="default"/>
                <w:sz w:val="18"/>
                <w:szCs w:val="18"/>
              </w:rPr>
            </w:pPr>
            <w:r>
              <w:rPr>
                <w:rFonts w:ascii="Times New Roman"/>
                <w:sz w:val="18"/>
              </w:rPr>
              <w:t>0.16%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 w:right="0"/>
              <w:jc w:val="center"/>
              <w:rPr>
                <w:rFonts w:ascii="Times New Roman" w:hAnsi="Times New Roman" w:cs="Times New Roman" w:eastAsia="Times New Roman" w:hint="default"/>
                <w:sz w:val="18"/>
                <w:szCs w:val="18"/>
              </w:rPr>
            </w:pPr>
            <w:r>
              <w:rPr>
                <w:rFonts w:ascii="Times New Roman"/>
                <w:sz w:val="18"/>
              </w:rPr>
              <w:t>3,491,302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95" w:right="0"/>
              <w:jc w:val="center"/>
              <w:rPr>
                <w:rFonts w:ascii="Times New Roman" w:hAnsi="Times New Roman" w:cs="Times New Roman" w:eastAsia="Times New Roman" w:hint="default"/>
                <w:sz w:val="18"/>
                <w:szCs w:val="18"/>
              </w:rPr>
            </w:pPr>
            <w:r>
              <w:rPr>
                <w:rFonts w:ascii="Times New Roman"/>
                <w:sz w:val="18"/>
              </w:rPr>
              <w:t>,044.44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1,960,4</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70,971.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60"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5,631,448</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35" w:right="0"/>
              <w:jc w:val="left"/>
              <w:rPr>
                <w:rFonts w:ascii="Times New Roman" w:hAnsi="Times New Roman" w:cs="Times New Roman" w:eastAsia="Times New Roman" w:hint="default"/>
                <w:sz w:val="18"/>
                <w:szCs w:val="18"/>
              </w:rPr>
            </w:pPr>
            <w:r>
              <w:rPr>
                <w:rFonts w:ascii="Times New Roman"/>
                <w:sz w:val="18"/>
              </w:rPr>
              <w:t>0.29%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 w:right="0"/>
              <w:jc w:val="left"/>
              <w:rPr>
                <w:rFonts w:ascii="Times New Roman" w:hAnsi="Times New Roman" w:cs="Times New Roman" w:eastAsia="Times New Roman" w:hint="default"/>
                <w:sz w:val="18"/>
                <w:szCs w:val="18"/>
              </w:rPr>
            </w:pPr>
            <w:r>
              <w:rPr>
                <w:rFonts w:ascii="Times New Roman"/>
                <w:sz w:val="18"/>
              </w:rPr>
              <w:t>1,954,839,5</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23.60</w:t>
            </w:r>
          </w:p>
        </w:tc>
      </w:tr>
      <w:tr>
        <w:trPr>
          <w:trHeight w:val="473"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5" w:right="0"/>
              <w:jc w:val="left"/>
              <w:rPr>
                <w:rFonts w:ascii="Times New Roman" w:hAnsi="Times New Roman" w:cs="Times New Roman" w:eastAsia="Times New Roman" w:hint="default"/>
                <w:sz w:val="18"/>
                <w:szCs w:val="18"/>
              </w:rPr>
            </w:pPr>
            <w:r>
              <w:rPr>
                <w:rFonts w:ascii="Times New Roman"/>
                <w:sz w:val="18"/>
              </w:rPr>
              <w:t>3,496,94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2,460.90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8" w:right="0"/>
              <w:jc w:val="left"/>
              <w:rPr>
                <w:rFonts w:ascii="Times New Roman" w:hAnsi="Times New Roman" w:cs="Times New Roman" w:eastAsia="Times New Roman" w:hint="default"/>
                <w:sz w:val="18"/>
                <w:szCs w:val="18"/>
              </w:rPr>
            </w:pPr>
            <w:r>
              <w:rPr>
                <w:rFonts w:ascii="Times New Roman"/>
                <w:sz w:val="18"/>
              </w:rPr>
              <w:t>5,640,41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6.46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5" w:right="0"/>
              <w:jc w:val="left"/>
              <w:rPr>
                <w:rFonts w:ascii="Times New Roman" w:hAnsi="Times New Roman" w:cs="Times New Roman" w:eastAsia="Times New Roman" w:hint="default"/>
                <w:sz w:val="18"/>
                <w:szCs w:val="18"/>
              </w:rPr>
            </w:pPr>
            <w:r>
              <w:rPr>
                <w:rFonts w:ascii="Times New Roman"/>
                <w:sz w:val="18"/>
              </w:rPr>
              <w:t>0.16%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5" w:right="0"/>
              <w:jc w:val="center"/>
              <w:rPr>
                <w:rFonts w:ascii="Times New Roman" w:hAnsi="Times New Roman" w:cs="Times New Roman" w:eastAsia="Times New Roman" w:hint="default"/>
                <w:sz w:val="18"/>
                <w:szCs w:val="18"/>
              </w:rPr>
            </w:pPr>
            <w:r>
              <w:rPr>
                <w:rFonts w:ascii="Times New Roman"/>
                <w:sz w:val="18"/>
              </w:rPr>
              <w:t>3,491,302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95" w:right="0"/>
              <w:jc w:val="center"/>
              <w:rPr>
                <w:rFonts w:ascii="Times New Roman" w:hAnsi="Times New Roman" w:cs="Times New Roman" w:eastAsia="Times New Roman" w:hint="default"/>
                <w:sz w:val="18"/>
                <w:szCs w:val="18"/>
              </w:rPr>
            </w:pPr>
            <w:r>
              <w:rPr>
                <w:rFonts w:ascii="Times New Roman"/>
                <w:sz w:val="18"/>
              </w:rPr>
              <w:t>,044.44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1,960,4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70,971.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5,631,448</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35" w:right="0"/>
              <w:jc w:val="left"/>
              <w:rPr>
                <w:rFonts w:ascii="Times New Roman" w:hAnsi="Times New Roman" w:cs="Times New Roman" w:eastAsia="Times New Roman" w:hint="default"/>
                <w:sz w:val="18"/>
                <w:szCs w:val="18"/>
              </w:rPr>
            </w:pPr>
            <w:r>
              <w:rPr>
                <w:rFonts w:ascii="Times New Roman"/>
                <w:sz w:val="18"/>
              </w:rPr>
              <w:t>0.29%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4" w:right="0"/>
              <w:jc w:val="left"/>
              <w:rPr>
                <w:rFonts w:ascii="Times New Roman" w:hAnsi="Times New Roman" w:cs="Times New Roman" w:eastAsia="Times New Roman" w:hint="default"/>
                <w:sz w:val="18"/>
                <w:szCs w:val="18"/>
              </w:rPr>
            </w:pPr>
            <w:r>
              <w:rPr>
                <w:rFonts w:ascii="Times New Roman"/>
                <w:sz w:val="18"/>
              </w:rPr>
              <w:t>1,954,839,5</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23.60</w:t>
            </w:r>
          </w:p>
        </w:tc>
      </w:tr>
      <w:tr>
        <w:trPr>
          <w:trHeight w:val="468"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473"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240" w:lineRule="auto" w:before="10"/>
        <w:rPr>
          <w:rFonts w:ascii="宋体" w:hAnsi="宋体" w:cs="宋体" w:eastAsia="宋体" w:hint="default"/>
          <w:sz w:val="17"/>
          <w:szCs w:val="17"/>
        </w:rPr>
      </w:pPr>
    </w:p>
    <w:p>
      <w:pPr>
        <w:spacing w:line="451" w:lineRule="auto" w:before="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7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90"/>
      </w:tblGrid>
      <w:tr>
        <w:trPr>
          <w:trHeight w:val="244"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29"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39"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49"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473"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79"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45,605,679.47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2,736,340.77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6.00%</w:t>
            </w:r>
          </w:p>
        </w:tc>
      </w:tr>
      <w:tr>
        <w:trPr>
          <w:trHeight w:val="478"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22,452,116.56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1,796,169.32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8.00%</w:t>
            </w:r>
          </w:p>
        </w:tc>
      </w:tr>
      <w:tr>
        <w:trPr>
          <w:trHeight w:val="478"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7,690,492.80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769,049.28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10.00%</w:t>
            </w:r>
          </w:p>
        </w:tc>
      </w:tr>
      <w:tr>
        <w:trPr>
          <w:trHeight w:val="479"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1,694,285.45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338,857.09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20.00%</w:t>
            </w:r>
          </w:p>
        </w:tc>
      </w:tr>
      <w:tr>
        <w:trPr>
          <w:trHeight w:val="478"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77,442,574.28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5,640,416.46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7.28%</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line="240" w:lineRule="auto" w:before="11"/>
        <w:rPr>
          <w:rFonts w:ascii="宋体" w:hAnsi="宋体" w:cs="宋体" w:eastAsia="宋体" w:hint="default"/>
          <w:sz w:val="15"/>
          <w:szCs w:val="15"/>
        </w:rPr>
      </w:pPr>
    </w:p>
    <w:p>
      <w:pPr>
        <w:pStyle w:val="BodyText"/>
        <w:spacing w:line="240" w:lineRule="auto" w:before="0"/>
        <w:ind w:left="574" w:right="0"/>
        <w:jc w:val="left"/>
      </w:pPr>
      <w:r>
        <w:rPr/>
        <w:t>（</w:t>
      </w:r>
      <w:r>
        <w:rPr>
          <w:rFonts w:ascii="Times New Roman" w:hAnsi="Times New Roman" w:cs="Times New Roman" w:eastAsia="Times New Roman" w:hint="default"/>
        </w:rPr>
        <w:t>1</w:t>
      </w:r>
      <w:r>
        <w:rPr/>
        <w:t>）应收关联方欠款情况</w:t>
      </w:r>
    </w:p>
    <w:p>
      <w:pPr>
        <w:spacing w:line="240" w:lineRule="auto" w:before="9"/>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3240"/>
        <w:gridCol w:w="1440"/>
        <w:gridCol w:w="1800"/>
        <w:gridCol w:w="1535"/>
        <w:gridCol w:w="1582"/>
      </w:tblGrid>
      <w:tr>
        <w:trPr>
          <w:trHeight w:val="979" w:hRule="exact"/>
        </w:trPr>
        <w:tc>
          <w:tcPr>
            <w:tcW w:w="32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8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left="5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8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9"/>
              <w:ind w:right="7"/>
              <w:jc w:val="center"/>
              <w:rPr>
                <w:rFonts w:ascii="宋体" w:hAnsi="宋体" w:cs="宋体" w:eastAsia="宋体" w:hint="default"/>
                <w:sz w:val="18"/>
                <w:szCs w:val="18"/>
              </w:rPr>
            </w:pPr>
            <w:r>
              <w:rPr>
                <w:rFonts w:ascii="宋体" w:hAnsi="宋体" w:cs="宋体" w:eastAsia="宋体" w:hint="default"/>
                <w:sz w:val="18"/>
                <w:szCs w:val="18"/>
              </w:rPr>
              <w:t>占其他应收款总额</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的比例</w:t>
            </w:r>
            <w:r>
              <w:rPr>
                <w:rFonts w:ascii="Times New Roman" w:hAnsi="Times New Roman" w:cs="Times New Roman" w:eastAsia="Times New Roman" w:hint="default"/>
                <w:sz w:val="18"/>
                <w:szCs w:val="18"/>
              </w:rPr>
              <w:t>(%)</w:t>
            </w:r>
          </w:p>
        </w:tc>
      </w:tr>
      <w:tr>
        <w:trPr>
          <w:trHeight w:val="509" w:hRule="exact"/>
        </w:trPr>
        <w:tc>
          <w:tcPr>
            <w:tcW w:w="32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吉林紫鑫红石种养殖有限公司</w:t>
            </w:r>
          </w:p>
        </w:tc>
        <w:tc>
          <w:tcPr>
            <w:tcW w:w="14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2"/>
              <w:jc w:val="right"/>
              <w:rPr>
                <w:rFonts w:ascii="Times New Roman" w:hAnsi="Times New Roman" w:cs="Times New Roman" w:eastAsia="Times New Roman" w:hint="default"/>
                <w:sz w:val="18"/>
                <w:szCs w:val="18"/>
              </w:rPr>
            </w:pPr>
            <w:r>
              <w:rPr>
                <w:rFonts w:ascii="Times New Roman"/>
                <w:spacing w:val="-1"/>
                <w:sz w:val="18"/>
              </w:rPr>
              <w:t>2,736,408,220.73</w:t>
            </w:r>
          </w:p>
        </w:tc>
        <w:tc>
          <w:tcPr>
            <w:tcW w:w="15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一年至四年</w:t>
            </w:r>
          </w:p>
        </w:tc>
        <w:tc>
          <w:tcPr>
            <w:tcW w:w="158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z w:val="18"/>
              </w:rPr>
              <w:t>78.25%</w:t>
            </w:r>
          </w:p>
        </w:tc>
      </w:tr>
      <w:tr>
        <w:trPr>
          <w:trHeight w:val="508" w:hRule="exact"/>
        </w:trPr>
        <w:tc>
          <w:tcPr>
            <w:tcW w:w="32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吉林中科紫鑫科技有限公司</w:t>
            </w:r>
          </w:p>
        </w:tc>
        <w:tc>
          <w:tcPr>
            <w:tcW w:w="14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513,185,800.00</w:t>
            </w:r>
          </w:p>
        </w:tc>
        <w:tc>
          <w:tcPr>
            <w:tcW w:w="15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一年至四年</w:t>
            </w:r>
          </w:p>
        </w:tc>
        <w:tc>
          <w:tcPr>
            <w:tcW w:w="158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z w:val="18"/>
              </w:rPr>
              <w:t>14.68%</w:t>
            </w:r>
          </w:p>
        </w:tc>
      </w:tr>
      <w:tr>
        <w:trPr>
          <w:trHeight w:val="508" w:hRule="exact"/>
        </w:trPr>
        <w:tc>
          <w:tcPr>
            <w:tcW w:w="32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吉林紫鑫敦化医药药材有限公司</w:t>
            </w:r>
          </w:p>
        </w:tc>
        <w:tc>
          <w:tcPr>
            <w:tcW w:w="14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68,383,682.08</w:t>
            </w:r>
          </w:p>
        </w:tc>
        <w:tc>
          <w:tcPr>
            <w:tcW w:w="15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一年至五年</w:t>
            </w:r>
          </w:p>
        </w:tc>
        <w:tc>
          <w:tcPr>
            <w:tcW w:w="158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z w:val="18"/>
              </w:rPr>
              <w:t>1.96%</w:t>
            </w:r>
          </w:p>
        </w:tc>
      </w:tr>
      <w:tr>
        <w:trPr>
          <w:trHeight w:val="509" w:hRule="exact"/>
        </w:trPr>
        <w:tc>
          <w:tcPr>
            <w:tcW w:w="32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吉林紫鑫药物研究有限公司</w:t>
            </w:r>
          </w:p>
        </w:tc>
        <w:tc>
          <w:tcPr>
            <w:tcW w:w="14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48,775,650.00</w:t>
            </w:r>
          </w:p>
        </w:tc>
        <w:tc>
          <w:tcPr>
            <w:tcW w:w="15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58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z w:val="18"/>
              </w:rPr>
              <w:t>1.39%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240"/>
        <w:gridCol w:w="1440"/>
        <w:gridCol w:w="1800"/>
        <w:gridCol w:w="1535"/>
        <w:gridCol w:w="1582"/>
      </w:tblGrid>
      <w:tr>
        <w:trPr>
          <w:trHeight w:val="511" w:hRule="exact"/>
        </w:trPr>
        <w:tc>
          <w:tcPr>
            <w:tcW w:w="32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吉林紫鑫金桂药业有限公司</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left="44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pacing w:val="-1"/>
                <w:sz w:val="18"/>
              </w:rPr>
              <w:t>45,795,000.00</w:t>
            </w:r>
          </w:p>
        </w:tc>
        <w:tc>
          <w:tcPr>
            <w:tcW w:w="15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一年至二年</w:t>
            </w:r>
          </w:p>
        </w:tc>
        <w:tc>
          <w:tcPr>
            <w:tcW w:w="158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9"/>
              <w:ind w:right="7"/>
              <w:jc w:val="right"/>
              <w:rPr>
                <w:rFonts w:ascii="Times New Roman" w:hAnsi="Times New Roman" w:cs="Times New Roman" w:eastAsia="Times New Roman" w:hint="default"/>
                <w:sz w:val="18"/>
                <w:szCs w:val="18"/>
              </w:rPr>
            </w:pPr>
            <w:r>
              <w:rPr>
                <w:rFonts w:ascii="Times New Roman"/>
                <w:sz w:val="18"/>
              </w:rPr>
              <w:t>1.31%</w:t>
            </w:r>
          </w:p>
        </w:tc>
      </w:tr>
      <w:tr>
        <w:trPr>
          <w:trHeight w:val="508" w:hRule="exact"/>
        </w:trPr>
        <w:tc>
          <w:tcPr>
            <w:tcW w:w="32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吉林紫鑫人参研发有限公司</w:t>
            </w:r>
          </w:p>
        </w:tc>
        <w:tc>
          <w:tcPr>
            <w:tcW w:w="14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44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6,870,000.00</w:t>
            </w:r>
          </w:p>
        </w:tc>
        <w:tc>
          <w:tcPr>
            <w:tcW w:w="15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58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z w:val="18"/>
              </w:rPr>
              <w:t>0.19%</w:t>
            </w:r>
          </w:p>
        </w:tc>
      </w:tr>
      <w:tr>
        <w:trPr>
          <w:trHeight w:val="509" w:hRule="exact"/>
        </w:trPr>
        <w:tc>
          <w:tcPr>
            <w:tcW w:w="32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吉林紫鑫人参销售有限公司</w:t>
            </w:r>
          </w:p>
        </w:tc>
        <w:tc>
          <w:tcPr>
            <w:tcW w:w="14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44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81,533.81</w:t>
            </w:r>
          </w:p>
        </w:tc>
        <w:tc>
          <w:tcPr>
            <w:tcW w:w="15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58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z w:val="18"/>
              </w:rPr>
              <w:t>0.00%</w:t>
            </w:r>
          </w:p>
        </w:tc>
      </w:tr>
      <w:tr>
        <w:trPr>
          <w:trHeight w:val="508" w:hRule="exact"/>
        </w:trPr>
        <w:tc>
          <w:tcPr>
            <w:tcW w:w="3240" w:type="dxa"/>
            <w:tcBorders>
              <w:top w:val="single" w:sz="12" w:space="0" w:color="000000"/>
              <w:left w:val="single" w:sz="6" w:space="0" w:color="000000"/>
              <w:bottom w:val="single" w:sz="12" w:space="0" w:color="000000"/>
              <w:right w:val="single" w:sz="6" w:space="0" w:color="000000"/>
            </w:tcBorders>
          </w:tcPr>
          <w:p>
            <w:pPr>
              <w:pStyle w:val="TableParagraph"/>
              <w:tabs>
                <w:tab w:pos="470" w:val="left" w:leader="none"/>
              </w:tabs>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40" w:type="dxa"/>
            <w:tcBorders>
              <w:top w:val="single" w:sz="12" w:space="0" w:color="000000"/>
              <w:left w:val="single" w:sz="6" w:space="0" w:color="000000"/>
              <w:bottom w:val="single" w:sz="12" w:space="0" w:color="000000"/>
              <w:right w:val="single" w:sz="6" w:space="0" w:color="000000"/>
            </w:tcBorders>
          </w:tcPr>
          <w:p>
            <w:pP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2"/>
              <w:jc w:val="right"/>
              <w:rPr>
                <w:rFonts w:ascii="Times New Roman" w:hAnsi="Times New Roman" w:cs="Times New Roman" w:eastAsia="Times New Roman" w:hint="default"/>
                <w:sz w:val="18"/>
                <w:szCs w:val="18"/>
              </w:rPr>
            </w:pPr>
            <w:r>
              <w:rPr>
                <w:rFonts w:ascii="Times New Roman"/>
                <w:spacing w:val="-1"/>
                <w:sz w:val="18"/>
              </w:rPr>
              <w:t>3,419,499,886.62</w:t>
            </w:r>
          </w:p>
        </w:tc>
        <w:tc>
          <w:tcPr>
            <w:tcW w:w="1535" w:type="dxa"/>
            <w:tcBorders>
              <w:top w:val="single" w:sz="12" w:space="0" w:color="000000"/>
              <w:left w:val="single" w:sz="6" w:space="0" w:color="000000"/>
              <w:bottom w:val="single" w:sz="12" w:space="0" w:color="000000"/>
              <w:right w:val="single" w:sz="6" w:space="0" w:color="000000"/>
            </w:tcBorders>
          </w:tcPr>
          <w:p>
            <w:pPr/>
          </w:p>
        </w:tc>
        <w:tc>
          <w:tcPr>
            <w:tcW w:w="158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z w:val="18"/>
              </w:rPr>
              <w:t>97.78%</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240" w:lineRule="auto" w:before="10"/>
        <w:rPr>
          <w:rFonts w:ascii="宋体" w:hAnsi="宋体" w:cs="宋体" w:eastAsia="宋体" w:hint="default"/>
          <w:sz w:val="17"/>
          <w:szCs w:val="17"/>
        </w:rPr>
      </w:pPr>
    </w:p>
    <w:p>
      <w:pPr>
        <w:spacing w:line="451" w:lineRule="auto" w:before="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7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2）本期计提、收回或转回的坏账准备情况" w:id="380"/>
      <w:bookmarkEnd w:id="38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15"/>
          <w:szCs w:val="15"/>
        </w:rPr>
      </w:pPr>
    </w:p>
    <w:p>
      <w:pPr>
        <w:spacing w:line="477" w:lineRule="auto" w:before="0"/>
        <w:ind w:left="154" w:right="589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本期计提坏账准备金额元；本期收回或转回坏账准备金额元。 其中本期坏账准备转回或收回金额重要的：</w:t>
      </w:r>
    </w:p>
    <w:p>
      <w:pPr>
        <w:spacing w:before="5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78"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Heading3"/>
        <w:spacing w:line="240" w:lineRule="auto" w:before="63"/>
        <w:ind w:left="154" w:right="0"/>
        <w:jc w:val="left"/>
        <w:rPr>
          <w:b w:val="0"/>
          <w:bCs w:val="0"/>
        </w:rPr>
      </w:pPr>
      <w:bookmarkStart w:name="（3）本期实际核销的其他应收款情况" w:id="381"/>
      <w:bookmarkEnd w:id="381"/>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2"/>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78"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line="240" w:lineRule="auto" w:before="5"/>
        <w:rPr>
          <w:rFonts w:ascii="宋体" w:hAnsi="宋体" w:cs="宋体" w:eastAsia="宋体" w:hint="default"/>
          <w:sz w:val="14"/>
          <w:szCs w:val="1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94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center"/>
              <w:rPr>
                <w:rFonts w:ascii="宋体" w:hAnsi="宋体" w:cs="宋体" w:eastAsia="宋体" w:hint="default"/>
                <w:sz w:val="18"/>
                <w:szCs w:val="18"/>
              </w:rPr>
            </w:pPr>
            <w:r>
              <w:rPr>
                <w:rFonts w:ascii="宋体" w:hAnsi="宋体" w:cs="宋体" w:eastAsia="宋体" w:hint="default"/>
                <w:sz w:val="18"/>
                <w:szCs w:val="18"/>
              </w:rPr>
              <w:t>款项是否由关联交</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易产生</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1"/>
        <w:rPr>
          <w:rFonts w:ascii="宋体" w:hAnsi="宋体" w:cs="宋体" w:eastAsia="宋体" w:hint="default"/>
          <w:sz w:val="15"/>
          <w:szCs w:val="15"/>
        </w:rPr>
      </w:pPr>
    </w:p>
    <w:p>
      <w:pPr>
        <w:pStyle w:val="Heading3"/>
        <w:spacing w:line="240" w:lineRule="auto"/>
        <w:ind w:left="154" w:right="0"/>
        <w:jc w:val="left"/>
        <w:rPr>
          <w:b w:val="0"/>
          <w:bCs w:val="0"/>
        </w:rPr>
      </w:pPr>
      <w:bookmarkStart w:name="（4）其他应收款按款项性质分类情况" w:id="382"/>
      <w:bookmarkEnd w:id="382"/>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78"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79"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按账龄分析法</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3,496,942,460.90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1,960,470,971.72</w:t>
            </w:r>
          </w:p>
        </w:tc>
      </w:tr>
      <w:tr>
        <w:trPr>
          <w:trHeight w:val="478"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3,496,942,460.90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1,960,470,971.72</w:t>
            </w:r>
          </w:p>
        </w:tc>
      </w:tr>
    </w:tbl>
    <w:p>
      <w:pPr>
        <w:pStyle w:val="Heading3"/>
        <w:spacing w:line="240" w:lineRule="auto" w:before="63"/>
        <w:ind w:left="154" w:right="0"/>
        <w:jc w:val="left"/>
        <w:rPr>
          <w:b w:val="0"/>
          <w:bCs w:val="0"/>
        </w:rPr>
      </w:pPr>
      <w:bookmarkStart w:name="（5）按欠款方归集的期末余额前五名的其他应收款情况" w:id="383"/>
      <w:bookmarkEnd w:id="383"/>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685"/>
        <w:gridCol w:w="1551"/>
        <w:gridCol w:w="1552"/>
        <w:gridCol w:w="1553"/>
        <w:gridCol w:w="1614"/>
        <w:gridCol w:w="1604"/>
      </w:tblGrid>
      <w:tr>
        <w:trPr>
          <w:trHeight w:val="478"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2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81" w:right="0"/>
              <w:jc w:val="left"/>
              <w:rPr>
                <w:rFonts w:ascii="宋体" w:hAnsi="宋体" w:cs="宋体" w:eastAsia="宋体" w:hint="default"/>
                <w:sz w:val="18"/>
                <w:szCs w:val="18"/>
              </w:rPr>
            </w:pPr>
            <w:r>
              <w:rPr>
                <w:rFonts w:ascii="宋体" w:hAnsi="宋体" w:cs="宋体" w:eastAsia="宋体" w:hint="default"/>
                <w:sz w:val="18"/>
                <w:szCs w:val="18"/>
              </w:rPr>
              <w:t>占其他应收款期末</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478"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81"/>
              <w:jc w:val="right"/>
              <w:rPr>
                <w:rFonts w:ascii="宋体" w:hAnsi="宋体" w:cs="宋体" w:eastAsia="宋体" w:hint="default"/>
                <w:sz w:val="18"/>
                <w:szCs w:val="18"/>
              </w:rPr>
            </w:pPr>
            <w:r>
              <w:rPr>
                <w:rFonts w:ascii="宋体" w:hAnsi="宋体" w:cs="宋体" w:eastAsia="宋体" w:hint="default"/>
                <w:sz w:val="18"/>
                <w:szCs w:val="18"/>
              </w:rPr>
              <w:t>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947"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吉林紫鑫红石种养殖</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pacing w:val="-1"/>
                <w:sz w:val="18"/>
              </w:rPr>
              <w:t>2,736,408,220.73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一年至四年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78.25%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吉林中科紫鑫科技有</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513,185,800.00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一年至四年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14.68%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吉林紫鑫敦化医药药</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材有限公司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68,383,682.08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一年至五年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1.96%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吉林紫鑫药物研究有</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48,775,650.00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1.39%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吉林紫鑫金桂药业有</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45,795,000.00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一年至二年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1.31%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pacing w:val="-1"/>
                <w:sz w:val="18"/>
              </w:rPr>
              <w:t>3,412,548,352.81</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97.59%</w:t>
            </w:r>
          </w:p>
        </w:tc>
        <w:tc>
          <w:tcPr>
            <w:tcW w:w="1615"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40" w:lineRule="auto" w:before="63"/>
        <w:ind w:left="154" w:right="0"/>
        <w:jc w:val="left"/>
        <w:rPr>
          <w:b w:val="0"/>
          <w:bCs w:val="0"/>
        </w:rPr>
      </w:pPr>
      <w:bookmarkStart w:name="（6）涉及政府补助的应收款项" w:id="384"/>
      <w:bookmarkEnd w:id="384"/>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946"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9" w:right="0"/>
              <w:jc w:val="center"/>
              <w:rPr>
                <w:rFonts w:ascii="宋体" w:hAnsi="宋体" w:cs="宋体" w:eastAsia="宋体" w:hint="default"/>
                <w:sz w:val="18"/>
                <w:szCs w:val="18"/>
              </w:rPr>
            </w:pPr>
            <w:r>
              <w:rPr>
                <w:rFonts w:ascii="宋体" w:hAnsi="宋体" w:cs="宋体" w:eastAsia="宋体" w:hint="default"/>
                <w:sz w:val="18"/>
                <w:szCs w:val="18"/>
              </w:rPr>
              <w:t>预计收取的时间、金额</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及依据</w:t>
            </w:r>
          </w:p>
        </w:tc>
      </w:tr>
    </w:tbl>
    <w:p>
      <w:pPr>
        <w:spacing w:line="386" w:lineRule="auto" w:before="63"/>
        <w:ind w:left="154" w:right="4872" w:firstLine="0"/>
        <w:jc w:val="left"/>
        <w:rPr>
          <w:rFonts w:ascii="宋体" w:hAnsi="宋体" w:cs="宋体" w:eastAsia="宋体" w:hint="default"/>
          <w:sz w:val="21"/>
          <w:szCs w:val="21"/>
        </w:rPr>
      </w:pPr>
      <w:bookmarkStart w:name="（7）因金融资产转移而终止确认的其他应收款" w:id="385"/>
      <w:bookmarkEnd w:id="3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b/>
          <w:bCs/>
          <w:w w:val="99"/>
          <w:sz w:val="21"/>
          <w:szCs w:val="21"/>
        </w:rPr>
        <w:t> </w:t>
      </w:r>
      <w:r>
        <w:rPr>
          <w:rFonts w:ascii="宋体" w:hAnsi="宋体" w:cs="宋体" w:eastAsia="宋体" w:hint="default"/>
          <w:sz w:val="21"/>
          <w:szCs w:val="21"/>
        </w:rPr>
        <w:t>本公司本期不存在因金融资产转移而终止确认的应收款项情况。</w:t>
      </w:r>
    </w:p>
    <w:p>
      <w:pPr>
        <w:pStyle w:val="Heading3"/>
        <w:spacing w:line="240" w:lineRule="auto" w:before="65"/>
        <w:ind w:right="0"/>
        <w:jc w:val="left"/>
        <w:rPr>
          <w:b w:val="0"/>
          <w:bCs w:val="0"/>
        </w:rPr>
      </w:pPr>
      <w:bookmarkStart w:name="（8）转移其他应收款且继续涉入形成的资产、负债金额" w:id="386"/>
      <w:bookmarkEnd w:id="386"/>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6"/>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BodyText"/>
        <w:spacing w:line="398" w:lineRule="auto" w:before="0"/>
        <w:ind w:right="2913"/>
        <w:jc w:val="left"/>
      </w:pPr>
      <w:r>
        <w:rPr/>
        <w:t>其他应收款期末余额中无持有本公司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以上表决权股份的股东单位欠款情况。 本公司本期不存在未全部终止确认的被转移的应收款项情况。 本公司本期不存在核销与终止确认的应收款项。</w:t>
      </w:r>
    </w:p>
    <w:p>
      <w:pPr>
        <w:pStyle w:val="Heading3"/>
        <w:spacing w:line="240" w:lineRule="auto" w:before="54"/>
        <w:ind w:left="154" w:right="0"/>
        <w:jc w:val="left"/>
        <w:rPr>
          <w:b w:val="0"/>
          <w:bCs w:val="0"/>
        </w:rPr>
      </w:pPr>
      <w:bookmarkStart w:name="3、长期股权投资" w:id="387"/>
      <w:bookmarkEnd w:id="387"/>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4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29"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39"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4"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7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pacing w:val="-1"/>
                <w:sz w:val="18"/>
              </w:rPr>
              <w:t>1,419,953,569.14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0" w:right="0"/>
              <w:jc w:val="center"/>
              <w:rPr>
                <w:rFonts w:ascii="Times New Roman" w:hAnsi="Times New Roman" w:cs="Times New Roman" w:eastAsia="Times New Roman" w:hint="default"/>
                <w:sz w:val="18"/>
                <w:szCs w:val="18"/>
              </w:rPr>
            </w:pPr>
            <w:r>
              <w:rPr>
                <w:rFonts w:ascii="Times New Roman"/>
                <w:sz w:val="18"/>
              </w:rPr>
              <w:t>1,419,953,569.14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1" w:right="0"/>
              <w:jc w:val="center"/>
              <w:rPr>
                <w:rFonts w:ascii="Times New Roman" w:hAnsi="Times New Roman" w:cs="Times New Roman" w:eastAsia="Times New Roman" w:hint="default"/>
                <w:sz w:val="18"/>
                <w:szCs w:val="18"/>
              </w:rPr>
            </w:pPr>
            <w:r>
              <w:rPr>
                <w:rFonts w:ascii="Times New Roman"/>
                <w:sz w:val="18"/>
              </w:rPr>
              <w:t>1,283,333,649.14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0" w:right="0"/>
              <w:jc w:val="center"/>
              <w:rPr>
                <w:rFonts w:ascii="Times New Roman" w:hAnsi="Times New Roman" w:cs="Times New Roman" w:eastAsia="Times New Roman" w:hint="default"/>
                <w:sz w:val="18"/>
                <w:szCs w:val="18"/>
              </w:rPr>
            </w:pPr>
            <w:r>
              <w:rPr>
                <w:rFonts w:ascii="Times New Roman"/>
                <w:sz w:val="18"/>
              </w:rPr>
              <w:t>1,283,333,649.14</w:t>
            </w:r>
          </w:p>
        </w:tc>
      </w:tr>
      <w:tr>
        <w:trPr>
          <w:trHeight w:val="479"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1,419,953,569.14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0" w:right="0"/>
              <w:jc w:val="center"/>
              <w:rPr>
                <w:rFonts w:ascii="Times New Roman" w:hAnsi="Times New Roman" w:cs="Times New Roman" w:eastAsia="Times New Roman" w:hint="default"/>
                <w:sz w:val="18"/>
                <w:szCs w:val="18"/>
              </w:rPr>
            </w:pPr>
            <w:r>
              <w:rPr>
                <w:rFonts w:ascii="Times New Roman"/>
                <w:sz w:val="18"/>
              </w:rPr>
              <w:t>1,419,953,569.14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1" w:right="0"/>
              <w:jc w:val="center"/>
              <w:rPr>
                <w:rFonts w:ascii="Times New Roman" w:hAnsi="Times New Roman" w:cs="Times New Roman" w:eastAsia="Times New Roman" w:hint="default"/>
                <w:sz w:val="18"/>
                <w:szCs w:val="18"/>
              </w:rPr>
            </w:pPr>
            <w:r>
              <w:rPr>
                <w:rFonts w:ascii="Times New Roman"/>
                <w:sz w:val="18"/>
              </w:rPr>
              <w:t>1,283,333,649.14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0" w:right="0"/>
              <w:jc w:val="center"/>
              <w:rPr>
                <w:rFonts w:ascii="Times New Roman" w:hAnsi="Times New Roman" w:cs="Times New Roman" w:eastAsia="Times New Roman" w:hint="default"/>
                <w:sz w:val="18"/>
                <w:szCs w:val="18"/>
              </w:rPr>
            </w:pPr>
            <w:r>
              <w:rPr>
                <w:rFonts w:ascii="Times New Roman"/>
                <w:sz w:val="18"/>
              </w:rPr>
              <w:t>1,283,333,649.14</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1）对子公司投资" w:id="388"/>
      <w:bookmarkEnd w:id="388"/>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946"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本期计提减值准</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减值准备期末余</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94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吉林紫鑫般若药</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159,890,000.00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159,890,000.00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吉林紫鑫初元药</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319,930,000.00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319,930,000.00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吉林草还丹药业</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293,337,641.41</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293,337,641.41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吉林紫鑫禺拙药</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299,540,000.00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299,540,000.00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吉林紫鑫敦化医</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药药材有限公司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990,000.00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10,000.00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吉林紫鑫红石种</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养殖有限公司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吉林紫鑫人参销</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吉林紫鑫药物研</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究有限公司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吉林紫鑫人参研</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吉林中科紫鑫科</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北方环境能源交</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易所有限公司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16,000,000.00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96,000,000.00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吉林紫鑫金桂药</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sz w:val="18"/>
              </w:rPr>
              <w:t>Fytagoras </w:t>
            </w:r>
            <w:r>
              <w:rPr>
                <w:rFonts w:ascii="Times New Roman"/>
                <w:spacing w:val="-7"/>
                <w:sz w:val="18"/>
              </w:rPr>
              <w:t>B.V.</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9,646,007.73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10,209,920.00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19,855,927.73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14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吉林紫鑫高科技</w:t>
            </w:r>
          </w:p>
          <w:p>
            <w:pPr>
              <w:pStyle w:val="TableParagraph"/>
              <w:spacing w:line="460" w:lineRule="atLeast" w:before="8"/>
              <w:ind w:left="22" w:right="153"/>
              <w:jc w:val="left"/>
              <w:rPr>
                <w:rFonts w:ascii="宋体" w:hAnsi="宋体" w:cs="宋体" w:eastAsia="宋体" w:hint="default"/>
                <w:sz w:val="18"/>
                <w:szCs w:val="18"/>
              </w:rPr>
            </w:pPr>
            <w:r>
              <w:rPr>
                <w:rFonts w:ascii="宋体" w:hAnsi="宋体" w:cs="宋体" w:eastAsia="宋体" w:hint="default"/>
                <w:sz w:val="18"/>
                <w:szCs w:val="18"/>
              </w:rPr>
              <w:t>功能食品有限公 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pacing w:val="-1"/>
                <w:sz w:val="18"/>
              </w:rPr>
              <w:t>40,500,000.00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pacing w:val="-1"/>
                <w:sz w:val="18"/>
              </w:rPr>
              <w:t>40,500,000.00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4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9"/>
              <w:ind w:left="22" w:right="153"/>
              <w:jc w:val="left"/>
              <w:rPr>
                <w:rFonts w:ascii="宋体" w:hAnsi="宋体" w:cs="宋体" w:eastAsia="宋体" w:hint="default"/>
                <w:sz w:val="18"/>
                <w:szCs w:val="18"/>
              </w:rPr>
            </w:pPr>
            <w:r>
              <w:rPr>
                <w:rFonts w:ascii="宋体" w:hAnsi="宋体" w:cs="宋体" w:eastAsia="宋体" w:hint="default"/>
                <w:sz w:val="18"/>
                <w:szCs w:val="18"/>
              </w:rPr>
              <w:t>吉林紫鑫参工堂 生物科技有限公</w:t>
            </w:r>
          </w:p>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5,200,000.00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5,200,000.00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吉林紫鑫汪清药</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700,000.00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700,000.00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4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542" w:lineRule="auto" w:before="128"/>
              <w:ind w:left="22" w:right="232"/>
              <w:jc w:val="left"/>
              <w:rPr>
                <w:rFonts w:ascii="Times New Roman" w:hAnsi="Times New Roman" w:cs="Times New Roman" w:eastAsia="Times New Roman" w:hint="default"/>
                <w:sz w:val="18"/>
                <w:szCs w:val="18"/>
              </w:rPr>
            </w:pPr>
            <w:r>
              <w:rPr>
                <w:rFonts w:ascii="Times New Roman"/>
                <w:sz w:val="18"/>
              </w:rPr>
              <w:t>Zixin Pharmaceuticals</w:t>
            </w:r>
          </w:p>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sz w:val="18"/>
              </w:rPr>
              <w:t>USA</w:t>
            </w:r>
            <w:r>
              <w:rPr>
                <w:rFonts w:ascii="Times New Roman"/>
                <w:spacing w:val="-12"/>
                <w:sz w:val="18"/>
              </w:rPr>
              <w:t> </w:t>
            </w:r>
            <w:r>
              <w:rPr>
                <w:rFonts w:ascii="Times New Roman"/>
                <w:sz w:val="18"/>
              </w:rPr>
              <w:t>CORP</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9"/>
              <w:ind w:left="36" w:right="0"/>
              <w:jc w:val="left"/>
              <w:rPr>
                <w:rFonts w:ascii="Times New Roman" w:hAnsi="Times New Roman" w:cs="Times New Roman" w:eastAsia="Times New Roman" w:hint="default"/>
                <w:sz w:val="18"/>
                <w:szCs w:val="18"/>
              </w:rPr>
            </w:pPr>
            <w:r>
              <w:rPr>
                <w:rFonts w:ascii="Times New Roman"/>
                <w:sz w:val="18"/>
              </w:rPr>
              <w:t>1,283,333,649.14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136,619,920.00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1,419,953,569.14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40" w:lineRule="auto" w:before="63"/>
        <w:ind w:left="154" w:right="0"/>
        <w:jc w:val="left"/>
        <w:rPr>
          <w:b w:val="0"/>
          <w:bCs w:val="0"/>
        </w:rPr>
      </w:pPr>
      <w:bookmarkStart w:name="4、营业收入和营业成本" w:id="389"/>
      <w:bookmarkEnd w:id="389"/>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983"/>
        <w:gridCol w:w="1850"/>
        <w:gridCol w:w="1913"/>
        <w:gridCol w:w="1913"/>
        <w:gridCol w:w="1913"/>
      </w:tblGrid>
      <w:tr>
        <w:trPr>
          <w:trHeight w:val="244"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8"/>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35"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33"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4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78"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530,223,860.56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187,751,121.43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380,310,611.99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104,134,550.78</w:t>
            </w:r>
          </w:p>
        </w:tc>
      </w:tr>
      <w:tr>
        <w:trPr>
          <w:trHeight w:val="478"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10,095,161.80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3,198,048.16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21,326,589.56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155,656.34</w:t>
            </w:r>
          </w:p>
        </w:tc>
      </w:tr>
      <w:tr>
        <w:trPr>
          <w:trHeight w:val="479"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540,319,022.36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190,949,169.59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401,637,201.55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104,290,207.12</w:t>
            </w:r>
          </w:p>
        </w:tc>
      </w:tr>
    </w:tbl>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Heading3"/>
        <w:spacing w:line="240" w:lineRule="auto"/>
        <w:ind w:right="0"/>
        <w:jc w:val="left"/>
        <w:rPr>
          <w:b w:val="0"/>
          <w:bCs w:val="0"/>
        </w:rPr>
      </w:pPr>
      <w:bookmarkStart w:name="5、投资收益" w:id="390"/>
      <w:bookmarkEnd w:id="390"/>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
        <w:rPr>
          <w:rFonts w:ascii="宋体" w:hAnsi="宋体" w:cs="宋体" w:eastAsia="宋体" w:hint="default"/>
          <w:b/>
          <w:bCs/>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7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9"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9,800,000.00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9,800,000.00</w:t>
            </w:r>
          </w:p>
        </w:tc>
      </w:tr>
      <w:tr>
        <w:trPr>
          <w:trHeight w:val="47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9,800,000.00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9,800,000.00</w:t>
            </w:r>
          </w:p>
        </w:tc>
      </w:tr>
    </w:tbl>
    <w:p>
      <w:pPr>
        <w:pStyle w:val="Heading2"/>
        <w:spacing w:line="240" w:lineRule="auto" w:before="40"/>
        <w:ind w:left="154" w:right="0"/>
        <w:jc w:val="left"/>
        <w:rPr>
          <w:b w:val="0"/>
          <w:bCs w:val="0"/>
        </w:rPr>
      </w:pPr>
      <w:bookmarkStart w:name="十七、补充资料" w:id="391"/>
      <w:bookmarkEnd w:id="391"/>
      <w:r>
        <w:rPr>
          <w:b w:val="0"/>
          <w:bCs w:val="0"/>
        </w:rPr>
      </w:r>
      <w:r>
        <w:rPr/>
        <w:t>十七、补充资料</w:t>
      </w:r>
      <w:r>
        <w:rPr>
          <w:b w:val="0"/>
          <w:bCs w:val="0"/>
        </w:rPr>
      </w:r>
    </w:p>
    <w:p>
      <w:pPr>
        <w:pStyle w:val="Heading3"/>
        <w:spacing w:line="240" w:lineRule="auto" w:before="177"/>
        <w:ind w:right="0"/>
        <w:jc w:val="left"/>
        <w:rPr>
          <w:b w:val="0"/>
          <w:bCs w:val="0"/>
        </w:rPr>
      </w:pPr>
      <w:bookmarkStart w:name="1、当期非经常性损益明细表" w:id="392"/>
      <w:bookmarkEnd w:id="392"/>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6"/>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7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41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89"/>
              <w:ind w:left="11" w:right="38"/>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w:t>
            </w:r>
          </w:p>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36,896,291.54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-9,386,533.41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-16,861,049.65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5,055,622.58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8"/>
              <w:ind w:right="10"/>
              <w:jc w:val="right"/>
              <w:rPr>
                <w:rFonts w:ascii="Times New Roman" w:hAnsi="Times New Roman" w:cs="Times New Roman" w:eastAsia="Times New Roman" w:hint="default"/>
                <w:sz w:val="18"/>
                <w:szCs w:val="18"/>
              </w:rPr>
            </w:pPr>
            <w:r>
              <w:rPr>
                <w:rFonts w:ascii="Times New Roman"/>
                <w:spacing w:val="-1"/>
                <w:sz w:val="18"/>
              </w:rPr>
              <w:t>5,593,085.90</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w:t>
            </w:r>
          </w:p>
        </w:tc>
      </w:tr>
    </w:tbl>
    <w:p>
      <w:pPr>
        <w:spacing w:before="88"/>
        <w:ind w:left="514" w:right="0" w:firstLine="0"/>
        <w:jc w:val="left"/>
        <w:rPr>
          <w:rFonts w:ascii="宋体" w:hAnsi="宋体" w:cs="宋体" w:eastAsia="宋体" w:hint="default"/>
          <w:sz w:val="18"/>
          <w:szCs w:val="18"/>
        </w:rPr>
      </w:pPr>
      <w:r>
        <w:rPr>
          <w:rFonts w:ascii="宋体" w:hAnsi="宋体" w:cs="宋体" w:eastAsia="宋体" w:hint="default"/>
          <w:sz w:val="18"/>
          <w:szCs w:val="18"/>
        </w:rPr>
        <w:t>对公司根据《公开发行证券的公司信息披露解释性公告第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非经常性损益》定义界定的非经常性损益项目，以及</w:t>
      </w:r>
    </w:p>
    <w:p>
      <w:pPr>
        <w:spacing w:line="240" w:lineRule="auto" w:before="9"/>
        <w:rPr>
          <w:rFonts w:ascii="宋体" w:hAnsi="宋体" w:cs="宋体" w:eastAsia="宋体" w:hint="default"/>
          <w:sz w:val="16"/>
          <w:szCs w:val="16"/>
        </w:rPr>
      </w:pPr>
    </w:p>
    <w:p>
      <w:pPr>
        <w:spacing w:line="451" w:lineRule="auto" w:before="0"/>
        <w:ind w:left="153" w:right="1118" w:firstLine="0"/>
        <w:jc w:val="left"/>
        <w:rPr>
          <w:rFonts w:ascii="宋体" w:hAnsi="宋体" w:cs="宋体" w:eastAsia="宋体" w:hint="default"/>
          <w:sz w:val="18"/>
          <w:szCs w:val="18"/>
        </w:rPr>
      </w:pPr>
      <w:r>
        <w:rPr>
          <w:rFonts w:ascii="宋体" w:hAnsi="宋体" w:cs="宋体" w:eastAsia="宋体" w:hint="default"/>
          <w:spacing w:val="-2"/>
          <w:sz w:val="18"/>
          <w:szCs w:val="18"/>
        </w:rPr>
        <w:t>把《公开发行证券的公司信息披露解释性公告第</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非经常性损益》中列举的非经常性损益项目界定为经常性损益的项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目，应说明原因。</w:t>
      </w:r>
    </w:p>
    <w:p>
      <w:pPr>
        <w:spacing w:before="7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2、净资产收益率及每股收益" w:id="393"/>
      <w:bookmarkEnd w:id="393"/>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45"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229"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8"/>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39"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44"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78"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9.46%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0.29</w:t>
            </w:r>
          </w:p>
        </w:tc>
      </w:tr>
      <w:tr>
        <w:trPr>
          <w:trHeight w:val="947"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9.31%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0.29</w:t>
            </w:r>
          </w:p>
        </w:tc>
      </w:tr>
    </w:tbl>
    <w:p>
      <w:pPr>
        <w:pStyle w:val="Heading3"/>
        <w:spacing w:line="240" w:lineRule="auto" w:before="63"/>
        <w:ind w:left="154" w:right="0"/>
        <w:jc w:val="left"/>
        <w:rPr>
          <w:b w:val="0"/>
          <w:bCs w:val="0"/>
        </w:rPr>
      </w:pPr>
      <w:bookmarkStart w:name="3、境内外会计准则下会计数据差异" w:id="394"/>
      <w:bookmarkEnd w:id="394"/>
      <w:r>
        <w:rPr>
          <w:b w:val="0"/>
          <w:bCs w:val="0"/>
        </w:rPr>
      </w:r>
      <w:r>
        <w:rPr>
          <w:rFonts w:ascii="Times New Roman" w:hAnsi="Times New Roman" w:cs="Times New Roman" w:eastAsia="Times New Roman" w:hint="default"/>
        </w:rPr>
        <w:t>3</w:t>
      </w:r>
      <w:r>
        <w:rPr/>
        <w:t>、境内外会计准则下会计数据差异</w:t>
      </w:r>
      <w:r>
        <w:rPr>
          <w:b w:val="0"/>
          <w:bCs w:val="0"/>
        </w:rPr>
      </w:r>
    </w:p>
    <w:p>
      <w:pPr>
        <w:pStyle w:val="Heading3"/>
        <w:spacing w:line="240" w:lineRule="auto" w:before="177"/>
        <w:ind w:left="154" w:right="0"/>
        <w:jc w:val="left"/>
        <w:rPr>
          <w:b w:val="0"/>
          <w:bCs w:val="0"/>
        </w:rPr>
      </w:pPr>
      <w:bookmarkStart w:name="（1）同时按照国际会计准则与按中国会计准则披露的财务报告中净利润和净资产差异情况" w:id="395"/>
      <w:bookmarkEnd w:id="395"/>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6"/>
        <w:rPr>
          <w:rFonts w:ascii="宋体" w:hAnsi="宋体" w:cs="宋体" w:eastAsia="宋体" w:hint="default"/>
          <w:b/>
          <w:bCs/>
          <w:sz w:val="15"/>
          <w:szCs w:val="1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2）同时按照境外会计准则与按中国会计准则披露的财务报告中净利润和净资产差异情况" w:id="396"/>
      <w:bookmarkEnd w:id="396"/>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6"/>
        <w:rPr>
          <w:rFonts w:ascii="宋体" w:hAnsi="宋体" w:cs="宋体" w:eastAsia="宋体" w:hint="default"/>
          <w:b/>
          <w:bCs/>
          <w:sz w:val="15"/>
          <w:szCs w:val="1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4"/>
          <w:szCs w:val="14"/>
        </w:rPr>
      </w:pPr>
    </w:p>
    <w:p>
      <w:pPr>
        <w:pStyle w:val="Heading3"/>
        <w:spacing w:line="386" w:lineRule="auto"/>
        <w:ind w:right="0"/>
        <w:jc w:val="left"/>
        <w:rPr>
          <w:b w:val="0"/>
          <w:bCs w:val="0"/>
        </w:rPr>
      </w:pPr>
      <w:bookmarkStart w:name="（3）境内外会计准则下会计数据差异原因说明，对已经境外审计机构审计的数据进行差异" w:id="397"/>
      <w:bookmarkEnd w:id="397"/>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pStyle w:val="Heading3"/>
        <w:spacing w:line="240" w:lineRule="auto" w:before="65"/>
        <w:ind w:right="0"/>
        <w:jc w:val="left"/>
        <w:rPr>
          <w:b w:val="0"/>
          <w:bCs w:val="0"/>
        </w:rPr>
      </w:pPr>
      <w:bookmarkStart w:name="4、其他" w:id="398"/>
      <w:bookmarkEnd w:id="398"/>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pStyle w:val="Heading1"/>
        <w:spacing w:line="240" w:lineRule="auto"/>
        <w:ind w:right="1114"/>
        <w:jc w:val="center"/>
        <w:rPr>
          <w:b w:val="0"/>
          <w:bCs w:val="0"/>
        </w:rPr>
      </w:pPr>
      <w:bookmarkStart w:name="第十二节 备查文件目录" w:id="399"/>
      <w:bookmarkEnd w:id="399"/>
      <w:r>
        <w:rPr>
          <w:b w:val="0"/>
          <w:bCs w:val="0"/>
        </w:rPr>
      </w:r>
      <w:bookmarkStart w:name="_bookmark11" w:id="400"/>
      <w:bookmarkEnd w:id="400"/>
      <w:r>
        <w:rPr>
          <w:b w:val="0"/>
          <w:bCs w:val="0"/>
        </w:rPr>
      </w:r>
      <w:r>
        <w:rPr/>
        <w:t>第十二节</w:t>
      </w:r>
      <w:r>
        <w:rPr>
          <w:spacing w:val="-8"/>
        </w:rPr>
        <w:t> </w:t>
      </w:r>
      <w:r>
        <w:rPr/>
        <w:t>备查文件目录</w:t>
      </w:r>
      <w:r>
        <w:rPr>
          <w:b w:val="0"/>
          <w:bCs w:val="0"/>
        </w:rPr>
      </w:r>
    </w:p>
    <w:p>
      <w:pPr>
        <w:pStyle w:val="BodyText"/>
        <w:spacing w:line="240" w:lineRule="auto" w:before="216"/>
        <w:ind w:right="0"/>
        <w:jc w:val="left"/>
      </w:pPr>
      <w:r>
        <w:rPr>
          <w:spacing w:val="-3"/>
        </w:rPr>
        <w:t>（一）载有公司负责人、主管会计工作负责人、会计机构负责人（会计主管人员）签名并盖章的财务报表。</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（二）报告期内在中国证监会指定报纸上公开披露过的所有公司文件的正本的原稿。</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（三）以上备查文件的备置地点：公司董事会秘书办公室。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ind w:left="6011" w:right="0"/>
        <w:jc w:val="left"/>
        <w:rPr>
          <w:b w:val="0"/>
          <w:bCs w:val="0"/>
        </w:rPr>
      </w:pPr>
      <w:r>
        <w:rPr/>
        <w:t>吉林紫鑫药业股份有限公司</w:t>
      </w:r>
      <w:r>
        <w:rPr>
          <w:b w:val="0"/>
          <w:bCs w:val="0"/>
        </w:rPr>
      </w:r>
    </w:p>
    <w:p>
      <w:pPr>
        <w:pStyle w:val="Heading2"/>
        <w:spacing w:line="240" w:lineRule="auto" w:before="154"/>
        <w:ind w:left="7019" w:right="0"/>
        <w:jc w:val="left"/>
        <w:rPr>
          <w:b w:val="0"/>
          <w:bCs w:val="0"/>
        </w:rPr>
      </w:pPr>
      <w:r>
        <w:rPr/>
        <w:t>董事长：郭春林</w:t>
      </w:r>
      <w:r>
        <w:rPr>
          <w:b w:val="0"/>
          <w:bCs w:val="0"/>
        </w:rPr>
      </w:r>
    </w:p>
    <w:p>
      <w:pPr>
        <w:pStyle w:val="Heading2"/>
        <w:spacing w:line="240" w:lineRule="auto" w:before="154"/>
        <w:ind w:left="6992" w:right="0"/>
        <w:jc w:val="left"/>
        <w:rPr>
          <w:b w:val="0"/>
          <w:bCs w:val="0"/>
        </w:rPr>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w:t>
      </w:r>
      <w:r>
        <w:rPr>
          <w:b w:val="0"/>
          <w:bCs w:val="0"/>
        </w:rPr>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04768" type="#_x0000_t75" stroked="false">
          <v:imagedata r:id="rId1" o:title=""/>
        </v:shape>
      </w:pict>
    </w:r>
    <w:r>
      <w:rPr/>
      <w:pict>
        <v:shape style="position:absolute;margin-left:533.179993pt;margin-top:795.517944pt;width:6.5pt;height:11pt;mso-position-horizontal-relative:page;mso-position-vertical-relative:page;z-index:-9047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04720" type="#_x0000_t75" stroked="false">
          <v:imagedata r:id="rId1" o:title=""/>
        </v:shape>
      </w:pict>
    </w:r>
    <w:r>
      <w:rPr/>
      <w:pict>
        <v:shape style="position:absolute;margin-left:527.679993pt;margin-top:781.957947pt;width:13pt;height:11pt;mso-position-horizontal-relative:page;mso-position-vertical-relative:page;z-index:-904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04672" type="#_x0000_t75" stroked="false">
          <v:imagedata r:id="rId1" o:title=""/>
        </v:shape>
      </w:pict>
    </w:r>
    <w:r>
      <w:rPr/>
      <w:pict>
        <v:shape style="position:absolute;margin-left:527.679993pt;margin-top:781.957947pt;width:13pt;height:11pt;mso-position-horizontal-relative:page;mso-position-vertical-relative:page;z-index:-904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04624" type="#_x0000_t75" stroked="false">
          <v:imagedata r:id="rId1" o:title=""/>
        </v:shape>
      </w:pict>
    </w:r>
    <w:r>
      <w:rPr/>
      <w:pict>
        <v:shape style="position:absolute;margin-left:524.179993pt;margin-top:781.957947pt;width:15.5pt;height:11pt;mso-position-horizontal-relative:page;mso-position-vertical-relative:page;z-index:-9046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04576" type="#_x0000_t75" stroked="false">
          <v:imagedata r:id="rId1" o:title=""/>
        </v:shape>
      </w:pict>
    </w:r>
    <w:r>
      <w:rPr/>
      <w:pict>
        <v:shape style="position:absolute;margin-left:523.179993pt;margin-top:781.957947pt;width:17.5pt;height:11pt;mso-position-horizontal-relative:page;mso-position-vertical-relative:page;z-index:-904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9047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5"/>
      <w:ind w:left="153"/>
    </w:pPr>
    <w:rPr>
      <w:rFonts w:ascii="宋体" w:hAnsi="宋体" w:eastAsia="宋体"/>
      <w:b/>
      <w:bCs/>
      <w:sz w:val="24"/>
      <w:szCs w:val="24"/>
    </w:rPr>
  </w:style>
  <w:style w:styleId="BodyText" w:type="paragraph">
    <w:name w:val="Body Text"/>
    <w:basedOn w:val="Normal"/>
    <w:uiPriority w:val="1"/>
    <w:qFormat/>
    <w:pPr>
      <w:spacing w:before="46"/>
      <w:ind w:left="153"/>
    </w:pPr>
    <w:rPr>
      <w:rFonts w:ascii="宋体" w:hAnsi="宋体" w:eastAsia="宋体"/>
      <w:sz w:val="21"/>
      <w:szCs w:val="21"/>
    </w:rPr>
  </w:style>
  <w:style w:styleId="Heading1" w:type="paragraph">
    <w:name w:val="Heading 1"/>
    <w:basedOn w:val="Normal"/>
    <w:uiPriority w:val="1"/>
    <w:qFormat/>
    <w:pPr>
      <w:spacing w:before="163"/>
      <w:ind w:left="135"/>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jilinzixin.com.cn/" TargetMode="External"/><Relationship Id="rId10" Type="http://schemas.openxmlformats.org/officeDocument/2006/relationships/hyperlink" Target="mailto:zixin@zxpc.cc"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image" Target="media/image3.jpeg"/><Relationship Id="rId14" Type="http://schemas.openxmlformats.org/officeDocument/2006/relationships/footer" Target="footer4.xml"/><Relationship Id="rId15"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吉林紫鑫药业股份有限公司</dc:creator>
  <dc:title>吉林紫鑫药业股份有限公司2017年年度报告全文</dc:title>
  <dcterms:created xsi:type="dcterms:W3CDTF">2020-05-02T21:21:31Z</dcterms:created>
  <dcterms:modified xsi:type="dcterms:W3CDTF">2020-05-02T21:21:31Z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2018-04-02T00:00:00Z</vt:filetime>
  </property>
  <property fmtid="{D5CDD505-2E9C-101B-9397-08002B2CF9AE}" pid="3" name="Creator">
    <vt:lpwstr>Microsoft® Office Word 2007</vt:lpwstr>
  </property>
  <property fmtid="{D5CDD505-2E9C-101B-9397-08002B2CF9AE}" pid="4" name="LastSaved">
    <vt:filetime>2020-05-02T00:00:00Z</vt:filetime>
  </property>
</Properties>
</file>